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5"/>
        <w:jc w:val="center"/>
        <w:rPr>
          <w:rFonts w:cs="宋体"/>
          <w:spacing w:val="30"/>
          <w:kern w:val="52"/>
          <w:sz w:val="66"/>
          <w:szCs w:val="66"/>
        </w:rPr>
      </w:pPr>
      <w:r>
        <mc:AlternateContent>
          <mc:Choice Requires="wps">
            <w:drawing>
              <wp:anchor distT="0" distB="0" distL="114300" distR="114300" simplePos="0" relativeHeight="251662336" behindDoc="0" locked="0" layoutInCell="1" allowOverlap="1">
                <wp:simplePos x="0" y="0"/>
                <wp:positionH relativeFrom="column">
                  <wp:posOffset>158115</wp:posOffset>
                </wp:positionH>
                <wp:positionV relativeFrom="paragraph">
                  <wp:posOffset>538480</wp:posOffset>
                </wp:positionV>
                <wp:extent cx="5556250" cy="7620"/>
                <wp:effectExtent l="0" t="6350" r="6350" b="14605"/>
                <wp:wrapNone/>
                <wp:docPr id="2" name="直接连接符 2"/>
                <wp:cNvGraphicFramePr/>
                <a:graphic xmlns:a="http://schemas.openxmlformats.org/drawingml/2006/main">
                  <a:graphicData uri="http://schemas.microsoft.com/office/word/2010/wordprocessingShape">
                    <wps:wsp>
                      <wps:cNvCnPr/>
                      <wps:spPr>
                        <a:xfrm flipV="1">
                          <a:off x="0" y="0"/>
                          <a:ext cx="5556250" cy="76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45pt;margin-top:42.4pt;height:0.6pt;width:437.5pt;z-index:251662336;mso-width-relative:page;mso-height-relative:page;" filled="f" stroked="t" coordsize="21600,21600" o:gfxdata="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gpQT2AAAAAgBAAAPAAAAAAAAAAEAIAAAACIAAABkcnMvZG93&#10;bnJldi54bWxQSwECFAAUAAAACACHTuJA9JawLAACAADyAwAADgAAAAAAAAABACAAAAAnAQAAZHJz&#10;L2Uyb0RvYy54bWxQSwUGAAAAAAYABgBZAQAAmQUAAAAA&#10;">
                <v:fill on="f" focussize="0,0"/>
                <v:stroke weight="1pt" color="#000000" joinstyle="round"/>
                <v:imagedata o:title=""/>
                <o:lock v:ext="edit" aspectratio="f"/>
              </v:line>
            </w:pict>
          </mc:Fallback>
        </mc:AlternateContent>
      </w:r>
      <w:r>
        <w:rPr>
          <w:rFonts w:hint="eastAsia" w:cs="宋体"/>
          <w:spacing w:val="30"/>
          <w:kern w:val="52"/>
          <w:sz w:val="66"/>
          <w:szCs w:val="66"/>
        </w:rPr>
        <w:t>广西国兴项目管理有限公司</w:t>
      </w:r>
    </w:p>
    <w:p>
      <w:pPr>
        <w:pStyle w:val="21"/>
        <w:ind w:firstLine="917" w:firstLineChars="244"/>
        <w:rPr>
          <w:rFonts w:cs="宋体"/>
          <w:spacing w:val="28"/>
          <w:sz w:val="32"/>
        </w:rPr>
      </w:pPr>
    </w:p>
    <w:p>
      <w:pPr>
        <w:pStyle w:val="21"/>
        <w:jc w:val="center"/>
        <w:rPr>
          <w:rFonts w:cs="宋体"/>
          <w:b/>
          <w:spacing w:val="-18"/>
          <w:sz w:val="72"/>
          <w:szCs w:val="72"/>
        </w:rPr>
      </w:pPr>
      <w:r>
        <w:rPr>
          <w:rFonts w:cs="宋体"/>
          <w:sz w:val="32"/>
          <w:szCs w:val="32"/>
        </w:rPr>
        <w:drawing>
          <wp:inline distT="0" distB="0" distL="114300" distR="114300">
            <wp:extent cx="2065020" cy="1219200"/>
            <wp:effectExtent l="0" t="0" r="11430" b="0"/>
            <wp:docPr id="3" name="图片 2" descr="2017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7图标"/>
                    <pic:cNvPicPr>
                      <a:picLocks noChangeAspect="1"/>
                    </pic:cNvPicPr>
                  </pic:nvPicPr>
                  <pic:blipFill>
                    <a:blip r:embed="rId10"/>
                    <a:stretch>
                      <a:fillRect/>
                    </a:stretch>
                  </pic:blipFill>
                  <pic:spPr>
                    <a:xfrm>
                      <a:off x="0" y="0"/>
                      <a:ext cx="2065020" cy="1219200"/>
                    </a:xfrm>
                    <a:prstGeom prst="rect">
                      <a:avLst/>
                    </a:prstGeom>
                    <a:noFill/>
                    <a:ln>
                      <a:noFill/>
                    </a:ln>
                  </pic:spPr>
                </pic:pic>
              </a:graphicData>
            </a:graphic>
          </wp:inline>
        </w:drawing>
      </w:r>
    </w:p>
    <w:p>
      <w:pPr>
        <w:pStyle w:val="21"/>
        <w:jc w:val="center"/>
        <w:rPr>
          <w:rFonts w:cs="宋体"/>
          <w:b/>
          <w:spacing w:val="-18"/>
          <w:sz w:val="72"/>
          <w:szCs w:val="72"/>
        </w:rPr>
      </w:pPr>
    </w:p>
    <w:p>
      <w:pPr>
        <w:pStyle w:val="21"/>
        <w:jc w:val="center"/>
        <w:rPr>
          <w:rFonts w:hint="eastAsia" w:eastAsia="宋体" w:cs="宋体"/>
          <w:b/>
          <w:spacing w:val="-18"/>
          <w:sz w:val="72"/>
          <w:szCs w:val="72"/>
          <w:lang w:eastAsia="zh-CN"/>
        </w:rPr>
      </w:pPr>
      <w:r>
        <w:rPr>
          <w:rFonts w:hint="eastAsia" w:cs="宋体"/>
          <w:b/>
          <w:spacing w:val="-18"/>
          <w:sz w:val="72"/>
          <w:szCs w:val="72"/>
        </w:rPr>
        <w:t>招</w:t>
      </w:r>
      <w:r>
        <w:rPr>
          <w:rFonts w:cs="宋体"/>
          <w:b/>
          <w:spacing w:val="-18"/>
          <w:sz w:val="72"/>
          <w:szCs w:val="72"/>
        </w:rPr>
        <w:t xml:space="preserve"> </w:t>
      </w:r>
      <w:r>
        <w:rPr>
          <w:rFonts w:hint="eastAsia" w:cs="宋体"/>
          <w:b/>
          <w:spacing w:val="-18"/>
          <w:sz w:val="72"/>
          <w:szCs w:val="72"/>
        </w:rPr>
        <w:t>标</w:t>
      </w:r>
      <w:r>
        <w:rPr>
          <w:rFonts w:cs="宋体"/>
          <w:b/>
          <w:spacing w:val="-18"/>
          <w:sz w:val="72"/>
          <w:szCs w:val="72"/>
        </w:rPr>
        <w:t xml:space="preserve"> </w:t>
      </w:r>
      <w:r>
        <w:rPr>
          <w:rFonts w:hint="eastAsia" w:cs="宋体"/>
          <w:b/>
          <w:spacing w:val="-18"/>
          <w:sz w:val="72"/>
          <w:szCs w:val="72"/>
        </w:rPr>
        <w:t>文</w:t>
      </w:r>
      <w:r>
        <w:rPr>
          <w:rFonts w:cs="宋体"/>
          <w:b/>
          <w:spacing w:val="-18"/>
          <w:sz w:val="72"/>
          <w:szCs w:val="72"/>
        </w:rPr>
        <w:t xml:space="preserve"> </w:t>
      </w:r>
      <w:r>
        <w:rPr>
          <w:rFonts w:hint="eastAsia" w:cs="宋体"/>
          <w:b/>
          <w:spacing w:val="-18"/>
          <w:sz w:val="72"/>
          <w:szCs w:val="72"/>
        </w:rPr>
        <w:t>件</w:t>
      </w:r>
      <w:r>
        <w:rPr>
          <w:rFonts w:hint="eastAsia" w:cs="宋体"/>
          <w:b/>
          <w:spacing w:val="-18"/>
          <w:sz w:val="72"/>
          <w:szCs w:val="72"/>
          <w:lang w:val="en-US" w:eastAsia="zh-CN"/>
        </w:rPr>
        <w:t xml:space="preserve"> </w:t>
      </w:r>
    </w:p>
    <w:p>
      <w:pPr>
        <w:pStyle w:val="21"/>
        <w:rPr>
          <w:rFonts w:cs="宋体"/>
        </w:rPr>
      </w:pPr>
    </w:p>
    <w:p>
      <w:pPr>
        <w:pStyle w:val="21"/>
        <w:jc w:val="center"/>
        <w:rPr>
          <w:rFonts w:cs="宋体"/>
          <w:b/>
          <w:bCs/>
          <w:sz w:val="52"/>
          <w:szCs w:val="52"/>
        </w:rPr>
      </w:pPr>
      <w:r>
        <w:rPr>
          <w:rFonts w:hint="eastAsia" w:cs="宋体"/>
          <w:b/>
          <w:bCs/>
          <w:sz w:val="52"/>
          <w:szCs w:val="52"/>
        </w:rPr>
        <w:t>（电子标）</w:t>
      </w:r>
    </w:p>
    <w:p>
      <w:pPr>
        <w:pStyle w:val="21"/>
        <w:rPr>
          <w:rFonts w:cs="宋体"/>
        </w:rPr>
      </w:pPr>
    </w:p>
    <w:p>
      <w:pPr>
        <w:pStyle w:val="21"/>
        <w:rPr>
          <w:rFonts w:cs="宋体"/>
          <w:sz w:val="34"/>
          <w:szCs w:val="34"/>
        </w:rPr>
      </w:pPr>
    </w:p>
    <w:p>
      <w:pPr>
        <w:pStyle w:val="21"/>
        <w:rPr>
          <w:rFonts w:hint="eastAsia" w:eastAsia="宋体" w:cs="宋体"/>
          <w:sz w:val="34"/>
          <w:szCs w:val="34"/>
          <w:lang w:eastAsia="zh-CN"/>
        </w:rPr>
      </w:pPr>
      <w:r>
        <w:rPr>
          <w:rFonts w:hint="eastAsia" w:cs="宋体"/>
          <w:sz w:val="34"/>
          <w:szCs w:val="34"/>
        </w:rPr>
        <w:t>项目名称：</w:t>
      </w:r>
      <w:r>
        <w:rPr>
          <w:rFonts w:hint="eastAsia" w:cs="宋体"/>
          <w:sz w:val="34"/>
          <w:szCs w:val="34"/>
          <w:lang w:eastAsia="zh-CN"/>
        </w:rPr>
        <w:t>2022年上思县高标准农田建设项目（那明村、平福村、伟华村片区）</w:t>
      </w:r>
    </w:p>
    <w:p>
      <w:pPr>
        <w:pStyle w:val="21"/>
        <w:rPr>
          <w:rFonts w:cs="宋体"/>
          <w:sz w:val="34"/>
          <w:szCs w:val="34"/>
        </w:rPr>
      </w:pPr>
    </w:p>
    <w:p>
      <w:pPr>
        <w:pStyle w:val="21"/>
        <w:rPr>
          <w:rFonts w:hint="eastAsia" w:eastAsia="宋体" w:cs="宋体"/>
          <w:sz w:val="34"/>
          <w:szCs w:val="34"/>
          <w:lang w:eastAsia="zh-CN"/>
        </w:rPr>
      </w:pPr>
      <w:r>
        <w:rPr>
          <w:rFonts w:hint="eastAsia" w:cs="宋体"/>
          <w:sz w:val="34"/>
          <w:szCs w:val="34"/>
        </w:rPr>
        <w:t>项目编号：</w:t>
      </w:r>
      <w:r>
        <w:rPr>
          <w:rFonts w:hint="eastAsia" w:cs="宋体"/>
          <w:sz w:val="34"/>
          <w:szCs w:val="34"/>
          <w:lang w:eastAsia="zh-CN"/>
        </w:rPr>
        <w:t>FCZC2022-G2-40008-GXGX</w:t>
      </w:r>
    </w:p>
    <w:p>
      <w:pPr>
        <w:pStyle w:val="13"/>
        <w:rPr>
          <w:rFonts w:ascii="宋体" w:cs="宋体"/>
          <w:sz w:val="34"/>
          <w:szCs w:val="34"/>
        </w:rPr>
      </w:pPr>
    </w:p>
    <w:p>
      <w:pPr>
        <w:pStyle w:val="13"/>
        <w:rPr>
          <w:rFonts w:ascii="宋体" w:cs="宋体"/>
          <w:sz w:val="34"/>
          <w:szCs w:val="34"/>
        </w:rPr>
      </w:pPr>
    </w:p>
    <w:p>
      <w:pPr>
        <w:rPr>
          <w:rFonts w:ascii="宋体" w:cs="宋体"/>
          <w:b/>
          <w:sz w:val="34"/>
          <w:szCs w:val="34"/>
        </w:rPr>
      </w:pPr>
    </w:p>
    <w:p>
      <w:pPr>
        <w:ind w:firstLine="683" w:firstLineChars="200"/>
        <w:rPr>
          <w:rFonts w:ascii="宋体" w:cs="宋体"/>
          <w:b/>
          <w:sz w:val="34"/>
          <w:szCs w:val="34"/>
        </w:rPr>
      </w:pPr>
    </w:p>
    <w:p>
      <w:pPr>
        <w:ind w:firstLine="683" w:firstLineChars="200"/>
        <w:rPr>
          <w:rFonts w:ascii="宋体" w:cs="宋体"/>
          <w:b/>
          <w:sz w:val="34"/>
          <w:szCs w:val="34"/>
        </w:rPr>
      </w:pPr>
    </w:p>
    <w:p>
      <w:pPr>
        <w:ind w:firstLine="683" w:firstLineChars="200"/>
        <w:rPr>
          <w:rFonts w:ascii="宋体" w:cs="宋体"/>
          <w:b/>
          <w:sz w:val="34"/>
          <w:szCs w:val="34"/>
        </w:rPr>
      </w:pPr>
    </w:p>
    <w:p>
      <w:pPr>
        <w:ind w:firstLine="683" w:firstLineChars="200"/>
        <w:rPr>
          <w:rFonts w:ascii="宋体" w:cs="宋体"/>
          <w:b/>
          <w:sz w:val="34"/>
          <w:szCs w:val="34"/>
        </w:rPr>
      </w:pPr>
    </w:p>
    <w:p>
      <w:pPr>
        <w:ind w:firstLine="2048" w:firstLineChars="600"/>
        <w:rPr>
          <w:rFonts w:hint="eastAsia" w:ascii="宋体" w:eastAsia="宋体" w:cs="宋体"/>
          <w:b/>
          <w:sz w:val="34"/>
          <w:szCs w:val="34"/>
          <w:lang w:eastAsia="zh-CN"/>
        </w:rPr>
      </w:pPr>
      <w:r>
        <w:rPr>
          <w:rFonts w:hint="eastAsia" w:ascii="宋体" w:cs="宋体"/>
          <w:b/>
          <w:sz w:val="34"/>
          <w:szCs w:val="34"/>
        </w:rPr>
        <w:t>采购人：</w:t>
      </w:r>
      <w:r>
        <w:rPr>
          <w:rFonts w:hint="eastAsia" w:ascii="宋体" w:hAnsi="宋体" w:cs="宋体"/>
          <w:b/>
          <w:sz w:val="34"/>
          <w:szCs w:val="34"/>
          <w:lang w:eastAsia="zh-CN"/>
        </w:rPr>
        <w:t>上思县农业农村局</w:t>
      </w:r>
    </w:p>
    <w:p>
      <w:pPr>
        <w:pStyle w:val="13"/>
        <w:ind w:firstLine="0"/>
        <w:rPr>
          <w:rFonts w:ascii="宋体" w:cs="宋体"/>
          <w:sz w:val="34"/>
          <w:szCs w:val="34"/>
        </w:rPr>
      </w:pPr>
    </w:p>
    <w:p>
      <w:pPr>
        <w:ind w:firstLine="2048" w:firstLineChars="600"/>
        <w:rPr>
          <w:rFonts w:ascii="宋体" w:cs="宋体"/>
          <w:b/>
          <w:sz w:val="34"/>
          <w:szCs w:val="34"/>
        </w:rPr>
      </w:pPr>
      <w:r>
        <w:rPr>
          <w:rFonts w:hint="eastAsia" w:ascii="宋体" w:cs="宋体"/>
          <w:b/>
          <w:sz w:val="34"/>
          <w:szCs w:val="34"/>
        </w:rPr>
        <w:t>采购代理机构：广西国兴项目管理有限公司</w:t>
      </w:r>
      <w:r>
        <w:rPr>
          <w:rFonts w:ascii="宋体" w:cs="宋体"/>
          <w:b/>
          <w:sz w:val="34"/>
          <w:szCs w:val="34"/>
        </w:rPr>
        <w:t xml:space="preserve"> </w:t>
      </w:r>
    </w:p>
    <w:p>
      <w:pPr>
        <w:pStyle w:val="13"/>
        <w:ind w:firstLine="0"/>
        <w:rPr>
          <w:rFonts w:ascii="宋体" w:cs="宋体"/>
          <w:sz w:val="34"/>
          <w:szCs w:val="34"/>
        </w:rPr>
      </w:pPr>
    </w:p>
    <w:p>
      <w:pPr>
        <w:spacing w:line="540" w:lineRule="exact"/>
        <w:ind w:firstLine="437"/>
        <w:jc w:val="center"/>
        <w:rPr>
          <w:rFonts w:hint="eastAsia"/>
          <w:sz w:val="32"/>
          <w:szCs w:val="32"/>
        </w:rPr>
      </w:pPr>
      <w:r>
        <w:rPr>
          <w:rFonts w:ascii="宋体" w:cs="宋体"/>
          <w:b/>
          <w:sz w:val="34"/>
          <w:szCs w:val="34"/>
        </w:rPr>
        <w:fldChar w:fldCharType="begin"/>
      </w:r>
      <w:r>
        <w:rPr>
          <w:rFonts w:ascii="宋体" w:cs="宋体"/>
          <w:b/>
          <w:sz w:val="34"/>
          <w:szCs w:val="34"/>
        </w:rPr>
        <w:instrText xml:space="preserve"> = 2016 \* CHINESENUM3 \* MERGEFORMAT </w:instrText>
      </w:r>
      <w:r>
        <w:rPr>
          <w:rFonts w:ascii="宋体" w:cs="宋体"/>
          <w:b/>
          <w:sz w:val="34"/>
          <w:szCs w:val="34"/>
        </w:rPr>
        <w:fldChar w:fldCharType="separate"/>
      </w:r>
      <w:r>
        <w:rPr>
          <w:rFonts w:hint="eastAsia" w:ascii="宋体" w:cs="宋体"/>
          <w:b/>
          <w:sz w:val="34"/>
          <w:szCs w:val="34"/>
        </w:rPr>
        <w:t>二〇二二</w:t>
      </w:r>
      <w:r>
        <w:rPr>
          <w:rFonts w:ascii="宋体" w:cs="宋体"/>
          <w:b/>
          <w:sz w:val="34"/>
          <w:szCs w:val="34"/>
        </w:rPr>
        <w:fldChar w:fldCharType="end"/>
      </w:r>
      <w:r>
        <w:rPr>
          <w:rFonts w:hint="eastAsia" w:ascii="宋体" w:cs="宋体"/>
          <w:b/>
          <w:sz w:val="34"/>
          <w:szCs w:val="34"/>
        </w:rPr>
        <w:t>年</w:t>
      </w:r>
      <w:r>
        <w:rPr>
          <w:rFonts w:hint="eastAsia" w:ascii="宋体" w:cs="宋体"/>
          <w:b/>
          <w:sz w:val="34"/>
          <w:szCs w:val="34"/>
          <w:lang w:eastAsia="zh-CN"/>
        </w:rPr>
        <w:t>十</w:t>
      </w:r>
      <w:r>
        <w:rPr>
          <w:rFonts w:hint="eastAsia" w:ascii="宋体" w:cs="宋体"/>
          <w:b/>
          <w:sz w:val="34"/>
          <w:szCs w:val="34"/>
        </w:rPr>
        <w:t>月</w:t>
      </w:r>
    </w:p>
    <w:p>
      <w:pPr>
        <w:tabs>
          <w:tab w:val="left" w:pos="1080"/>
        </w:tabs>
        <w:spacing w:line="360" w:lineRule="auto"/>
        <w:ind w:firstLine="1044" w:firstLineChars="200"/>
        <w:rPr>
          <w:b/>
          <w:bCs/>
          <w:sz w:val="52"/>
          <w:szCs w:val="52"/>
        </w:rPr>
        <w:sectPr>
          <w:footerReference r:id="rId3" w:type="default"/>
          <w:pgSz w:w="11905" w:h="16838"/>
          <w:pgMar w:top="1440" w:right="1157" w:bottom="1270" w:left="1287" w:header="851" w:footer="850" w:gutter="0"/>
          <w:pgNumType w:fmt="upperRoman" w:start="1"/>
          <w:cols w:space="720" w:num="1"/>
          <w:rtlGutter w:val="0"/>
          <w:docGrid w:linePitch="312" w:charSpace="0"/>
        </w:sectPr>
      </w:pPr>
    </w:p>
    <w:p>
      <w:pPr>
        <w:spacing w:after="240" w:afterLines="100" w:line="540" w:lineRule="exact"/>
        <w:jc w:val="center"/>
        <w:rPr>
          <w:b/>
          <w:bCs/>
          <w:sz w:val="44"/>
          <w:szCs w:val="44"/>
        </w:rPr>
      </w:pPr>
      <w:r>
        <w:rPr>
          <w:rFonts w:hint="eastAsia" w:cs="宋体"/>
          <w:b/>
          <w:bCs/>
          <w:sz w:val="44"/>
          <w:szCs w:val="44"/>
        </w:rPr>
        <w:t>目</w:t>
      </w:r>
      <w:r>
        <w:rPr>
          <w:b/>
          <w:bCs/>
          <w:sz w:val="44"/>
          <w:szCs w:val="44"/>
        </w:rPr>
        <w:t xml:space="preserve">  </w:t>
      </w:r>
      <w:r>
        <w:rPr>
          <w:rFonts w:hint="eastAsia" w:cs="宋体"/>
          <w:b/>
          <w:bCs/>
          <w:sz w:val="44"/>
          <w:szCs w:val="44"/>
        </w:rPr>
        <w:t>录</w:t>
      </w:r>
    </w:p>
    <w:p>
      <w:pPr>
        <w:pStyle w:val="28"/>
        <w:tabs>
          <w:tab w:val="right" w:leader="dot" w:pos="9461"/>
        </w:tabs>
      </w:pPr>
      <w:r>
        <w:fldChar w:fldCharType="begin"/>
      </w:r>
      <w:r>
        <w:instrText xml:space="preserve"> TOC \o "1-1" \h \z \t "</w:instrText>
      </w:r>
      <w:r>
        <w:rPr>
          <w:rFonts w:hint="eastAsia" w:cs="黑体"/>
        </w:rPr>
        <w:instrText xml:space="preserve">标题</w:instrText>
      </w:r>
      <w:r>
        <w:instrText xml:space="preserve"> 2,2,</w:instrText>
      </w:r>
      <w:r>
        <w:rPr>
          <w:rFonts w:hint="eastAsia" w:cs="黑体"/>
        </w:rPr>
        <w:instrText xml:space="preserve">标题</w:instrText>
      </w:r>
      <w:r>
        <w:instrText xml:space="preserve"> 3,3" </w:instrText>
      </w:r>
      <w:r>
        <w:fldChar w:fldCharType="separate"/>
      </w:r>
      <w:r>
        <w:fldChar w:fldCharType="begin"/>
      </w:r>
      <w:r>
        <w:instrText xml:space="preserve"> HYPERLINK \l _Toc19234 </w:instrText>
      </w:r>
      <w:r>
        <w:fldChar w:fldCharType="separate"/>
      </w:r>
      <w:r>
        <w:rPr>
          <w:rFonts w:hint="eastAsia" w:cs="黑体"/>
        </w:rPr>
        <w:t>第一章</w:t>
      </w:r>
      <w:r>
        <w:t xml:space="preserve">  </w:t>
      </w:r>
      <w:r>
        <w:rPr>
          <w:rFonts w:hint="eastAsia" w:cs="黑体"/>
        </w:rPr>
        <w:t>招标公告</w:t>
      </w:r>
      <w:r>
        <w:tab/>
      </w:r>
      <w:r>
        <w:fldChar w:fldCharType="begin"/>
      </w:r>
      <w:r>
        <w:instrText xml:space="preserve"> PAGEREF _Toc19234 \h </w:instrText>
      </w:r>
      <w:r>
        <w:fldChar w:fldCharType="separate"/>
      </w:r>
      <w:r>
        <w:t>12</w:t>
      </w:r>
      <w:r>
        <w:fldChar w:fldCharType="end"/>
      </w:r>
      <w:r>
        <w:fldChar w:fldCharType="end"/>
      </w:r>
    </w:p>
    <w:p>
      <w:pPr>
        <w:pStyle w:val="28"/>
        <w:tabs>
          <w:tab w:val="right" w:leader="dot" w:pos="9461"/>
        </w:tabs>
      </w:pPr>
      <w:r>
        <w:fldChar w:fldCharType="begin"/>
      </w:r>
      <w:r>
        <w:instrText xml:space="preserve"> HYPERLINK \l _Toc24786 </w:instrText>
      </w:r>
      <w:r>
        <w:fldChar w:fldCharType="separate"/>
      </w:r>
      <w:r>
        <w:rPr>
          <w:rFonts w:hint="eastAsia" w:cs="黑体"/>
        </w:rPr>
        <w:t>第二章</w:t>
      </w:r>
      <w:r>
        <w:t xml:space="preserve">  </w:t>
      </w:r>
      <w:r>
        <w:rPr>
          <w:rFonts w:hint="eastAsia" w:cs="黑体"/>
        </w:rPr>
        <w:t>投标人须知</w:t>
      </w:r>
      <w:r>
        <w:tab/>
      </w:r>
      <w:r>
        <w:fldChar w:fldCharType="begin"/>
      </w:r>
      <w:r>
        <w:instrText xml:space="preserve"> PAGEREF _Toc24786 \h </w:instrText>
      </w:r>
      <w:r>
        <w:fldChar w:fldCharType="separate"/>
      </w:r>
      <w:r>
        <w:t>20</w:t>
      </w:r>
      <w:r>
        <w:fldChar w:fldCharType="end"/>
      </w:r>
      <w:r>
        <w:fldChar w:fldCharType="end"/>
      </w:r>
    </w:p>
    <w:p>
      <w:pPr>
        <w:pStyle w:val="28"/>
        <w:tabs>
          <w:tab w:val="right" w:leader="dot" w:pos="9461"/>
        </w:tabs>
      </w:pPr>
      <w:r>
        <w:fldChar w:fldCharType="begin"/>
      </w:r>
      <w:r>
        <w:instrText xml:space="preserve"> HYPERLINK \l _Toc14888 </w:instrText>
      </w:r>
      <w:r>
        <w:fldChar w:fldCharType="separate"/>
      </w:r>
      <w:r>
        <w:rPr>
          <w:rFonts w:hint="eastAsia" w:cs="黑体"/>
        </w:rPr>
        <w:t>投标人须知前附表</w:t>
      </w:r>
      <w:r>
        <w:tab/>
      </w:r>
      <w:r>
        <w:fldChar w:fldCharType="begin"/>
      </w:r>
      <w:r>
        <w:instrText xml:space="preserve"> PAGEREF _Toc14888 \h </w:instrText>
      </w:r>
      <w:r>
        <w:fldChar w:fldCharType="separate"/>
      </w:r>
      <w:r>
        <w:t>20</w:t>
      </w:r>
      <w:r>
        <w:fldChar w:fldCharType="end"/>
      </w:r>
      <w: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_Toc14375 </w:instrText>
      </w:r>
      <w:r>
        <w:rPr>
          <w:rFonts w:hint="eastAsia" w:ascii="Times New Roman" w:hAnsi="Times New Roman" w:cs="黑体"/>
        </w:rPr>
        <w:fldChar w:fldCharType="separate"/>
      </w:r>
      <w:r>
        <w:rPr>
          <w:rFonts w:hint="eastAsia" w:ascii="Times New Roman" w:hAnsi="Times New Roman" w:cs="黑体"/>
        </w:rPr>
        <w:t>投标人须知正文部分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_Toc14375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_Toc21652 </w:instrText>
      </w:r>
      <w:r>
        <w:rPr>
          <w:rFonts w:hint="eastAsia" w:ascii="Times New Roman" w:hAnsi="Times New Roman" w:cs="黑体"/>
        </w:rPr>
        <w:fldChar w:fldCharType="separate"/>
      </w:r>
      <w:r>
        <w:rPr>
          <w:rFonts w:hint="eastAsia" w:ascii="Times New Roman" w:hAnsi="Times New Roman" w:cs="黑体"/>
        </w:rPr>
        <w:t>1 总则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_Toc21652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_Toc24259 </w:instrText>
      </w:r>
      <w:r>
        <w:rPr>
          <w:rFonts w:hint="eastAsia" w:ascii="Times New Roman" w:hAnsi="Times New Roman" w:cs="黑体"/>
        </w:rPr>
        <w:fldChar w:fldCharType="separate"/>
      </w:r>
      <w:r>
        <w:rPr>
          <w:rFonts w:hint="eastAsia" w:ascii="Times New Roman" w:hAnsi="Times New Roman" w:cs="黑体"/>
        </w:rPr>
        <w:t>1.1 项目概况</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_Toc24259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_Toc31172 </w:instrText>
      </w:r>
      <w:r>
        <w:rPr>
          <w:rFonts w:hint="eastAsia" w:ascii="Times New Roman" w:hAnsi="Times New Roman" w:cs="黑体"/>
        </w:rPr>
        <w:fldChar w:fldCharType="separate"/>
      </w:r>
      <w:r>
        <w:rPr>
          <w:rFonts w:hint="eastAsia" w:ascii="Times New Roman" w:hAnsi="Times New Roman" w:cs="黑体"/>
        </w:rPr>
        <w:t>1.2 资金来源和落实及增值税计税方法情况</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_Toc31172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_Toc13376 </w:instrText>
      </w:r>
      <w:r>
        <w:rPr>
          <w:rFonts w:hint="eastAsia" w:ascii="Times New Roman" w:hAnsi="Times New Roman" w:cs="黑体"/>
        </w:rPr>
        <w:fldChar w:fldCharType="separate"/>
      </w:r>
      <w:r>
        <w:rPr>
          <w:rFonts w:hint="eastAsia" w:ascii="Times New Roman" w:hAnsi="Times New Roman" w:cs="黑体"/>
        </w:rPr>
        <w:t>1.3 招标范围、计划工期和质量要求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_Toc13376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_Toc31168 </w:instrText>
      </w:r>
      <w:r>
        <w:rPr>
          <w:rFonts w:hint="eastAsia" w:ascii="Times New Roman" w:hAnsi="Times New Roman" w:cs="黑体"/>
        </w:rPr>
        <w:fldChar w:fldCharType="separate"/>
      </w:r>
      <w:r>
        <w:rPr>
          <w:rFonts w:hint="eastAsia" w:ascii="Times New Roman" w:hAnsi="Times New Roman" w:cs="黑体"/>
        </w:rPr>
        <w:t>1.4 投标人资格要求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_Toc31168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_Toc17431 </w:instrText>
      </w:r>
      <w:r>
        <w:rPr>
          <w:rFonts w:hint="eastAsia" w:ascii="Times New Roman" w:hAnsi="Times New Roman" w:cs="黑体"/>
        </w:rPr>
        <w:fldChar w:fldCharType="separate"/>
      </w:r>
      <w:r>
        <w:rPr>
          <w:rFonts w:hint="eastAsia" w:ascii="Times New Roman" w:hAnsi="Times New Roman" w:cs="黑体"/>
        </w:rPr>
        <w:t>1.5 费用承担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_Toc17431 \h </w:instrText>
      </w:r>
      <w:r>
        <w:rPr>
          <w:rFonts w:hint="eastAsia" w:ascii="Times New Roman" w:hAnsi="Times New Roman" w:cs="黑体"/>
        </w:rPr>
        <w:fldChar w:fldCharType="separate"/>
      </w:r>
      <w:r>
        <w:rPr>
          <w:rFonts w:hint="eastAsia" w:ascii="Times New Roman" w:hAnsi="Times New Roman" w:cs="黑体"/>
        </w:rPr>
        <w:t>31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_Toc26491 </w:instrText>
      </w:r>
      <w:r>
        <w:rPr>
          <w:rFonts w:hint="eastAsia" w:ascii="Times New Roman" w:hAnsi="Times New Roman" w:cs="黑体"/>
        </w:rPr>
        <w:fldChar w:fldCharType="separate"/>
      </w:r>
      <w:r>
        <w:rPr>
          <w:rFonts w:hint="eastAsia" w:ascii="Times New Roman" w:hAnsi="Times New Roman" w:cs="黑体"/>
        </w:rPr>
        <w:t>1.6 保密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_Toc26491 \h </w:instrText>
      </w:r>
      <w:r>
        <w:rPr>
          <w:rFonts w:hint="eastAsia" w:ascii="Times New Roman" w:hAnsi="Times New Roman" w:cs="黑体"/>
        </w:rPr>
        <w:fldChar w:fldCharType="separate"/>
      </w:r>
      <w:r>
        <w:rPr>
          <w:rFonts w:hint="eastAsia" w:ascii="Times New Roman" w:hAnsi="Times New Roman" w:cs="黑体"/>
        </w:rPr>
        <w:t>31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_Toc15686 </w:instrText>
      </w:r>
      <w:r>
        <w:rPr>
          <w:rFonts w:hint="eastAsia" w:ascii="Times New Roman" w:hAnsi="Times New Roman" w:cs="黑体"/>
        </w:rPr>
        <w:fldChar w:fldCharType="separate"/>
      </w:r>
      <w:r>
        <w:rPr>
          <w:rFonts w:hint="eastAsia" w:ascii="Times New Roman" w:hAnsi="Times New Roman" w:cs="黑体"/>
        </w:rPr>
        <w:t>1.7 语言文字</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_Toc15686 \h </w:instrText>
      </w:r>
      <w:r>
        <w:rPr>
          <w:rFonts w:hint="eastAsia" w:ascii="Times New Roman" w:hAnsi="Times New Roman" w:cs="黑体"/>
        </w:rPr>
        <w:fldChar w:fldCharType="separate"/>
      </w:r>
      <w:r>
        <w:rPr>
          <w:rFonts w:hint="eastAsia" w:ascii="Times New Roman" w:hAnsi="Times New Roman" w:cs="黑体"/>
        </w:rPr>
        <w:t>31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_Toc26223 </w:instrText>
      </w:r>
      <w:r>
        <w:rPr>
          <w:rFonts w:hint="eastAsia" w:ascii="Times New Roman" w:hAnsi="Times New Roman" w:cs="黑体"/>
        </w:rPr>
        <w:fldChar w:fldCharType="separate"/>
      </w:r>
      <w:r>
        <w:rPr>
          <w:rFonts w:hint="eastAsia" w:ascii="Times New Roman" w:hAnsi="Times New Roman" w:cs="黑体"/>
        </w:rPr>
        <w:t>1.8 计量单位</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_Toc26223 \h </w:instrText>
      </w:r>
      <w:r>
        <w:rPr>
          <w:rFonts w:hint="eastAsia" w:ascii="Times New Roman" w:hAnsi="Times New Roman" w:cs="黑体"/>
        </w:rPr>
        <w:fldChar w:fldCharType="separate"/>
      </w:r>
      <w:r>
        <w:rPr>
          <w:rFonts w:hint="eastAsia" w:ascii="Times New Roman" w:hAnsi="Times New Roman" w:cs="黑体"/>
        </w:rPr>
        <w:t>31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_Toc27657 </w:instrText>
      </w:r>
      <w:r>
        <w:rPr>
          <w:rFonts w:hint="eastAsia" w:ascii="Times New Roman" w:hAnsi="Times New Roman" w:cs="黑体"/>
        </w:rPr>
        <w:fldChar w:fldCharType="separate"/>
      </w:r>
      <w:r>
        <w:rPr>
          <w:rFonts w:hint="eastAsia" w:ascii="Times New Roman" w:hAnsi="Times New Roman" w:cs="黑体"/>
        </w:rPr>
        <w:t>1.9 踏勘现场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_Toc27657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_Toc5606 </w:instrText>
      </w:r>
      <w:r>
        <w:rPr>
          <w:rFonts w:hint="eastAsia" w:ascii="Times New Roman" w:hAnsi="Times New Roman" w:cs="黑体"/>
        </w:rPr>
        <w:fldChar w:fldCharType="separate"/>
      </w:r>
      <w:r>
        <w:rPr>
          <w:rFonts w:hint="eastAsia" w:ascii="Times New Roman" w:hAnsi="Times New Roman" w:cs="黑体"/>
        </w:rPr>
        <w:t>1.10 投标预备会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_Toc5606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_Toc28284 </w:instrText>
      </w:r>
      <w:r>
        <w:rPr>
          <w:rFonts w:hint="eastAsia" w:ascii="Times New Roman" w:hAnsi="Times New Roman" w:cs="黑体"/>
        </w:rPr>
        <w:fldChar w:fldCharType="separate"/>
      </w:r>
      <w:r>
        <w:rPr>
          <w:rFonts w:hint="eastAsia" w:ascii="Times New Roman" w:hAnsi="Times New Roman" w:cs="黑体"/>
        </w:rPr>
        <w:t>1.11 分包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_Toc28284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_Toc4006 </w:instrText>
      </w:r>
      <w:r>
        <w:rPr>
          <w:rFonts w:hint="eastAsia" w:ascii="Times New Roman" w:hAnsi="Times New Roman" w:cs="黑体"/>
        </w:rPr>
        <w:fldChar w:fldCharType="separate"/>
      </w:r>
      <w:r>
        <w:rPr>
          <w:rFonts w:hint="eastAsia" w:ascii="Times New Roman" w:hAnsi="Times New Roman" w:cs="黑体"/>
        </w:rPr>
        <w:t>1.12 偏离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_Toc4006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_Toc25370 </w:instrText>
      </w:r>
      <w:r>
        <w:rPr>
          <w:rFonts w:hint="eastAsia" w:ascii="Times New Roman" w:hAnsi="Times New Roman" w:cs="黑体"/>
        </w:rPr>
        <w:fldChar w:fldCharType="separate"/>
      </w:r>
      <w:r>
        <w:rPr>
          <w:rFonts w:hint="eastAsia" w:ascii="Times New Roman" w:hAnsi="Times New Roman" w:cs="黑体"/>
        </w:rPr>
        <w:t>2 招标文件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_Toc25370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_Toc23768 </w:instrText>
      </w:r>
      <w:r>
        <w:rPr>
          <w:rFonts w:hint="eastAsia" w:ascii="Times New Roman" w:hAnsi="Times New Roman" w:cs="黑体"/>
        </w:rPr>
        <w:fldChar w:fldCharType="separate"/>
      </w:r>
      <w:r>
        <w:rPr>
          <w:rFonts w:hint="eastAsia" w:ascii="Times New Roman" w:hAnsi="Times New Roman" w:cs="黑体"/>
        </w:rPr>
        <w:t>2.1 招标文件的组成</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_Toc23768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_Toc2170 </w:instrText>
      </w:r>
      <w:r>
        <w:rPr>
          <w:rFonts w:hint="eastAsia" w:ascii="Times New Roman" w:hAnsi="Times New Roman" w:cs="黑体"/>
        </w:rPr>
        <w:fldChar w:fldCharType="separate"/>
      </w:r>
      <w:r>
        <w:rPr>
          <w:rFonts w:hint="eastAsia" w:ascii="Times New Roman" w:hAnsi="Times New Roman" w:cs="黑体"/>
        </w:rPr>
        <w:t>2.2 招标文件的澄清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_Toc2170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_Toc7021 </w:instrText>
      </w:r>
      <w:r>
        <w:rPr>
          <w:rFonts w:hint="eastAsia" w:ascii="Times New Roman" w:hAnsi="Times New Roman" w:cs="黑体"/>
        </w:rPr>
        <w:fldChar w:fldCharType="separate"/>
      </w:r>
      <w:r>
        <w:rPr>
          <w:rFonts w:hint="eastAsia" w:ascii="Times New Roman" w:hAnsi="Times New Roman" w:cs="黑体"/>
        </w:rPr>
        <w:t>2.3 招标文件的修改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_Toc7021 \h </w:instrText>
      </w:r>
      <w:r>
        <w:rPr>
          <w:rFonts w:hint="eastAsia" w:ascii="Times New Roman" w:hAnsi="Times New Roman" w:cs="黑体"/>
        </w:rPr>
        <w:fldChar w:fldCharType="separate"/>
      </w:r>
      <w:r>
        <w:rPr>
          <w:rFonts w:hint="eastAsia" w:ascii="Times New Roman" w:hAnsi="Times New Roman" w:cs="黑体"/>
        </w:rPr>
        <w:t>33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_Toc16318 </w:instrText>
      </w:r>
      <w:r>
        <w:rPr>
          <w:rFonts w:hint="eastAsia" w:ascii="Times New Roman" w:hAnsi="Times New Roman" w:cs="黑体"/>
        </w:rPr>
        <w:fldChar w:fldCharType="separate"/>
      </w:r>
      <w:r>
        <w:rPr>
          <w:rFonts w:hint="eastAsia" w:ascii="Times New Roman" w:hAnsi="Times New Roman" w:cs="黑体"/>
        </w:rPr>
        <w:t>3 投标文件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_Toc16318 \h </w:instrText>
      </w:r>
      <w:r>
        <w:rPr>
          <w:rFonts w:hint="eastAsia" w:ascii="Times New Roman" w:hAnsi="Times New Roman" w:cs="黑体"/>
        </w:rPr>
        <w:fldChar w:fldCharType="separate"/>
      </w:r>
      <w:r>
        <w:rPr>
          <w:rFonts w:hint="eastAsia" w:ascii="Times New Roman" w:hAnsi="Times New Roman" w:cs="黑体"/>
        </w:rPr>
        <w:t>33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_Toc8002 </w:instrText>
      </w:r>
      <w:r>
        <w:rPr>
          <w:rFonts w:hint="eastAsia" w:ascii="Times New Roman" w:hAnsi="Times New Roman" w:cs="黑体"/>
        </w:rPr>
        <w:fldChar w:fldCharType="separate"/>
      </w:r>
      <w:r>
        <w:rPr>
          <w:rFonts w:hint="eastAsia" w:ascii="Times New Roman" w:hAnsi="Times New Roman" w:cs="黑体"/>
        </w:rPr>
        <w:t>3.1 投标文件的组成</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_Toc8002 \h </w:instrText>
      </w:r>
      <w:r>
        <w:rPr>
          <w:rFonts w:hint="eastAsia" w:ascii="Times New Roman" w:hAnsi="Times New Roman" w:cs="黑体"/>
        </w:rPr>
        <w:fldChar w:fldCharType="separate"/>
      </w:r>
      <w:r>
        <w:rPr>
          <w:rFonts w:hint="eastAsia" w:ascii="Times New Roman" w:hAnsi="Times New Roman" w:cs="黑体"/>
        </w:rPr>
        <w:t>33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_Toc12161 </w:instrText>
      </w:r>
      <w:r>
        <w:rPr>
          <w:rFonts w:hint="eastAsia" w:ascii="Times New Roman" w:hAnsi="Times New Roman" w:cs="黑体"/>
        </w:rPr>
        <w:fldChar w:fldCharType="separate"/>
      </w:r>
      <w:r>
        <w:rPr>
          <w:rFonts w:hint="eastAsia" w:ascii="Times New Roman" w:hAnsi="Times New Roman" w:cs="黑体"/>
        </w:rPr>
        <w:t>3.2 投标报价</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_Toc12161 \h </w:instrText>
      </w:r>
      <w:r>
        <w:rPr>
          <w:rFonts w:hint="eastAsia" w:ascii="Times New Roman" w:hAnsi="Times New Roman" w:cs="黑体"/>
        </w:rPr>
        <w:fldChar w:fldCharType="separate"/>
      </w:r>
      <w:r>
        <w:rPr>
          <w:rFonts w:hint="eastAsia" w:ascii="Times New Roman" w:hAnsi="Times New Roman" w:cs="黑体"/>
        </w:rPr>
        <w:t>34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_Toc30164 </w:instrText>
      </w:r>
      <w:r>
        <w:rPr>
          <w:rFonts w:hint="eastAsia" w:ascii="Times New Roman" w:hAnsi="Times New Roman" w:cs="黑体"/>
        </w:rPr>
        <w:fldChar w:fldCharType="separate"/>
      </w:r>
      <w:r>
        <w:rPr>
          <w:rFonts w:hint="eastAsia" w:ascii="Times New Roman" w:hAnsi="Times New Roman" w:cs="黑体"/>
        </w:rPr>
        <w:t>3.3 投标有效期</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_Toc30164 \h </w:instrText>
      </w:r>
      <w:r>
        <w:rPr>
          <w:rFonts w:hint="eastAsia" w:ascii="Times New Roman" w:hAnsi="Times New Roman" w:cs="黑体"/>
        </w:rPr>
        <w:fldChar w:fldCharType="separate"/>
      </w:r>
      <w:r>
        <w:rPr>
          <w:rFonts w:hint="eastAsia" w:ascii="Times New Roman" w:hAnsi="Times New Roman" w:cs="黑体"/>
        </w:rPr>
        <w:t>34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_Toc29525 </w:instrText>
      </w:r>
      <w:r>
        <w:rPr>
          <w:rFonts w:hint="eastAsia" w:ascii="Times New Roman" w:hAnsi="Times New Roman" w:cs="黑体"/>
        </w:rPr>
        <w:fldChar w:fldCharType="separate"/>
      </w:r>
      <w:r>
        <w:rPr>
          <w:rFonts w:hint="eastAsia" w:ascii="Times New Roman" w:hAnsi="Times New Roman" w:cs="黑体"/>
        </w:rPr>
        <w:t>3.4 投标保证金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_Toc29525 \h </w:instrText>
      </w:r>
      <w:r>
        <w:rPr>
          <w:rFonts w:hint="eastAsia" w:ascii="Times New Roman" w:hAnsi="Times New Roman" w:cs="黑体"/>
        </w:rPr>
        <w:fldChar w:fldCharType="separate"/>
      </w:r>
      <w:r>
        <w:rPr>
          <w:rFonts w:hint="eastAsia" w:ascii="Times New Roman" w:hAnsi="Times New Roman" w:cs="黑体"/>
        </w:rPr>
        <w:t>34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_Toc10323 </w:instrText>
      </w:r>
      <w:r>
        <w:rPr>
          <w:rFonts w:hint="eastAsia" w:ascii="Times New Roman" w:hAnsi="Times New Roman" w:cs="黑体"/>
        </w:rPr>
        <w:fldChar w:fldCharType="separate"/>
      </w:r>
      <w:r>
        <w:rPr>
          <w:rFonts w:hint="eastAsia" w:ascii="Times New Roman" w:hAnsi="Times New Roman" w:cs="黑体"/>
        </w:rPr>
        <w:t>3.5 备选投标方案</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_Toc10323 \h </w:instrText>
      </w:r>
      <w:r>
        <w:rPr>
          <w:rFonts w:hint="eastAsia" w:ascii="Times New Roman" w:hAnsi="Times New Roman" w:cs="黑体"/>
        </w:rPr>
        <w:fldChar w:fldCharType="separate"/>
      </w:r>
      <w:r>
        <w:rPr>
          <w:rFonts w:hint="eastAsia" w:ascii="Times New Roman" w:hAnsi="Times New Roman" w:cs="黑体"/>
        </w:rPr>
        <w:t>34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_Toc25612 </w:instrText>
      </w:r>
      <w:r>
        <w:rPr>
          <w:rFonts w:hint="eastAsia" w:ascii="Times New Roman" w:hAnsi="Times New Roman" w:cs="黑体"/>
        </w:rPr>
        <w:fldChar w:fldCharType="separate"/>
      </w:r>
      <w:r>
        <w:rPr>
          <w:rFonts w:hint="eastAsia" w:ascii="Times New Roman" w:hAnsi="Times New Roman" w:cs="黑体"/>
        </w:rPr>
        <w:t>3.6 投标文件的编制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_Toc25612 \h </w:instrText>
      </w:r>
      <w:r>
        <w:rPr>
          <w:rFonts w:hint="eastAsia" w:ascii="Times New Roman" w:hAnsi="Times New Roman" w:cs="黑体"/>
        </w:rPr>
        <w:fldChar w:fldCharType="separate"/>
      </w:r>
      <w:r>
        <w:rPr>
          <w:rFonts w:hint="eastAsia" w:ascii="Times New Roman" w:hAnsi="Times New Roman" w:cs="黑体"/>
        </w:rPr>
        <w:t>35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_Toc14136 </w:instrText>
      </w:r>
      <w:r>
        <w:rPr>
          <w:rFonts w:hint="eastAsia" w:ascii="Times New Roman" w:hAnsi="Times New Roman" w:cs="黑体"/>
        </w:rPr>
        <w:fldChar w:fldCharType="separate"/>
      </w:r>
      <w:r>
        <w:rPr>
          <w:rFonts w:hint="eastAsia" w:ascii="Times New Roman" w:hAnsi="Times New Roman" w:cs="黑体"/>
        </w:rPr>
        <w:t>4 投标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_Toc14136 \h </w:instrText>
      </w:r>
      <w:r>
        <w:rPr>
          <w:rFonts w:hint="eastAsia" w:ascii="Times New Roman" w:hAnsi="Times New Roman" w:cs="黑体"/>
        </w:rPr>
        <w:fldChar w:fldCharType="separate"/>
      </w:r>
      <w:r>
        <w:rPr>
          <w:rFonts w:hint="eastAsia" w:ascii="Times New Roman" w:hAnsi="Times New Roman" w:cs="黑体"/>
        </w:rPr>
        <w:t>35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_Toc10076 </w:instrText>
      </w:r>
      <w:r>
        <w:rPr>
          <w:rFonts w:hint="eastAsia" w:ascii="Times New Roman" w:hAnsi="Times New Roman" w:cs="黑体"/>
        </w:rPr>
        <w:fldChar w:fldCharType="separate"/>
      </w:r>
      <w:r>
        <w:rPr>
          <w:rFonts w:hint="eastAsia" w:ascii="Times New Roman" w:hAnsi="Times New Roman" w:cs="黑体"/>
        </w:rPr>
        <w:t>5 开标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_Toc10076 \h </w:instrText>
      </w:r>
      <w:r>
        <w:rPr>
          <w:rFonts w:hint="eastAsia" w:ascii="Times New Roman" w:hAnsi="Times New Roman" w:cs="黑体"/>
        </w:rPr>
        <w:fldChar w:fldCharType="separate"/>
      </w:r>
      <w:r>
        <w:rPr>
          <w:rFonts w:hint="eastAsia" w:ascii="Times New Roman" w:hAnsi="Times New Roman" w:cs="黑体"/>
        </w:rPr>
        <w:t>36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_Toc25571 </w:instrText>
      </w:r>
      <w:r>
        <w:rPr>
          <w:rFonts w:hint="eastAsia" w:ascii="Times New Roman" w:hAnsi="Times New Roman" w:cs="黑体"/>
        </w:rPr>
        <w:fldChar w:fldCharType="separate"/>
      </w:r>
      <w:r>
        <w:rPr>
          <w:rFonts w:hint="eastAsia" w:ascii="Times New Roman" w:hAnsi="Times New Roman" w:cs="黑体"/>
        </w:rPr>
        <w:t>5.1 开标时间和地点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_Toc25571 \h </w:instrText>
      </w:r>
      <w:r>
        <w:rPr>
          <w:rFonts w:hint="eastAsia" w:ascii="Times New Roman" w:hAnsi="Times New Roman" w:cs="黑体"/>
        </w:rPr>
        <w:fldChar w:fldCharType="separate"/>
      </w:r>
      <w:r>
        <w:rPr>
          <w:rFonts w:hint="eastAsia" w:ascii="Times New Roman" w:hAnsi="Times New Roman" w:cs="黑体"/>
        </w:rPr>
        <w:t>36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_Toc27047 </w:instrText>
      </w:r>
      <w:r>
        <w:rPr>
          <w:rFonts w:hint="eastAsia" w:ascii="Times New Roman" w:hAnsi="Times New Roman" w:cs="黑体"/>
        </w:rPr>
        <w:fldChar w:fldCharType="separate"/>
      </w:r>
      <w:r>
        <w:rPr>
          <w:rFonts w:hint="eastAsia" w:ascii="Times New Roman" w:hAnsi="Times New Roman" w:cs="黑体"/>
        </w:rPr>
        <w:t>5.2 开标程序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_Toc27047 \h </w:instrText>
      </w:r>
      <w:r>
        <w:rPr>
          <w:rFonts w:hint="eastAsia" w:ascii="Times New Roman" w:hAnsi="Times New Roman" w:cs="黑体"/>
        </w:rPr>
        <w:fldChar w:fldCharType="separate"/>
      </w:r>
      <w:r>
        <w:rPr>
          <w:rFonts w:hint="eastAsia" w:ascii="Times New Roman" w:hAnsi="Times New Roman" w:cs="黑体"/>
        </w:rPr>
        <w:t>36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_Toc16323 </w:instrText>
      </w:r>
      <w:r>
        <w:rPr>
          <w:rFonts w:hint="eastAsia" w:ascii="Times New Roman" w:hAnsi="Times New Roman" w:cs="黑体"/>
        </w:rPr>
        <w:fldChar w:fldCharType="separate"/>
      </w:r>
      <w:r>
        <w:rPr>
          <w:rFonts w:hint="eastAsia" w:ascii="Times New Roman" w:hAnsi="Times New Roman" w:cs="黑体"/>
        </w:rPr>
        <w:t>6 评标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_Toc16323 \h </w:instrText>
      </w:r>
      <w:r>
        <w:rPr>
          <w:rFonts w:hint="eastAsia" w:ascii="Times New Roman" w:hAnsi="Times New Roman" w:cs="黑体"/>
        </w:rPr>
        <w:fldChar w:fldCharType="separate"/>
      </w:r>
      <w:r>
        <w:rPr>
          <w:rFonts w:hint="eastAsia" w:ascii="Times New Roman" w:hAnsi="Times New Roman" w:cs="黑体"/>
        </w:rPr>
        <w:t>37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_Toc31461 </w:instrText>
      </w:r>
      <w:r>
        <w:rPr>
          <w:rFonts w:hint="eastAsia" w:ascii="Times New Roman" w:hAnsi="Times New Roman" w:cs="黑体"/>
        </w:rPr>
        <w:fldChar w:fldCharType="separate"/>
      </w:r>
      <w:r>
        <w:rPr>
          <w:rFonts w:hint="eastAsia" w:ascii="Times New Roman" w:hAnsi="Times New Roman" w:cs="黑体"/>
        </w:rPr>
        <w:t>6.1 评标委员会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_Toc31461 \h </w:instrText>
      </w:r>
      <w:r>
        <w:rPr>
          <w:rFonts w:hint="eastAsia" w:ascii="Times New Roman" w:hAnsi="Times New Roman" w:cs="黑体"/>
        </w:rPr>
        <w:fldChar w:fldCharType="separate"/>
      </w:r>
      <w:r>
        <w:rPr>
          <w:rFonts w:hint="eastAsia" w:ascii="Times New Roman" w:hAnsi="Times New Roman" w:cs="黑体"/>
        </w:rPr>
        <w:t>37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_Toc30225 </w:instrText>
      </w:r>
      <w:r>
        <w:rPr>
          <w:rFonts w:hint="eastAsia" w:ascii="Times New Roman" w:hAnsi="Times New Roman" w:cs="黑体"/>
        </w:rPr>
        <w:fldChar w:fldCharType="separate"/>
      </w:r>
      <w:r>
        <w:rPr>
          <w:rFonts w:hint="eastAsia" w:ascii="Times New Roman" w:hAnsi="Times New Roman" w:cs="黑体"/>
        </w:rPr>
        <w:t>6.2 评标原则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_Toc30225 \h </w:instrText>
      </w:r>
      <w:r>
        <w:rPr>
          <w:rFonts w:hint="eastAsia" w:ascii="Times New Roman" w:hAnsi="Times New Roman" w:cs="黑体"/>
        </w:rPr>
        <w:fldChar w:fldCharType="separate"/>
      </w:r>
      <w:r>
        <w:rPr>
          <w:rFonts w:hint="eastAsia" w:ascii="Times New Roman" w:hAnsi="Times New Roman" w:cs="黑体"/>
        </w:rPr>
        <w:t>37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_Toc4100 </w:instrText>
      </w:r>
      <w:r>
        <w:rPr>
          <w:rFonts w:hint="eastAsia" w:ascii="Times New Roman" w:hAnsi="Times New Roman" w:cs="黑体"/>
        </w:rPr>
        <w:fldChar w:fldCharType="separate"/>
      </w:r>
      <w:r>
        <w:rPr>
          <w:rFonts w:hint="eastAsia" w:ascii="Times New Roman" w:hAnsi="Times New Roman" w:cs="黑体"/>
        </w:rPr>
        <w:t>6.3 评标方式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_Toc4100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_Toc11314 </w:instrText>
      </w:r>
      <w:r>
        <w:rPr>
          <w:rFonts w:hint="eastAsia" w:ascii="Times New Roman" w:hAnsi="Times New Roman" w:cs="黑体"/>
        </w:rPr>
        <w:fldChar w:fldCharType="separate"/>
      </w:r>
      <w:r>
        <w:rPr>
          <w:rFonts w:hint="eastAsia" w:ascii="Times New Roman" w:hAnsi="Times New Roman" w:cs="黑体"/>
        </w:rPr>
        <w:t>6.4 移交评标资料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_Toc11314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_Toc13380 </w:instrText>
      </w:r>
      <w:r>
        <w:rPr>
          <w:rFonts w:hint="eastAsia" w:ascii="Times New Roman" w:hAnsi="Times New Roman" w:cs="黑体"/>
        </w:rPr>
        <w:fldChar w:fldCharType="separate"/>
      </w:r>
      <w:r>
        <w:rPr>
          <w:rFonts w:hint="eastAsia" w:ascii="Times New Roman" w:hAnsi="Times New Roman" w:cs="黑体"/>
        </w:rPr>
        <w:t>6.5 评标资料封存和启封</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_Toc13380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_Toc30251 </w:instrText>
      </w:r>
      <w:r>
        <w:rPr>
          <w:rFonts w:hint="eastAsia" w:ascii="Times New Roman" w:hAnsi="Times New Roman" w:cs="黑体"/>
        </w:rPr>
        <w:fldChar w:fldCharType="separate"/>
      </w:r>
      <w:r>
        <w:rPr>
          <w:rFonts w:hint="eastAsia" w:ascii="Times New Roman" w:hAnsi="Times New Roman" w:cs="黑体"/>
        </w:rPr>
        <w:t>6.6 中标</w:t>
      </w:r>
      <w:r>
        <w:rPr>
          <w:rFonts w:hint="eastAsia" w:ascii="Times New Roman" w:hAnsi="Times New Roman" w:cs="黑体"/>
          <w:lang w:val="en-US" w:eastAsia="zh-CN"/>
        </w:rPr>
        <w:t>公告</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_Toc30251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_Toc4684 </w:instrText>
      </w:r>
      <w:r>
        <w:rPr>
          <w:rFonts w:hint="eastAsia" w:ascii="Times New Roman" w:hAnsi="Times New Roman" w:cs="黑体"/>
        </w:rPr>
        <w:fldChar w:fldCharType="separate"/>
      </w:r>
      <w:r>
        <w:rPr>
          <w:rFonts w:hint="eastAsia" w:ascii="Times New Roman" w:hAnsi="Times New Roman" w:cs="黑体"/>
        </w:rPr>
        <w:t>6.7履约能力审查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_Toc4684 \h </w:instrText>
      </w:r>
      <w:r>
        <w:rPr>
          <w:rFonts w:hint="eastAsia" w:ascii="Times New Roman" w:hAnsi="Times New Roman" w:cs="黑体"/>
        </w:rPr>
        <w:fldChar w:fldCharType="separate"/>
      </w:r>
      <w:r>
        <w:rPr>
          <w:rFonts w:hint="eastAsia" w:ascii="Times New Roman" w:hAnsi="Times New Roman" w:cs="黑体"/>
        </w:rPr>
        <w:t>39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_Toc2011 </w:instrText>
      </w:r>
      <w:r>
        <w:rPr>
          <w:rFonts w:hint="eastAsia" w:ascii="Times New Roman" w:hAnsi="Times New Roman" w:cs="黑体"/>
        </w:rPr>
        <w:fldChar w:fldCharType="separate"/>
      </w:r>
      <w:r>
        <w:rPr>
          <w:rFonts w:hint="eastAsia" w:ascii="Times New Roman" w:hAnsi="Times New Roman" w:cs="黑体"/>
        </w:rPr>
        <w:t>7 合同授予</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_Toc2011 \h </w:instrText>
      </w:r>
      <w:r>
        <w:rPr>
          <w:rFonts w:hint="eastAsia" w:ascii="Times New Roman" w:hAnsi="Times New Roman" w:cs="黑体"/>
        </w:rPr>
        <w:fldChar w:fldCharType="separate"/>
      </w:r>
      <w:r>
        <w:rPr>
          <w:rFonts w:hint="eastAsia" w:ascii="Times New Roman" w:hAnsi="Times New Roman" w:cs="黑体"/>
        </w:rPr>
        <w:t>39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_Toc15116 </w:instrText>
      </w:r>
      <w:r>
        <w:rPr>
          <w:rFonts w:hint="eastAsia" w:ascii="Times New Roman" w:hAnsi="Times New Roman" w:cs="黑体"/>
        </w:rPr>
        <w:fldChar w:fldCharType="separate"/>
      </w:r>
      <w:r>
        <w:rPr>
          <w:rFonts w:hint="eastAsia" w:ascii="Times New Roman" w:hAnsi="Times New Roman" w:cs="黑体"/>
        </w:rPr>
        <w:t>7.1 定标方式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_Toc15116 \h </w:instrText>
      </w:r>
      <w:r>
        <w:rPr>
          <w:rFonts w:hint="eastAsia" w:ascii="Times New Roman" w:hAnsi="Times New Roman" w:cs="黑体"/>
        </w:rPr>
        <w:fldChar w:fldCharType="separate"/>
      </w:r>
      <w:r>
        <w:rPr>
          <w:rFonts w:hint="eastAsia" w:ascii="Times New Roman" w:hAnsi="Times New Roman" w:cs="黑体"/>
        </w:rPr>
        <w:t>39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_Toc20687 </w:instrText>
      </w:r>
      <w:r>
        <w:rPr>
          <w:rFonts w:hint="eastAsia" w:ascii="Times New Roman" w:hAnsi="Times New Roman" w:cs="黑体"/>
        </w:rPr>
        <w:fldChar w:fldCharType="separate"/>
      </w:r>
      <w:r>
        <w:rPr>
          <w:rFonts w:hint="eastAsia" w:ascii="Times New Roman" w:hAnsi="Times New Roman" w:cs="黑体"/>
        </w:rPr>
        <w:t>7.2 中标通知及中标公告</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_Toc20687 \h </w:instrText>
      </w:r>
      <w:r>
        <w:rPr>
          <w:rFonts w:hint="eastAsia" w:ascii="Times New Roman" w:hAnsi="Times New Roman" w:cs="黑体"/>
        </w:rPr>
        <w:fldChar w:fldCharType="separate"/>
      </w:r>
      <w:r>
        <w:rPr>
          <w:rFonts w:hint="eastAsia" w:ascii="Times New Roman" w:hAnsi="Times New Roman" w:cs="黑体"/>
        </w:rPr>
        <w:t>39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_Toc179 </w:instrText>
      </w:r>
      <w:r>
        <w:rPr>
          <w:rFonts w:hint="eastAsia" w:ascii="Times New Roman" w:hAnsi="Times New Roman" w:cs="黑体"/>
        </w:rPr>
        <w:fldChar w:fldCharType="separate"/>
      </w:r>
      <w:r>
        <w:rPr>
          <w:rFonts w:hint="eastAsia" w:ascii="Times New Roman" w:hAnsi="Times New Roman" w:cs="黑体"/>
        </w:rPr>
        <w:t>7.3 履约保证金、农民工工资保障金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_Toc179 \h </w:instrText>
      </w:r>
      <w:r>
        <w:rPr>
          <w:rFonts w:hint="eastAsia" w:ascii="Times New Roman" w:hAnsi="Times New Roman" w:cs="黑体"/>
        </w:rPr>
        <w:fldChar w:fldCharType="separate"/>
      </w:r>
      <w:r>
        <w:rPr>
          <w:rFonts w:hint="eastAsia" w:ascii="Times New Roman" w:hAnsi="Times New Roman" w:cs="黑体"/>
        </w:rPr>
        <w:t>39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_Toc24558 </w:instrText>
      </w:r>
      <w:r>
        <w:rPr>
          <w:rFonts w:hint="eastAsia" w:ascii="Times New Roman" w:hAnsi="Times New Roman" w:cs="黑体"/>
        </w:rPr>
        <w:fldChar w:fldCharType="separate"/>
      </w:r>
      <w:r>
        <w:rPr>
          <w:rFonts w:hint="eastAsia" w:ascii="Times New Roman" w:hAnsi="Times New Roman" w:cs="黑体"/>
        </w:rPr>
        <w:t>7.4 签订合同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_Toc24558 \h </w:instrText>
      </w:r>
      <w:r>
        <w:rPr>
          <w:rFonts w:hint="eastAsia" w:ascii="Times New Roman" w:hAnsi="Times New Roman" w:cs="黑体"/>
        </w:rPr>
        <w:fldChar w:fldCharType="separate"/>
      </w:r>
      <w:r>
        <w:rPr>
          <w:rFonts w:hint="eastAsia" w:ascii="Times New Roman" w:hAnsi="Times New Roman" w:cs="黑体"/>
        </w:rPr>
        <w:t>40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_Toc28218 </w:instrText>
      </w:r>
      <w:r>
        <w:rPr>
          <w:rFonts w:hint="eastAsia" w:ascii="Times New Roman" w:hAnsi="Times New Roman" w:cs="黑体"/>
        </w:rPr>
        <w:fldChar w:fldCharType="separate"/>
      </w:r>
      <w:r>
        <w:rPr>
          <w:rFonts w:hint="eastAsia" w:ascii="Times New Roman" w:hAnsi="Times New Roman" w:cs="黑体"/>
        </w:rPr>
        <w:t>8 重新招标和不再招标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_Toc28218 \h </w:instrText>
      </w:r>
      <w:r>
        <w:rPr>
          <w:rFonts w:hint="eastAsia" w:ascii="Times New Roman" w:hAnsi="Times New Roman" w:cs="黑体"/>
        </w:rPr>
        <w:fldChar w:fldCharType="separate"/>
      </w:r>
      <w:r>
        <w:rPr>
          <w:rFonts w:hint="eastAsia" w:ascii="Times New Roman" w:hAnsi="Times New Roman" w:cs="黑体"/>
        </w:rPr>
        <w:t>40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_Toc5456 </w:instrText>
      </w:r>
      <w:r>
        <w:rPr>
          <w:rFonts w:hint="eastAsia" w:ascii="Times New Roman" w:hAnsi="Times New Roman" w:cs="黑体"/>
        </w:rPr>
        <w:fldChar w:fldCharType="separate"/>
      </w:r>
      <w:r>
        <w:rPr>
          <w:rFonts w:hint="eastAsia" w:ascii="Times New Roman" w:hAnsi="Times New Roman" w:cs="黑体"/>
        </w:rPr>
        <w:t>8.1 重新招标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_Toc5456 \h </w:instrText>
      </w:r>
      <w:r>
        <w:rPr>
          <w:rFonts w:hint="eastAsia" w:ascii="Times New Roman" w:hAnsi="Times New Roman" w:cs="黑体"/>
        </w:rPr>
        <w:fldChar w:fldCharType="separate"/>
      </w:r>
      <w:r>
        <w:rPr>
          <w:rFonts w:hint="eastAsia" w:ascii="Times New Roman" w:hAnsi="Times New Roman" w:cs="黑体"/>
        </w:rPr>
        <w:t>40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_Toc26703 </w:instrText>
      </w:r>
      <w:r>
        <w:rPr>
          <w:rFonts w:hint="eastAsia" w:ascii="Times New Roman" w:hAnsi="Times New Roman" w:cs="黑体"/>
        </w:rPr>
        <w:fldChar w:fldCharType="separate"/>
      </w:r>
      <w:r>
        <w:rPr>
          <w:rFonts w:hint="eastAsia" w:ascii="Times New Roman" w:hAnsi="Times New Roman" w:cs="黑体"/>
        </w:rPr>
        <w:t>8.2 不再招标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_Toc26703 \h </w:instrText>
      </w:r>
      <w:r>
        <w:rPr>
          <w:rFonts w:hint="eastAsia" w:ascii="Times New Roman" w:hAnsi="Times New Roman" w:cs="黑体"/>
        </w:rPr>
        <w:fldChar w:fldCharType="separate"/>
      </w:r>
      <w:r>
        <w:rPr>
          <w:rFonts w:hint="eastAsia" w:ascii="Times New Roman" w:hAnsi="Times New Roman" w:cs="黑体"/>
        </w:rPr>
        <w:t>40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_Toc7163 </w:instrText>
      </w:r>
      <w:r>
        <w:rPr>
          <w:rFonts w:hint="eastAsia" w:ascii="Times New Roman" w:hAnsi="Times New Roman" w:cs="黑体"/>
        </w:rPr>
        <w:fldChar w:fldCharType="separate"/>
      </w:r>
      <w:r>
        <w:rPr>
          <w:rFonts w:hint="eastAsia" w:ascii="Times New Roman" w:hAnsi="Times New Roman" w:cs="黑体"/>
        </w:rPr>
        <w:t>9 纪律和监督</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_Toc7163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_Toc10927 </w:instrText>
      </w:r>
      <w:r>
        <w:rPr>
          <w:rFonts w:hint="eastAsia" w:ascii="Times New Roman" w:hAnsi="Times New Roman" w:cs="黑体"/>
        </w:rPr>
        <w:fldChar w:fldCharType="separate"/>
      </w:r>
      <w:r>
        <w:rPr>
          <w:rFonts w:hint="eastAsia" w:ascii="Times New Roman" w:hAnsi="Times New Roman" w:cs="黑体"/>
        </w:rPr>
        <w:t>9.1 对招标人或招标代理机构的纪律要求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_Toc10927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_Toc12891 </w:instrText>
      </w:r>
      <w:r>
        <w:rPr>
          <w:rFonts w:hint="eastAsia" w:ascii="Times New Roman" w:hAnsi="Times New Roman" w:cs="黑体"/>
        </w:rPr>
        <w:fldChar w:fldCharType="separate"/>
      </w:r>
      <w:r>
        <w:rPr>
          <w:rFonts w:hint="eastAsia" w:ascii="Times New Roman" w:hAnsi="Times New Roman" w:cs="黑体"/>
        </w:rPr>
        <w:t>9.2 对投标人的纪律要求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_Toc12891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_Toc11562 </w:instrText>
      </w:r>
      <w:r>
        <w:rPr>
          <w:rFonts w:hint="eastAsia" w:ascii="Times New Roman" w:hAnsi="Times New Roman" w:cs="黑体"/>
        </w:rPr>
        <w:fldChar w:fldCharType="separate"/>
      </w:r>
      <w:r>
        <w:rPr>
          <w:rFonts w:hint="eastAsia" w:ascii="Times New Roman" w:hAnsi="Times New Roman" w:cs="黑体"/>
        </w:rPr>
        <w:t>9.3 对评标委员会成员的纪律要求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_Toc11562 \h </w:instrText>
      </w:r>
      <w:r>
        <w:rPr>
          <w:rFonts w:hint="eastAsia" w:ascii="Times New Roman" w:hAnsi="Times New Roman" w:cs="黑体"/>
        </w:rPr>
        <w:fldChar w:fldCharType="separate"/>
      </w:r>
      <w:r>
        <w:rPr>
          <w:rFonts w:hint="eastAsia" w:ascii="Times New Roman" w:hAnsi="Times New Roman" w:cs="黑体"/>
        </w:rPr>
        <w:t>42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_Toc16308 </w:instrText>
      </w:r>
      <w:r>
        <w:rPr>
          <w:rFonts w:hint="eastAsia" w:ascii="Times New Roman" w:hAnsi="Times New Roman" w:cs="黑体"/>
        </w:rPr>
        <w:fldChar w:fldCharType="separate"/>
      </w:r>
      <w:r>
        <w:rPr>
          <w:rFonts w:hint="eastAsia" w:ascii="Times New Roman" w:hAnsi="Times New Roman" w:cs="黑体"/>
        </w:rPr>
        <w:t>9.4 对与评标活动有关的工作人员的纪律要求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_Toc16308 \h </w:instrText>
      </w:r>
      <w:r>
        <w:rPr>
          <w:rFonts w:hint="eastAsia" w:ascii="Times New Roman" w:hAnsi="Times New Roman" w:cs="黑体"/>
        </w:rPr>
        <w:fldChar w:fldCharType="separate"/>
      </w:r>
      <w:r>
        <w:rPr>
          <w:rFonts w:hint="eastAsia" w:ascii="Times New Roman" w:hAnsi="Times New Roman" w:cs="黑体"/>
        </w:rPr>
        <w:t>42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_Toc5604 </w:instrText>
      </w:r>
      <w:r>
        <w:rPr>
          <w:rFonts w:hint="eastAsia" w:ascii="Times New Roman" w:hAnsi="Times New Roman" w:cs="黑体"/>
        </w:rPr>
        <w:fldChar w:fldCharType="separate"/>
      </w:r>
      <w:r>
        <w:rPr>
          <w:rFonts w:hint="eastAsia" w:ascii="Times New Roman" w:hAnsi="Times New Roman" w:cs="黑体"/>
        </w:rPr>
        <w:t>9.5 投诉</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_Toc5604 \h </w:instrText>
      </w:r>
      <w:r>
        <w:rPr>
          <w:rFonts w:hint="eastAsia" w:ascii="Times New Roman" w:hAnsi="Times New Roman" w:cs="黑体"/>
        </w:rPr>
        <w:fldChar w:fldCharType="separate"/>
      </w:r>
      <w:r>
        <w:rPr>
          <w:rFonts w:hint="eastAsia" w:ascii="Times New Roman" w:hAnsi="Times New Roman" w:cs="黑体"/>
        </w:rPr>
        <w:t>42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_Toc19094 </w:instrText>
      </w:r>
      <w:r>
        <w:rPr>
          <w:rFonts w:hint="eastAsia" w:ascii="Times New Roman" w:hAnsi="Times New Roman" w:cs="黑体"/>
        </w:rPr>
        <w:fldChar w:fldCharType="separate"/>
      </w:r>
      <w:r>
        <w:rPr>
          <w:rFonts w:hint="eastAsia" w:ascii="Times New Roman" w:hAnsi="Times New Roman" w:cs="黑体"/>
        </w:rPr>
        <w:t>10 需要补充的其他内容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_Toc19094 \h </w:instrText>
      </w:r>
      <w:r>
        <w:rPr>
          <w:rFonts w:hint="eastAsia" w:ascii="Times New Roman" w:hAnsi="Times New Roman" w:cs="黑体"/>
        </w:rPr>
        <w:fldChar w:fldCharType="separate"/>
      </w:r>
      <w:r>
        <w:rPr>
          <w:rFonts w:hint="eastAsia" w:ascii="Times New Roman" w:hAnsi="Times New Roman" w:cs="黑体"/>
        </w:rPr>
        <w:t>43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_Toc31221 </w:instrText>
      </w:r>
      <w:r>
        <w:rPr>
          <w:rFonts w:hint="eastAsia" w:ascii="Times New Roman" w:hAnsi="Times New Roman" w:cs="黑体"/>
        </w:rPr>
        <w:fldChar w:fldCharType="separate"/>
      </w:r>
      <w:r>
        <w:rPr>
          <w:rFonts w:hint="eastAsia" w:ascii="Times New Roman" w:hAnsi="Times New Roman" w:cs="黑体"/>
        </w:rPr>
        <w:t>10.1 词语定义</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_Toc31221 \h </w:instrText>
      </w:r>
      <w:r>
        <w:rPr>
          <w:rFonts w:hint="eastAsia" w:ascii="Times New Roman" w:hAnsi="Times New Roman" w:cs="黑体"/>
        </w:rPr>
        <w:fldChar w:fldCharType="separate"/>
      </w:r>
      <w:r>
        <w:rPr>
          <w:rFonts w:hint="eastAsia" w:ascii="Times New Roman" w:hAnsi="Times New Roman" w:cs="黑体"/>
        </w:rPr>
        <w:t>43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_Toc25625 </w:instrText>
      </w:r>
      <w:r>
        <w:rPr>
          <w:rFonts w:hint="eastAsia" w:ascii="Times New Roman" w:hAnsi="Times New Roman" w:cs="黑体"/>
        </w:rPr>
        <w:fldChar w:fldCharType="separate"/>
      </w:r>
      <w:r>
        <w:rPr>
          <w:rFonts w:hint="eastAsia" w:ascii="Times New Roman" w:hAnsi="Times New Roman" w:cs="黑体"/>
        </w:rPr>
        <w:t>10.2 招标控制价</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_Toc25625 \h </w:instrText>
      </w:r>
      <w:r>
        <w:rPr>
          <w:rFonts w:hint="eastAsia" w:ascii="Times New Roman" w:hAnsi="Times New Roman" w:cs="黑体"/>
        </w:rPr>
        <w:fldChar w:fldCharType="separate"/>
      </w:r>
      <w:r>
        <w:rPr>
          <w:rFonts w:hint="eastAsia" w:ascii="Times New Roman" w:hAnsi="Times New Roman" w:cs="黑体"/>
        </w:rPr>
        <w:t>43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_Toc28096 </w:instrText>
      </w:r>
      <w:r>
        <w:rPr>
          <w:rFonts w:hint="eastAsia" w:ascii="Times New Roman" w:hAnsi="Times New Roman" w:cs="黑体"/>
        </w:rPr>
        <w:fldChar w:fldCharType="separate"/>
      </w:r>
      <w:r>
        <w:rPr>
          <w:rFonts w:hint="eastAsia" w:ascii="Times New Roman" w:hAnsi="Times New Roman" w:cs="黑体"/>
        </w:rPr>
        <w:t>10.3 技术标评审方式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_Toc28096 \h </w:instrText>
      </w:r>
      <w:r>
        <w:rPr>
          <w:rFonts w:hint="eastAsia" w:ascii="Times New Roman" w:hAnsi="Times New Roman" w:cs="黑体"/>
        </w:rPr>
        <w:fldChar w:fldCharType="separate"/>
      </w:r>
      <w:r>
        <w:rPr>
          <w:rFonts w:hint="eastAsia" w:ascii="Times New Roman" w:hAnsi="Times New Roman" w:cs="黑体"/>
        </w:rPr>
        <w:t>43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_Toc9473 </w:instrText>
      </w:r>
      <w:r>
        <w:rPr>
          <w:rFonts w:hint="eastAsia" w:ascii="Times New Roman" w:hAnsi="Times New Roman" w:cs="黑体"/>
        </w:rPr>
        <w:fldChar w:fldCharType="separate"/>
      </w:r>
      <w:r>
        <w:rPr>
          <w:rFonts w:hint="eastAsia" w:ascii="Times New Roman" w:hAnsi="Times New Roman" w:cs="黑体"/>
        </w:rPr>
        <w:t>10.4 电子投标文件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_Toc9473 \h </w:instrText>
      </w:r>
      <w:r>
        <w:rPr>
          <w:rFonts w:hint="eastAsia" w:ascii="Times New Roman" w:hAnsi="Times New Roman" w:cs="黑体"/>
        </w:rPr>
        <w:fldChar w:fldCharType="separate"/>
      </w:r>
      <w:r>
        <w:rPr>
          <w:rFonts w:hint="eastAsia" w:ascii="Times New Roman" w:hAnsi="Times New Roman" w:cs="黑体"/>
        </w:rPr>
        <w:t>43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_Toc30542 </w:instrText>
      </w:r>
      <w:r>
        <w:rPr>
          <w:rFonts w:hint="eastAsia" w:ascii="Times New Roman" w:hAnsi="Times New Roman" w:cs="黑体"/>
        </w:rPr>
        <w:fldChar w:fldCharType="separate"/>
      </w:r>
      <w:r>
        <w:rPr>
          <w:rFonts w:hint="eastAsia" w:ascii="Times New Roman" w:hAnsi="Times New Roman" w:cs="黑体"/>
        </w:rPr>
        <w:t>10.5 知识产权</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_Toc30542 \h </w:instrText>
      </w:r>
      <w:r>
        <w:rPr>
          <w:rFonts w:hint="eastAsia" w:ascii="Times New Roman" w:hAnsi="Times New Roman" w:cs="黑体"/>
        </w:rPr>
        <w:fldChar w:fldCharType="separate"/>
      </w:r>
      <w:r>
        <w:rPr>
          <w:rFonts w:hint="eastAsia" w:ascii="Times New Roman" w:hAnsi="Times New Roman" w:cs="黑体"/>
        </w:rPr>
        <w:t>44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_Toc31272 </w:instrText>
      </w:r>
      <w:r>
        <w:rPr>
          <w:rFonts w:hint="eastAsia" w:ascii="Times New Roman" w:hAnsi="Times New Roman" w:cs="黑体"/>
        </w:rPr>
        <w:fldChar w:fldCharType="separate"/>
      </w:r>
      <w:r>
        <w:rPr>
          <w:rFonts w:hint="eastAsia" w:ascii="Times New Roman" w:hAnsi="Times New Roman" w:cs="黑体"/>
        </w:rPr>
        <w:t>10.6 重新招标的其他情形</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_Toc31272 \h </w:instrText>
      </w:r>
      <w:r>
        <w:rPr>
          <w:rFonts w:hint="eastAsia" w:ascii="Times New Roman" w:hAnsi="Times New Roman" w:cs="黑体"/>
        </w:rPr>
        <w:fldChar w:fldCharType="separate"/>
      </w:r>
      <w:r>
        <w:rPr>
          <w:rFonts w:hint="eastAsia" w:ascii="Times New Roman" w:hAnsi="Times New Roman" w:cs="黑体"/>
        </w:rPr>
        <w:t>44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_Toc7816 </w:instrText>
      </w:r>
      <w:r>
        <w:rPr>
          <w:rFonts w:hint="eastAsia" w:ascii="Times New Roman" w:hAnsi="Times New Roman" w:cs="黑体"/>
        </w:rPr>
        <w:fldChar w:fldCharType="separate"/>
      </w:r>
      <w:r>
        <w:rPr>
          <w:rFonts w:hint="eastAsia" w:ascii="Times New Roman" w:hAnsi="Times New Roman" w:cs="黑体"/>
        </w:rPr>
        <w:t>10.7 同义词语</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_Toc7816 \h </w:instrText>
      </w:r>
      <w:r>
        <w:rPr>
          <w:rFonts w:hint="eastAsia" w:ascii="Times New Roman" w:hAnsi="Times New Roman" w:cs="黑体"/>
        </w:rPr>
        <w:fldChar w:fldCharType="separate"/>
      </w:r>
      <w:r>
        <w:rPr>
          <w:rFonts w:hint="eastAsia" w:ascii="Times New Roman" w:hAnsi="Times New Roman" w:cs="黑体"/>
        </w:rPr>
        <w:t>44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_Toc7183 </w:instrText>
      </w:r>
      <w:r>
        <w:rPr>
          <w:rFonts w:hint="eastAsia" w:ascii="Times New Roman" w:hAnsi="Times New Roman" w:cs="黑体"/>
        </w:rPr>
        <w:fldChar w:fldCharType="separate"/>
      </w:r>
      <w:r>
        <w:rPr>
          <w:rFonts w:hint="eastAsia" w:ascii="Times New Roman" w:hAnsi="Times New Roman" w:cs="黑体"/>
        </w:rPr>
        <w:t>10.8 监督</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_Toc7183 \h </w:instrText>
      </w:r>
      <w:r>
        <w:rPr>
          <w:rFonts w:hint="eastAsia" w:ascii="Times New Roman" w:hAnsi="Times New Roman" w:cs="黑体"/>
        </w:rPr>
        <w:fldChar w:fldCharType="separate"/>
      </w:r>
      <w:r>
        <w:rPr>
          <w:rFonts w:hint="eastAsia" w:ascii="Times New Roman" w:hAnsi="Times New Roman" w:cs="黑体"/>
        </w:rPr>
        <w:t>44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_Toc20278 </w:instrText>
      </w:r>
      <w:r>
        <w:rPr>
          <w:rFonts w:hint="eastAsia" w:ascii="Times New Roman" w:hAnsi="Times New Roman" w:cs="黑体"/>
        </w:rPr>
        <w:fldChar w:fldCharType="separate"/>
      </w:r>
      <w:r>
        <w:rPr>
          <w:rFonts w:hint="eastAsia" w:ascii="Times New Roman" w:hAnsi="Times New Roman" w:cs="黑体"/>
        </w:rPr>
        <w:t>10.9 解释权</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_Toc20278 \h </w:instrText>
      </w:r>
      <w:r>
        <w:rPr>
          <w:rFonts w:hint="eastAsia" w:ascii="Times New Roman" w:hAnsi="Times New Roman" w:cs="黑体"/>
        </w:rPr>
        <w:fldChar w:fldCharType="separate"/>
      </w:r>
      <w:r>
        <w:rPr>
          <w:rFonts w:hint="eastAsia" w:ascii="Times New Roman" w:hAnsi="Times New Roman" w:cs="黑体"/>
        </w:rPr>
        <w:t>44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_Toc12160 </w:instrText>
      </w:r>
      <w:r>
        <w:rPr>
          <w:rFonts w:hint="eastAsia" w:ascii="Times New Roman" w:hAnsi="Times New Roman" w:cs="黑体"/>
        </w:rPr>
        <w:fldChar w:fldCharType="separate"/>
      </w:r>
      <w:r>
        <w:rPr>
          <w:rFonts w:hint="eastAsia" w:ascii="Times New Roman" w:hAnsi="Times New Roman" w:cs="黑体"/>
        </w:rPr>
        <w:t>10.10 招标人补充的其他内容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_Toc12160 \h </w:instrText>
      </w:r>
      <w:r>
        <w:rPr>
          <w:rFonts w:hint="eastAsia" w:ascii="Times New Roman" w:hAnsi="Times New Roman" w:cs="黑体"/>
        </w:rPr>
        <w:fldChar w:fldCharType="separate"/>
      </w:r>
      <w:r>
        <w:rPr>
          <w:rFonts w:hint="eastAsia" w:ascii="Times New Roman" w:hAnsi="Times New Roman" w:cs="黑体"/>
        </w:rPr>
        <w:t>44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_Toc2565 </w:instrText>
      </w:r>
      <w:r>
        <w:rPr>
          <w:rFonts w:hint="eastAsia" w:ascii="Times New Roman" w:hAnsi="Times New Roman" w:cs="黑体"/>
        </w:rPr>
        <w:fldChar w:fldCharType="separate"/>
      </w:r>
      <w:r>
        <w:rPr>
          <w:rFonts w:hint="eastAsia" w:ascii="Times New Roman" w:hAnsi="Times New Roman" w:cs="黑体"/>
        </w:rPr>
        <w:t>第三章  评标办法（综合评估法）</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_Toc2565 \h </w:instrText>
      </w:r>
      <w:r>
        <w:rPr>
          <w:rFonts w:hint="eastAsia" w:ascii="Times New Roman" w:hAnsi="Times New Roman" w:cs="黑体"/>
        </w:rPr>
        <w:fldChar w:fldCharType="separate"/>
      </w:r>
      <w:r>
        <w:rPr>
          <w:rFonts w:hint="eastAsia" w:ascii="Times New Roman" w:hAnsi="Times New Roman" w:cs="黑体"/>
        </w:rPr>
        <w:t>45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_Toc19561 </w:instrText>
      </w:r>
      <w:r>
        <w:rPr>
          <w:rFonts w:hint="eastAsia" w:ascii="Times New Roman" w:hAnsi="Times New Roman" w:cs="黑体"/>
        </w:rPr>
        <w:fldChar w:fldCharType="separate"/>
      </w:r>
      <w:r>
        <w:rPr>
          <w:rFonts w:hint="eastAsia" w:ascii="Times New Roman" w:hAnsi="Times New Roman" w:cs="黑体"/>
        </w:rPr>
        <w:t>评标办法前附表</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_Toc19561 \h </w:instrText>
      </w:r>
      <w:r>
        <w:rPr>
          <w:rFonts w:hint="eastAsia" w:ascii="Times New Roman" w:hAnsi="Times New Roman" w:cs="黑体"/>
        </w:rPr>
        <w:fldChar w:fldCharType="separate"/>
      </w:r>
      <w:r>
        <w:rPr>
          <w:rFonts w:hint="eastAsia" w:ascii="Times New Roman" w:hAnsi="Times New Roman" w:cs="黑体"/>
        </w:rPr>
        <w:t>45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_Toc10985 </w:instrText>
      </w:r>
      <w:r>
        <w:rPr>
          <w:rFonts w:hint="eastAsia" w:ascii="Times New Roman" w:hAnsi="Times New Roman" w:cs="黑体"/>
        </w:rPr>
        <w:fldChar w:fldCharType="separate"/>
      </w:r>
      <w:r>
        <w:rPr>
          <w:rFonts w:hint="eastAsia" w:ascii="Times New Roman" w:hAnsi="Times New Roman" w:cs="黑体"/>
        </w:rPr>
        <w:t>评标办法（综合评估法）正文部分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_Toc10985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_Toc18067 </w:instrText>
      </w:r>
      <w:r>
        <w:rPr>
          <w:rFonts w:hint="eastAsia" w:ascii="Times New Roman" w:hAnsi="Times New Roman" w:cs="黑体"/>
        </w:rPr>
        <w:fldChar w:fldCharType="separate"/>
      </w:r>
      <w:r>
        <w:rPr>
          <w:rFonts w:hint="eastAsia" w:ascii="Times New Roman" w:hAnsi="Times New Roman" w:cs="黑体"/>
        </w:rPr>
        <w:t>1 评标方法</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_Toc18067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_Toc5507 </w:instrText>
      </w:r>
      <w:r>
        <w:rPr>
          <w:rFonts w:hint="eastAsia" w:ascii="Times New Roman" w:hAnsi="Times New Roman" w:cs="黑体"/>
        </w:rPr>
        <w:fldChar w:fldCharType="separate"/>
      </w:r>
      <w:r>
        <w:rPr>
          <w:rFonts w:hint="eastAsia" w:ascii="Times New Roman" w:hAnsi="Times New Roman" w:cs="黑体"/>
        </w:rPr>
        <w:t>2 评审标准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_Toc5507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_Toc11417 </w:instrText>
      </w:r>
      <w:r>
        <w:rPr>
          <w:rFonts w:hint="eastAsia" w:ascii="Times New Roman" w:hAnsi="Times New Roman" w:cs="黑体"/>
        </w:rPr>
        <w:fldChar w:fldCharType="separate"/>
      </w:r>
      <w:r>
        <w:rPr>
          <w:rFonts w:hint="eastAsia" w:ascii="Times New Roman" w:hAnsi="Times New Roman" w:cs="黑体"/>
        </w:rPr>
        <w:t>2.1 初步评审标准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_Toc11417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_Toc24219 </w:instrText>
      </w:r>
      <w:r>
        <w:rPr>
          <w:rFonts w:hint="eastAsia" w:ascii="Times New Roman" w:hAnsi="Times New Roman" w:cs="黑体"/>
        </w:rPr>
        <w:fldChar w:fldCharType="separate"/>
      </w:r>
      <w:r>
        <w:rPr>
          <w:rFonts w:hint="eastAsia" w:ascii="Times New Roman" w:hAnsi="Times New Roman" w:cs="黑体"/>
        </w:rPr>
        <w:t>2.2 详细评审标准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_Toc24219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_Toc6649 </w:instrText>
      </w:r>
      <w:r>
        <w:rPr>
          <w:rFonts w:hint="eastAsia" w:ascii="Times New Roman" w:hAnsi="Times New Roman" w:cs="黑体"/>
        </w:rPr>
        <w:fldChar w:fldCharType="separate"/>
      </w:r>
      <w:r>
        <w:rPr>
          <w:rFonts w:hint="eastAsia" w:ascii="Times New Roman" w:hAnsi="Times New Roman" w:cs="黑体"/>
        </w:rPr>
        <w:t>3 评标程序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_Toc6649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_Toc3619 </w:instrText>
      </w:r>
      <w:r>
        <w:rPr>
          <w:rFonts w:hint="eastAsia" w:ascii="Times New Roman" w:hAnsi="Times New Roman" w:cs="黑体"/>
        </w:rPr>
        <w:fldChar w:fldCharType="separate"/>
      </w:r>
      <w:r>
        <w:rPr>
          <w:rFonts w:hint="eastAsia" w:ascii="Times New Roman" w:hAnsi="Times New Roman" w:cs="黑体"/>
        </w:rPr>
        <w:t>3.1 初步评审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_Toc3619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_Toc12167 </w:instrText>
      </w:r>
      <w:r>
        <w:rPr>
          <w:rFonts w:hint="eastAsia" w:ascii="Times New Roman" w:hAnsi="Times New Roman" w:cs="黑体"/>
        </w:rPr>
        <w:fldChar w:fldCharType="separate"/>
      </w:r>
      <w:r>
        <w:rPr>
          <w:rFonts w:hint="eastAsia" w:ascii="Times New Roman" w:hAnsi="Times New Roman" w:cs="黑体"/>
        </w:rPr>
        <w:t>3.2 详细评审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_Toc12167 \h </w:instrText>
      </w:r>
      <w:r>
        <w:rPr>
          <w:rFonts w:hint="eastAsia" w:ascii="Times New Roman" w:hAnsi="Times New Roman" w:cs="黑体"/>
        </w:rPr>
        <w:fldChar w:fldCharType="separate"/>
      </w:r>
      <w:r>
        <w:rPr>
          <w:rFonts w:hint="eastAsia" w:ascii="Times New Roman" w:hAnsi="Times New Roman" w:cs="黑体"/>
        </w:rPr>
        <w:t>54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_Toc16291 </w:instrText>
      </w:r>
      <w:r>
        <w:rPr>
          <w:rFonts w:hint="eastAsia" w:ascii="Times New Roman" w:hAnsi="Times New Roman" w:cs="黑体"/>
        </w:rPr>
        <w:fldChar w:fldCharType="separate"/>
      </w:r>
      <w:r>
        <w:rPr>
          <w:rFonts w:hint="eastAsia" w:ascii="Times New Roman" w:hAnsi="Times New Roman" w:cs="黑体"/>
        </w:rPr>
        <w:t>3.3 投标文件的澄清和补正</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_Toc16291 \h </w:instrText>
      </w:r>
      <w:r>
        <w:rPr>
          <w:rFonts w:hint="eastAsia" w:ascii="Times New Roman" w:hAnsi="Times New Roman" w:cs="黑体"/>
        </w:rPr>
        <w:fldChar w:fldCharType="separate"/>
      </w:r>
      <w:r>
        <w:rPr>
          <w:rFonts w:hint="eastAsia" w:ascii="Times New Roman" w:hAnsi="Times New Roman" w:cs="黑体"/>
        </w:rPr>
        <w:t>54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_Toc10408 </w:instrText>
      </w:r>
      <w:r>
        <w:rPr>
          <w:rFonts w:hint="eastAsia" w:ascii="Times New Roman" w:hAnsi="Times New Roman" w:cs="黑体"/>
        </w:rPr>
        <w:fldChar w:fldCharType="separate"/>
      </w:r>
      <w:r>
        <w:rPr>
          <w:rFonts w:hint="eastAsia" w:ascii="Times New Roman" w:hAnsi="Times New Roman" w:cs="黑体"/>
        </w:rPr>
        <w:t>3.4 评标结果</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_Toc10408 \h </w:instrText>
      </w:r>
      <w:r>
        <w:rPr>
          <w:rFonts w:hint="eastAsia" w:ascii="Times New Roman" w:hAnsi="Times New Roman" w:cs="黑体"/>
        </w:rPr>
        <w:fldChar w:fldCharType="separate"/>
      </w:r>
      <w:r>
        <w:rPr>
          <w:rFonts w:hint="eastAsia" w:ascii="Times New Roman" w:hAnsi="Times New Roman" w:cs="黑体"/>
        </w:rPr>
        <w:t>54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_Toc32511 </w:instrText>
      </w:r>
      <w:r>
        <w:rPr>
          <w:rFonts w:hint="eastAsia" w:ascii="Times New Roman" w:hAnsi="Times New Roman" w:cs="黑体"/>
        </w:rPr>
        <w:fldChar w:fldCharType="separate"/>
      </w:r>
      <w:r>
        <w:rPr>
          <w:rFonts w:hint="eastAsia" w:ascii="Times New Roman" w:hAnsi="Times New Roman" w:cs="黑体"/>
        </w:rPr>
        <w:t>附件A  评标详细程序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_Toc32511 \h </w:instrText>
      </w:r>
      <w:r>
        <w:rPr>
          <w:rFonts w:hint="eastAsia" w:ascii="Times New Roman" w:hAnsi="Times New Roman" w:cs="黑体"/>
        </w:rPr>
        <w:fldChar w:fldCharType="separate"/>
      </w:r>
      <w:r>
        <w:rPr>
          <w:rFonts w:hint="eastAsia" w:ascii="Times New Roman" w:hAnsi="Times New Roman" w:cs="黑体"/>
        </w:rPr>
        <w:t>55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_Toc28534 </w:instrText>
      </w:r>
      <w:r>
        <w:rPr>
          <w:rFonts w:hint="eastAsia" w:ascii="Times New Roman" w:hAnsi="Times New Roman" w:cs="黑体"/>
        </w:rPr>
        <w:fldChar w:fldCharType="separate"/>
      </w:r>
      <w:r>
        <w:rPr>
          <w:rFonts w:hint="eastAsia" w:ascii="Times New Roman" w:hAnsi="Times New Roman" w:cs="黑体"/>
        </w:rPr>
        <w:t>A0 总  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_Toc28534 \h </w:instrText>
      </w:r>
      <w:r>
        <w:rPr>
          <w:rFonts w:hint="eastAsia" w:ascii="Times New Roman" w:hAnsi="Times New Roman" w:cs="黑体"/>
        </w:rPr>
        <w:fldChar w:fldCharType="separate"/>
      </w:r>
      <w:r>
        <w:rPr>
          <w:rFonts w:hint="eastAsia" w:ascii="Times New Roman" w:hAnsi="Times New Roman" w:cs="黑体"/>
        </w:rPr>
        <w:t>55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_Toc3208 </w:instrText>
      </w:r>
      <w:r>
        <w:rPr>
          <w:rFonts w:hint="eastAsia" w:ascii="Times New Roman" w:hAnsi="Times New Roman" w:cs="黑体"/>
        </w:rPr>
        <w:fldChar w:fldCharType="separate"/>
      </w:r>
      <w:r>
        <w:rPr>
          <w:rFonts w:hint="eastAsia" w:ascii="Times New Roman" w:hAnsi="Times New Roman" w:cs="黑体"/>
        </w:rPr>
        <w:t>A1 基本程序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_Toc3208 \h </w:instrText>
      </w:r>
      <w:r>
        <w:rPr>
          <w:rFonts w:hint="eastAsia" w:ascii="Times New Roman" w:hAnsi="Times New Roman" w:cs="黑体"/>
        </w:rPr>
        <w:fldChar w:fldCharType="separate"/>
      </w:r>
      <w:r>
        <w:rPr>
          <w:rFonts w:hint="eastAsia" w:ascii="Times New Roman" w:hAnsi="Times New Roman" w:cs="黑体"/>
        </w:rPr>
        <w:t>55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_Toc20252 </w:instrText>
      </w:r>
      <w:r>
        <w:rPr>
          <w:rFonts w:hint="eastAsia" w:ascii="Times New Roman" w:hAnsi="Times New Roman" w:cs="黑体"/>
        </w:rPr>
        <w:fldChar w:fldCharType="separate"/>
      </w:r>
      <w:r>
        <w:rPr>
          <w:rFonts w:hint="eastAsia" w:ascii="Times New Roman" w:hAnsi="Times New Roman" w:cs="黑体"/>
        </w:rPr>
        <w:t>A2 评标准备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_Toc20252 \h </w:instrText>
      </w:r>
      <w:r>
        <w:rPr>
          <w:rFonts w:hint="eastAsia" w:ascii="Times New Roman" w:hAnsi="Times New Roman" w:cs="黑体"/>
        </w:rPr>
        <w:fldChar w:fldCharType="separate"/>
      </w:r>
      <w:r>
        <w:rPr>
          <w:rFonts w:hint="eastAsia" w:ascii="Times New Roman" w:hAnsi="Times New Roman" w:cs="黑体"/>
        </w:rPr>
        <w:t>55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_Toc19060 </w:instrText>
      </w:r>
      <w:r>
        <w:rPr>
          <w:rFonts w:hint="eastAsia" w:ascii="Times New Roman" w:hAnsi="Times New Roman" w:cs="黑体"/>
        </w:rPr>
        <w:fldChar w:fldCharType="separate"/>
      </w:r>
      <w:r>
        <w:rPr>
          <w:rFonts w:hint="eastAsia" w:ascii="Times New Roman" w:hAnsi="Times New Roman" w:cs="黑体"/>
        </w:rPr>
        <w:t>A3 初步评审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_Toc19060 \h </w:instrText>
      </w:r>
      <w:r>
        <w:rPr>
          <w:rFonts w:hint="eastAsia" w:ascii="Times New Roman" w:hAnsi="Times New Roman" w:cs="黑体"/>
        </w:rPr>
        <w:fldChar w:fldCharType="separate"/>
      </w:r>
      <w:r>
        <w:rPr>
          <w:rFonts w:hint="eastAsia" w:ascii="Times New Roman" w:hAnsi="Times New Roman" w:cs="黑体"/>
        </w:rPr>
        <w:t>56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_Toc7648 </w:instrText>
      </w:r>
      <w:r>
        <w:rPr>
          <w:rFonts w:hint="eastAsia" w:ascii="Times New Roman" w:hAnsi="Times New Roman" w:cs="黑体"/>
        </w:rPr>
        <w:fldChar w:fldCharType="separate"/>
      </w:r>
      <w:r>
        <w:rPr>
          <w:rFonts w:hint="eastAsia" w:ascii="Times New Roman" w:hAnsi="Times New Roman" w:cs="黑体"/>
        </w:rPr>
        <w:t>A4 详细评审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_Toc7648 \h </w:instrText>
      </w:r>
      <w:r>
        <w:rPr>
          <w:rFonts w:hint="eastAsia" w:ascii="Times New Roman" w:hAnsi="Times New Roman" w:cs="黑体"/>
        </w:rPr>
        <w:fldChar w:fldCharType="separate"/>
      </w:r>
      <w:r>
        <w:rPr>
          <w:rFonts w:hint="eastAsia" w:ascii="Times New Roman" w:hAnsi="Times New Roman" w:cs="黑体"/>
        </w:rPr>
        <w:t>56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_Toc26415 </w:instrText>
      </w:r>
      <w:r>
        <w:rPr>
          <w:rFonts w:hint="eastAsia" w:ascii="Times New Roman" w:hAnsi="Times New Roman" w:cs="黑体"/>
        </w:rPr>
        <w:fldChar w:fldCharType="separate"/>
      </w:r>
      <w:r>
        <w:rPr>
          <w:rFonts w:hint="eastAsia" w:ascii="Times New Roman" w:hAnsi="Times New Roman" w:cs="黑体"/>
        </w:rPr>
        <w:t>A5 推荐中标候选人或者直接确定中标人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_Toc26415 \h </w:instrText>
      </w:r>
      <w:r>
        <w:rPr>
          <w:rFonts w:hint="eastAsia" w:ascii="Times New Roman" w:hAnsi="Times New Roman" w:cs="黑体"/>
        </w:rPr>
        <w:fldChar w:fldCharType="separate"/>
      </w:r>
      <w:r>
        <w:rPr>
          <w:rFonts w:hint="eastAsia" w:ascii="Times New Roman" w:hAnsi="Times New Roman" w:cs="黑体"/>
        </w:rPr>
        <w:t>57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_Toc17594 </w:instrText>
      </w:r>
      <w:r>
        <w:rPr>
          <w:rFonts w:hint="eastAsia" w:ascii="Times New Roman" w:hAnsi="Times New Roman" w:cs="黑体"/>
        </w:rPr>
        <w:fldChar w:fldCharType="separate"/>
      </w:r>
      <w:r>
        <w:rPr>
          <w:rFonts w:hint="eastAsia" w:ascii="Times New Roman" w:hAnsi="Times New Roman" w:cs="黑体"/>
        </w:rPr>
        <w:t>A6 特殊情况的处置程序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_Toc17594 \h </w:instrText>
      </w:r>
      <w:r>
        <w:rPr>
          <w:rFonts w:hint="eastAsia" w:ascii="Times New Roman" w:hAnsi="Times New Roman" w:cs="黑体"/>
        </w:rPr>
        <w:fldChar w:fldCharType="separate"/>
      </w:r>
      <w:r>
        <w:rPr>
          <w:rFonts w:hint="eastAsia" w:ascii="Times New Roman" w:hAnsi="Times New Roman" w:cs="黑体"/>
        </w:rPr>
        <w:t>58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_Toc13094 </w:instrText>
      </w:r>
      <w:r>
        <w:rPr>
          <w:rFonts w:hint="eastAsia" w:ascii="Times New Roman" w:hAnsi="Times New Roman" w:cs="黑体"/>
        </w:rPr>
        <w:fldChar w:fldCharType="separate"/>
      </w:r>
      <w:r>
        <w:rPr>
          <w:rFonts w:hint="eastAsia" w:ascii="Times New Roman" w:hAnsi="Times New Roman" w:cs="黑体"/>
        </w:rPr>
        <w:t>A7 补充条款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_Toc13094 \h </w:instrText>
      </w:r>
      <w:r>
        <w:rPr>
          <w:rFonts w:hint="eastAsia" w:ascii="Times New Roman" w:hAnsi="Times New Roman" w:cs="黑体"/>
        </w:rPr>
        <w:fldChar w:fldCharType="separate"/>
      </w:r>
      <w:r>
        <w:rPr>
          <w:rFonts w:hint="eastAsia" w:ascii="Times New Roman" w:hAnsi="Times New Roman" w:cs="黑体"/>
        </w:rPr>
        <w:t>58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_Toc30825 </w:instrText>
      </w:r>
      <w:r>
        <w:rPr>
          <w:rFonts w:hint="eastAsia" w:ascii="Times New Roman" w:hAnsi="Times New Roman" w:cs="黑体"/>
        </w:rPr>
        <w:fldChar w:fldCharType="separate"/>
      </w:r>
      <w:r>
        <w:rPr>
          <w:rFonts w:hint="eastAsia" w:ascii="Times New Roman" w:hAnsi="Times New Roman" w:cs="黑体"/>
        </w:rPr>
        <w:t>附件B  否决投标条件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_Toc30825 \h </w:instrText>
      </w:r>
      <w:r>
        <w:rPr>
          <w:rFonts w:hint="eastAsia" w:ascii="Times New Roman" w:hAnsi="Times New Roman" w:cs="黑体"/>
        </w:rPr>
        <w:fldChar w:fldCharType="separate"/>
      </w:r>
      <w:r>
        <w:rPr>
          <w:rFonts w:hint="eastAsia" w:ascii="Times New Roman" w:hAnsi="Times New Roman" w:cs="黑体"/>
        </w:rPr>
        <w:t>59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_Toc17916 </w:instrText>
      </w:r>
      <w:r>
        <w:rPr>
          <w:rFonts w:hint="eastAsia" w:ascii="Times New Roman" w:hAnsi="Times New Roman" w:cs="黑体"/>
        </w:rPr>
        <w:fldChar w:fldCharType="separate"/>
      </w:r>
      <w:r>
        <w:rPr>
          <w:rFonts w:hint="eastAsia" w:ascii="Times New Roman" w:hAnsi="Times New Roman" w:cs="黑体"/>
        </w:rPr>
        <w:t>B0 总  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_Toc17916 \h </w:instrText>
      </w:r>
      <w:r>
        <w:rPr>
          <w:rFonts w:hint="eastAsia" w:ascii="Times New Roman" w:hAnsi="Times New Roman" w:cs="黑体"/>
        </w:rPr>
        <w:fldChar w:fldCharType="separate"/>
      </w:r>
      <w:r>
        <w:rPr>
          <w:rFonts w:hint="eastAsia" w:ascii="Times New Roman" w:hAnsi="Times New Roman" w:cs="黑体"/>
        </w:rPr>
        <w:t>59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_Toc22625 </w:instrText>
      </w:r>
      <w:r>
        <w:rPr>
          <w:rFonts w:hint="eastAsia" w:ascii="Times New Roman" w:hAnsi="Times New Roman" w:cs="黑体"/>
        </w:rPr>
        <w:fldChar w:fldCharType="separate"/>
      </w:r>
      <w:r>
        <w:rPr>
          <w:rFonts w:hint="eastAsia" w:ascii="Times New Roman" w:hAnsi="Times New Roman" w:cs="黑体"/>
        </w:rPr>
        <w:t>B1 否决投标条件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_Toc22625 \h </w:instrText>
      </w:r>
      <w:r>
        <w:rPr>
          <w:rFonts w:hint="eastAsia" w:ascii="Times New Roman" w:hAnsi="Times New Roman" w:cs="黑体"/>
        </w:rPr>
        <w:fldChar w:fldCharType="separate"/>
      </w:r>
      <w:r>
        <w:rPr>
          <w:rFonts w:hint="eastAsia" w:ascii="Times New Roman" w:hAnsi="Times New Roman" w:cs="黑体"/>
        </w:rPr>
        <w:t>59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_Toc30276 </w:instrText>
      </w:r>
      <w:r>
        <w:rPr>
          <w:rFonts w:hint="eastAsia" w:ascii="Times New Roman" w:hAnsi="Times New Roman" w:cs="黑体"/>
        </w:rPr>
        <w:fldChar w:fldCharType="separate"/>
      </w:r>
      <w:r>
        <w:rPr>
          <w:rFonts w:hint="eastAsia" w:ascii="Times New Roman" w:hAnsi="Times New Roman" w:cs="黑体"/>
        </w:rPr>
        <w:t>第四章  合同条款及格式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_Toc30276 \h </w:instrText>
      </w:r>
      <w:r>
        <w:rPr>
          <w:rFonts w:hint="eastAsia" w:ascii="Times New Roman" w:hAnsi="Times New Roman" w:cs="黑体"/>
        </w:rPr>
        <w:fldChar w:fldCharType="separate"/>
      </w:r>
      <w:r>
        <w:rPr>
          <w:rFonts w:hint="eastAsia" w:ascii="Times New Roman" w:hAnsi="Times New Roman" w:cs="黑体"/>
        </w:rPr>
        <w:t>61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_Toc2577 </w:instrText>
      </w:r>
      <w:r>
        <w:rPr>
          <w:rFonts w:hint="eastAsia" w:ascii="Times New Roman" w:hAnsi="Times New Roman" w:cs="黑体"/>
        </w:rPr>
        <w:fldChar w:fldCharType="separate"/>
      </w:r>
      <w:r>
        <w:rPr>
          <w:rFonts w:hint="eastAsia" w:ascii="Times New Roman" w:hAnsi="Times New Roman" w:cs="黑体"/>
        </w:rPr>
        <w:t>第一节 通用合同条款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_Toc2577 \h </w:instrText>
      </w:r>
      <w:r>
        <w:rPr>
          <w:rFonts w:hint="eastAsia" w:ascii="Times New Roman" w:hAnsi="Times New Roman" w:cs="黑体"/>
        </w:rPr>
        <w:fldChar w:fldCharType="separate"/>
      </w:r>
      <w:r>
        <w:rPr>
          <w:rFonts w:hint="eastAsia" w:ascii="Times New Roman" w:hAnsi="Times New Roman" w:cs="黑体"/>
        </w:rPr>
        <w:t>61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_Toc58 </w:instrText>
      </w:r>
      <w:r>
        <w:rPr>
          <w:rFonts w:hint="eastAsia" w:ascii="Times New Roman" w:hAnsi="Times New Roman" w:cs="黑体"/>
        </w:rPr>
        <w:fldChar w:fldCharType="separate"/>
      </w:r>
      <w:r>
        <w:rPr>
          <w:rFonts w:hint="eastAsia" w:ascii="Times New Roman" w:hAnsi="Times New Roman" w:cs="黑体"/>
        </w:rPr>
        <w:t>1. 一般约定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_Toc58 \h </w:instrText>
      </w:r>
      <w:r>
        <w:rPr>
          <w:rFonts w:hint="eastAsia" w:ascii="Times New Roman" w:hAnsi="Times New Roman" w:cs="黑体"/>
        </w:rPr>
        <w:fldChar w:fldCharType="separate"/>
      </w:r>
      <w:r>
        <w:rPr>
          <w:rFonts w:hint="eastAsia" w:ascii="Times New Roman" w:hAnsi="Times New Roman" w:cs="黑体"/>
        </w:rPr>
        <w:t>61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_Toc23363 </w:instrText>
      </w:r>
      <w:r>
        <w:rPr>
          <w:rFonts w:hint="eastAsia" w:ascii="Times New Roman" w:hAnsi="Times New Roman" w:cs="黑体"/>
        </w:rPr>
        <w:fldChar w:fldCharType="separate"/>
      </w:r>
      <w:r>
        <w:rPr>
          <w:rFonts w:hint="eastAsia" w:ascii="Times New Roman" w:hAnsi="Times New Roman" w:cs="黑体"/>
        </w:rPr>
        <w:t>1.1词语定义</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_Toc23363 \h </w:instrText>
      </w:r>
      <w:r>
        <w:rPr>
          <w:rFonts w:hint="eastAsia" w:ascii="Times New Roman" w:hAnsi="Times New Roman" w:cs="黑体"/>
        </w:rPr>
        <w:fldChar w:fldCharType="separate"/>
      </w:r>
      <w:r>
        <w:rPr>
          <w:rFonts w:hint="eastAsia" w:ascii="Times New Roman" w:hAnsi="Times New Roman" w:cs="黑体"/>
        </w:rPr>
        <w:t>61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_Toc23310 </w:instrText>
      </w:r>
      <w:r>
        <w:rPr>
          <w:rFonts w:hint="eastAsia" w:ascii="Times New Roman" w:hAnsi="Times New Roman" w:cs="黑体"/>
        </w:rPr>
        <w:fldChar w:fldCharType="separate"/>
      </w:r>
      <w:r>
        <w:rPr>
          <w:rFonts w:hint="eastAsia" w:ascii="Times New Roman" w:hAnsi="Times New Roman" w:cs="黑体"/>
        </w:rPr>
        <w:t>1.2语言文字</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_Toc23310 \h </w:instrText>
      </w:r>
      <w:r>
        <w:rPr>
          <w:rFonts w:hint="eastAsia" w:ascii="Times New Roman" w:hAnsi="Times New Roman" w:cs="黑体"/>
        </w:rPr>
        <w:fldChar w:fldCharType="separate"/>
      </w:r>
      <w:r>
        <w:rPr>
          <w:rFonts w:hint="eastAsia" w:ascii="Times New Roman" w:hAnsi="Times New Roman" w:cs="黑体"/>
        </w:rPr>
        <w:t>63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_Toc3245 </w:instrText>
      </w:r>
      <w:r>
        <w:rPr>
          <w:rFonts w:hint="eastAsia" w:ascii="Times New Roman" w:hAnsi="Times New Roman" w:cs="黑体"/>
        </w:rPr>
        <w:fldChar w:fldCharType="separate"/>
      </w:r>
      <w:r>
        <w:rPr>
          <w:rFonts w:hint="eastAsia" w:ascii="Times New Roman" w:hAnsi="Times New Roman" w:cs="黑体"/>
        </w:rPr>
        <w:t>1.3法律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_Toc3245 \h </w:instrText>
      </w:r>
      <w:r>
        <w:rPr>
          <w:rFonts w:hint="eastAsia" w:ascii="Times New Roman" w:hAnsi="Times New Roman" w:cs="黑体"/>
        </w:rPr>
        <w:fldChar w:fldCharType="separate"/>
      </w:r>
      <w:r>
        <w:rPr>
          <w:rFonts w:hint="eastAsia" w:ascii="Times New Roman" w:hAnsi="Times New Roman" w:cs="黑体"/>
        </w:rPr>
        <w:t>63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_Toc31165 </w:instrText>
      </w:r>
      <w:r>
        <w:rPr>
          <w:rFonts w:hint="eastAsia" w:ascii="Times New Roman" w:hAnsi="Times New Roman" w:cs="黑体"/>
        </w:rPr>
        <w:fldChar w:fldCharType="separate"/>
      </w:r>
      <w:r>
        <w:rPr>
          <w:rFonts w:hint="eastAsia" w:ascii="Times New Roman" w:hAnsi="Times New Roman" w:cs="黑体"/>
        </w:rPr>
        <w:t>1.4合同文件的优先顺序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_Toc31165 \h </w:instrText>
      </w:r>
      <w:r>
        <w:rPr>
          <w:rFonts w:hint="eastAsia" w:ascii="Times New Roman" w:hAnsi="Times New Roman" w:cs="黑体"/>
        </w:rPr>
        <w:fldChar w:fldCharType="separate"/>
      </w:r>
      <w:r>
        <w:rPr>
          <w:rFonts w:hint="eastAsia" w:ascii="Times New Roman" w:hAnsi="Times New Roman" w:cs="黑体"/>
        </w:rPr>
        <w:t>63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_Toc11763 </w:instrText>
      </w:r>
      <w:r>
        <w:rPr>
          <w:rFonts w:hint="eastAsia" w:ascii="Times New Roman" w:hAnsi="Times New Roman" w:cs="黑体"/>
        </w:rPr>
        <w:fldChar w:fldCharType="separate"/>
      </w:r>
      <w:r>
        <w:rPr>
          <w:rFonts w:hint="eastAsia" w:ascii="Times New Roman" w:hAnsi="Times New Roman" w:cs="黑体"/>
        </w:rPr>
        <w:t>1.5合同协议书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_Toc11763 \h </w:instrText>
      </w:r>
      <w:r>
        <w:rPr>
          <w:rFonts w:hint="eastAsia" w:ascii="Times New Roman" w:hAnsi="Times New Roman" w:cs="黑体"/>
        </w:rPr>
        <w:fldChar w:fldCharType="separate"/>
      </w:r>
      <w:r>
        <w:rPr>
          <w:rFonts w:hint="eastAsia" w:ascii="Times New Roman" w:hAnsi="Times New Roman" w:cs="黑体"/>
        </w:rPr>
        <w:t>63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_Toc23444 </w:instrText>
      </w:r>
      <w:r>
        <w:rPr>
          <w:rFonts w:hint="eastAsia" w:ascii="Times New Roman" w:hAnsi="Times New Roman" w:cs="黑体"/>
        </w:rPr>
        <w:fldChar w:fldCharType="separate"/>
      </w:r>
      <w:r>
        <w:rPr>
          <w:rFonts w:hint="eastAsia" w:ascii="Times New Roman" w:hAnsi="Times New Roman" w:cs="黑体"/>
        </w:rPr>
        <w:t>1.6图纸和承包人文件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_Toc23444 \h </w:instrText>
      </w:r>
      <w:r>
        <w:rPr>
          <w:rFonts w:hint="eastAsia" w:ascii="Times New Roman" w:hAnsi="Times New Roman" w:cs="黑体"/>
        </w:rPr>
        <w:fldChar w:fldCharType="separate"/>
      </w:r>
      <w:r>
        <w:rPr>
          <w:rFonts w:hint="eastAsia" w:ascii="Times New Roman" w:hAnsi="Times New Roman" w:cs="黑体"/>
        </w:rPr>
        <w:t>63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_Toc32408 </w:instrText>
      </w:r>
      <w:r>
        <w:rPr>
          <w:rFonts w:hint="eastAsia" w:ascii="Times New Roman" w:hAnsi="Times New Roman" w:cs="黑体"/>
        </w:rPr>
        <w:fldChar w:fldCharType="separate"/>
      </w:r>
      <w:r>
        <w:rPr>
          <w:rFonts w:hint="eastAsia" w:ascii="Times New Roman" w:hAnsi="Times New Roman" w:cs="黑体"/>
        </w:rPr>
        <w:t>1.7联络</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_Toc32408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_Toc12741 </w:instrText>
      </w:r>
      <w:r>
        <w:rPr>
          <w:rFonts w:hint="eastAsia" w:ascii="Times New Roman" w:hAnsi="Times New Roman" w:cs="黑体"/>
        </w:rPr>
        <w:fldChar w:fldCharType="separate"/>
      </w:r>
      <w:r>
        <w:rPr>
          <w:rFonts w:hint="eastAsia" w:ascii="Times New Roman" w:hAnsi="Times New Roman" w:cs="黑体"/>
        </w:rPr>
        <w:t>1.8转让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_Toc12741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_Toc9150 </w:instrText>
      </w:r>
      <w:r>
        <w:rPr>
          <w:rFonts w:hint="eastAsia" w:ascii="Times New Roman" w:hAnsi="Times New Roman" w:cs="黑体"/>
        </w:rPr>
        <w:fldChar w:fldCharType="separate"/>
      </w:r>
      <w:r>
        <w:rPr>
          <w:rFonts w:hint="eastAsia" w:ascii="Times New Roman" w:hAnsi="Times New Roman" w:cs="黑体"/>
        </w:rPr>
        <w:t>1.9严禁贿赂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_Toc9150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_Toc19136 </w:instrText>
      </w:r>
      <w:r>
        <w:rPr>
          <w:rFonts w:hint="eastAsia" w:ascii="Times New Roman" w:hAnsi="Times New Roman" w:cs="黑体"/>
        </w:rPr>
        <w:fldChar w:fldCharType="separate"/>
      </w:r>
      <w:r>
        <w:rPr>
          <w:rFonts w:hint="eastAsia" w:ascii="Times New Roman" w:hAnsi="Times New Roman" w:cs="黑体"/>
        </w:rPr>
        <w:t>1.10化石、文物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_Toc19136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_Toc16550 </w:instrText>
      </w:r>
      <w:r>
        <w:rPr>
          <w:rFonts w:hint="eastAsia" w:ascii="Times New Roman" w:hAnsi="Times New Roman" w:cs="黑体"/>
        </w:rPr>
        <w:fldChar w:fldCharType="separate"/>
      </w:r>
      <w:r>
        <w:rPr>
          <w:rFonts w:hint="eastAsia" w:ascii="Times New Roman" w:hAnsi="Times New Roman" w:cs="黑体"/>
        </w:rPr>
        <w:t>1.11专利技术</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_Toc16550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_Toc14630 </w:instrText>
      </w:r>
      <w:r>
        <w:rPr>
          <w:rFonts w:hint="eastAsia" w:ascii="Times New Roman" w:hAnsi="Times New Roman" w:cs="黑体"/>
        </w:rPr>
        <w:fldChar w:fldCharType="separate"/>
      </w:r>
      <w:r>
        <w:rPr>
          <w:rFonts w:hint="eastAsia" w:ascii="Times New Roman" w:hAnsi="Times New Roman" w:cs="黑体"/>
        </w:rPr>
        <w:t>1.12图纸和文件的保密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_Toc14630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_Toc12351 </w:instrText>
      </w:r>
      <w:r>
        <w:rPr>
          <w:rFonts w:hint="eastAsia" w:ascii="Times New Roman" w:hAnsi="Times New Roman" w:cs="黑体"/>
        </w:rPr>
        <w:fldChar w:fldCharType="separate"/>
      </w:r>
      <w:r>
        <w:rPr>
          <w:rFonts w:hint="eastAsia" w:ascii="Times New Roman" w:hAnsi="Times New Roman" w:cs="黑体"/>
        </w:rPr>
        <w:t>2.发包人义务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_Toc12351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_Toc7062 </w:instrText>
      </w:r>
      <w:r>
        <w:rPr>
          <w:rFonts w:hint="eastAsia" w:ascii="Times New Roman" w:hAnsi="Times New Roman" w:cs="黑体"/>
        </w:rPr>
        <w:fldChar w:fldCharType="separate"/>
      </w:r>
      <w:r>
        <w:rPr>
          <w:rFonts w:hint="eastAsia" w:ascii="Times New Roman" w:hAnsi="Times New Roman" w:cs="黑体"/>
        </w:rPr>
        <w:t>2.1遵守法律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_Toc7062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_Toc20569 </w:instrText>
      </w:r>
      <w:r>
        <w:rPr>
          <w:rFonts w:hint="eastAsia" w:ascii="Times New Roman" w:hAnsi="Times New Roman" w:cs="黑体"/>
        </w:rPr>
        <w:fldChar w:fldCharType="separate"/>
      </w:r>
      <w:r>
        <w:rPr>
          <w:rFonts w:hint="eastAsia" w:ascii="Times New Roman" w:hAnsi="Times New Roman" w:cs="黑体"/>
        </w:rPr>
        <w:t>2.2发出开工通知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_Toc20569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_Toc21414 </w:instrText>
      </w:r>
      <w:r>
        <w:rPr>
          <w:rFonts w:hint="eastAsia" w:ascii="Times New Roman" w:hAnsi="Times New Roman" w:cs="黑体"/>
        </w:rPr>
        <w:fldChar w:fldCharType="separate"/>
      </w:r>
      <w:r>
        <w:rPr>
          <w:rFonts w:hint="eastAsia" w:ascii="Times New Roman" w:hAnsi="Times New Roman" w:cs="黑体"/>
        </w:rPr>
        <w:t>2.3提供施工场地</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_Toc21414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_Toc4910 </w:instrText>
      </w:r>
      <w:r>
        <w:rPr>
          <w:rFonts w:hint="eastAsia" w:ascii="Times New Roman" w:hAnsi="Times New Roman" w:cs="黑体"/>
        </w:rPr>
        <w:fldChar w:fldCharType="separate"/>
      </w:r>
      <w:r>
        <w:rPr>
          <w:rFonts w:hint="eastAsia" w:ascii="Times New Roman" w:hAnsi="Times New Roman" w:cs="黑体"/>
        </w:rPr>
        <w:t>2.4协助承包人办理证件和批件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_Toc4910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_Toc11707 </w:instrText>
      </w:r>
      <w:r>
        <w:rPr>
          <w:rFonts w:hint="eastAsia" w:ascii="Times New Roman" w:hAnsi="Times New Roman" w:cs="黑体"/>
        </w:rPr>
        <w:fldChar w:fldCharType="separate"/>
      </w:r>
      <w:r>
        <w:rPr>
          <w:rFonts w:hint="eastAsia" w:ascii="Times New Roman" w:hAnsi="Times New Roman" w:cs="黑体"/>
        </w:rPr>
        <w:t>2.5组织设计交底</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_Toc11707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_Toc29272 </w:instrText>
      </w:r>
      <w:r>
        <w:rPr>
          <w:rFonts w:hint="eastAsia" w:ascii="Times New Roman" w:hAnsi="Times New Roman" w:cs="黑体"/>
        </w:rPr>
        <w:fldChar w:fldCharType="separate"/>
      </w:r>
      <w:r>
        <w:rPr>
          <w:rFonts w:hint="eastAsia" w:ascii="Times New Roman" w:hAnsi="Times New Roman" w:cs="黑体"/>
        </w:rPr>
        <w:t>2.6支付合同价款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_Toc29272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_Toc18599 </w:instrText>
      </w:r>
      <w:r>
        <w:rPr>
          <w:rFonts w:hint="eastAsia" w:ascii="Times New Roman" w:hAnsi="Times New Roman" w:cs="黑体"/>
        </w:rPr>
        <w:fldChar w:fldCharType="separate"/>
      </w:r>
      <w:r>
        <w:rPr>
          <w:rFonts w:hint="eastAsia" w:ascii="Times New Roman" w:hAnsi="Times New Roman" w:cs="黑体"/>
        </w:rPr>
        <w:t>2.7组织竣工验收（组织法人验收）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_Toc18599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_Toc30329 </w:instrText>
      </w:r>
      <w:r>
        <w:rPr>
          <w:rFonts w:hint="eastAsia" w:ascii="Times New Roman" w:hAnsi="Times New Roman" w:cs="黑体"/>
        </w:rPr>
        <w:fldChar w:fldCharType="separate"/>
      </w:r>
      <w:r>
        <w:rPr>
          <w:rFonts w:hint="eastAsia" w:ascii="Times New Roman" w:hAnsi="Times New Roman" w:cs="黑体"/>
        </w:rPr>
        <w:t>2.8其它义务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_Toc30329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_Toc17204 </w:instrText>
      </w:r>
      <w:r>
        <w:rPr>
          <w:rFonts w:hint="eastAsia" w:ascii="Times New Roman" w:hAnsi="Times New Roman" w:cs="黑体"/>
        </w:rPr>
        <w:fldChar w:fldCharType="separate"/>
      </w:r>
      <w:r>
        <w:rPr>
          <w:rFonts w:hint="eastAsia" w:ascii="Times New Roman" w:hAnsi="Times New Roman" w:cs="黑体"/>
        </w:rPr>
        <w:t>3.监理人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_Toc17204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_Toc24860 </w:instrText>
      </w:r>
      <w:r>
        <w:rPr>
          <w:rFonts w:hint="eastAsia" w:ascii="Times New Roman" w:hAnsi="Times New Roman" w:cs="黑体"/>
        </w:rPr>
        <w:fldChar w:fldCharType="separate"/>
      </w:r>
      <w:r>
        <w:rPr>
          <w:rFonts w:hint="eastAsia" w:ascii="Times New Roman" w:hAnsi="Times New Roman" w:cs="黑体"/>
        </w:rPr>
        <w:t>3.1监理人的职责和权利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_Toc24860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_Toc9990 </w:instrText>
      </w:r>
      <w:r>
        <w:rPr>
          <w:rFonts w:hint="eastAsia" w:ascii="Times New Roman" w:hAnsi="Times New Roman" w:cs="黑体"/>
        </w:rPr>
        <w:fldChar w:fldCharType="separate"/>
      </w:r>
      <w:r>
        <w:rPr>
          <w:rFonts w:hint="eastAsia" w:ascii="Times New Roman" w:hAnsi="Times New Roman" w:cs="黑体"/>
        </w:rPr>
        <w:t>3. 2总监理工程师</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_Toc9990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_Toc12950 </w:instrText>
      </w:r>
      <w:r>
        <w:rPr>
          <w:rFonts w:hint="eastAsia" w:ascii="Times New Roman" w:hAnsi="Times New Roman" w:cs="黑体"/>
        </w:rPr>
        <w:fldChar w:fldCharType="separate"/>
      </w:r>
      <w:r>
        <w:rPr>
          <w:rFonts w:hint="eastAsia" w:ascii="Times New Roman" w:hAnsi="Times New Roman" w:cs="黑体"/>
        </w:rPr>
        <w:t>3.3监理人员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_Toc12950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_Toc21485 </w:instrText>
      </w:r>
      <w:r>
        <w:rPr>
          <w:rFonts w:hint="eastAsia" w:ascii="Times New Roman" w:hAnsi="Times New Roman" w:cs="黑体"/>
        </w:rPr>
        <w:fldChar w:fldCharType="separate"/>
      </w:r>
      <w:r>
        <w:rPr>
          <w:rFonts w:hint="eastAsia" w:ascii="Times New Roman" w:hAnsi="Times New Roman" w:cs="黑体"/>
        </w:rPr>
        <w:t>3.4监理人的指示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_Toc21485 \h </w:instrText>
      </w:r>
      <w:r>
        <w:rPr>
          <w:rFonts w:hint="eastAsia" w:ascii="Times New Roman" w:hAnsi="Times New Roman" w:cs="黑体"/>
        </w:rPr>
        <w:fldChar w:fldCharType="separate"/>
      </w:r>
      <w:r>
        <w:rPr>
          <w:rFonts w:hint="eastAsia" w:ascii="Times New Roman" w:hAnsi="Times New Roman" w:cs="黑体"/>
        </w:rPr>
        <w:t>67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_Toc66 </w:instrText>
      </w:r>
      <w:r>
        <w:rPr>
          <w:rFonts w:hint="eastAsia" w:ascii="Times New Roman" w:hAnsi="Times New Roman" w:cs="黑体"/>
        </w:rPr>
        <w:fldChar w:fldCharType="separate"/>
      </w:r>
      <w:r>
        <w:rPr>
          <w:rFonts w:hint="eastAsia" w:ascii="Times New Roman" w:hAnsi="Times New Roman" w:cs="黑体"/>
        </w:rPr>
        <w:t>3.5商定或确定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_Toc66 \h </w:instrText>
      </w:r>
      <w:r>
        <w:rPr>
          <w:rFonts w:hint="eastAsia" w:ascii="Times New Roman" w:hAnsi="Times New Roman" w:cs="黑体"/>
        </w:rPr>
        <w:fldChar w:fldCharType="separate"/>
      </w:r>
      <w:r>
        <w:rPr>
          <w:rFonts w:hint="eastAsia" w:ascii="Times New Roman" w:hAnsi="Times New Roman" w:cs="黑体"/>
        </w:rPr>
        <w:t>67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_Toc11543 </w:instrText>
      </w:r>
      <w:r>
        <w:rPr>
          <w:rFonts w:hint="eastAsia" w:ascii="Times New Roman" w:hAnsi="Times New Roman" w:cs="黑体"/>
        </w:rPr>
        <w:fldChar w:fldCharType="separate"/>
      </w:r>
      <w:r>
        <w:rPr>
          <w:rFonts w:hint="eastAsia" w:ascii="Times New Roman" w:hAnsi="Times New Roman" w:cs="黑体"/>
        </w:rPr>
        <w:t>4.承包人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_Toc11543 \h </w:instrText>
      </w:r>
      <w:r>
        <w:rPr>
          <w:rFonts w:hint="eastAsia" w:ascii="Times New Roman" w:hAnsi="Times New Roman" w:cs="黑体"/>
        </w:rPr>
        <w:fldChar w:fldCharType="separate"/>
      </w:r>
      <w:r>
        <w:rPr>
          <w:rFonts w:hint="eastAsia" w:ascii="Times New Roman" w:hAnsi="Times New Roman" w:cs="黑体"/>
        </w:rPr>
        <w:t>67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_Toc12170 </w:instrText>
      </w:r>
      <w:r>
        <w:rPr>
          <w:rFonts w:hint="eastAsia" w:ascii="Times New Roman" w:hAnsi="Times New Roman" w:cs="黑体"/>
        </w:rPr>
        <w:fldChar w:fldCharType="separate"/>
      </w:r>
      <w:r>
        <w:rPr>
          <w:rFonts w:hint="eastAsia" w:ascii="Times New Roman" w:hAnsi="Times New Roman" w:cs="黑体"/>
        </w:rPr>
        <w:t>4.1承包人的一般义务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_Toc12170 \h </w:instrText>
      </w:r>
      <w:r>
        <w:rPr>
          <w:rFonts w:hint="eastAsia" w:ascii="Times New Roman" w:hAnsi="Times New Roman" w:cs="黑体"/>
        </w:rPr>
        <w:fldChar w:fldCharType="separate"/>
      </w:r>
      <w:r>
        <w:rPr>
          <w:rFonts w:hint="eastAsia" w:ascii="Times New Roman" w:hAnsi="Times New Roman" w:cs="黑体"/>
        </w:rPr>
        <w:t>67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_Toc29197 </w:instrText>
      </w:r>
      <w:r>
        <w:rPr>
          <w:rFonts w:hint="eastAsia" w:ascii="Times New Roman" w:hAnsi="Times New Roman" w:cs="黑体"/>
        </w:rPr>
        <w:fldChar w:fldCharType="separate"/>
      </w:r>
      <w:r>
        <w:rPr>
          <w:rFonts w:hint="eastAsia" w:ascii="Times New Roman" w:hAnsi="Times New Roman" w:cs="黑体"/>
        </w:rPr>
        <w:t>4.2履约担保</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_Toc29197 \h </w:instrText>
      </w:r>
      <w:r>
        <w:rPr>
          <w:rFonts w:hint="eastAsia" w:ascii="Times New Roman" w:hAnsi="Times New Roman" w:cs="黑体"/>
        </w:rPr>
        <w:fldChar w:fldCharType="separate"/>
      </w:r>
      <w:r>
        <w:rPr>
          <w:rFonts w:hint="eastAsia" w:ascii="Times New Roman" w:hAnsi="Times New Roman" w:cs="黑体"/>
        </w:rPr>
        <w:t>68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_Toc24289 </w:instrText>
      </w:r>
      <w:r>
        <w:rPr>
          <w:rFonts w:hint="eastAsia" w:ascii="Times New Roman" w:hAnsi="Times New Roman" w:cs="黑体"/>
        </w:rPr>
        <w:fldChar w:fldCharType="separate"/>
      </w:r>
      <w:r>
        <w:rPr>
          <w:rFonts w:hint="eastAsia" w:ascii="Times New Roman" w:hAnsi="Times New Roman" w:cs="黑体"/>
        </w:rPr>
        <w:t>4.3分包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_Toc24289 \h </w:instrText>
      </w:r>
      <w:r>
        <w:rPr>
          <w:rFonts w:hint="eastAsia" w:ascii="Times New Roman" w:hAnsi="Times New Roman" w:cs="黑体"/>
        </w:rPr>
        <w:fldChar w:fldCharType="separate"/>
      </w:r>
      <w:r>
        <w:rPr>
          <w:rFonts w:hint="eastAsia" w:ascii="Times New Roman" w:hAnsi="Times New Roman" w:cs="黑体"/>
        </w:rPr>
        <w:t>68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_Toc1407 </w:instrText>
      </w:r>
      <w:r>
        <w:rPr>
          <w:rFonts w:hint="eastAsia" w:ascii="Times New Roman" w:hAnsi="Times New Roman" w:cs="黑体"/>
        </w:rPr>
        <w:fldChar w:fldCharType="separate"/>
      </w:r>
      <w:r>
        <w:rPr>
          <w:rFonts w:hint="eastAsia" w:ascii="Times New Roman" w:hAnsi="Times New Roman" w:cs="黑体"/>
        </w:rPr>
        <w:t>4.4联合体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_Toc1407 \h </w:instrText>
      </w:r>
      <w:r>
        <w:rPr>
          <w:rFonts w:hint="eastAsia" w:ascii="Times New Roman" w:hAnsi="Times New Roman" w:cs="黑体"/>
        </w:rPr>
        <w:fldChar w:fldCharType="separate"/>
      </w:r>
      <w:r>
        <w:rPr>
          <w:rFonts w:hint="eastAsia" w:ascii="Times New Roman" w:hAnsi="Times New Roman" w:cs="黑体"/>
        </w:rPr>
        <w:t>69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_Toc27592 </w:instrText>
      </w:r>
      <w:r>
        <w:rPr>
          <w:rFonts w:hint="eastAsia" w:ascii="Times New Roman" w:hAnsi="Times New Roman" w:cs="黑体"/>
        </w:rPr>
        <w:fldChar w:fldCharType="separate"/>
      </w:r>
      <w:r>
        <w:rPr>
          <w:rFonts w:hint="eastAsia" w:ascii="Times New Roman" w:hAnsi="Times New Roman" w:cs="黑体"/>
        </w:rPr>
        <w:t>4.5承包人项目经理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_Toc27592 \h </w:instrText>
      </w:r>
      <w:r>
        <w:rPr>
          <w:rFonts w:hint="eastAsia" w:ascii="Times New Roman" w:hAnsi="Times New Roman" w:cs="黑体"/>
        </w:rPr>
        <w:fldChar w:fldCharType="separate"/>
      </w:r>
      <w:r>
        <w:rPr>
          <w:rFonts w:hint="eastAsia" w:ascii="Times New Roman" w:hAnsi="Times New Roman" w:cs="黑体"/>
        </w:rPr>
        <w:t>69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_Toc1587 </w:instrText>
      </w:r>
      <w:r>
        <w:rPr>
          <w:rFonts w:hint="eastAsia" w:ascii="Times New Roman" w:hAnsi="Times New Roman" w:cs="黑体"/>
        </w:rPr>
        <w:fldChar w:fldCharType="separate"/>
      </w:r>
      <w:r>
        <w:rPr>
          <w:rFonts w:hint="eastAsia" w:ascii="Times New Roman" w:hAnsi="Times New Roman" w:cs="黑体"/>
        </w:rPr>
        <w:t>4.6承包人人员的管理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_Toc1587 \h </w:instrText>
      </w:r>
      <w:r>
        <w:rPr>
          <w:rFonts w:hint="eastAsia" w:ascii="Times New Roman" w:hAnsi="Times New Roman" w:cs="黑体"/>
        </w:rPr>
        <w:fldChar w:fldCharType="separate"/>
      </w:r>
      <w:r>
        <w:rPr>
          <w:rFonts w:hint="eastAsia" w:ascii="Times New Roman" w:hAnsi="Times New Roman" w:cs="黑体"/>
        </w:rPr>
        <w:t>69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_Toc31759 </w:instrText>
      </w:r>
      <w:r>
        <w:rPr>
          <w:rFonts w:hint="eastAsia" w:ascii="Times New Roman" w:hAnsi="Times New Roman" w:cs="黑体"/>
        </w:rPr>
        <w:fldChar w:fldCharType="separate"/>
      </w:r>
      <w:r>
        <w:rPr>
          <w:rFonts w:hint="eastAsia" w:ascii="Times New Roman" w:hAnsi="Times New Roman" w:cs="黑体"/>
        </w:rPr>
        <w:t>4.7撤换承包人项目经理和其他人员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_Toc31759 \h </w:instrText>
      </w:r>
      <w:r>
        <w:rPr>
          <w:rFonts w:hint="eastAsia" w:ascii="Times New Roman" w:hAnsi="Times New Roman" w:cs="黑体"/>
        </w:rPr>
        <w:fldChar w:fldCharType="separate"/>
      </w:r>
      <w:r>
        <w:rPr>
          <w:rFonts w:hint="eastAsia" w:ascii="Times New Roman" w:hAnsi="Times New Roman" w:cs="黑体"/>
        </w:rPr>
        <w:t>70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_Toc1108 </w:instrText>
      </w:r>
      <w:r>
        <w:rPr>
          <w:rFonts w:hint="eastAsia" w:ascii="Times New Roman" w:hAnsi="Times New Roman" w:cs="黑体"/>
        </w:rPr>
        <w:fldChar w:fldCharType="separate"/>
      </w:r>
      <w:r>
        <w:rPr>
          <w:rFonts w:hint="eastAsia" w:ascii="Times New Roman" w:hAnsi="Times New Roman" w:cs="黑体"/>
        </w:rPr>
        <w:t>4.8保障承包人人员的合法权益</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_Toc1108 \h </w:instrText>
      </w:r>
      <w:r>
        <w:rPr>
          <w:rFonts w:hint="eastAsia" w:ascii="Times New Roman" w:hAnsi="Times New Roman" w:cs="黑体"/>
        </w:rPr>
        <w:fldChar w:fldCharType="separate"/>
      </w:r>
      <w:r>
        <w:rPr>
          <w:rFonts w:hint="eastAsia" w:ascii="Times New Roman" w:hAnsi="Times New Roman" w:cs="黑体"/>
        </w:rPr>
        <w:t>70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_Toc16999 </w:instrText>
      </w:r>
      <w:r>
        <w:rPr>
          <w:rFonts w:hint="eastAsia" w:ascii="Times New Roman" w:hAnsi="Times New Roman" w:cs="黑体"/>
        </w:rPr>
        <w:fldChar w:fldCharType="separate"/>
      </w:r>
      <w:r>
        <w:rPr>
          <w:rFonts w:hint="eastAsia" w:ascii="Times New Roman" w:hAnsi="Times New Roman" w:cs="黑体"/>
        </w:rPr>
        <w:t>4.9工程价款应专款专用</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_Toc16999 \h </w:instrText>
      </w:r>
      <w:r>
        <w:rPr>
          <w:rFonts w:hint="eastAsia" w:ascii="Times New Roman" w:hAnsi="Times New Roman" w:cs="黑体"/>
        </w:rPr>
        <w:fldChar w:fldCharType="separate"/>
      </w:r>
      <w:r>
        <w:rPr>
          <w:rFonts w:hint="eastAsia" w:ascii="Times New Roman" w:hAnsi="Times New Roman" w:cs="黑体"/>
        </w:rPr>
        <w:t>70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_Toc1594 </w:instrText>
      </w:r>
      <w:r>
        <w:rPr>
          <w:rFonts w:hint="eastAsia" w:ascii="Times New Roman" w:hAnsi="Times New Roman" w:cs="黑体"/>
        </w:rPr>
        <w:fldChar w:fldCharType="separate"/>
      </w:r>
      <w:r>
        <w:rPr>
          <w:rFonts w:hint="eastAsia" w:ascii="Times New Roman" w:hAnsi="Times New Roman" w:cs="黑体"/>
        </w:rPr>
        <w:t>4.10承包人现场查勘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_Toc1594 \h </w:instrText>
      </w:r>
      <w:r>
        <w:rPr>
          <w:rFonts w:hint="eastAsia" w:ascii="Times New Roman" w:hAnsi="Times New Roman" w:cs="黑体"/>
        </w:rPr>
        <w:fldChar w:fldCharType="separate"/>
      </w:r>
      <w:r>
        <w:rPr>
          <w:rFonts w:hint="eastAsia" w:ascii="Times New Roman" w:hAnsi="Times New Roman" w:cs="黑体"/>
        </w:rPr>
        <w:t>70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_Toc30857 </w:instrText>
      </w:r>
      <w:r>
        <w:rPr>
          <w:rFonts w:hint="eastAsia" w:ascii="Times New Roman" w:hAnsi="Times New Roman" w:cs="黑体"/>
        </w:rPr>
        <w:fldChar w:fldCharType="separate"/>
      </w:r>
      <w:r>
        <w:rPr>
          <w:rFonts w:hint="eastAsia" w:ascii="Times New Roman" w:hAnsi="Times New Roman" w:cs="黑体"/>
        </w:rPr>
        <w:t>4.11不利物质条件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_Toc30857 \h </w:instrText>
      </w:r>
      <w:r>
        <w:rPr>
          <w:rFonts w:hint="eastAsia" w:ascii="Times New Roman" w:hAnsi="Times New Roman" w:cs="黑体"/>
        </w:rPr>
        <w:fldChar w:fldCharType="separate"/>
      </w:r>
      <w:r>
        <w:rPr>
          <w:rFonts w:hint="eastAsia" w:ascii="Times New Roman" w:hAnsi="Times New Roman" w:cs="黑体"/>
        </w:rPr>
        <w:t>70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_Toc117 </w:instrText>
      </w:r>
      <w:r>
        <w:rPr>
          <w:rFonts w:hint="eastAsia" w:ascii="Times New Roman" w:hAnsi="Times New Roman" w:cs="黑体"/>
        </w:rPr>
        <w:fldChar w:fldCharType="separate"/>
      </w:r>
      <w:r>
        <w:rPr>
          <w:rFonts w:hint="eastAsia" w:ascii="Times New Roman" w:hAnsi="Times New Roman" w:cs="黑体"/>
        </w:rPr>
        <w:t>5.材料和工程设备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_Toc117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_Toc17306 </w:instrText>
      </w:r>
      <w:r>
        <w:rPr>
          <w:rFonts w:hint="eastAsia" w:ascii="Times New Roman" w:hAnsi="Times New Roman" w:cs="黑体"/>
        </w:rPr>
        <w:fldChar w:fldCharType="separate"/>
      </w:r>
      <w:r>
        <w:rPr>
          <w:rFonts w:hint="eastAsia" w:ascii="Times New Roman" w:hAnsi="Times New Roman" w:cs="黑体"/>
        </w:rPr>
        <w:t>5.1承包人提供的材料和工程设备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_Toc17306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_Toc17179 </w:instrText>
      </w:r>
      <w:r>
        <w:rPr>
          <w:rFonts w:hint="eastAsia" w:ascii="Times New Roman" w:hAnsi="Times New Roman" w:cs="黑体"/>
        </w:rPr>
        <w:fldChar w:fldCharType="separate"/>
      </w:r>
      <w:r>
        <w:rPr>
          <w:rFonts w:hint="eastAsia" w:ascii="Times New Roman" w:hAnsi="Times New Roman" w:cs="黑体"/>
        </w:rPr>
        <w:t>5.2发包人提供的材料和工程设备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_Toc17179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_Toc7353 </w:instrText>
      </w:r>
      <w:r>
        <w:rPr>
          <w:rFonts w:hint="eastAsia" w:ascii="Times New Roman" w:hAnsi="Times New Roman" w:cs="黑体"/>
        </w:rPr>
        <w:fldChar w:fldCharType="separate"/>
      </w:r>
      <w:r>
        <w:rPr>
          <w:rFonts w:hint="eastAsia" w:ascii="Times New Roman" w:hAnsi="Times New Roman" w:cs="黑体"/>
        </w:rPr>
        <w:t>5.3材料和工程设备专用于合同工程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_Toc7353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_Toc11950 </w:instrText>
      </w:r>
      <w:r>
        <w:rPr>
          <w:rFonts w:hint="eastAsia" w:ascii="Times New Roman" w:hAnsi="Times New Roman" w:cs="黑体"/>
        </w:rPr>
        <w:fldChar w:fldCharType="separate"/>
      </w:r>
      <w:r>
        <w:rPr>
          <w:rFonts w:hint="eastAsia" w:ascii="Times New Roman" w:hAnsi="Times New Roman" w:cs="黑体"/>
        </w:rPr>
        <w:t>5.4禁止使用不合格的材料和工程设备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_Toc11950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_Toc26320 </w:instrText>
      </w:r>
      <w:r>
        <w:rPr>
          <w:rFonts w:hint="eastAsia" w:ascii="Times New Roman" w:hAnsi="Times New Roman" w:cs="黑体"/>
        </w:rPr>
        <w:fldChar w:fldCharType="separate"/>
      </w:r>
      <w:r>
        <w:rPr>
          <w:rFonts w:hint="eastAsia" w:ascii="Times New Roman" w:hAnsi="Times New Roman" w:cs="黑体"/>
        </w:rPr>
        <w:t>6.施工设备和临时设施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_Toc26320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_Toc21785 </w:instrText>
      </w:r>
      <w:r>
        <w:rPr>
          <w:rFonts w:hint="eastAsia" w:ascii="Times New Roman" w:hAnsi="Times New Roman" w:cs="黑体"/>
        </w:rPr>
        <w:fldChar w:fldCharType="separate"/>
      </w:r>
      <w:r>
        <w:rPr>
          <w:rFonts w:hint="eastAsia" w:ascii="Times New Roman" w:hAnsi="Times New Roman" w:cs="黑体"/>
        </w:rPr>
        <w:t>6.1承包人提供的施工设备和临时设施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_Toc21785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_Toc25634 </w:instrText>
      </w:r>
      <w:r>
        <w:rPr>
          <w:rFonts w:hint="eastAsia" w:ascii="Times New Roman" w:hAnsi="Times New Roman" w:cs="黑体"/>
        </w:rPr>
        <w:fldChar w:fldCharType="separate"/>
      </w:r>
      <w:r>
        <w:rPr>
          <w:rFonts w:hint="eastAsia" w:ascii="Times New Roman" w:hAnsi="Times New Roman" w:cs="黑体"/>
        </w:rPr>
        <w:t>6.2发包人提供的施工设备和临时设施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_Toc25634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_Toc3978 </w:instrText>
      </w:r>
      <w:r>
        <w:rPr>
          <w:rFonts w:hint="eastAsia" w:ascii="Times New Roman" w:hAnsi="Times New Roman" w:cs="黑体"/>
        </w:rPr>
        <w:fldChar w:fldCharType="separate"/>
      </w:r>
      <w:r>
        <w:rPr>
          <w:rFonts w:hint="eastAsia" w:ascii="Times New Roman" w:hAnsi="Times New Roman" w:cs="黑体"/>
        </w:rPr>
        <w:t>6.3要求承包人增加或更换施工设备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_Toc3978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_Toc4406 </w:instrText>
      </w:r>
      <w:r>
        <w:rPr>
          <w:rFonts w:hint="eastAsia" w:ascii="Times New Roman" w:hAnsi="Times New Roman" w:cs="黑体"/>
        </w:rPr>
        <w:fldChar w:fldCharType="separate"/>
      </w:r>
      <w:r>
        <w:rPr>
          <w:rFonts w:hint="eastAsia" w:ascii="Times New Roman" w:hAnsi="Times New Roman" w:cs="黑体"/>
        </w:rPr>
        <w:t>6.4施工设备和临时设施专用于合同工程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_Toc4406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_Toc6203 </w:instrText>
      </w:r>
      <w:r>
        <w:rPr>
          <w:rFonts w:hint="eastAsia" w:ascii="Times New Roman" w:hAnsi="Times New Roman" w:cs="黑体"/>
        </w:rPr>
        <w:fldChar w:fldCharType="separate"/>
      </w:r>
      <w:r>
        <w:rPr>
          <w:rFonts w:hint="eastAsia" w:ascii="Times New Roman" w:hAnsi="Times New Roman" w:cs="黑体"/>
        </w:rPr>
        <w:t>7.交通运输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_Toc6203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_Toc22527 </w:instrText>
      </w:r>
      <w:r>
        <w:rPr>
          <w:rFonts w:hint="eastAsia" w:ascii="Times New Roman" w:hAnsi="Times New Roman" w:cs="黑体"/>
        </w:rPr>
        <w:fldChar w:fldCharType="separate"/>
      </w:r>
      <w:r>
        <w:rPr>
          <w:rFonts w:hint="eastAsia" w:ascii="Times New Roman" w:hAnsi="Times New Roman" w:cs="黑体"/>
        </w:rPr>
        <w:t>7.1道路通行权和场外设施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_Toc22527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_Toc25981 </w:instrText>
      </w:r>
      <w:r>
        <w:rPr>
          <w:rFonts w:hint="eastAsia" w:ascii="Times New Roman" w:hAnsi="Times New Roman" w:cs="黑体"/>
        </w:rPr>
        <w:fldChar w:fldCharType="separate"/>
      </w:r>
      <w:r>
        <w:rPr>
          <w:rFonts w:hint="eastAsia" w:ascii="Times New Roman" w:hAnsi="Times New Roman" w:cs="黑体"/>
        </w:rPr>
        <w:t>7.2场内施工道路</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_Toc25981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_Toc19711 </w:instrText>
      </w:r>
      <w:r>
        <w:rPr>
          <w:rFonts w:hint="eastAsia" w:ascii="Times New Roman" w:hAnsi="Times New Roman" w:cs="黑体"/>
        </w:rPr>
        <w:fldChar w:fldCharType="separate"/>
      </w:r>
      <w:r>
        <w:rPr>
          <w:rFonts w:hint="eastAsia" w:ascii="Times New Roman" w:hAnsi="Times New Roman" w:cs="黑体"/>
        </w:rPr>
        <w:t>7.3场外交通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_Toc19711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_Toc32039 </w:instrText>
      </w:r>
      <w:r>
        <w:rPr>
          <w:rFonts w:hint="eastAsia" w:ascii="Times New Roman" w:hAnsi="Times New Roman" w:cs="黑体"/>
        </w:rPr>
        <w:fldChar w:fldCharType="separate"/>
      </w:r>
      <w:r>
        <w:rPr>
          <w:rFonts w:hint="eastAsia" w:ascii="Times New Roman" w:hAnsi="Times New Roman" w:cs="黑体"/>
        </w:rPr>
        <w:t>7.4超大件和超重件的运输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_Toc32039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_Toc11473 </w:instrText>
      </w:r>
      <w:r>
        <w:rPr>
          <w:rFonts w:hint="eastAsia" w:ascii="Times New Roman" w:hAnsi="Times New Roman" w:cs="黑体"/>
        </w:rPr>
        <w:fldChar w:fldCharType="separate"/>
      </w:r>
      <w:r>
        <w:rPr>
          <w:rFonts w:hint="eastAsia" w:ascii="Times New Roman" w:hAnsi="Times New Roman" w:cs="黑体"/>
        </w:rPr>
        <w:t>7.5道路和桥梁的损坏责任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_Toc11473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_Toc16605 </w:instrText>
      </w:r>
      <w:r>
        <w:rPr>
          <w:rFonts w:hint="eastAsia" w:ascii="Times New Roman" w:hAnsi="Times New Roman" w:cs="黑体"/>
        </w:rPr>
        <w:fldChar w:fldCharType="separate"/>
      </w:r>
      <w:r>
        <w:rPr>
          <w:rFonts w:hint="eastAsia" w:ascii="Times New Roman" w:hAnsi="Times New Roman" w:cs="黑体"/>
        </w:rPr>
        <w:t>7.6水路和航空运输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_Toc16605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_Toc12621 </w:instrText>
      </w:r>
      <w:r>
        <w:rPr>
          <w:rFonts w:hint="eastAsia" w:ascii="Times New Roman" w:hAnsi="Times New Roman" w:cs="黑体"/>
        </w:rPr>
        <w:fldChar w:fldCharType="separate"/>
      </w:r>
      <w:r>
        <w:rPr>
          <w:rFonts w:hint="eastAsia" w:ascii="Times New Roman" w:hAnsi="Times New Roman" w:cs="黑体"/>
        </w:rPr>
        <w:t>8.测量放线</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_Toc12621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_Toc22836 </w:instrText>
      </w:r>
      <w:r>
        <w:rPr>
          <w:rFonts w:hint="eastAsia" w:ascii="Times New Roman" w:hAnsi="Times New Roman" w:cs="黑体"/>
        </w:rPr>
        <w:fldChar w:fldCharType="separate"/>
      </w:r>
      <w:r>
        <w:rPr>
          <w:rFonts w:hint="eastAsia" w:ascii="Times New Roman" w:hAnsi="Times New Roman" w:cs="黑体"/>
        </w:rPr>
        <w:t>8.1施工控制网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_Toc22836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_Toc14601 </w:instrText>
      </w:r>
      <w:r>
        <w:rPr>
          <w:rFonts w:hint="eastAsia" w:ascii="Times New Roman" w:hAnsi="Times New Roman" w:cs="黑体"/>
        </w:rPr>
        <w:fldChar w:fldCharType="separate"/>
      </w:r>
      <w:r>
        <w:rPr>
          <w:rFonts w:hint="eastAsia" w:ascii="Times New Roman" w:hAnsi="Times New Roman" w:cs="黑体"/>
        </w:rPr>
        <w:t>8.2施工测量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_Toc14601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_Toc2394 </w:instrText>
      </w:r>
      <w:r>
        <w:rPr>
          <w:rFonts w:hint="eastAsia" w:ascii="Times New Roman" w:hAnsi="Times New Roman" w:cs="黑体"/>
        </w:rPr>
        <w:fldChar w:fldCharType="separate"/>
      </w:r>
      <w:r>
        <w:rPr>
          <w:rFonts w:hint="eastAsia" w:ascii="Times New Roman" w:hAnsi="Times New Roman" w:cs="黑体"/>
        </w:rPr>
        <w:t>8.3基准资料错误的责任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_Toc2394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_Toc9642 </w:instrText>
      </w:r>
      <w:r>
        <w:rPr>
          <w:rFonts w:hint="eastAsia" w:ascii="Times New Roman" w:hAnsi="Times New Roman" w:cs="黑体"/>
        </w:rPr>
        <w:fldChar w:fldCharType="separate"/>
      </w:r>
      <w:r>
        <w:rPr>
          <w:rFonts w:hint="eastAsia" w:ascii="Times New Roman" w:hAnsi="Times New Roman" w:cs="黑体"/>
        </w:rPr>
        <w:t>8.4监理人使用施工控制网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_Toc9642 \h </w:instrText>
      </w:r>
      <w:r>
        <w:rPr>
          <w:rFonts w:hint="eastAsia" w:ascii="Times New Roman" w:hAnsi="Times New Roman" w:cs="黑体"/>
        </w:rPr>
        <w:fldChar w:fldCharType="separate"/>
      </w:r>
      <w:r>
        <w:rPr>
          <w:rFonts w:hint="eastAsia" w:ascii="Times New Roman" w:hAnsi="Times New Roman" w:cs="黑体"/>
        </w:rPr>
        <w:t>74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_Toc21220 </w:instrText>
      </w:r>
      <w:r>
        <w:rPr>
          <w:rFonts w:hint="eastAsia" w:ascii="Times New Roman" w:hAnsi="Times New Roman" w:cs="黑体"/>
        </w:rPr>
        <w:fldChar w:fldCharType="separate"/>
      </w:r>
      <w:r>
        <w:rPr>
          <w:rFonts w:hint="eastAsia" w:ascii="Times New Roman" w:hAnsi="Times New Roman" w:cs="黑体"/>
        </w:rPr>
        <w:t>8. 5补充地质勘探</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_Toc21220 \h </w:instrText>
      </w:r>
      <w:r>
        <w:rPr>
          <w:rFonts w:hint="eastAsia" w:ascii="Times New Roman" w:hAnsi="Times New Roman" w:cs="黑体"/>
        </w:rPr>
        <w:fldChar w:fldCharType="separate"/>
      </w:r>
      <w:r>
        <w:rPr>
          <w:rFonts w:hint="eastAsia" w:ascii="Times New Roman" w:hAnsi="Times New Roman" w:cs="黑体"/>
        </w:rPr>
        <w:t>74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_Toc1764 </w:instrText>
      </w:r>
      <w:r>
        <w:rPr>
          <w:rFonts w:hint="eastAsia" w:ascii="Times New Roman" w:hAnsi="Times New Roman" w:cs="黑体"/>
        </w:rPr>
        <w:fldChar w:fldCharType="separate"/>
      </w:r>
      <w:r>
        <w:rPr>
          <w:rFonts w:hint="eastAsia" w:ascii="Times New Roman" w:hAnsi="Times New Roman" w:cs="黑体"/>
        </w:rPr>
        <w:t>9.施工安全、治安保卫和环境保护</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_Toc1764 \h </w:instrText>
      </w:r>
      <w:r>
        <w:rPr>
          <w:rFonts w:hint="eastAsia" w:ascii="Times New Roman" w:hAnsi="Times New Roman" w:cs="黑体"/>
        </w:rPr>
        <w:fldChar w:fldCharType="separate"/>
      </w:r>
      <w:r>
        <w:rPr>
          <w:rFonts w:hint="eastAsia" w:ascii="Times New Roman" w:hAnsi="Times New Roman" w:cs="黑体"/>
        </w:rPr>
        <w:t>74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_Toc12614 </w:instrText>
      </w:r>
      <w:r>
        <w:rPr>
          <w:rFonts w:hint="eastAsia" w:ascii="Times New Roman" w:hAnsi="Times New Roman" w:cs="黑体"/>
        </w:rPr>
        <w:fldChar w:fldCharType="separate"/>
      </w:r>
      <w:r>
        <w:rPr>
          <w:rFonts w:hint="eastAsia" w:ascii="Times New Roman" w:hAnsi="Times New Roman" w:cs="黑体"/>
        </w:rPr>
        <w:t>9.1发包人的施工安全责任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_Toc12614 \h </w:instrText>
      </w:r>
      <w:r>
        <w:rPr>
          <w:rFonts w:hint="eastAsia" w:ascii="Times New Roman" w:hAnsi="Times New Roman" w:cs="黑体"/>
        </w:rPr>
        <w:fldChar w:fldCharType="separate"/>
      </w:r>
      <w:r>
        <w:rPr>
          <w:rFonts w:hint="eastAsia" w:ascii="Times New Roman" w:hAnsi="Times New Roman" w:cs="黑体"/>
        </w:rPr>
        <w:t>74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_Toc12974 </w:instrText>
      </w:r>
      <w:r>
        <w:rPr>
          <w:rFonts w:hint="eastAsia" w:ascii="Times New Roman" w:hAnsi="Times New Roman" w:cs="黑体"/>
        </w:rPr>
        <w:fldChar w:fldCharType="separate"/>
      </w:r>
      <w:r>
        <w:rPr>
          <w:rFonts w:hint="eastAsia" w:ascii="Times New Roman" w:hAnsi="Times New Roman" w:cs="黑体"/>
        </w:rPr>
        <w:t>9.2承包人的施工安全责任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_Toc12974 \h </w:instrText>
      </w:r>
      <w:r>
        <w:rPr>
          <w:rFonts w:hint="eastAsia" w:ascii="Times New Roman" w:hAnsi="Times New Roman" w:cs="黑体"/>
        </w:rPr>
        <w:fldChar w:fldCharType="separate"/>
      </w:r>
      <w:r>
        <w:rPr>
          <w:rFonts w:hint="eastAsia" w:ascii="Times New Roman" w:hAnsi="Times New Roman" w:cs="黑体"/>
        </w:rPr>
        <w:t>74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_Toc29120 </w:instrText>
      </w:r>
      <w:r>
        <w:rPr>
          <w:rFonts w:hint="eastAsia" w:ascii="Times New Roman" w:hAnsi="Times New Roman" w:cs="黑体"/>
        </w:rPr>
        <w:fldChar w:fldCharType="separate"/>
      </w:r>
      <w:r>
        <w:rPr>
          <w:rFonts w:hint="eastAsia" w:ascii="Times New Roman" w:hAnsi="Times New Roman" w:cs="黑体"/>
        </w:rPr>
        <w:t>9.3治安保卫</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_Toc29120 \h </w:instrText>
      </w:r>
      <w:r>
        <w:rPr>
          <w:rFonts w:hint="eastAsia" w:ascii="Times New Roman" w:hAnsi="Times New Roman" w:cs="黑体"/>
        </w:rPr>
        <w:fldChar w:fldCharType="separate"/>
      </w:r>
      <w:r>
        <w:rPr>
          <w:rFonts w:hint="eastAsia" w:ascii="Times New Roman" w:hAnsi="Times New Roman" w:cs="黑体"/>
        </w:rPr>
        <w:t>75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_Toc23515 </w:instrText>
      </w:r>
      <w:r>
        <w:rPr>
          <w:rFonts w:hint="eastAsia" w:ascii="Times New Roman" w:hAnsi="Times New Roman" w:cs="黑体"/>
        </w:rPr>
        <w:fldChar w:fldCharType="separate"/>
      </w:r>
      <w:r>
        <w:rPr>
          <w:rFonts w:hint="eastAsia" w:ascii="Times New Roman" w:hAnsi="Times New Roman" w:cs="黑体"/>
        </w:rPr>
        <w:t>9.4环境保护</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_Toc23515 \h </w:instrText>
      </w:r>
      <w:r>
        <w:rPr>
          <w:rFonts w:hint="eastAsia" w:ascii="Times New Roman" w:hAnsi="Times New Roman" w:cs="黑体"/>
        </w:rPr>
        <w:fldChar w:fldCharType="separate"/>
      </w:r>
      <w:r>
        <w:rPr>
          <w:rFonts w:hint="eastAsia" w:ascii="Times New Roman" w:hAnsi="Times New Roman" w:cs="黑体"/>
        </w:rPr>
        <w:t>75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_Toc5127 </w:instrText>
      </w:r>
      <w:r>
        <w:rPr>
          <w:rFonts w:hint="eastAsia" w:ascii="Times New Roman" w:hAnsi="Times New Roman" w:cs="黑体"/>
        </w:rPr>
        <w:fldChar w:fldCharType="separate"/>
      </w:r>
      <w:r>
        <w:rPr>
          <w:rFonts w:hint="eastAsia" w:ascii="Times New Roman" w:hAnsi="Times New Roman" w:cs="黑体"/>
        </w:rPr>
        <w:t>9.5事故处理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_Toc5127 \h </w:instrText>
      </w:r>
      <w:r>
        <w:rPr>
          <w:rFonts w:hint="eastAsia" w:ascii="Times New Roman" w:hAnsi="Times New Roman" w:cs="黑体"/>
        </w:rPr>
        <w:fldChar w:fldCharType="separate"/>
      </w:r>
      <w:r>
        <w:rPr>
          <w:rFonts w:hint="eastAsia" w:ascii="Times New Roman" w:hAnsi="Times New Roman" w:cs="黑体"/>
        </w:rPr>
        <w:t>76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_Toc696 </w:instrText>
      </w:r>
      <w:r>
        <w:rPr>
          <w:rFonts w:hint="eastAsia" w:ascii="Times New Roman" w:hAnsi="Times New Roman" w:cs="黑体"/>
        </w:rPr>
        <w:fldChar w:fldCharType="separate"/>
      </w:r>
      <w:r>
        <w:rPr>
          <w:rFonts w:hint="eastAsia" w:ascii="Times New Roman" w:hAnsi="Times New Roman" w:cs="黑体"/>
        </w:rPr>
        <w:t>9.6水土保持</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_Toc696 \h </w:instrText>
      </w:r>
      <w:r>
        <w:rPr>
          <w:rFonts w:hint="eastAsia" w:ascii="Times New Roman" w:hAnsi="Times New Roman" w:cs="黑体"/>
        </w:rPr>
        <w:fldChar w:fldCharType="separate"/>
      </w:r>
      <w:r>
        <w:rPr>
          <w:rFonts w:hint="eastAsia" w:ascii="Times New Roman" w:hAnsi="Times New Roman" w:cs="黑体"/>
        </w:rPr>
        <w:t>76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_Toc16635 </w:instrText>
      </w:r>
      <w:r>
        <w:rPr>
          <w:rFonts w:hint="eastAsia" w:ascii="Times New Roman" w:hAnsi="Times New Roman" w:cs="黑体"/>
        </w:rPr>
        <w:fldChar w:fldCharType="separate"/>
      </w:r>
      <w:r>
        <w:rPr>
          <w:rFonts w:hint="eastAsia" w:ascii="Times New Roman" w:hAnsi="Times New Roman" w:cs="黑体"/>
        </w:rPr>
        <w:t>9.7文明工地</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_Toc16635 \h </w:instrText>
      </w:r>
      <w:r>
        <w:rPr>
          <w:rFonts w:hint="eastAsia" w:ascii="Times New Roman" w:hAnsi="Times New Roman" w:cs="黑体"/>
        </w:rPr>
        <w:fldChar w:fldCharType="separate"/>
      </w:r>
      <w:r>
        <w:rPr>
          <w:rFonts w:hint="eastAsia" w:ascii="Times New Roman" w:hAnsi="Times New Roman" w:cs="黑体"/>
        </w:rPr>
        <w:t>76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_Toc14175 </w:instrText>
      </w:r>
      <w:r>
        <w:rPr>
          <w:rFonts w:hint="eastAsia" w:ascii="Times New Roman" w:hAnsi="Times New Roman" w:cs="黑体"/>
        </w:rPr>
        <w:fldChar w:fldCharType="separate"/>
      </w:r>
      <w:r>
        <w:rPr>
          <w:rFonts w:hint="eastAsia" w:ascii="Times New Roman" w:hAnsi="Times New Roman" w:cs="黑体"/>
        </w:rPr>
        <w:t>9.8防汛度汛</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_Toc14175 \h </w:instrText>
      </w:r>
      <w:r>
        <w:rPr>
          <w:rFonts w:hint="eastAsia" w:ascii="Times New Roman" w:hAnsi="Times New Roman" w:cs="黑体"/>
        </w:rPr>
        <w:fldChar w:fldCharType="separate"/>
      </w:r>
      <w:r>
        <w:rPr>
          <w:rFonts w:hint="eastAsia" w:ascii="Times New Roman" w:hAnsi="Times New Roman" w:cs="黑体"/>
        </w:rPr>
        <w:t>76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_Toc4122 </w:instrText>
      </w:r>
      <w:r>
        <w:rPr>
          <w:rFonts w:hint="eastAsia" w:ascii="Times New Roman" w:hAnsi="Times New Roman" w:cs="黑体"/>
        </w:rPr>
        <w:fldChar w:fldCharType="separate"/>
      </w:r>
      <w:r>
        <w:rPr>
          <w:rFonts w:hint="eastAsia" w:ascii="Times New Roman" w:hAnsi="Times New Roman" w:cs="黑体"/>
        </w:rPr>
        <w:t>10.进度计划</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_Toc4122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_Toc9184 </w:instrText>
      </w:r>
      <w:r>
        <w:rPr>
          <w:rFonts w:hint="eastAsia" w:ascii="Times New Roman" w:hAnsi="Times New Roman" w:cs="黑体"/>
        </w:rPr>
        <w:fldChar w:fldCharType="separate"/>
      </w:r>
      <w:r>
        <w:rPr>
          <w:rFonts w:hint="eastAsia" w:ascii="Times New Roman" w:hAnsi="Times New Roman" w:cs="黑体"/>
        </w:rPr>
        <w:t>10.1合同进度计划</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_Toc9184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_Toc22940 </w:instrText>
      </w:r>
      <w:r>
        <w:rPr>
          <w:rFonts w:hint="eastAsia" w:ascii="Times New Roman" w:hAnsi="Times New Roman" w:cs="黑体"/>
        </w:rPr>
        <w:fldChar w:fldCharType="separate"/>
      </w:r>
      <w:r>
        <w:rPr>
          <w:rFonts w:hint="eastAsia" w:ascii="Times New Roman" w:hAnsi="Times New Roman" w:cs="黑体"/>
        </w:rPr>
        <w:t>10.2合同进度计划的修订</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_Toc22940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_Toc17518 </w:instrText>
      </w:r>
      <w:r>
        <w:rPr>
          <w:rFonts w:hint="eastAsia" w:ascii="Times New Roman" w:hAnsi="Times New Roman" w:cs="黑体"/>
        </w:rPr>
        <w:fldChar w:fldCharType="separate"/>
      </w:r>
      <w:r>
        <w:rPr>
          <w:rFonts w:hint="eastAsia" w:ascii="Times New Roman" w:hAnsi="Times New Roman" w:cs="黑体"/>
        </w:rPr>
        <w:t>10.3单位工程进度计划</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_Toc17518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_Toc600 </w:instrText>
      </w:r>
      <w:r>
        <w:rPr>
          <w:rFonts w:hint="eastAsia" w:ascii="Times New Roman" w:hAnsi="Times New Roman" w:cs="黑体"/>
        </w:rPr>
        <w:fldChar w:fldCharType="separate"/>
      </w:r>
      <w:r>
        <w:rPr>
          <w:rFonts w:hint="eastAsia" w:ascii="Times New Roman" w:hAnsi="Times New Roman" w:cs="黑体"/>
        </w:rPr>
        <w:t>10.4提交资金流估算表</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_Toc600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_Toc9773 </w:instrText>
      </w:r>
      <w:r>
        <w:rPr>
          <w:rFonts w:hint="eastAsia" w:ascii="Times New Roman" w:hAnsi="Times New Roman" w:cs="黑体"/>
        </w:rPr>
        <w:fldChar w:fldCharType="separate"/>
      </w:r>
      <w:r>
        <w:rPr>
          <w:rFonts w:hint="eastAsia" w:ascii="Times New Roman" w:hAnsi="Times New Roman" w:cs="黑体"/>
        </w:rPr>
        <w:t>11. 开工和竣工（完工）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_Toc9773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_Toc22496 </w:instrText>
      </w:r>
      <w:r>
        <w:rPr>
          <w:rFonts w:hint="eastAsia" w:ascii="Times New Roman" w:hAnsi="Times New Roman" w:cs="黑体"/>
        </w:rPr>
        <w:fldChar w:fldCharType="separate"/>
      </w:r>
      <w:r>
        <w:rPr>
          <w:rFonts w:hint="eastAsia" w:ascii="Times New Roman" w:hAnsi="Times New Roman" w:cs="黑体"/>
        </w:rPr>
        <w:t>11.1 开工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_Toc22496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_Toc2403 </w:instrText>
      </w:r>
      <w:r>
        <w:rPr>
          <w:rFonts w:hint="eastAsia" w:ascii="Times New Roman" w:hAnsi="Times New Roman" w:cs="黑体"/>
        </w:rPr>
        <w:fldChar w:fldCharType="separate"/>
      </w:r>
      <w:r>
        <w:rPr>
          <w:rFonts w:hint="eastAsia" w:ascii="Times New Roman" w:hAnsi="Times New Roman" w:cs="黑体"/>
        </w:rPr>
        <w:t>11.2竣工(完工)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_Toc2403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_Toc1656 </w:instrText>
      </w:r>
      <w:r>
        <w:rPr>
          <w:rFonts w:hint="eastAsia" w:ascii="Times New Roman" w:hAnsi="Times New Roman" w:cs="黑体"/>
        </w:rPr>
        <w:fldChar w:fldCharType="separate"/>
      </w:r>
      <w:r>
        <w:rPr>
          <w:rFonts w:hint="eastAsia" w:ascii="Times New Roman" w:hAnsi="Times New Roman" w:cs="黑体"/>
        </w:rPr>
        <w:t>11.3发包人的工期延误</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_Toc1656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_Toc27145 </w:instrText>
      </w:r>
      <w:r>
        <w:rPr>
          <w:rFonts w:hint="eastAsia" w:ascii="Times New Roman" w:hAnsi="Times New Roman" w:cs="黑体"/>
        </w:rPr>
        <w:fldChar w:fldCharType="separate"/>
      </w:r>
      <w:r>
        <w:rPr>
          <w:rFonts w:hint="eastAsia" w:ascii="Times New Roman" w:hAnsi="Times New Roman" w:cs="黑体"/>
        </w:rPr>
        <w:t>11.4异常恶劣的气候条件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_Toc27145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_Toc16345 </w:instrText>
      </w:r>
      <w:r>
        <w:rPr>
          <w:rFonts w:hint="eastAsia" w:ascii="Times New Roman" w:hAnsi="Times New Roman" w:cs="黑体"/>
        </w:rPr>
        <w:fldChar w:fldCharType="separate"/>
      </w:r>
      <w:r>
        <w:rPr>
          <w:rFonts w:hint="eastAsia" w:ascii="Times New Roman" w:hAnsi="Times New Roman" w:cs="黑体"/>
        </w:rPr>
        <w:t>11.5承包人工期延误</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_Toc16345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_Toc18962 </w:instrText>
      </w:r>
      <w:r>
        <w:rPr>
          <w:rFonts w:hint="eastAsia" w:ascii="Times New Roman" w:hAnsi="Times New Roman" w:cs="黑体"/>
        </w:rPr>
        <w:fldChar w:fldCharType="separate"/>
      </w:r>
      <w:r>
        <w:rPr>
          <w:rFonts w:hint="eastAsia" w:ascii="Times New Roman" w:hAnsi="Times New Roman" w:cs="黑体"/>
        </w:rPr>
        <w:t>11.6工期提前</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_Toc18962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_Toc8406 </w:instrText>
      </w:r>
      <w:r>
        <w:rPr>
          <w:rFonts w:hint="eastAsia" w:ascii="Times New Roman" w:hAnsi="Times New Roman" w:cs="黑体"/>
        </w:rPr>
        <w:fldChar w:fldCharType="separate"/>
      </w:r>
      <w:r>
        <w:rPr>
          <w:rFonts w:hint="eastAsia" w:ascii="Times New Roman" w:hAnsi="Times New Roman" w:cs="黑体"/>
        </w:rPr>
        <w:t>12.暂停施工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_Toc8406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_Toc13041 </w:instrText>
      </w:r>
      <w:r>
        <w:rPr>
          <w:rFonts w:hint="eastAsia" w:ascii="Times New Roman" w:hAnsi="Times New Roman" w:cs="黑体"/>
        </w:rPr>
        <w:fldChar w:fldCharType="separate"/>
      </w:r>
      <w:r>
        <w:rPr>
          <w:rFonts w:hint="eastAsia" w:ascii="Times New Roman" w:hAnsi="Times New Roman" w:cs="黑体"/>
        </w:rPr>
        <w:t>12.1承包人暂停施工的责任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_Toc13041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_Toc5468 </w:instrText>
      </w:r>
      <w:r>
        <w:rPr>
          <w:rFonts w:hint="eastAsia" w:ascii="Times New Roman" w:hAnsi="Times New Roman" w:cs="黑体"/>
        </w:rPr>
        <w:fldChar w:fldCharType="separate"/>
      </w:r>
      <w:r>
        <w:rPr>
          <w:rFonts w:hint="eastAsia" w:ascii="Times New Roman" w:hAnsi="Times New Roman" w:cs="黑体"/>
        </w:rPr>
        <w:t>12.2发包人暂停施工的责任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_Toc5468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_Toc20500 </w:instrText>
      </w:r>
      <w:r>
        <w:rPr>
          <w:rFonts w:hint="eastAsia" w:ascii="Times New Roman" w:hAnsi="Times New Roman" w:cs="黑体"/>
        </w:rPr>
        <w:fldChar w:fldCharType="separate"/>
      </w:r>
      <w:r>
        <w:rPr>
          <w:rFonts w:hint="eastAsia" w:ascii="Times New Roman" w:hAnsi="Times New Roman" w:cs="黑体"/>
        </w:rPr>
        <w:t>12.3监理人暂停施工指示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_Toc20500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_Toc13682 </w:instrText>
      </w:r>
      <w:r>
        <w:rPr>
          <w:rFonts w:hint="eastAsia" w:ascii="Times New Roman" w:hAnsi="Times New Roman" w:cs="黑体"/>
        </w:rPr>
        <w:fldChar w:fldCharType="separate"/>
      </w:r>
      <w:r>
        <w:rPr>
          <w:rFonts w:hint="eastAsia" w:ascii="Times New Roman" w:hAnsi="Times New Roman" w:cs="黑体"/>
        </w:rPr>
        <w:t>12.4暂停施工后的复工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_Toc13682 \h </w:instrText>
      </w:r>
      <w:r>
        <w:rPr>
          <w:rFonts w:hint="eastAsia" w:ascii="Times New Roman" w:hAnsi="Times New Roman" w:cs="黑体"/>
        </w:rPr>
        <w:fldChar w:fldCharType="separate"/>
      </w:r>
      <w:r>
        <w:rPr>
          <w:rFonts w:hint="eastAsia" w:ascii="Times New Roman" w:hAnsi="Times New Roman" w:cs="黑体"/>
        </w:rPr>
        <w:t>80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_Toc21105 </w:instrText>
      </w:r>
      <w:r>
        <w:rPr>
          <w:rFonts w:hint="eastAsia" w:ascii="Times New Roman" w:hAnsi="Times New Roman" w:cs="黑体"/>
        </w:rPr>
        <w:fldChar w:fldCharType="separate"/>
      </w:r>
      <w:r>
        <w:rPr>
          <w:rFonts w:hint="eastAsia" w:ascii="Times New Roman" w:hAnsi="Times New Roman" w:cs="黑体"/>
        </w:rPr>
        <w:t>12.5暂停施工持续56天以上</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_Toc21105 \h </w:instrText>
      </w:r>
      <w:r>
        <w:rPr>
          <w:rFonts w:hint="eastAsia" w:ascii="Times New Roman" w:hAnsi="Times New Roman" w:cs="黑体"/>
        </w:rPr>
        <w:fldChar w:fldCharType="separate"/>
      </w:r>
      <w:r>
        <w:rPr>
          <w:rFonts w:hint="eastAsia" w:ascii="Times New Roman" w:hAnsi="Times New Roman" w:cs="黑体"/>
        </w:rPr>
        <w:t>80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_Toc11034 </w:instrText>
      </w:r>
      <w:r>
        <w:rPr>
          <w:rFonts w:hint="eastAsia" w:ascii="Times New Roman" w:hAnsi="Times New Roman" w:cs="黑体"/>
        </w:rPr>
        <w:fldChar w:fldCharType="separate"/>
      </w:r>
      <w:r>
        <w:rPr>
          <w:rFonts w:hint="eastAsia" w:ascii="Times New Roman" w:hAnsi="Times New Roman" w:cs="黑体"/>
        </w:rPr>
        <w:t>13.工程质量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_Toc11034 \h </w:instrText>
      </w:r>
      <w:r>
        <w:rPr>
          <w:rFonts w:hint="eastAsia" w:ascii="Times New Roman" w:hAnsi="Times New Roman" w:cs="黑体"/>
        </w:rPr>
        <w:fldChar w:fldCharType="separate"/>
      </w:r>
      <w:r>
        <w:rPr>
          <w:rFonts w:hint="eastAsia" w:ascii="Times New Roman" w:hAnsi="Times New Roman" w:cs="黑体"/>
        </w:rPr>
        <w:t>80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_Toc3424 </w:instrText>
      </w:r>
      <w:r>
        <w:rPr>
          <w:rFonts w:hint="eastAsia" w:ascii="Times New Roman" w:hAnsi="Times New Roman" w:cs="黑体"/>
        </w:rPr>
        <w:fldChar w:fldCharType="separate"/>
      </w:r>
      <w:r>
        <w:rPr>
          <w:rFonts w:hint="eastAsia" w:ascii="Times New Roman" w:hAnsi="Times New Roman" w:cs="黑体"/>
        </w:rPr>
        <w:t>13.1工程质量要求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_Toc3424 \h </w:instrText>
      </w:r>
      <w:r>
        <w:rPr>
          <w:rFonts w:hint="eastAsia" w:ascii="Times New Roman" w:hAnsi="Times New Roman" w:cs="黑体"/>
        </w:rPr>
        <w:fldChar w:fldCharType="separate"/>
      </w:r>
      <w:r>
        <w:rPr>
          <w:rFonts w:hint="eastAsia" w:ascii="Times New Roman" w:hAnsi="Times New Roman" w:cs="黑体"/>
        </w:rPr>
        <w:t>80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_Toc28732 </w:instrText>
      </w:r>
      <w:r>
        <w:rPr>
          <w:rFonts w:hint="eastAsia" w:ascii="Times New Roman" w:hAnsi="Times New Roman" w:cs="黑体"/>
        </w:rPr>
        <w:fldChar w:fldCharType="separate"/>
      </w:r>
      <w:r>
        <w:rPr>
          <w:rFonts w:hint="eastAsia" w:ascii="Times New Roman" w:hAnsi="Times New Roman" w:cs="黑体"/>
        </w:rPr>
        <w:t>13.2承包人的质量管理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_Toc28732 \h </w:instrText>
      </w:r>
      <w:r>
        <w:rPr>
          <w:rFonts w:hint="eastAsia" w:ascii="Times New Roman" w:hAnsi="Times New Roman" w:cs="黑体"/>
        </w:rPr>
        <w:fldChar w:fldCharType="separate"/>
      </w:r>
      <w:r>
        <w:rPr>
          <w:rFonts w:hint="eastAsia" w:ascii="Times New Roman" w:hAnsi="Times New Roman" w:cs="黑体"/>
        </w:rPr>
        <w:t>80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_Toc32592 </w:instrText>
      </w:r>
      <w:r>
        <w:rPr>
          <w:rFonts w:hint="eastAsia" w:ascii="Times New Roman" w:hAnsi="Times New Roman" w:cs="黑体"/>
        </w:rPr>
        <w:fldChar w:fldCharType="separate"/>
      </w:r>
      <w:r>
        <w:rPr>
          <w:rFonts w:hint="eastAsia" w:ascii="Times New Roman" w:hAnsi="Times New Roman" w:cs="黑体"/>
        </w:rPr>
        <w:t>13.3承包人的质量检查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_Toc32592 \h </w:instrText>
      </w:r>
      <w:r>
        <w:rPr>
          <w:rFonts w:hint="eastAsia" w:ascii="Times New Roman" w:hAnsi="Times New Roman" w:cs="黑体"/>
        </w:rPr>
        <w:fldChar w:fldCharType="separate"/>
      </w:r>
      <w:r>
        <w:rPr>
          <w:rFonts w:hint="eastAsia" w:ascii="Times New Roman" w:hAnsi="Times New Roman" w:cs="黑体"/>
        </w:rPr>
        <w:t>80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_Toc27917 </w:instrText>
      </w:r>
      <w:r>
        <w:rPr>
          <w:rFonts w:hint="eastAsia" w:ascii="Times New Roman" w:hAnsi="Times New Roman" w:cs="黑体"/>
        </w:rPr>
        <w:fldChar w:fldCharType="separate"/>
      </w:r>
      <w:r>
        <w:rPr>
          <w:rFonts w:hint="eastAsia" w:ascii="Times New Roman" w:hAnsi="Times New Roman" w:cs="黑体"/>
        </w:rPr>
        <w:t>13.4监理人的质量检查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_Toc27917 \h </w:instrText>
      </w:r>
      <w:r>
        <w:rPr>
          <w:rFonts w:hint="eastAsia" w:ascii="Times New Roman" w:hAnsi="Times New Roman" w:cs="黑体"/>
        </w:rPr>
        <w:fldChar w:fldCharType="separate"/>
      </w:r>
      <w:r>
        <w:rPr>
          <w:rFonts w:hint="eastAsia" w:ascii="Times New Roman" w:hAnsi="Times New Roman" w:cs="黑体"/>
        </w:rPr>
        <w:t>81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_Toc19739 </w:instrText>
      </w:r>
      <w:r>
        <w:rPr>
          <w:rFonts w:hint="eastAsia" w:ascii="Times New Roman" w:hAnsi="Times New Roman" w:cs="黑体"/>
        </w:rPr>
        <w:fldChar w:fldCharType="separate"/>
      </w:r>
      <w:r>
        <w:rPr>
          <w:rFonts w:hint="eastAsia" w:ascii="Times New Roman" w:hAnsi="Times New Roman" w:cs="黑体"/>
        </w:rPr>
        <w:t>13.5工程隐蔽部位覆盖前的检查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_Toc19739 \h </w:instrText>
      </w:r>
      <w:r>
        <w:rPr>
          <w:rFonts w:hint="eastAsia" w:ascii="Times New Roman" w:hAnsi="Times New Roman" w:cs="黑体"/>
        </w:rPr>
        <w:fldChar w:fldCharType="separate"/>
      </w:r>
      <w:r>
        <w:rPr>
          <w:rFonts w:hint="eastAsia" w:ascii="Times New Roman" w:hAnsi="Times New Roman" w:cs="黑体"/>
        </w:rPr>
        <w:t>81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_Toc655 </w:instrText>
      </w:r>
      <w:r>
        <w:rPr>
          <w:rFonts w:hint="eastAsia" w:ascii="Times New Roman" w:hAnsi="Times New Roman" w:cs="黑体"/>
        </w:rPr>
        <w:fldChar w:fldCharType="separate"/>
      </w:r>
      <w:r>
        <w:rPr>
          <w:rFonts w:hint="eastAsia" w:ascii="Times New Roman" w:hAnsi="Times New Roman" w:cs="黑体"/>
        </w:rPr>
        <w:t>13.6清除不合格工程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_Toc655 \h </w:instrText>
      </w:r>
      <w:r>
        <w:rPr>
          <w:rFonts w:hint="eastAsia" w:ascii="Times New Roman" w:hAnsi="Times New Roman" w:cs="黑体"/>
        </w:rPr>
        <w:fldChar w:fldCharType="separate"/>
      </w:r>
      <w:r>
        <w:rPr>
          <w:rFonts w:hint="eastAsia" w:ascii="Times New Roman" w:hAnsi="Times New Roman" w:cs="黑体"/>
        </w:rPr>
        <w:t>81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_Toc11528 </w:instrText>
      </w:r>
      <w:r>
        <w:rPr>
          <w:rFonts w:hint="eastAsia" w:ascii="Times New Roman" w:hAnsi="Times New Roman" w:cs="黑体"/>
        </w:rPr>
        <w:fldChar w:fldCharType="separate"/>
      </w:r>
      <w:r>
        <w:rPr>
          <w:rFonts w:hint="eastAsia" w:ascii="Times New Roman" w:hAnsi="Times New Roman" w:cs="黑体"/>
        </w:rPr>
        <w:t>13.7质量评定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_Toc11528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_Toc26290 </w:instrText>
      </w:r>
      <w:r>
        <w:rPr>
          <w:rFonts w:hint="eastAsia" w:ascii="Times New Roman" w:hAnsi="Times New Roman" w:cs="黑体"/>
        </w:rPr>
        <w:fldChar w:fldCharType="separate"/>
      </w:r>
      <w:r>
        <w:rPr>
          <w:rFonts w:hint="eastAsia" w:ascii="Times New Roman" w:hAnsi="Times New Roman" w:cs="黑体"/>
        </w:rPr>
        <w:t>13.8质量事故处理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_Toc26290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_Toc23035 </w:instrText>
      </w:r>
      <w:r>
        <w:rPr>
          <w:rFonts w:hint="eastAsia" w:ascii="Times New Roman" w:hAnsi="Times New Roman" w:cs="黑体"/>
        </w:rPr>
        <w:fldChar w:fldCharType="separate"/>
      </w:r>
      <w:r>
        <w:rPr>
          <w:rFonts w:hint="eastAsia" w:ascii="Times New Roman" w:hAnsi="Times New Roman" w:cs="黑体"/>
        </w:rPr>
        <w:t>14 .试验和检验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_Toc23035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_Toc30584 </w:instrText>
      </w:r>
      <w:r>
        <w:rPr>
          <w:rFonts w:hint="eastAsia" w:ascii="Times New Roman" w:hAnsi="Times New Roman" w:cs="黑体"/>
        </w:rPr>
        <w:fldChar w:fldCharType="separate"/>
      </w:r>
      <w:r>
        <w:rPr>
          <w:rFonts w:hint="eastAsia" w:ascii="Times New Roman" w:hAnsi="Times New Roman" w:cs="黑体"/>
        </w:rPr>
        <w:t>14.1材料、工程设备和工程的试验和检验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_Toc30584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_Toc8420 </w:instrText>
      </w:r>
      <w:r>
        <w:rPr>
          <w:rFonts w:hint="eastAsia" w:ascii="Times New Roman" w:hAnsi="Times New Roman" w:cs="黑体"/>
        </w:rPr>
        <w:fldChar w:fldCharType="separate"/>
      </w:r>
      <w:r>
        <w:rPr>
          <w:rFonts w:hint="eastAsia" w:ascii="Times New Roman" w:hAnsi="Times New Roman" w:cs="黑体"/>
        </w:rPr>
        <w:t>14.2现场材料试验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_Toc8420 \h </w:instrText>
      </w:r>
      <w:r>
        <w:rPr>
          <w:rFonts w:hint="eastAsia" w:ascii="Times New Roman" w:hAnsi="Times New Roman" w:cs="黑体"/>
        </w:rPr>
        <w:fldChar w:fldCharType="separate"/>
      </w:r>
      <w:r>
        <w:rPr>
          <w:rFonts w:hint="eastAsia" w:ascii="Times New Roman" w:hAnsi="Times New Roman" w:cs="黑体"/>
        </w:rPr>
        <w:t>83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_Toc10021 </w:instrText>
      </w:r>
      <w:r>
        <w:rPr>
          <w:rFonts w:hint="eastAsia" w:ascii="Times New Roman" w:hAnsi="Times New Roman" w:cs="黑体"/>
        </w:rPr>
        <w:fldChar w:fldCharType="separate"/>
      </w:r>
      <w:r>
        <w:rPr>
          <w:rFonts w:hint="eastAsia" w:ascii="Times New Roman" w:hAnsi="Times New Roman" w:cs="黑体"/>
        </w:rPr>
        <w:t>14.3现场工艺试验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_Toc10021 \h </w:instrText>
      </w:r>
      <w:r>
        <w:rPr>
          <w:rFonts w:hint="eastAsia" w:ascii="Times New Roman" w:hAnsi="Times New Roman" w:cs="黑体"/>
        </w:rPr>
        <w:fldChar w:fldCharType="separate"/>
      </w:r>
      <w:r>
        <w:rPr>
          <w:rFonts w:hint="eastAsia" w:ascii="Times New Roman" w:hAnsi="Times New Roman" w:cs="黑体"/>
        </w:rPr>
        <w:t>83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_Toc13383 </w:instrText>
      </w:r>
      <w:r>
        <w:rPr>
          <w:rFonts w:hint="eastAsia" w:ascii="Times New Roman" w:hAnsi="Times New Roman" w:cs="黑体"/>
        </w:rPr>
        <w:fldChar w:fldCharType="separate"/>
      </w:r>
      <w:r>
        <w:rPr>
          <w:rFonts w:hint="eastAsia" w:ascii="Times New Roman" w:hAnsi="Times New Roman" w:cs="黑体"/>
        </w:rPr>
        <w:t>15.变更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_Toc13383 \h </w:instrText>
      </w:r>
      <w:r>
        <w:rPr>
          <w:rFonts w:hint="eastAsia" w:ascii="Times New Roman" w:hAnsi="Times New Roman" w:cs="黑体"/>
        </w:rPr>
        <w:fldChar w:fldCharType="separate"/>
      </w:r>
      <w:r>
        <w:rPr>
          <w:rFonts w:hint="eastAsia" w:ascii="Times New Roman" w:hAnsi="Times New Roman" w:cs="黑体"/>
        </w:rPr>
        <w:t>83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_Toc30429 </w:instrText>
      </w:r>
      <w:r>
        <w:rPr>
          <w:rFonts w:hint="eastAsia" w:ascii="Times New Roman" w:hAnsi="Times New Roman" w:cs="黑体"/>
        </w:rPr>
        <w:fldChar w:fldCharType="separate"/>
      </w:r>
      <w:r>
        <w:rPr>
          <w:rFonts w:hint="eastAsia" w:ascii="Times New Roman" w:hAnsi="Times New Roman" w:cs="黑体"/>
        </w:rPr>
        <w:t>15.1变更的范围和内容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_Toc30429 \h </w:instrText>
      </w:r>
      <w:r>
        <w:rPr>
          <w:rFonts w:hint="eastAsia" w:ascii="Times New Roman" w:hAnsi="Times New Roman" w:cs="黑体"/>
        </w:rPr>
        <w:fldChar w:fldCharType="separate"/>
      </w:r>
      <w:r>
        <w:rPr>
          <w:rFonts w:hint="eastAsia" w:ascii="Times New Roman" w:hAnsi="Times New Roman" w:cs="黑体"/>
        </w:rPr>
        <w:t>83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_Toc21527 </w:instrText>
      </w:r>
      <w:r>
        <w:rPr>
          <w:rFonts w:hint="eastAsia" w:ascii="Times New Roman" w:hAnsi="Times New Roman" w:cs="黑体"/>
        </w:rPr>
        <w:fldChar w:fldCharType="separate"/>
      </w:r>
      <w:r>
        <w:rPr>
          <w:rFonts w:hint="eastAsia" w:ascii="Times New Roman" w:hAnsi="Times New Roman" w:cs="黑体"/>
        </w:rPr>
        <w:t>15.2变更权</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_Toc21527 \h </w:instrText>
      </w:r>
      <w:r>
        <w:rPr>
          <w:rFonts w:hint="eastAsia" w:ascii="Times New Roman" w:hAnsi="Times New Roman" w:cs="黑体"/>
        </w:rPr>
        <w:fldChar w:fldCharType="separate"/>
      </w:r>
      <w:r>
        <w:rPr>
          <w:rFonts w:hint="eastAsia" w:ascii="Times New Roman" w:hAnsi="Times New Roman" w:cs="黑体"/>
        </w:rPr>
        <w:t>83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_Toc25766 </w:instrText>
      </w:r>
      <w:r>
        <w:rPr>
          <w:rFonts w:hint="eastAsia" w:ascii="Times New Roman" w:hAnsi="Times New Roman" w:cs="黑体"/>
        </w:rPr>
        <w:fldChar w:fldCharType="separate"/>
      </w:r>
      <w:r>
        <w:rPr>
          <w:rFonts w:hint="eastAsia" w:ascii="Times New Roman" w:hAnsi="Times New Roman" w:cs="黑体"/>
        </w:rPr>
        <w:t>15.3变更程序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_Toc25766 \h </w:instrText>
      </w:r>
      <w:r>
        <w:rPr>
          <w:rFonts w:hint="eastAsia" w:ascii="Times New Roman" w:hAnsi="Times New Roman" w:cs="黑体"/>
        </w:rPr>
        <w:fldChar w:fldCharType="separate"/>
      </w:r>
      <w:r>
        <w:rPr>
          <w:rFonts w:hint="eastAsia" w:ascii="Times New Roman" w:hAnsi="Times New Roman" w:cs="黑体"/>
        </w:rPr>
        <w:t>83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_Toc13494 </w:instrText>
      </w:r>
      <w:r>
        <w:rPr>
          <w:rFonts w:hint="eastAsia" w:ascii="Times New Roman" w:hAnsi="Times New Roman" w:cs="黑体"/>
        </w:rPr>
        <w:fldChar w:fldCharType="separate"/>
      </w:r>
      <w:r>
        <w:rPr>
          <w:rFonts w:hint="eastAsia" w:ascii="Times New Roman" w:hAnsi="Times New Roman" w:cs="黑体"/>
        </w:rPr>
        <w:t>15.4变更的估价原则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_Toc13494 \h </w:instrText>
      </w:r>
      <w:r>
        <w:rPr>
          <w:rFonts w:hint="eastAsia" w:ascii="Times New Roman" w:hAnsi="Times New Roman" w:cs="黑体"/>
        </w:rPr>
        <w:fldChar w:fldCharType="separate"/>
      </w:r>
      <w:r>
        <w:rPr>
          <w:rFonts w:hint="eastAsia" w:ascii="Times New Roman" w:hAnsi="Times New Roman" w:cs="黑体"/>
        </w:rPr>
        <w:t>84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_Toc4095 </w:instrText>
      </w:r>
      <w:r>
        <w:rPr>
          <w:rFonts w:hint="eastAsia" w:ascii="Times New Roman" w:hAnsi="Times New Roman" w:cs="黑体"/>
        </w:rPr>
        <w:fldChar w:fldCharType="separate"/>
      </w:r>
      <w:r>
        <w:rPr>
          <w:rFonts w:hint="eastAsia" w:ascii="Times New Roman" w:hAnsi="Times New Roman" w:cs="黑体"/>
        </w:rPr>
        <w:t>15.6暂列金额</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_Toc4095 \h </w:instrText>
      </w:r>
      <w:r>
        <w:rPr>
          <w:rFonts w:hint="eastAsia" w:ascii="Times New Roman" w:hAnsi="Times New Roman" w:cs="黑体"/>
        </w:rPr>
        <w:fldChar w:fldCharType="separate"/>
      </w:r>
      <w:r>
        <w:rPr>
          <w:rFonts w:hint="eastAsia" w:ascii="Times New Roman" w:hAnsi="Times New Roman" w:cs="黑体"/>
        </w:rPr>
        <w:t>85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_Toc27045 </w:instrText>
      </w:r>
      <w:r>
        <w:rPr>
          <w:rFonts w:hint="eastAsia" w:ascii="Times New Roman" w:hAnsi="Times New Roman" w:cs="黑体"/>
        </w:rPr>
        <w:fldChar w:fldCharType="separate"/>
      </w:r>
      <w:r>
        <w:rPr>
          <w:rFonts w:hint="eastAsia" w:ascii="Times New Roman" w:hAnsi="Times New Roman" w:cs="黑体"/>
        </w:rPr>
        <w:t>15.7计日工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_Toc27045 \h </w:instrText>
      </w:r>
      <w:r>
        <w:rPr>
          <w:rFonts w:hint="eastAsia" w:ascii="Times New Roman" w:hAnsi="Times New Roman" w:cs="黑体"/>
        </w:rPr>
        <w:fldChar w:fldCharType="separate"/>
      </w:r>
      <w:r>
        <w:rPr>
          <w:rFonts w:hint="eastAsia" w:ascii="Times New Roman" w:hAnsi="Times New Roman" w:cs="黑体"/>
        </w:rPr>
        <w:t>85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_Toc28770 </w:instrText>
      </w:r>
      <w:r>
        <w:rPr>
          <w:rFonts w:hint="eastAsia" w:ascii="Times New Roman" w:hAnsi="Times New Roman" w:cs="黑体"/>
        </w:rPr>
        <w:fldChar w:fldCharType="separate"/>
      </w:r>
      <w:r>
        <w:rPr>
          <w:rFonts w:hint="eastAsia" w:ascii="Times New Roman" w:hAnsi="Times New Roman" w:cs="黑体"/>
        </w:rPr>
        <w:t>15.8暂估价</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_Toc28770 \h </w:instrText>
      </w:r>
      <w:r>
        <w:rPr>
          <w:rFonts w:hint="eastAsia" w:ascii="Times New Roman" w:hAnsi="Times New Roman" w:cs="黑体"/>
        </w:rPr>
        <w:fldChar w:fldCharType="separate"/>
      </w:r>
      <w:r>
        <w:rPr>
          <w:rFonts w:hint="eastAsia" w:ascii="Times New Roman" w:hAnsi="Times New Roman" w:cs="黑体"/>
        </w:rPr>
        <w:t>85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_Toc24202 </w:instrText>
      </w:r>
      <w:r>
        <w:rPr>
          <w:rFonts w:hint="eastAsia" w:ascii="Times New Roman" w:hAnsi="Times New Roman" w:cs="黑体"/>
        </w:rPr>
        <w:fldChar w:fldCharType="separate"/>
      </w:r>
      <w:r>
        <w:rPr>
          <w:rFonts w:hint="eastAsia" w:ascii="Times New Roman" w:hAnsi="Times New Roman" w:cs="黑体"/>
        </w:rPr>
        <w:t>16 .价格调整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_Toc24202 \h </w:instrText>
      </w:r>
      <w:r>
        <w:rPr>
          <w:rFonts w:hint="eastAsia" w:ascii="Times New Roman" w:hAnsi="Times New Roman" w:cs="黑体"/>
        </w:rPr>
        <w:fldChar w:fldCharType="separate"/>
      </w:r>
      <w:r>
        <w:rPr>
          <w:rFonts w:hint="eastAsia" w:ascii="Times New Roman" w:hAnsi="Times New Roman" w:cs="黑体"/>
        </w:rPr>
        <w:t>85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_Toc5288 </w:instrText>
      </w:r>
      <w:r>
        <w:rPr>
          <w:rFonts w:hint="eastAsia" w:ascii="Times New Roman" w:hAnsi="Times New Roman" w:cs="黑体"/>
        </w:rPr>
        <w:fldChar w:fldCharType="separate"/>
      </w:r>
      <w:r>
        <w:rPr>
          <w:rFonts w:hint="eastAsia" w:ascii="Times New Roman" w:hAnsi="Times New Roman" w:cs="黑体"/>
        </w:rPr>
        <w:t>16.1物价波动引起的价格调整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_Toc5288 \h </w:instrText>
      </w:r>
      <w:r>
        <w:rPr>
          <w:rFonts w:hint="eastAsia" w:ascii="Times New Roman" w:hAnsi="Times New Roman" w:cs="黑体"/>
        </w:rPr>
        <w:fldChar w:fldCharType="separate"/>
      </w:r>
      <w:r>
        <w:rPr>
          <w:rFonts w:hint="eastAsia" w:ascii="Times New Roman" w:hAnsi="Times New Roman" w:cs="黑体"/>
        </w:rPr>
        <w:t>85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_Toc6525 </w:instrText>
      </w:r>
      <w:r>
        <w:rPr>
          <w:rFonts w:hint="eastAsia" w:ascii="Times New Roman" w:hAnsi="Times New Roman" w:cs="黑体"/>
        </w:rPr>
        <w:fldChar w:fldCharType="separate"/>
      </w:r>
      <w:r>
        <w:rPr>
          <w:rFonts w:hint="eastAsia" w:ascii="Times New Roman" w:hAnsi="Times New Roman" w:cs="黑体"/>
        </w:rPr>
        <w:t>16.2法律变化引起的价格调整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_Toc6525 \h </w:instrText>
      </w:r>
      <w:r>
        <w:rPr>
          <w:rFonts w:hint="eastAsia" w:ascii="Times New Roman" w:hAnsi="Times New Roman" w:cs="黑体"/>
        </w:rPr>
        <w:fldChar w:fldCharType="separate"/>
      </w:r>
      <w:r>
        <w:rPr>
          <w:rFonts w:hint="eastAsia" w:ascii="Times New Roman" w:hAnsi="Times New Roman" w:cs="黑体"/>
        </w:rPr>
        <w:t>87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_Toc23199 </w:instrText>
      </w:r>
      <w:r>
        <w:rPr>
          <w:rFonts w:hint="eastAsia" w:ascii="Times New Roman" w:hAnsi="Times New Roman" w:cs="黑体"/>
        </w:rPr>
        <w:fldChar w:fldCharType="separate"/>
      </w:r>
      <w:r>
        <w:rPr>
          <w:rFonts w:hint="eastAsia" w:ascii="Times New Roman" w:hAnsi="Times New Roman" w:cs="黑体"/>
        </w:rPr>
        <w:t>17.计量与支付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_Toc23199 \h </w:instrText>
      </w:r>
      <w:r>
        <w:rPr>
          <w:rFonts w:hint="eastAsia" w:ascii="Times New Roman" w:hAnsi="Times New Roman" w:cs="黑体"/>
        </w:rPr>
        <w:fldChar w:fldCharType="separate"/>
      </w:r>
      <w:r>
        <w:rPr>
          <w:rFonts w:hint="eastAsia" w:ascii="Times New Roman" w:hAnsi="Times New Roman" w:cs="黑体"/>
        </w:rPr>
        <w:t>87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_Toc6343 </w:instrText>
      </w:r>
      <w:r>
        <w:rPr>
          <w:rFonts w:hint="eastAsia" w:ascii="Times New Roman" w:hAnsi="Times New Roman" w:cs="黑体"/>
        </w:rPr>
        <w:fldChar w:fldCharType="separate"/>
      </w:r>
      <w:r>
        <w:rPr>
          <w:rFonts w:hint="eastAsia" w:ascii="Times New Roman" w:hAnsi="Times New Roman" w:cs="黑体"/>
        </w:rPr>
        <w:t>17.1计量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_Toc6343 \h </w:instrText>
      </w:r>
      <w:r>
        <w:rPr>
          <w:rFonts w:hint="eastAsia" w:ascii="Times New Roman" w:hAnsi="Times New Roman" w:cs="黑体"/>
        </w:rPr>
        <w:fldChar w:fldCharType="separate"/>
      </w:r>
      <w:r>
        <w:rPr>
          <w:rFonts w:hint="eastAsia" w:ascii="Times New Roman" w:hAnsi="Times New Roman" w:cs="黑体"/>
        </w:rPr>
        <w:t>87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_Toc18522 </w:instrText>
      </w:r>
      <w:r>
        <w:rPr>
          <w:rFonts w:hint="eastAsia" w:ascii="Times New Roman" w:hAnsi="Times New Roman" w:cs="黑体"/>
        </w:rPr>
        <w:fldChar w:fldCharType="separate"/>
      </w:r>
      <w:r>
        <w:rPr>
          <w:rFonts w:hint="eastAsia" w:ascii="Times New Roman" w:hAnsi="Times New Roman" w:cs="黑体"/>
        </w:rPr>
        <w:t>17.2预付款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_Toc18522 \h </w:instrText>
      </w:r>
      <w:r>
        <w:rPr>
          <w:rFonts w:hint="eastAsia" w:ascii="Times New Roman" w:hAnsi="Times New Roman" w:cs="黑体"/>
        </w:rPr>
        <w:fldChar w:fldCharType="separate"/>
      </w:r>
      <w:r>
        <w:rPr>
          <w:rFonts w:hint="eastAsia" w:ascii="Times New Roman" w:hAnsi="Times New Roman" w:cs="黑体"/>
        </w:rPr>
        <w:t>88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_Toc28523 </w:instrText>
      </w:r>
      <w:r>
        <w:rPr>
          <w:rFonts w:hint="eastAsia" w:ascii="Times New Roman" w:hAnsi="Times New Roman" w:cs="黑体"/>
        </w:rPr>
        <w:fldChar w:fldCharType="separate"/>
      </w:r>
      <w:r>
        <w:rPr>
          <w:rFonts w:hint="eastAsia" w:ascii="Times New Roman" w:hAnsi="Times New Roman" w:cs="黑体"/>
        </w:rPr>
        <w:t>17.3工程进度付款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_Toc28523 \h </w:instrText>
      </w:r>
      <w:r>
        <w:rPr>
          <w:rFonts w:hint="eastAsia" w:ascii="Times New Roman" w:hAnsi="Times New Roman" w:cs="黑体"/>
        </w:rPr>
        <w:fldChar w:fldCharType="separate"/>
      </w:r>
      <w:r>
        <w:rPr>
          <w:rFonts w:hint="eastAsia" w:ascii="Times New Roman" w:hAnsi="Times New Roman" w:cs="黑体"/>
        </w:rPr>
        <w:t>88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_Toc15623 </w:instrText>
      </w:r>
      <w:r>
        <w:rPr>
          <w:rFonts w:hint="eastAsia" w:ascii="Times New Roman" w:hAnsi="Times New Roman" w:cs="黑体"/>
        </w:rPr>
        <w:fldChar w:fldCharType="separate"/>
      </w:r>
      <w:r>
        <w:rPr>
          <w:rFonts w:hint="eastAsia" w:ascii="Times New Roman" w:hAnsi="Times New Roman" w:cs="黑体"/>
        </w:rPr>
        <w:t>17.4质量保证金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_Toc15623 \h </w:instrText>
      </w:r>
      <w:r>
        <w:rPr>
          <w:rFonts w:hint="eastAsia" w:ascii="Times New Roman" w:hAnsi="Times New Roman" w:cs="黑体"/>
        </w:rPr>
        <w:fldChar w:fldCharType="separate"/>
      </w:r>
      <w:r>
        <w:rPr>
          <w:rFonts w:hint="eastAsia" w:ascii="Times New Roman" w:hAnsi="Times New Roman" w:cs="黑体"/>
        </w:rPr>
        <w:t>89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_Toc7993 </w:instrText>
      </w:r>
      <w:r>
        <w:rPr>
          <w:rFonts w:hint="eastAsia" w:ascii="Times New Roman" w:hAnsi="Times New Roman" w:cs="黑体"/>
        </w:rPr>
        <w:fldChar w:fldCharType="separate"/>
      </w:r>
      <w:r>
        <w:rPr>
          <w:rFonts w:hint="eastAsia" w:ascii="Times New Roman" w:hAnsi="Times New Roman" w:cs="黑体"/>
        </w:rPr>
        <w:t>17.5竣工结算(完工结算)</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_Toc7993 \h </w:instrText>
      </w:r>
      <w:r>
        <w:rPr>
          <w:rFonts w:hint="eastAsia" w:ascii="Times New Roman" w:hAnsi="Times New Roman" w:cs="黑体"/>
        </w:rPr>
        <w:fldChar w:fldCharType="separate"/>
      </w:r>
      <w:r>
        <w:rPr>
          <w:rFonts w:hint="eastAsia" w:ascii="Times New Roman" w:hAnsi="Times New Roman" w:cs="黑体"/>
        </w:rPr>
        <w:t>89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_Toc7489 </w:instrText>
      </w:r>
      <w:r>
        <w:rPr>
          <w:rFonts w:hint="eastAsia" w:ascii="Times New Roman" w:hAnsi="Times New Roman" w:cs="黑体"/>
        </w:rPr>
        <w:fldChar w:fldCharType="separate"/>
      </w:r>
      <w:r>
        <w:rPr>
          <w:rFonts w:hint="eastAsia" w:ascii="Times New Roman" w:hAnsi="Times New Roman" w:cs="黑体"/>
        </w:rPr>
        <w:t>17.6最终结清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_Toc7489 \h </w:instrText>
      </w:r>
      <w:r>
        <w:rPr>
          <w:rFonts w:hint="eastAsia" w:ascii="Times New Roman" w:hAnsi="Times New Roman" w:cs="黑体"/>
        </w:rPr>
        <w:fldChar w:fldCharType="separate"/>
      </w:r>
      <w:r>
        <w:rPr>
          <w:rFonts w:hint="eastAsia" w:ascii="Times New Roman" w:hAnsi="Times New Roman" w:cs="黑体"/>
        </w:rPr>
        <w:t>90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_Toc25660 </w:instrText>
      </w:r>
      <w:r>
        <w:rPr>
          <w:rFonts w:hint="eastAsia" w:ascii="Times New Roman" w:hAnsi="Times New Roman" w:cs="黑体"/>
        </w:rPr>
        <w:fldChar w:fldCharType="separate"/>
      </w:r>
      <w:r>
        <w:rPr>
          <w:rFonts w:hint="eastAsia" w:ascii="Times New Roman" w:hAnsi="Times New Roman" w:cs="黑体"/>
        </w:rPr>
        <w:t>17.7竣工财务决算</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_Toc25660 \h </w:instrText>
      </w:r>
      <w:r>
        <w:rPr>
          <w:rFonts w:hint="eastAsia" w:ascii="Times New Roman" w:hAnsi="Times New Roman" w:cs="黑体"/>
        </w:rPr>
        <w:fldChar w:fldCharType="separate"/>
      </w:r>
      <w:r>
        <w:rPr>
          <w:rFonts w:hint="eastAsia" w:ascii="Times New Roman" w:hAnsi="Times New Roman" w:cs="黑体"/>
        </w:rPr>
        <w:t>90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_Toc32579 </w:instrText>
      </w:r>
      <w:r>
        <w:rPr>
          <w:rFonts w:hint="eastAsia" w:ascii="Times New Roman" w:hAnsi="Times New Roman" w:cs="黑体"/>
        </w:rPr>
        <w:fldChar w:fldCharType="separate"/>
      </w:r>
      <w:r>
        <w:rPr>
          <w:rFonts w:hint="eastAsia" w:ascii="Times New Roman" w:hAnsi="Times New Roman" w:cs="黑体"/>
        </w:rPr>
        <w:t>17.8竣工审计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_Toc32579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_Toc1208 </w:instrText>
      </w:r>
      <w:r>
        <w:rPr>
          <w:rFonts w:hint="eastAsia" w:ascii="Times New Roman" w:hAnsi="Times New Roman" w:cs="黑体"/>
        </w:rPr>
        <w:fldChar w:fldCharType="separate"/>
      </w:r>
      <w:r>
        <w:rPr>
          <w:rFonts w:hint="eastAsia" w:ascii="Times New Roman" w:hAnsi="Times New Roman" w:cs="黑体"/>
        </w:rPr>
        <w:t>18.竣工验收（验收）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_Toc1208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_Toc15719 </w:instrText>
      </w:r>
      <w:r>
        <w:rPr>
          <w:rFonts w:hint="eastAsia" w:ascii="Times New Roman" w:hAnsi="Times New Roman" w:cs="黑体"/>
        </w:rPr>
        <w:fldChar w:fldCharType="separate"/>
      </w:r>
      <w:r>
        <w:rPr>
          <w:rFonts w:hint="eastAsia" w:ascii="Times New Roman" w:hAnsi="Times New Roman" w:cs="黑体"/>
        </w:rPr>
        <w:t>18.1验收工作分类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_Toc15719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_Toc4642 </w:instrText>
      </w:r>
      <w:r>
        <w:rPr>
          <w:rFonts w:hint="eastAsia" w:ascii="Times New Roman" w:hAnsi="Times New Roman" w:cs="黑体"/>
        </w:rPr>
        <w:fldChar w:fldCharType="separate"/>
      </w:r>
      <w:r>
        <w:rPr>
          <w:rFonts w:hint="eastAsia" w:ascii="Times New Roman" w:hAnsi="Times New Roman" w:cs="黑体"/>
        </w:rPr>
        <w:t>18.2分部工程验收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_Toc4642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_Toc18892 </w:instrText>
      </w:r>
      <w:r>
        <w:rPr>
          <w:rFonts w:hint="eastAsia" w:ascii="Times New Roman" w:hAnsi="Times New Roman" w:cs="黑体"/>
        </w:rPr>
        <w:fldChar w:fldCharType="separate"/>
      </w:r>
      <w:r>
        <w:rPr>
          <w:rFonts w:hint="eastAsia" w:ascii="Times New Roman" w:hAnsi="Times New Roman" w:cs="黑体"/>
        </w:rPr>
        <w:t>18.3单位工程验收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_Toc18892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_Toc10923 </w:instrText>
      </w:r>
      <w:r>
        <w:rPr>
          <w:rFonts w:hint="eastAsia" w:ascii="Times New Roman" w:hAnsi="Times New Roman" w:cs="黑体"/>
        </w:rPr>
        <w:fldChar w:fldCharType="separate"/>
      </w:r>
      <w:r>
        <w:rPr>
          <w:rFonts w:hint="eastAsia" w:ascii="Times New Roman" w:hAnsi="Times New Roman" w:cs="黑体"/>
        </w:rPr>
        <w:t>18.4合同工程完工验收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_Toc10923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_Toc13351 </w:instrText>
      </w:r>
      <w:r>
        <w:rPr>
          <w:rFonts w:hint="eastAsia" w:ascii="Times New Roman" w:hAnsi="Times New Roman" w:cs="黑体"/>
        </w:rPr>
        <w:fldChar w:fldCharType="separate"/>
      </w:r>
      <w:r>
        <w:rPr>
          <w:rFonts w:hint="eastAsia" w:ascii="Times New Roman" w:hAnsi="Times New Roman" w:cs="黑体"/>
        </w:rPr>
        <w:t>18.5阶段验收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_Toc13351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_Toc2138 </w:instrText>
      </w:r>
      <w:r>
        <w:rPr>
          <w:rFonts w:hint="eastAsia" w:ascii="Times New Roman" w:hAnsi="Times New Roman" w:cs="黑体"/>
        </w:rPr>
        <w:fldChar w:fldCharType="separate"/>
      </w:r>
      <w:r>
        <w:rPr>
          <w:rFonts w:hint="eastAsia" w:ascii="Times New Roman" w:hAnsi="Times New Roman" w:cs="黑体"/>
        </w:rPr>
        <w:t>18.6专项验收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_Toc2138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_Toc6910 </w:instrText>
      </w:r>
      <w:r>
        <w:rPr>
          <w:rFonts w:hint="eastAsia" w:ascii="Times New Roman" w:hAnsi="Times New Roman" w:cs="黑体"/>
        </w:rPr>
        <w:fldChar w:fldCharType="separate"/>
      </w:r>
      <w:r>
        <w:rPr>
          <w:rFonts w:hint="eastAsia" w:ascii="Times New Roman" w:hAnsi="Times New Roman" w:cs="黑体"/>
        </w:rPr>
        <w:t>18.7竣工验收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_Toc6910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_Toc20939 </w:instrText>
      </w:r>
      <w:r>
        <w:rPr>
          <w:rFonts w:hint="eastAsia" w:ascii="Times New Roman" w:hAnsi="Times New Roman" w:cs="黑体"/>
        </w:rPr>
        <w:fldChar w:fldCharType="separate"/>
      </w:r>
      <w:r>
        <w:rPr>
          <w:rFonts w:hint="eastAsia" w:ascii="Times New Roman" w:hAnsi="Times New Roman" w:cs="黑体"/>
        </w:rPr>
        <w:t>18.8施工期运行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_Toc20939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_Toc19428 </w:instrText>
      </w:r>
      <w:r>
        <w:rPr>
          <w:rFonts w:hint="eastAsia" w:ascii="Times New Roman" w:hAnsi="Times New Roman" w:cs="黑体"/>
        </w:rPr>
        <w:fldChar w:fldCharType="separate"/>
      </w:r>
      <w:r>
        <w:rPr>
          <w:rFonts w:hint="eastAsia" w:ascii="Times New Roman" w:hAnsi="Times New Roman" w:cs="黑体"/>
        </w:rPr>
        <w:t>18.9试运行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_Toc19428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_Toc523 </w:instrText>
      </w:r>
      <w:r>
        <w:rPr>
          <w:rFonts w:hint="eastAsia" w:ascii="Times New Roman" w:hAnsi="Times New Roman" w:cs="黑体"/>
        </w:rPr>
        <w:fldChar w:fldCharType="separate"/>
      </w:r>
      <w:r>
        <w:rPr>
          <w:rFonts w:hint="eastAsia" w:ascii="Times New Roman" w:hAnsi="Times New Roman" w:cs="黑体"/>
        </w:rPr>
        <w:t>18.10竣工（完工）清场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_Toc523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_Toc12911 </w:instrText>
      </w:r>
      <w:r>
        <w:rPr>
          <w:rFonts w:hint="eastAsia" w:ascii="Times New Roman" w:hAnsi="Times New Roman" w:cs="黑体"/>
        </w:rPr>
        <w:fldChar w:fldCharType="separate"/>
      </w:r>
      <w:r>
        <w:rPr>
          <w:rFonts w:hint="eastAsia" w:ascii="Times New Roman" w:hAnsi="Times New Roman" w:cs="黑体"/>
        </w:rPr>
        <w:t>18.11施工队伍的撤离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_Toc12911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_Toc10282 </w:instrText>
      </w:r>
      <w:r>
        <w:rPr>
          <w:rFonts w:hint="eastAsia" w:ascii="Times New Roman" w:hAnsi="Times New Roman" w:cs="黑体"/>
        </w:rPr>
        <w:fldChar w:fldCharType="separate"/>
      </w:r>
      <w:r>
        <w:rPr>
          <w:rFonts w:hint="eastAsia" w:ascii="Times New Roman" w:hAnsi="Times New Roman" w:cs="黑体"/>
        </w:rPr>
        <w:t>19.缺陷责任与保修责任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_Toc10282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_Toc1138 </w:instrText>
      </w:r>
      <w:r>
        <w:rPr>
          <w:rFonts w:hint="eastAsia" w:ascii="Times New Roman" w:hAnsi="Times New Roman" w:cs="黑体"/>
        </w:rPr>
        <w:fldChar w:fldCharType="separate"/>
      </w:r>
      <w:r>
        <w:rPr>
          <w:rFonts w:hint="eastAsia" w:ascii="Times New Roman" w:hAnsi="Times New Roman" w:cs="黑体"/>
        </w:rPr>
        <w:t>19.1缺陷责任期（工程质量保修期）的起算时间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_Toc1138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_Toc18046 </w:instrText>
      </w:r>
      <w:r>
        <w:rPr>
          <w:rFonts w:hint="eastAsia" w:ascii="Times New Roman" w:hAnsi="Times New Roman" w:cs="黑体"/>
        </w:rPr>
        <w:fldChar w:fldCharType="separate"/>
      </w:r>
      <w:r>
        <w:rPr>
          <w:rFonts w:hint="eastAsia" w:ascii="Times New Roman" w:hAnsi="Times New Roman" w:cs="黑体"/>
        </w:rPr>
        <w:t>19.2缺陷责任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_Toc18046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_Toc30835 </w:instrText>
      </w:r>
      <w:r>
        <w:rPr>
          <w:rFonts w:hint="eastAsia" w:ascii="Times New Roman" w:hAnsi="Times New Roman" w:cs="黑体"/>
        </w:rPr>
        <w:fldChar w:fldCharType="separate"/>
      </w:r>
      <w:r>
        <w:rPr>
          <w:rFonts w:hint="eastAsia" w:ascii="Times New Roman" w:hAnsi="Times New Roman" w:cs="黑体"/>
        </w:rPr>
        <w:t>19.3缺陷责任期的延长</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_Toc30835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_Toc17141 </w:instrText>
      </w:r>
      <w:r>
        <w:rPr>
          <w:rFonts w:hint="eastAsia" w:ascii="Times New Roman" w:hAnsi="Times New Roman" w:cs="黑体"/>
        </w:rPr>
        <w:fldChar w:fldCharType="separate"/>
      </w:r>
      <w:r>
        <w:rPr>
          <w:rFonts w:hint="eastAsia" w:ascii="Times New Roman" w:hAnsi="Times New Roman" w:cs="黑体"/>
        </w:rPr>
        <w:t>19.4进一步试验和试运行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_Toc17141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_Toc10300 </w:instrText>
      </w:r>
      <w:r>
        <w:rPr>
          <w:rFonts w:hint="eastAsia" w:ascii="Times New Roman" w:hAnsi="Times New Roman" w:cs="黑体"/>
        </w:rPr>
        <w:fldChar w:fldCharType="separate"/>
      </w:r>
      <w:r>
        <w:rPr>
          <w:rFonts w:hint="eastAsia" w:ascii="Times New Roman" w:hAnsi="Times New Roman" w:cs="黑体"/>
        </w:rPr>
        <w:t>19.5承包人的进入权</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_Toc10300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_Toc14383 </w:instrText>
      </w:r>
      <w:r>
        <w:rPr>
          <w:rFonts w:hint="eastAsia" w:ascii="Times New Roman" w:hAnsi="Times New Roman" w:cs="黑体"/>
        </w:rPr>
        <w:fldChar w:fldCharType="separate"/>
      </w:r>
      <w:r>
        <w:rPr>
          <w:rFonts w:hint="eastAsia" w:ascii="Times New Roman" w:hAnsi="Times New Roman" w:cs="黑体"/>
        </w:rPr>
        <w:t>19.6缺陷责任期终止证书（工程质量保修责任终止证书）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_Toc14383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_Toc26882 </w:instrText>
      </w:r>
      <w:r>
        <w:rPr>
          <w:rFonts w:hint="eastAsia" w:ascii="Times New Roman" w:hAnsi="Times New Roman" w:cs="黑体"/>
        </w:rPr>
        <w:fldChar w:fldCharType="separate"/>
      </w:r>
      <w:r>
        <w:rPr>
          <w:rFonts w:hint="eastAsia" w:ascii="Times New Roman" w:hAnsi="Times New Roman" w:cs="黑体"/>
        </w:rPr>
        <w:t>19.7保修责任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_Toc26882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_Toc4659 </w:instrText>
      </w:r>
      <w:r>
        <w:rPr>
          <w:rFonts w:hint="eastAsia" w:ascii="Times New Roman" w:hAnsi="Times New Roman" w:cs="黑体"/>
        </w:rPr>
        <w:fldChar w:fldCharType="separate"/>
      </w:r>
      <w:r>
        <w:rPr>
          <w:rFonts w:hint="eastAsia" w:ascii="Times New Roman" w:hAnsi="Times New Roman" w:cs="黑体"/>
        </w:rPr>
        <w:t>20.保险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_Toc4659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_Toc14646 </w:instrText>
      </w:r>
      <w:r>
        <w:rPr>
          <w:rFonts w:hint="eastAsia" w:ascii="Times New Roman" w:hAnsi="Times New Roman" w:cs="黑体"/>
        </w:rPr>
        <w:fldChar w:fldCharType="separate"/>
      </w:r>
      <w:r>
        <w:rPr>
          <w:rFonts w:hint="eastAsia" w:ascii="Times New Roman" w:hAnsi="Times New Roman" w:cs="黑体"/>
        </w:rPr>
        <w:t>20.1工程保险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_Toc14646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_Toc9432 </w:instrText>
      </w:r>
      <w:r>
        <w:rPr>
          <w:rFonts w:hint="eastAsia" w:ascii="Times New Roman" w:hAnsi="Times New Roman" w:cs="黑体"/>
        </w:rPr>
        <w:fldChar w:fldCharType="separate"/>
      </w:r>
      <w:r>
        <w:rPr>
          <w:rFonts w:hint="eastAsia" w:ascii="Times New Roman" w:hAnsi="Times New Roman" w:cs="黑体"/>
        </w:rPr>
        <w:t>20.2人员工伤事故的保险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_Toc9432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_Toc9891 </w:instrText>
      </w:r>
      <w:r>
        <w:rPr>
          <w:rFonts w:hint="eastAsia" w:ascii="Times New Roman" w:hAnsi="Times New Roman" w:cs="黑体"/>
        </w:rPr>
        <w:fldChar w:fldCharType="separate"/>
      </w:r>
      <w:r>
        <w:rPr>
          <w:rFonts w:hint="eastAsia" w:ascii="Times New Roman" w:hAnsi="Times New Roman" w:cs="黑体"/>
        </w:rPr>
        <w:t>20.3人身意外伤害险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_Toc9891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_Toc24349 </w:instrText>
      </w:r>
      <w:r>
        <w:rPr>
          <w:rFonts w:hint="eastAsia" w:ascii="Times New Roman" w:hAnsi="Times New Roman" w:cs="黑体"/>
        </w:rPr>
        <w:fldChar w:fldCharType="separate"/>
      </w:r>
      <w:r>
        <w:rPr>
          <w:rFonts w:hint="eastAsia" w:ascii="Times New Roman" w:hAnsi="Times New Roman" w:cs="黑体"/>
        </w:rPr>
        <w:t>20.4第三者责任险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_Toc24349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_Toc6225 </w:instrText>
      </w:r>
      <w:r>
        <w:rPr>
          <w:rFonts w:hint="eastAsia" w:ascii="Times New Roman" w:hAnsi="Times New Roman" w:cs="黑体"/>
        </w:rPr>
        <w:fldChar w:fldCharType="separate"/>
      </w:r>
      <w:r>
        <w:rPr>
          <w:rFonts w:hint="eastAsia" w:ascii="Times New Roman" w:hAnsi="Times New Roman" w:cs="黑体"/>
        </w:rPr>
        <w:t>20.5其他保险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_Toc6225 \h </w:instrText>
      </w:r>
      <w:r>
        <w:rPr>
          <w:rFonts w:hint="eastAsia" w:ascii="Times New Roman" w:hAnsi="Times New Roman" w:cs="黑体"/>
        </w:rPr>
        <w:fldChar w:fldCharType="separate"/>
      </w:r>
      <w:r>
        <w:rPr>
          <w:rFonts w:hint="eastAsia" w:ascii="Times New Roman" w:hAnsi="Times New Roman" w:cs="黑体"/>
        </w:rPr>
        <w:t>95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_Toc12345 </w:instrText>
      </w:r>
      <w:r>
        <w:rPr>
          <w:rFonts w:hint="eastAsia" w:ascii="Times New Roman" w:hAnsi="Times New Roman" w:cs="黑体"/>
        </w:rPr>
        <w:fldChar w:fldCharType="separate"/>
      </w:r>
      <w:r>
        <w:rPr>
          <w:rFonts w:hint="eastAsia" w:ascii="Times New Roman" w:hAnsi="Times New Roman" w:cs="黑体"/>
        </w:rPr>
        <w:t>20.6对各项保险的一般要求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_Toc12345 \h </w:instrText>
      </w:r>
      <w:r>
        <w:rPr>
          <w:rFonts w:hint="eastAsia" w:ascii="Times New Roman" w:hAnsi="Times New Roman" w:cs="黑体"/>
        </w:rPr>
        <w:fldChar w:fldCharType="separate"/>
      </w:r>
      <w:r>
        <w:rPr>
          <w:rFonts w:hint="eastAsia" w:ascii="Times New Roman" w:hAnsi="Times New Roman" w:cs="黑体"/>
        </w:rPr>
        <w:t>95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_Toc7078 </w:instrText>
      </w:r>
      <w:r>
        <w:rPr>
          <w:rFonts w:hint="eastAsia" w:ascii="Times New Roman" w:hAnsi="Times New Roman" w:cs="黑体"/>
        </w:rPr>
        <w:fldChar w:fldCharType="separate"/>
      </w:r>
      <w:r>
        <w:rPr>
          <w:rFonts w:hint="eastAsia" w:ascii="Times New Roman" w:hAnsi="Times New Roman" w:cs="黑体"/>
        </w:rPr>
        <w:t>20.7风险责任的转移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_Toc7078 \h </w:instrText>
      </w:r>
      <w:r>
        <w:rPr>
          <w:rFonts w:hint="eastAsia" w:ascii="Times New Roman" w:hAnsi="Times New Roman" w:cs="黑体"/>
        </w:rPr>
        <w:fldChar w:fldCharType="separate"/>
      </w:r>
      <w:r>
        <w:rPr>
          <w:rFonts w:hint="eastAsia" w:ascii="Times New Roman" w:hAnsi="Times New Roman" w:cs="黑体"/>
        </w:rPr>
        <w:t>95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_Toc1761 </w:instrText>
      </w:r>
      <w:r>
        <w:rPr>
          <w:rFonts w:hint="eastAsia" w:ascii="Times New Roman" w:hAnsi="Times New Roman" w:cs="黑体"/>
        </w:rPr>
        <w:fldChar w:fldCharType="separate"/>
      </w:r>
      <w:r>
        <w:rPr>
          <w:rFonts w:hint="eastAsia" w:ascii="Times New Roman" w:hAnsi="Times New Roman" w:cs="黑体"/>
        </w:rPr>
        <w:t>21.不可抗力</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_Toc1761 \h </w:instrText>
      </w:r>
      <w:r>
        <w:rPr>
          <w:rFonts w:hint="eastAsia" w:ascii="Times New Roman" w:hAnsi="Times New Roman" w:cs="黑体"/>
        </w:rPr>
        <w:fldChar w:fldCharType="separate"/>
      </w:r>
      <w:r>
        <w:rPr>
          <w:rFonts w:hint="eastAsia" w:ascii="Times New Roman" w:hAnsi="Times New Roman" w:cs="黑体"/>
        </w:rPr>
        <w:t>95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_Toc10203 </w:instrText>
      </w:r>
      <w:r>
        <w:rPr>
          <w:rFonts w:hint="eastAsia" w:ascii="Times New Roman" w:hAnsi="Times New Roman" w:cs="黑体"/>
        </w:rPr>
        <w:fldChar w:fldCharType="separate"/>
      </w:r>
      <w:r>
        <w:rPr>
          <w:rFonts w:hint="eastAsia" w:ascii="Times New Roman" w:hAnsi="Times New Roman" w:cs="黑体"/>
        </w:rPr>
        <w:t>21.1不可抗力的确认</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_Toc10203 \h </w:instrText>
      </w:r>
      <w:r>
        <w:rPr>
          <w:rFonts w:hint="eastAsia" w:ascii="Times New Roman" w:hAnsi="Times New Roman" w:cs="黑体"/>
        </w:rPr>
        <w:fldChar w:fldCharType="separate"/>
      </w:r>
      <w:r>
        <w:rPr>
          <w:rFonts w:hint="eastAsia" w:ascii="Times New Roman" w:hAnsi="Times New Roman" w:cs="黑体"/>
        </w:rPr>
        <w:t>95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_Toc6999 </w:instrText>
      </w:r>
      <w:r>
        <w:rPr>
          <w:rFonts w:hint="eastAsia" w:ascii="Times New Roman" w:hAnsi="Times New Roman" w:cs="黑体"/>
        </w:rPr>
        <w:fldChar w:fldCharType="separate"/>
      </w:r>
      <w:r>
        <w:rPr>
          <w:rFonts w:hint="eastAsia" w:ascii="Times New Roman" w:hAnsi="Times New Roman" w:cs="黑体"/>
        </w:rPr>
        <w:t>21.2不可抗力的通知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_Toc6999 \h </w:instrText>
      </w:r>
      <w:r>
        <w:rPr>
          <w:rFonts w:hint="eastAsia" w:ascii="Times New Roman" w:hAnsi="Times New Roman" w:cs="黑体"/>
        </w:rPr>
        <w:fldChar w:fldCharType="separate"/>
      </w:r>
      <w:r>
        <w:rPr>
          <w:rFonts w:hint="eastAsia" w:ascii="Times New Roman" w:hAnsi="Times New Roman" w:cs="黑体"/>
        </w:rPr>
        <w:t>96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_Toc599 </w:instrText>
      </w:r>
      <w:r>
        <w:rPr>
          <w:rFonts w:hint="eastAsia" w:ascii="Times New Roman" w:hAnsi="Times New Roman" w:cs="黑体"/>
        </w:rPr>
        <w:fldChar w:fldCharType="separate"/>
      </w:r>
      <w:r>
        <w:rPr>
          <w:rFonts w:hint="eastAsia" w:ascii="Times New Roman" w:hAnsi="Times New Roman" w:cs="黑体"/>
        </w:rPr>
        <w:t>21.3不可抗力后果及其处理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_Toc599 \h </w:instrText>
      </w:r>
      <w:r>
        <w:rPr>
          <w:rFonts w:hint="eastAsia" w:ascii="Times New Roman" w:hAnsi="Times New Roman" w:cs="黑体"/>
        </w:rPr>
        <w:fldChar w:fldCharType="separate"/>
      </w:r>
      <w:r>
        <w:rPr>
          <w:rFonts w:hint="eastAsia" w:ascii="Times New Roman" w:hAnsi="Times New Roman" w:cs="黑体"/>
        </w:rPr>
        <w:t>96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_Toc31468 </w:instrText>
      </w:r>
      <w:r>
        <w:rPr>
          <w:rFonts w:hint="eastAsia" w:ascii="Times New Roman" w:hAnsi="Times New Roman" w:cs="黑体"/>
        </w:rPr>
        <w:fldChar w:fldCharType="separate"/>
      </w:r>
      <w:r>
        <w:rPr>
          <w:rFonts w:hint="eastAsia" w:ascii="Times New Roman" w:hAnsi="Times New Roman" w:cs="黑体"/>
        </w:rPr>
        <w:t>22.违约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_Toc31468 \h </w:instrText>
      </w:r>
      <w:r>
        <w:rPr>
          <w:rFonts w:hint="eastAsia" w:ascii="Times New Roman" w:hAnsi="Times New Roman" w:cs="黑体"/>
        </w:rPr>
        <w:fldChar w:fldCharType="separate"/>
      </w:r>
      <w:r>
        <w:rPr>
          <w:rFonts w:hint="eastAsia" w:ascii="Times New Roman" w:hAnsi="Times New Roman" w:cs="黑体"/>
        </w:rPr>
        <w:t>96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_Toc26787 </w:instrText>
      </w:r>
      <w:r>
        <w:rPr>
          <w:rFonts w:hint="eastAsia" w:ascii="Times New Roman" w:hAnsi="Times New Roman" w:cs="黑体"/>
        </w:rPr>
        <w:fldChar w:fldCharType="separate"/>
      </w:r>
      <w:r>
        <w:rPr>
          <w:rFonts w:hint="eastAsia" w:ascii="Times New Roman" w:hAnsi="Times New Roman" w:cs="黑体"/>
        </w:rPr>
        <w:t>22.1承包人违约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_Toc26787 \h </w:instrText>
      </w:r>
      <w:r>
        <w:rPr>
          <w:rFonts w:hint="eastAsia" w:ascii="Times New Roman" w:hAnsi="Times New Roman" w:cs="黑体"/>
        </w:rPr>
        <w:fldChar w:fldCharType="separate"/>
      </w:r>
      <w:r>
        <w:rPr>
          <w:rFonts w:hint="eastAsia" w:ascii="Times New Roman" w:hAnsi="Times New Roman" w:cs="黑体"/>
        </w:rPr>
        <w:t>96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_Toc10997 </w:instrText>
      </w:r>
      <w:r>
        <w:rPr>
          <w:rFonts w:hint="eastAsia" w:ascii="Times New Roman" w:hAnsi="Times New Roman" w:cs="黑体"/>
        </w:rPr>
        <w:fldChar w:fldCharType="separate"/>
      </w:r>
      <w:r>
        <w:rPr>
          <w:rFonts w:hint="eastAsia" w:ascii="Times New Roman" w:hAnsi="Times New Roman" w:cs="黑体"/>
        </w:rPr>
        <w:t>22.2发包人违约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_Toc10997 \h </w:instrText>
      </w:r>
      <w:r>
        <w:rPr>
          <w:rFonts w:hint="eastAsia" w:ascii="Times New Roman" w:hAnsi="Times New Roman" w:cs="黑体"/>
        </w:rPr>
        <w:fldChar w:fldCharType="separate"/>
      </w:r>
      <w:r>
        <w:rPr>
          <w:rFonts w:hint="eastAsia" w:ascii="Times New Roman" w:hAnsi="Times New Roman" w:cs="黑体"/>
        </w:rPr>
        <w:t>98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_Toc979 </w:instrText>
      </w:r>
      <w:r>
        <w:rPr>
          <w:rFonts w:hint="eastAsia" w:ascii="Times New Roman" w:hAnsi="Times New Roman" w:cs="黑体"/>
        </w:rPr>
        <w:fldChar w:fldCharType="separate"/>
      </w:r>
      <w:r>
        <w:rPr>
          <w:rFonts w:hint="eastAsia" w:ascii="Times New Roman" w:hAnsi="Times New Roman" w:cs="黑体"/>
        </w:rPr>
        <w:t>22.3第三人造成的违约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_Toc979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_Toc13034 </w:instrText>
      </w:r>
      <w:r>
        <w:rPr>
          <w:rFonts w:hint="eastAsia" w:ascii="Times New Roman" w:hAnsi="Times New Roman" w:cs="黑体"/>
        </w:rPr>
        <w:fldChar w:fldCharType="separate"/>
      </w:r>
      <w:r>
        <w:rPr>
          <w:rFonts w:hint="eastAsia" w:ascii="Times New Roman" w:hAnsi="Times New Roman" w:cs="黑体"/>
        </w:rPr>
        <w:t>23.索赔</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_Toc13034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_Toc27904 </w:instrText>
      </w:r>
      <w:r>
        <w:rPr>
          <w:rFonts w:hint="eastAsia" w:ascii="Times New Roman" w:hAnsi="Times New Roman" w:cs="黑体"/>
        </w:rPr>
        <w:fldChar w:fldCharType="separate"/>
      </w:r>
      <w:r>
        <w:rPr>
          <w:rFonts w:hint="eastAsia" w:ascii="Times New Roman" w:hAnsi="Times New Roman" w:cs="黑体"/>
        </w:rPr>
        <w:t>23.1承包人索赔的提出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_Toc27904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_Toc8762 </w:instrText>
      </w:r>
      <w:r>
        <w:rPr>
          <w:rFonts w:hint="eastAsia" w:ascii="Times New Roman" w:hAnsi="Times New Roman" w:cs="黑体"/>
        </w:rPr>
        <w:fldChar w:fldCharType="separate"/>
      </w:r>
      <w:r>
        <w:rPr>
          <w:rFonts w:hint="eastAsia" w:ascii="Times New Roman" w:hAnsi="Times New Roman" w:cs="黑体"/>
        </w:rPr>
        <w:t>23.2承包人索赔处理程序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_Toc8762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_Toc16356 </w:instrText>
      </w:r>
      <w:r>
        <w:rPr>
          <w:rFonts w:hint="eastAsia" w:ascii="Times New Roman" w:hAnsi="Times New Roman" w:cs="黑体"/>
        </w:rPr>
        <w:fldChar w:fldCharType="separate"/>
      </w:r>
      <w:r>
        <w:rPr>
          <w:rFonts w:hint="eastAsia" w:ascii="Times New Roman" w:hAnsi="Times New Roman" w:cs="黑体"/>
        </w:rPr>
        <w:t>23.3承包人提出索赔的期限</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_Toc16356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_Toc22473 </w:instrText>
      </w:r>
      <w:r>
        <w:rPr>
          <w:rFonts w:hint="eastAsia" w:ascii="Times New Roman" w:hAnsi="Times New Roman" w:cs="黑体"/>
        </w:rPr>
        <w:fldChar w:fldCharType="separate"/>
      </w:r>
      <w:r>
        <w:rPr>
          <w:rFonts w:hint="eastAsia" w:ascii="Times New Roman" w:hAnsi="Times New Roman" w:cs="黑体"/>
        </w:rPr>
        <w:t>23.4发包人的索赔</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_Toc22473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_Toc30496 </w:instrText>
      </w:r>
      <w:r>
        <w:rPr>
          <w:rFonts w:hint="eastAsia" w:ascii="Times New Roman" w:hAnsi="Times New Roman" w:cs="黑体"/>
        </w:rPr>
        <w:fldChar w:fldCharType="separate"/>
      </w:r>
      <w:r>
        <w:rPr>
          <w:rFonts w:hint="eastAsia" w:ascii="Times New Roman" w:hAnsi="Times New Roman" w:cs="黑体"/>
        </w:rPr>
        <w:t>24.争议的解决</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_Toc30496 \h </w:instrText>
      </w:r>
      <w:r>
        <w:rPr>
          <w:rFonts w:hint="eastAsia" w:ascii="Times New Roman" w:hAnsi="Times New Roman" w:cs="黑体"/>
        </w:rPr>
        <w:fldChar w:fldCharType="separate"/>
      </w:r>
      <w:r>
        <w:rPr>
          <w:rFonts w:hint="eastAsia" w:ascii="Times New Roman" w:hAnsi="Times New Roman" w:cs="黑体"/>
        </w:rPr>
        <w:t>100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_Toc30452 </w:instrText>
      </w:r>
      <w:r>
        <w:rPr>
          <w:rFonts w:hint="eastAsia" w:ascii="Times New Roman" w:hAnsi="Times New Roman" w:cs="黑体"/>
        </w:rPr>
        <w:fldChar w:fldCharType="separate"/>
      </w:r>
      <w:r>
        <w:rPr>
          <w:rFonts w:hint="eastAsia" w:ascii="Times New Roman" w:hAnsi="Times New Roman" w:cs="黑体"/>
        </w:rPr>
        <w:t>24.1争议的解决方式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_Toc30452 \h </w:instrText>
      </w:r>
      <w:r>
        <w:rPr>
          <w:rFonts w:hint="eastAsia" w:ascii="Times New Roman" w:hAnsi="Times New Roman" w:cs="黑体"/>
        </w:rPr>
        <w:fldChar w:fldCharType="separate"/>
      </w:r>
      <w:r>
        <w:rPr>
          <w:rFonts w:hint="eastAsia" w:ascii="Times New Roman" w:hAnsi="Times New Roman" w:cs="黑体"/>
        </w:rPr>
        <w:t>100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_Toc25887 </w:instrText>
      </w:r>
      <w:r>
        <w:rPr>
          <w:rFonts w:hint="eastAsia" w:ascii="Times New Roman" w:hAnsi="Times New Roman" w:cs="黑体"/>
        </w:rPr>
        <w:fldChar w:fldCharType="separate"/>
      </w:r>
      <w:r>
        <w:rPr>
          <w:rFonts w:hint="eastAsia" w:ascii="Times New Roman" w:hAnsi="Times New Roman" w:cs="黑体"/>
        </w:rPr>
        <w:t>24.2友好解决</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_Toc25887 \h </w:instrText>
      </w:r>
      <w:r>
        <w:rPr>
          <w:rFonts w:hint="eastAsia" w:ascii="Times New Roman" w:hAnsi="Times New Roman" w:cs="黑体"/>
        </w:rPr>
        <w:fldChar w:fldCharType="separate"/>
      </w:r>
      <w:r>
        <w:rPr>
          <w:rFonts w:hint="eastAsia" w:ascii="Times New Roman" w:hAnsi="Times New Roman" w:cs="黑体"/>
        </w:rPr>
        <w:t>100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_Toc31766 </w:instrText>
      </w:r>
      <w:r>
        <w:rPr>
          <w:rFonts w:hint="eastAsia" w:ascii="Times New Roman" w:hAnsi="Times New Roman" w:cs="黑体"/>
        </w:rPr>
        <w:fldChar w:fldCharType="separate"/>
      </w:r>
      <w:r>
        <w:rPr>
          <w:rFonts w:hint="eastAsia" w:ascii="Times New Roman" w:hAnsi="Times New Roman" w:cs="黑体"/>
        </w:rPr>
        <w:t>24.3争议评审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_Toc31766 \h </w:instrText>
      </w:r>
      <w:r>
        <w:rPr>
          <w:rFonts w:hint="eastAsia" w:ascii="Times New Roman" w:hAnsi="Times New Roman" w:cs="黑体"/>
        </w:rPr>
        <w:fldChar w:fldCharType="separate"/>
      </w:r>
      <w:r>
        <w:rPr>
          <w:rFonts w:hint="eastAsia" w:ascii="Times New Roman" w:hAnsi="Times New Roman" w:cs="黑体"/>
        </w:rPr>
        <w:t>100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_Toc21369 </w:instrText>
      </w:r>
      <w:r>
        <w:rPr>
          <w:rFonts w:hint="eastAsia" w:ascii="Times New Roman" w:hAnsi="Times New Roman" w:cs="黑体"/>
        </w:rPr>
        <w:fldChar w:fldCharType="separate"/>
      </w:r>
      <w:r>
        <w:rPr>
          <w:rFonts w:hint="eastAsia" w:ascii="Times New Roman" w:hAnsi="Times New Roman" w:cs="黑体"/>
        </w:rPr>
        <w:t>24.4仲裁</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_Toc21369 \h </w:instrText>
      </w:r>
      <w:r>
        <w:rPr>
          <w:rFonts w:hint="eastAsia" w:ascii="Times New Roman" w:hAnsi="Times New Roman" w:cs="黑体"/>
        </w:rPr>
        <w:fldChar w:fldCharType="separate"/>
      </w:r>
      <w:r>
        <w:rPr>
          <w:rFonts w:hint="eastAsia" w:ascii="Times New Roman" w:hAnsi="Times New Roman" w:cs="黑体"/>
        </w:rPr>
        <w:t>100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_Toc30316 </w:instrText>
      </w:r>
      <w:r>
        <w:rPr>
          <w:rFonts w:hint="eastAsia" w:ascii="Times New Roman" w:hAnsi="Times New Roman" w:cs="黑体"/>
        </w:rPr>
        <w:fldChar w:fldCharType="separate"/>
      </w:r>
      <w:r>
        <w:rPr>
          <w:rFonts w:hint="eastAsia" w:ascii="Times New Roman" w:hAnsi="Times New Roman" w:cs="黑体"/>
        </w:rPr>
        <w:t>第二节 专用合同条款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_Toc30316 \h </w:instrText>
      </w:r>
      <w:r>
        <w:rPr>
          <w:rFonts w:hint="eastAsia" w:ascii="Times New Roman" w:hAnsi="Times New Roman" w:cs="黑体"/>
        </w:rPr>
        <w:fldChar w:fldCharType="separate"/>
      </w:r>
      <w:r>
        <w:rPr>
          <w:rFonts w:hint="eastAsia" w:ascii="Times New Roman" w:hAnsi="Times New Roman" w:cs="黑体"/>
        </w:rPr>
        <w:t>101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_Toc22641 </w:instrText>
      </w:r>
      <w:r>
        <w:rPr>
          <w:rFonts w:hint="eastAsia" w:ascii="Times New Roman" w:hAnsi="Times New Roman" w:cs="黑体"/>
        </w:rPr>
        <w:fldChar w:fldCharType="separate"/>
      </w:r>
      <w:r>
        <w:rPr>
          <w:rFonts w:hint="eastAsia" w:ascii="Times New Roman" w:hAnsi="Times New Roman" w:cs="黑体"/>
        </w:rPr>
        <w:t>1. 一般约定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_Toc22641 \h </w:instrText>
      </w:r>
      <w:r>
        <w:rPr>
          <w:rFonts w:hint="eastAsia" w:ascii="Times New Roman" w:hAnsi="Times New Roman" w:cs="黑体"/>
        </w:rPr>
        <w:fldChar w:fldCharType="separate"/>
      </w:r>
      <w:r>
        <w:rPr>
          <w:rFonts w:hint="eastAsia" w:ascii="Times New Roman" w:hAnsi="Times New Roman" w:cs="黑体"/>
        </w:rPr>
        <w:t>101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_Toc16187 </w:instrText>
      </w:r>
      <w:r>
        <w:rPr>
          <w:rFonts w:hint="eastAsia" w:ascii="Times New Roman" w:hAnsi="Times New Roman" w:cs="黑体"/>
        </w:rPr>
        <w:fldChar w:fldCharType="separate"/>
      </w:r>
      <w:r>
        <w:rPr>
          <w:rFonts w:hint="eastAsia" w:ascii="Times New Roman" w:hAnsi="Times New Roman" w:cs="黑体"/>
        </w:rPr>
        <w:t>2. 发包人义务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_Toc16187 \h </w:instrText>
      </w:r>
      <w:r>
        <w:rPr>
          <w:rFonts w:hint="eastAsia" w:ascii="Times New Roman" w:hAnsi="Times New Roman" w:cs="黑体"/>
        </w:rPr>
        <w:fldChar w:fldCharType="separate"/>
      </w:r>
      <w:r>
        <w:rPr>
          <w:rFonts w:hint="eastAsia" w:ascii="Times New Roman" w:hAnsi="Times New Roman" w:cs="黑体"/>
        </w:rPr>
        <w:t>101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_Toc23549 </w:instrText>
      </w:r>
      <w:r>
        <w:rPr>
          <w:rFonts w:hint="eastAsia" w:ascii="Times New Roman" w:hAnsi="Times New Roman" w:cs="黑体"/>
        </w:rPr>
        <w:fldChar w:fldCharType="separate"/>
      </w:r>
      <w:r>
        <w:rPr>
          <w:rFonts w:hint="eastAsia" w:ascii="Times New Roman" w:hAnsi="Times New Roman" w:cs="黑体"/>
        </w:rPr>
        <w:t>5. 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_Toc23549 \h </w:instrText>
      </w:r>
      <w:r>
        <w:rPr>
          <w:rFonts w:hint="eastAsia" w:ascii="Times New Roman" w:hAnsi="Times New Roman" w:cs="黑体"/>
        </w:rPr>
        <w:fldChar w:fldCharType="separate"/>
      </w:r>
      <w:r>
        <w:rPr>
          <w:rFonts w:hint="eastAsia" w:ascii="Times New Roman" w:hAnsi="Times New Roman" w:cs="黑体"/>
        </w:rPr>
        <w:t>104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_Toc27459 </w:instrText>
      </w:r>
      <w:r>
        <w:rPr>
          <w:rFonts w:hint="eastAsia" w:ascii="Times New Roman" w:hAnsi="Times New Roman" w:cs="黑体"/>
        </w:rPr>
        <w:fldChar w:fldCharType="separate"/>
      </w:r>
      <w:r>
        <w:rPr>
          <w:rFonts w:hint="eastAsia" w:ascii="Times New Roman" w:hAnsi="Times New Roman" w:cs="黑体"/>
        </w:rPr>
        <w:t>6. 施工设备和临时设施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_Toc27459 \h </w:instrText>
      </w:r>
      <w:r>
        <w:rPr>
          <w:rFonts w:hint="eastAsia" w:ascii="Times New Roman" w:hAnsi="Times New Roman" w:cs="黑体"/>
        </w:rPr>
        <w:fldChar w:fldCharType="separate"/>
      </w:r>
      <w:r>
        <w:rPr>
          <w:rFonts w:hint="eastAsia" w:ascii="Times New Roman" w:hAnsi="Times New Roman" w:cs="黑体"/>
        </w:rPr>
        <w:t>104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_Toc16895 </w:instrText>
      </w:r>
      <w:r>
        <w:rPr>
          <w:rFonts w:hint="eastAsia" w:ascii="Times New Roman" w:hAnsi="Times New Roman" w:cs="黑体"/>
        </w:rPr>
        <w:fldChar w:fldCharType="separate"/>
      </w:r>
      <w:r>
        <w:rPr>
          <w:rFonts w:hint="eastAsia" w:ascii="Times New Roman" w:hAnsi="Times New Roman" w:cs="黑体"/>
        </w:rPr>
        <w:t>7. 交通运输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_Toc16895 \h </w:instrText>
      </w:r>
      <w:r>
        <w:rPr>
          <w:rFonts w:hint="eastAsia" w:ascii="Times New Roman" w:hAnsi="Times New Roman" w:cs="黑体"/>
        </w:rPr>
        <w:fldChar w:fldCharType="separate"/>
      </w:r>
      <w:r>
        <w:rPr>
          <w:rFonts w:hint="eastAsia" w:ascii="Times New Roman" w:hAnsi="Times New Roman" w:cs="黑体"/>
        </w:rPr>
        <w:t>105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_Toc20626 </w:instrText>
      </w:r>
      <w:r>
        <w:rPr>
          <w:rFonts w:hint="eastAsia" w:ascii="Times New Roman" w:hAnsi="Times New Roman" w:cs="黑体"/>
        </w:rPr>
        <w:fldChar w:fldCharType="separate"/>
      </w:r>
      <w:r>
        <w:rPr>
          <w:rFonts w:hint="eastAsia" w:ascii="Times New Roman" w:hAnsi="Times New Roman" w:cs="黑体"/>
        </w:rPr>
        <w:t>8. 测量放线</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_Toc20626 \h </w:instrText>
      </w:r>
      <w:r>
        <w:rPr>
          <w:rFonts w:hint="eastAsia" w:ascii="Times New Roman" w:hAnsi="Times New Roman" w:cs="黑体"/>
        </w:rPr>
        <w:fldChar w:fldCharType="separate"/>
      </w:r>
      <w:r>
        <w:rPr>
          <w:rFonts w:hint="eastAsia" w:ascii="Times New Roman" w:hAnsi="Times New Roman" w:cs="黑体"/>
        </w:rPr>
        <w:t>105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_Toc19250 </w:instrText>
      </w:r>
      <w:r>
        <w:rPr>
          <w:rFonts w:hint="eastAsia" w:ascii="Times New Roman" w:hAnsi="Times New Roman" w:cs="黑体"/>
        </w:rPr>
        <w:fldChar w:fldCharType="separate"/>
      </w:r>
      <w:r>
        <w:rPr>
          <w:rFonts w:hint="eastAsia" w:ascii="Times New Roman" w:hAnsi="Times New Roman" w:cs="黑体"/>
        </w:rPr>
        <w:t>9. 施工安全、治安保卫和环境保护</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_Toc19250 \h </w:instrText>
      </w:r>
      <w:r>
        <w:rPr>
          <w:rFonts w:hint="eastAsia" w:ascii="Times New Roman" w:hAnsi="Times New Roman" w:cs="黑体"/>
        </w:rPr>
        <w:fldChar w:fldCharType="separate"/>
      </w:r>
      <w:r>
        <w:rPr>
          <w:rFonts w:hint="eastAsia" w:ascii="Times New Roman" w:hAnsi="Times New Roman" w:cs="黑体"/>
        </w:rPr>
        <w:t>105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_Toc3130 </w:instrText>
      </w:r>
      <w:r>
        <w:rPr>
          <w:rFonts w:hint="eastAsia" w:ascii="Times New Roman" w:hAnsi="Times New Roman" w:cs="黑体"/>
        </w:rPr>
        <w:fldChar w:fldCharType="separate"/>
      </w:r>
      <w:r>
        <w:rPr>
          <w:rFonts w:hint="eastAsia" w:ascii="Times New Roman" w:hAnsi="Times New Roman" w:cs="黑体"/>
        </w:rPr>
        <w:t>11. 开工和竣工（完工）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_Toc3130 \h </w:instrText>
      </w:r>
      <w:r>
        <w:rPr>
          <w:rFonts w:hint="eastAsia" w:ascii="Times New Roman" w:hAnsi="Times New Roman" w:cs="黑体"/>
        </w:rPr>
        <w:fldChar w:fldCharType="separate"/>
      </w:r>
      <w:r>
        <w:rPr>
          <w:rFonts w:hint="eastAsia" w:ascii="Times New Roman" w:hAnsi="Times New Roman" w:cs="黑体"/>
        </w:rPr>
        <w:t>106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_Toc2715 </w:instrText>
      </w:r>
      <w:r>
        <w:rPr>
          <w:rFonts w:hint="eastAsia" w:ascii="Times New Roman" w:hAnsi="Times New Roman" w:cs="黑体"/>
        </w:rPr>
        <w:fldChar w:fldCharType="separate"/>
      </w:r>
      <w:r>
        <w:rPr>
          <w:rFonts w:hint="eastAsia" w:ascii="Times New Roman" w:hAnsi="Times New Roman" w:cs="黑体"/>
        </w:rPr>
        <w:t>12. 暂停施工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_Toc2715 \h </w:instrText>
      </w:r>
      <w:r>
        <w:rPr>
          <w:rFonts w:hint="eastAsia" w:ascii="Times New Roman" w:hAnsi="Times New Roman" w:cs="黑体"/>
        </w:rPr>
        <w:fldChar w:fldCharType="separate"/>
      </w:r>
      <w:r>
        <w:rPr>
          <w:rFonts w:hint="eastAsia" w:ascii="Times New Roman" w:hAnsi="Times New Roman" w:cs="黑体"/>
        </w:rPr>
        <w:t>107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_Toc3707 </w:instrText>
      </w:r>
      <w:r>
        <w:rPr>
          <w:rFonts w:hint="eastAsia" w:ascii="Times New Roman" w:hAnsi="Times New Roman" w:cs="黑体"/>
        </w:rPr>
        <w:fldChar w:fldCharType="separate"/>
      </w:r>
      <w:r>
        <w:rPr>
          <w:rFonts w:hint="eastAsia" w:ascii="Times New Roman" w:hAnsi="Times New Roman" w:cs="黑体"/>
        </w:rPr>
        <w:t>13. 工程质量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_Toc3707 \h </w:instrText>
      </w:r>
      <w:r>
        <w:rPr>
          <w:rFonts w:hint="eastAsia" w:ascii="Times New Roman" w:hAnsi="Times New Roman" w:cs="黑体"/>
        </w:rPr>
        <w:fldChar w:fldCharType="separate"/>
      </w:r>
      <w:r>
        <w:rPr>
          <w:rFonts w:hint="eastAsia" w:ascii="Times New Roman" w:hAnsi="Times New Roman" w:cs="黑体"/>
        </w:rPr>
        <w:t>107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_Toc31622 </w:instrText>
      </w:r>
      <w:r>
        <w:rPr>
          <w:rFonts w:hint="eastAsia" w:ascii="Times New Roman" w:hAnsi="Times New Roman" w:cs="黑体"/>
        </w:rPr>
        <w:fldChar w:fldCharType="separate"/>
      </w:r>
      <w:r>
        <w:rPr>
          <w:rFonts w:hint="eastAsia" w:ascii="Times New Roman" w:hAnsi="Times New Roman" w:cs="黑体"/>
        </w:rPr>
        <w:t>14 . 试验和检验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_Toc31622 \h </w:instrText>
      </w:r>
      <w:r>
        <w:rPr>
          <w:rFonts w:hint="eastAsia" w:ascii="Times New Roman" w:hAnsi="Times New Roman" w:cs="黑体"/>
        </w:rPr>
        <w:fldChar w:fldCharType="separate"/>
      </w:r>
      <w:r>
        <w:rPr>
          <w:rFonts w:hint="eastAsia" w:ascii="Times New Roman" w:hAnsi="Times New Roman" w:cs="黑体"/>
        </w:rPr>
        <w:t>107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_Toc10579 </w:instrText>
      </w:r>
      <w:r>
        <w:rPr>
          <w:rFonts w:hint="eastAsia" w:ascii="Times New Roman" w:hAnsi="Times New Roman" w:cs="黑体"/>
        </w:rPr>
        <w:fldChar w:fldCharType="separate"/>
      </w:r>
      <w:r>
        <w:rPr>
          <w:rFonts w:hint="eastAsia" w:ascii="Times New Roman" w:hAnsi="Times New Roman" w:cs="黑体"/>
        </w:rPr>
        <w:t>15. 变更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_Toc10579 \h </w:instrText>
      </w:r>
      <w:r>
        <w:rPr>
          <w:rFonts w:hint="eastAsia" w:ascii="Times New Roman" w:hAnsi="Times New Roman" w:cs="黑体"/>
        </w:rPr>
        <w:fldChar w:fldCharType="separate"/>
      </w:r>
      <w:r>
        <w:rPr>
          <w:rFonts w:hint="eastAsia" w:ascii="Times New Roman" w:hAnsi="Times New Roman" w:cs="黑体"/>
        </w:rPr>
        <w:t>108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_Toc25680 </w:instrText>
      </w:r>
      <w:r>
        <w:rPr>
          <w:rFonts w:hint="eastAsia" w:ascii="Times New Roman" w:hAnsi="Times New Roman" w:cs="黑体"/>
        </w:rPr>
        <w:fldChar w:fldCharType="separate"/>
      </w:r>
      <w:r>
        <w:rPr>
          <w:rFonts w:hint="eastAsia" w:ascii="Times New Roman" w:hAnsi="Times New Roman" w:cs="黑体"/>
        </w:rPr>
        <w:t>16 .价格调整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_Toc25680 \h </w:instrText>
      </w:r>
      <w:r>
        <w:rPr>
          <w:rFonts w:hint="eastAsia" w:ascii="Times New Roman" w:hAnsi="Times New Roman" w:cs="黑体"/>
        </w:rPr>
        <w:fldChar w:fldCharType="separate"/>
      </w:r>
      <w:r>
        <w:rPr>
          <w:rFonts w:hint="eastAsia" w:ascii="Times New Roman" w:hAnsi="Times New Roman" w:cs="黑体"/>
        </w:rPr>
        <w:t>108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_Toc15520 </w:instrText>
      </w:r>
      <w:r>
        <w:rPr>
          <w:rFonts w:hint="eastAsia" w:ascii="Times New Roman" w:hAnsi="Times New Roman" w:cs="黑体"/>
        </w:rPr>
        <w:fldChar w:fldCharType="separate"/>
      </w:r>
      <w:r>
        <w:rPr>
          <w:rFonts w:hint="eastAsia" w:ascii="Times New Roman" w:hAnsi="Times New Roman" w:cs="黑体"/>
        </w:rPr>
        <w:t>17. 计量与支付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_Toc15520 \h </w:instrText>
      </w:r>
      <w:r>
        <w:rPr>
          <w:rFonts w:hint="eastAsia" w:ascii="Times New Roman" w:hAnsi="Times New Roman" w:cs="黑体"/>
        </w:rPr>
        <w:fldChar w:fldCharType="separate"/>
      </w:r>
      <w:r>
        <w:rPr>
          <w:rFonts w:hint="eastAsia" w:ascii="Times New Roman" w:hAnsi="Times New Roman" w:cs="黑体"/>
        </w:rPr>
        <w:t>109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_Toc21640 </w:instrText>
      </w:r>
      <w:r>
        <w:rPr>
          <w:rFonts w:hint="eastAsia" w:ascii="Times New Roman" w:hAnsi="Times New Roman" w:cs="黑体"/>
        </w:rPr>
        <w:fldChar w:fldCharType="separate"/>
      </w:r>
      <w:r>
        <w:rPr>
          <w:rFonts w:hint="eastAsia" w:ascii="Times New Roman" w:hAnsi="Times New Roman" w:cs="黑体"/>
        </w:rPr>
        <w:t>18. 竣工验收（验收）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_Toc21640 \h </w:instrText>
      </w:r>
      <w:r>
        <w:rPr>
          <w:rFonts w:hint="eastAsia" w:ascii="Times New Roman" w:hAnsi="Times New Roman" w:cs="黑体"/>
        </w:rPr>
        <w:fldChar w:fldCharType="separate"/>
      </w:r>
      <w:r>
        <w:rPr>
          <w:rFonts w:hint="eastAsia" w:ascii="Times New Roman" w:hAnsi="Times New Roman" w:cs="黑体"/>
        </w:rPr>
        <w:t>111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_Toc13363 </w:instrText>
      </w:r>
      <w:r>
        <w:rPr>
          <w:rFonts w:hint="eastAsia" w:ascii="Times New Roman" w:hAnsi="Times New Roman" w:cs="黑体"/>
        </w:rPr>
        <w:fldChar w:fldCharType="separate"/>
      </w:r>
      <w:r>
        <w:rPr>
          <w:rFonts w:hint="eastAsia" w:ascii="Times New Roman" w:hAnsi="Times New Roman" w:cs="黑体"/>
        </w:rPr>
        <w:t>19. 缺陷责任与保修责任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_Toc13363 \h </w:instrText>
      </w:r>
      <w:r>
        <w:rPr>
          <w:rFonts w:hint="eastAsia" w:ascii="Times New Roman" w:hAnsi="Times New Roman" w:cs="黑体"/>
        </w:rPr>
        <w:fldChar w:fldCharType="separate"/>
      </w:r>
      <w:r>
        <w:rPr>
          <w:rFonts w:hint="eastAsia" w:ascii="Times New Roman" w:hAnsi="Times New Roman" w:cs="黑体"/>
        </w:rPr>
        <w:t>111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_Toc16698 </w:instrText>
      </w:r>
      <w:r>
        <w:rPr>
          <w:rFonts w:hint="eastAsia" w:ascii="Times New Roman" w:hAnsi="Times New Roman" w:cs="黑体"/>
        </w:rPr>
        <w:fldChar w:fldCharType="separate"/>
      </w:r>
      <w:r>
        <w:rPr>
          <w:rFonts w:hint="eastAsia" w:ascii="Times New Roman" w:hAnsi="Times New Roman" w:cs="黑体"/>
        </w:rPr>
        <w:t>20. 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_Toc16698 \h </w:instrText>
      </w:r>
      <w:r>
        <w:rPr>
          <w:rFonts w:hint="eastAsia" w:ascii="Times New Roman" w:hAnsi="Times New Roman" w:cs="黑体"/>
        </w:rPr>
        <w:fldChar w:fldCharType="separate"/>
      </w:r>
      <w:r>
        <w:rPr>
          <w:rFonts w:hint="eastAsia" w:ascii="Times New Roman" w:hAnsi="Times New Roman" w:cs="黑体"/>
        </w:rPr>
        <w:t>111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_Toc28542 </w:instrText>
      </w:r>
      <w:r>
        <w:rPr>
          <w:rFonts w:hint="eastAsia" w:ascii="Times New Roman" w:hAnsi="Times New Roman" w:cs="黑体"/>
        </w:rPr>
        <w:fldChar w:fldCharType="separate"/>
      </w:r>
      <w:r>
        <w:rPr>
          <w:rFonts w:hint="eastAsia" w:ascii="Times New Roman" w:hAnsi="Times New Roman" w:cs="黑体"/>
        </w:rPr>
        <w:t>21. 不可抗力</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_Toc28542 \h </w:instrText>
      </w:r>
      <w:r>
        <w:rPr>
          <w:rFonts w:hint="eastAsia" w:ascii="Times New Roman" w:hAnsi="Times New Roman" w:cs="黑体"/>
        </w:rPr>
        <w:fldChar w:fldCharType="separate"/>
      </w:r>
      <w:r>
        <w:rPr>
          <w:rFonts w:hint="eastAsia" w:ascii="Times New Roman" w:hAnsi="Times New Roman" w:cs="黑体"/>
        </w:rPr>
        <w:t>112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_Toc6232 </w:instrText>
      </w:r>
      <w:r>
        <w:rPr>
          <w:rFonts w:hint="eastAsia" w:ascii="Times New Roman" w:hAnsi="Times New Roman" w:cs="黑体"/>
        </w:rPr>
        <w:fldChar w:fldCharType="separate"/>
      </w:r>
      <w:r>
        <w:rPr>
          <w:rFonts w:hint="eastAsia" w:ascii="Times New Roman" w:hAnsi="Times New Roman" w:cs="黑体"/>
        </w:rPr>
        <w:t>25. 附加条款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_Toc6232 \h </w:instrText>
      </w:r>
      <w:r>
        <w:rPr>
          <w:rFonts w:hint="eastAsia" w:ascii="Times New Roman" w:hAnsi="Times New Roman" w:cs="黑体"/>
        </w:rPr>
        <w:fldChar w:fldCharType="separate"/>
      </w:r>
      <w:r>
        <w:rPr>
          <w:rFonts w:hint="eastAsia" w:ascii="Times New Roman" w:hAnsi="Times New Roman" w:cs="黑体"/>
        </w:rPr>
        <w:t>112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_Toc10187 </w:instrText>
      </w:r>
      <w:r>
        <w:rPr>
          <w:rFonts w:hint="eastAsia" w:ascii="Times New Roman" w:hAnsi="Times New Roman" w:cs="黑体"/>
        </w:rPr>
        <w:fldChar w:fldCharType="separate"/>
      </w:r>
      <w:r>
        <w:rPr>
          <w:rFonts w:hint="eastAsia" w:ascii="Times New Roman" w:hAnsi="Times New Roman" w:cs="黑体"/>
          <w:lang w:val="en-US" w:eastAsia="zh-CN"/>
        </w:rPr>
        <w:t xml:space="preserve">第三节 </w:t>
      </w:r>
      <w:r>
        <w:rPr>
          <w:rFonts w:hint="eastAsia" w:ascii="Times New Roman" w:hAnsi="Times New Roman" w:cs="黑体"/>
        </w:rPr>
        <w:t>合同附件格式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_Toc10187 \h </w:instrText>
      </w:r>
      <w:r>
        <w:rPr>
          <w:rFonts w:hint="eastAsia" w:ascii="Times New Roman" w:hAnsi="Times New Roman" w:cs="黑体"/>
        </w:rPr>
        <w:fldChar w:fldCharType="separate"/>
      </w:r>
      <w:r>
        <w:rPr>
          <w:rFonts w:hint="eastAsia" w:ascii="Times New Roman" w:hAnsi="Times New Roman" w:cs="黑体"/>
        </w:rPr>
        <w:t>115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_Toc11419 </w:instrText>
      </w:r>
      <w:r>
        <w:rPr>
          <w:rFonts w:hint="eastAsia" w:ascii="Times New Roman" w:hAnsi="Times New Roman" w:cs="黑体"/>
        </w:rPr>
        <w:fldChar w:fldCharType="separate"/>
      </w:r>
      <w:r>
        <w:rPr>
          <w:rFonts w:hint="eastAsia" w:ascii="Times New Roman" w:hAnsi="Times New Roman" w:cs="黑体"/>
        </w:rPr>
        <w:t>附件一：合同协议书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_Toc11419 \h </w:instrText>
      </w:r>
      <w:r>
        <w:rPr>
          <w:rFonts w:hint="eastAsia" w:ascii="Times New Roman" w:hAnsi="Times New Roman" w:cs="黑体"/>
        </w:rPr>
        <w:fldChar w:fldCharType="separate"/>
      </w:r>
      <w:r>
        <w:rPr>
          <w:rFonts w:hint="eastAsia" w:ascii="Times New Roman" w:hAnsi="Times New Roman" w:cs="黑体"/>
        </w:rPr>
        <w:t>115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_Toc20769 </w:instrText>
      </w:r>
      <w:r>
        <w:rPr>
          <w:rFonts w:hint="eastAsia" w:ascii="Times New Roman" w:hAnsi="Times New Roman" w:cs="黑体"/>
        </w:rPr>
        <w:fldChar w:fldCharType="separate"/>
      </w:r>
      <w:r>
        <w:rPr>
          <w:rFonts w:hint="eastAsia" w:ascii="Times New Roman" w:hAnsi="Times New Roman" w:cs="黑体"/>
        </w:rPr>
        <w:t>附件二：履约保函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_Toc20769 \h </w:instrText>
      </w:r>
      <w:r>
        <w:rPr>
          <w:rFonts w:hint="eastAsia" w:ascii="Times New Roman" w:hAnsi="Times New Roman" w:cs="黑体"/>
        </w:rPr>
        <w:fldChar w:fldCharType="separate"/>
      </w:r>
      <w:r>
        <w:rPr>
          <w:rFonts w:hint="eastAsia" w:ascii="Times New Roman" w:hAnsi="Times New Roman" w:cs="黑体"/>
        </w:rPr>
        <w:t>116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_Toc9564 </w:instrText>
      </w:r>
      <w:r>
        <w:rPr>
          <w:rFonts w:hint="eastAsia" w:ascii="Times New Roman" w:hAnsi="Times New Roman" w:cs="黑体"/>
        </w:rPr>
        <w:fldChar w:fldCharType="separate"/>
      </w:r>
      <w:r>
        <w:rPr>
          <w:rFonts w:hint="eastAsia" w:ascii="Times New Roman" w:hAnsi="Times New Roman" w:cs="黑体"/>
        </w:rPr>
        <w:t>附件三：预付款担保函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_Toc9564 \h </w:instrText>
      </w:r>
      <w:r>
        <w:rPr>
          <w:rFonts w:hint="eastAsia" w:ascii="Times New Roman" w:hAnsi="Times New Roman" w:cs="黑体"/>
        </w:rPr>
        <w:fldChar w:fldCharType="separate"/>
      </w:r>
      <w:r>
        <w:rPr>
          <w:rFonts w:hint="eastAsia" w:ascii="Times New Roman" w:hAnsi="Times New Roman" w:cs="黑体"/>
        </w:rPr>
        <w:t>117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_Toc4919 </w:instrText>
      </w:r>
      <w:r>
        <w:rPr>
          <w:rFonts w:hint="eastAsia" w:ascii="Times New Roman" w:hAnsi="Times New Roman" w:cs="黑体"/>
        </w:rPr>
        <w:fldChar w:fldCharType="separate"/>
      </w:r>
      <w:r>
        <w:rPr>
          <w:rFonts w:hint="eastAsia" w:ascii="Times New Roman" w:hAnsi="Times New Roman" w:cs="黑体"/>
        </w:rPr>
        <w:t>第五章 工程量清单</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_Toc4919 \h </w:instrText>
      </w:r>
      <w:r>
        <w:rPr>
          <w:rFonts w:hint="eastAsia" w:ascii="Times New Roman" w:hAnsi="Times New Roman" w:cs="黑体"/>
        </w:rPr>
        <w:fldChar w:fldCharType="separate"/>
      </w:r>
      <w:r>
        <w:rPr>
          <w:rFonts w:hint="eastAsia" w:ascii="Times New Roman" w:hAnsi="Times New Roman" w:cs="黑体"/>
        </w:rPr>
        <w:t>124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_Toc14892 </w:instrText>
      </w:r>
      <w:r>
        <w:rPr>
          <w:rFonts w:hint="eastAsia" w:ascii="Times New Roman" w:hAnsi="Times New Roman" w:cs="黑体"/>
        </w:rPr>
        <w:fldChar w:fldCharType="separate"/>
      </w:r>
      <w:r>
        <w:rPr>
          <w:rFonts w:hint="eastAsia" w:ascii="Times New Roman" w:hAnsi="Times New Roman" w:cs="黑体"/>
          <w:lang w:val="en-US" w:eastAsia="zh-CN"/>
        </w:rPr>
        <w:t>1.</w:t>
      </w:r>
      <w:r>
        <w:rPr>
          <w:rFonts w:hint="eastAsia" w:ascii="Times New Roman" w:hAnsi="Times New Roman" w:cs="黑体"/>
        </w:rPr>
        <w:t>工程量清单编制说明</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_Toc14892 \h </w:instrText>
      </w:r>
      <w:r>
        <w:rPr>
          <w:rFonts w:hint="eastAsia" w:ascii="Times New Roman" w:hAnsi="Times New Roman" w:cs="黑体"/>
        </w:rPr>
        <w:fldChar w:fldCharType="separate"/>
      </w:r>
      <w:r>
        <w:rPr>
          <w:rFonts w:hint="eastAsia" w:ascii="Times New Roman" w:hAnsi="Times New Roman" w:cs="黑体"/>
        </w:rPr>
        <w:t>124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_Toc9006 </w:instrText>
      </w:r>
      <w:r>
        <w:rPr>
          <w:rFonts w:hint="eastAsia" w:ascii="Times New Roman" w:hAnsi="Times New Roman" w:cs="黑体"/>
        </w:rPr>
        <w:fldChar w:fldCharType="separate"/>
      </w:r>
      <w:r>
        <w:rPr>
          <w:rFonts w:hint="eastAsia" w:ascii="Times New Roman" w:hAnsi="Times New Roman" w:cs="黑体"/>
        </w:rPr>
        <w:t>2</w:t>
      </w:r>
      <w:r>
        <w:rPr>
          <w:rFonts w:hint="eastAsia" w:ascii="Times New Roman" w:hAnsi="Times New Roman" w:cs="黑体"/>
          <w:lang w:val="en-US" w:eastAsia="zh-CN"/>
        </w:rPr>
        <w:t>.</w:t>
      </w:r>
      <w:r>
        <w:rPr>
          <w:rFonts w:hint="eastAsia" w:ascii="Times New Roman" w:hAnsi="Times New Roman" w:cs="黑体"/>
        </w:rPr>
        <w:t>投标报价说明</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_Toc9006 \h </w:instrText>
      </w:r>
      <w:r>
        <w:rPr>
          <w:rFonts w:hint="eastAsia" w:ascii="Times New Roman" w:hAnsi="Times New Roman" w:cs="黑体"/>
        </w:rPr>
        <w:fldChar w:fldCharType="separate"/>
      </w:r>
      <w:r>
        <w:rPr>
          <w:rFonts w:hint="eastAsia" w:ascii="Times New Roman" w:hAnsi="Times New Roman" w:cs="黑体"/>
        </w:rPr>
        <w:t>124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_Toc19430 </w:instrText>
      </w:r>
      <w:r>
        <w:rPr>
          <w:rFonts w:hint="eastAsia" w:ascii="Times New Roman" w:hAnsi="Times New Roman" w:cs="黑体"/>
        </w:rPr>
        <w:fldChar w:fldCharType="separate"/>
      </w:r>
      <w:r>
        <w:rPr>
          <w:rFonts w:hint="eastAsia" w:ascii="Times New Roman" w:hAnsi="Times New Roman" w:cs="黑体"/>
        </w:rPr>
        <w:t>3</w:t>
      </w:r>
      <w:r>
        <w:rPr>
          <w:rFonts w:hint="eastAsia" w:ascii="Times New Roman" w:hAnsi="Times New Roman" w:cs="黑体"/>
          <w:lang w:val="en-US" w:eastAsia="zh-CN"/>
        </w:rPr>
        <w:t>.</w:t>
      </w:r>
      <w:r>
        <w:rPr>
          <w:rFonts w:hint="eastAsia" w:ascii="Times New Roman" w:hAnsi="Times New Roman" w:cs="黑体"/>
        </w:rPr>
        <w:t>工程量清单及控制价</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_Toc19430 \h </w:instrText>
      </w:r>
      <w:r>
        <w:rPr>
          <w:rFonts w:hint="eastAsia" w:ascii="Times New Roman" w:hAnsi="Times New Roman" w:cs="黑体"/>
        </w:rPr>
        <w:fldChar w:fldCharType="separate"/>
      </w:r>
      <w:r>
        <w:rPr>
          <w:rFonts w:hint="eastAsia" w:ascii="Times New Roman" w:hAnsi="Times New Roman" w:cs="黑体"/>
        </w:rPr>
        <w:t>126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_Toc32689 </w:instrText>
      </w:r>
      <w:r>
        <w:rPr>
          <w:rFonts w:hint="eastAsia" w:ascii="Times New Roman" w:hAnsi="Times New Roman" w:cs="黑体"/>
        </w:rPr>
        <w:fldChar w:fldCharType="separate"/>
      </w:r>
      <w:r>
        <w:rPr>
          <w:rFonts w:hint="eastAsia" w:ascii="Times New Roman" w:hAnsi="Times New Roman" w:cs="黑体"/>
        </w:rPr>
        <w:t>4</w:t>
      </w:r>
      <w:r>
        <w:rPr>
          <w:rFonts w:hint="eastAsia" w:ascii="Times New Roman" w:hAnsi="Times New Roman" w:cs="黑体"/>
          <w:lang w:val="en-US" w:eastAsia="zh-CN"/>
        </w:rPr>
        <w:t>.</w:t>
      </w:r>
      <w:r>
        <w:rPr>
          <w:rFonts w:hint="eastAsia" w:ascii="Times New Roman" w:hAnsi="Times New Roman" w:cs="黑体"/>
        </w:rPr>
        <w:t>计价依据</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_Toc32689 \h </w:instrText>
      </w:r>
      <w:r>
        <w:rPr>
          <w:rFonts w:hint="eastAsia" w:ascii="Times New Roman" w:hAnsi="Times New Roman" w:cs="黑体"/>
        </w:rPr>
        <w:fldChar w:fldCharType="separate"/>
      </w:r>
      <w:r>
        <w:rPr>
          <w:rFonts w:hint="eastAsia" w:ascii="Times New Roman" w:hAnsi="Times New Roman" w:cs="黑体"/>
        </w:rPr>
        <w:t>126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_Toc14834 </w:instrText>
      </w:r>
      <w:r>
        <w:rPr>
          <w:rFonts w:hint="eastAsia" w:ascii="Times New Roman" w:hAnsi="Times New Roman" w:cs="黑体"/>
        </w:rPr>
        <w:fldChar w:fldCharType="separate"/>
      </w:r>
      <w:r>
        <w:rPr>
          <w:rFonts w:hint="eastAsia" w:ascii="Times New Roman" w:hAnsi="Times New Roman" w:cs="黑体"/>
        </w:rPr>
        <w:t xml:space="preserve">5 </w:t>
      </w:r>
      <w:r>
        <w:rPr>
          <w:rFonts w:hint="eastAsia" w:ascii="Times New Roman" w:hAnsi="Times New Roman" w:cs="黑体"/>
          <w:lang w:val="en-US" w:eastAsia="zh-CN"/>
        </w:rPr>
        <w:t>.</w:t>
      </w:r>
      <w:r>
        <w:rPr>
          <w:rFonts w:hint="eastAsia" w:ascii="Times New Roman" w:hAnsi="Times New Roman" w:cs="黑体"/>
        </w:rPr>
        <w:t>工程量清单（另册装订）</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_Toc14834 \h </w:instrText>
      </w:r>
      <w:r>
        <w:rPr>
          <w:rFonts w:hint="eastAsia" w:ascii="Times New Roman" w:hAnsi="Times New Roman" w:cs="黑体"/>
        </w:rPr>
        <w:fldChar w:fldCharType="separate"/>
      </w:r>
      <w:r>
        <w:rPr>
          <w:rFonts w:hint="eastAsia" w:ascii="Times New Roman" w:hAnsi="Times New Roman" w:cs="黑体"/>
        </w:rPr>
        <w:t>126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_Toc2812 </w:instrText>
      </w:r>
      <w:r>
        <w:rPr>
          <w:rFonts w:hint="eastAsia" w:ascii="Times New Roman" w:hAnsi="Times New Roman" w:cs="黑体"/>
        </w:rPr>
        <w:fldChar w:fldCharType="separate"/>
      </w:r>
      <w:r>
        <w:rPr>
          <w:rFonts w:hint="eastAsia" w:ascii="Times New Roman" w:hAnsi="Times New Roman" w:cs="黑体"/>
        </w:rPr>
        <w:t>第六章 图  纸</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_Toc2812 \h </w:instrText>
      </w:r>
      <w:r>
        <w:rPr>
          <w:rFonts w:hint="eastAsia" w:ascii="Times New Roman" w:hAnsi="Times New Roman" w:cs="黑体"/>
        </w:rPr>
        <w:fldChar w:fldCharType="separate"/>
      </w:r>
      <w:r>
        <w:rPr>
          <w:rFonts w:hint="eastAsia" w:ascii="Times New Roman" w:hAnsi="Times New Roman" w:cs="黑体"/>
        </w:rPr>
        <w:t>127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_Toc19664 </w:instrText>
      </w:r>
      <w:r>
        <w:rPr>
          <w:rFonts w:hint="eastAsia" w:ascii="Times New Roman" w:hAnsi="Times New Roman" w:cs="黑体"/>
        </w:rPr>
        <w:fldChar w:fldCharType="separate"/>
      </w:r>
      <w:r>
        <w:rPr>
          <w:rFonts w:hint="eastAsia" w:ascii="Times New Roman" w:hAnsi="Times New Roman" w:cs="黑体"/>
        </w:rPr>
        <w:t>第七章 危险性较大的分部分项工程清单（如有）</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_Toc19664 \h </w:instrText>
      </w:r>
      <w:r>
        <w:rPr>
          <w:rFonts w:hint="eastAsia" w:ascii="Times New Roman" w:hAnsi="Times New Roman" w:cs="黑体"/>
        </w:rPr>
        <w:fldChar w:fldCharType="separate"/>
      </w:r>
      <w:r>
        <w:rPr>
          <w:rFonts w:hint="eastAsia" w:ascii="Times New Roman" w:hAnsi="Times New Roman" w:cs="黑体"/>
        </w:rPr>
        <w:t>127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_Toc11755 </w:instrText>
      </w:r>
      <w:r>
        <w:rPr>
          <w:rFonts w:hint="eastAsia" w:ascii="Times New Roman" w:hAnsi="Times New Roman" w:cs="黑体"/>
        </w:rPr>
        <w:fldChar w:fldCharType="separate"/>
      </w:r>
      <w:r>
        <w:rPr>
          <w:rFonts w:hint="eastAsia" w:ascii="Times New Roman" w:hAnsi="Times New Roman" w:cs="黑体"/>
        </w:rPr>
        <w:t>第八章 技术标准和要求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_Toc11755 \h </w:instrText>
      </w:r>
      <w:r>
        <w:rPr>
          <w:rFonts w:hint="eastAsia" w:ascii="Times New Roman" w:hAnsi="Times New Roman" w:cs="黑体"/>
        </w:rPr>
        <w:fldChar w:fldCharType="separate"/>
      </w:r>
      <w:r>
        <w:rPr>
          <w:rFonts w:hint="eastAsia" w:ascii="Times New Roman" w:hAnsi="Times New Roman" w:cs="黑体"/>
        </w:rPr>
        <w:t>128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pPr>
      <w:r>
        <w:rPr>
          <w:rFonts w:hint="eastAsia" w:ascii="Times New Roman" w:hAnsi="Times New Roman" w:cs="黑体"/>
        </w:rPr>
        <w:fldChar w:fldCharType="begin"/>
      </w:r>
      <w:r>
        <w:rPr>
          <w:rFonts w:hint="eastAsia" w:ascii="Times New Roman" w:hAnsi="Times New Roman" w:cs="黑体"/>
        </w:rPr>
        <w:instrText xml:space="preserve"> HYPERLINK \l _Toc1667 </w:instrText>
      </w:r>
      <w:r>
        <w:rPr>
          <w:rFonts w:hint="eastAsia" w:ascii="Times New Roman" w:hAnsi="Times New Roman" w:cs="黑体"/>
        </w:rPr>
        <w:fldChar w:fldCharType="separate"/>
      </w:r>
      <w:r>
        <w:rPr>
          <w:rFonts w:hint="eastAsia" w:ascii="Times New Roman" w:hAnsi="Times New Roman" w:cs="黑体"/>
        </w:rPr>
        <w:t>第九章 投标文件格式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_Toc1667 \h </w:instrText>
      </w:r>
      <w:r>
        <w:rPr>
          <w:rFonts w:hint="eastAsia" w:ascii="Times New Roman" w:hAnsi="Times New Roman" w:cs="黑体"/>
        </w:rPr>
        <w:fldChar w:fldCharType="separate"/>
      </w:r>
      <w:r>
        <w:rPr>
          <w:rFonts w:hint="eastAsia" w:ascii="Times New Roman" w:hAnsi="Times New Roman" w:cs="黑体"/>
        </w:rPr>
        <w:t>129</w:t>
      </w:r>
      <w:r>
        <w:rPr>
          <w:rFonts w:hint="eastAsia" w:ascii="Times New Roman" w:hAnsi="Times New Roman" w:cs="黑体"/>
        </w:rPr>
        <w:fldChar w:fldCharType="end"/>
      </w:r>
      <w:r>
        <w:rPr>
          <w:rFonts w:hint="eastAsia" w:ascii="Times New Roman" w:hAnsi="Times New Roman" w:cs="黑体"/>
        </w:rPr>
        <w:fldChar w:fldCharType="end"/>
      </w:r>
    </w:p>
    <w:p>
      <w:r>
        <w:fldChar w:fldCharType="end"/>
      </w:r>
    </w:p>
    <w:p>
      <w:pPr>
        <w:sectPr>
          <w:pgSz w:w="11905" w:h="16838"/>
          <w:pgMar w:top="1440" w:right="1157" w:bottom="1270" w:left="1287" w:header="851" w:footer="850" w:gutter="0"/>
          <w:pgNumType w:fmt="upperRoman"/>
          <w:cols w:space="720" w:num="1"/>
          <w:rtlGutter w:val="0"/>
          <w:docGrid w:linePitch="312" w:charSpace="0"/>
        </w:sectPr>
      </w:pPr>
      <w:r>
        <w:t xml:space="preserve">   </w:t>
      </w:r>
    </w:p>
    <w:p>
      <w:pPr>
        <w:pStyle w:val="3"/>
        <w:jc w:val="center"/>
      </w:pPr>
      <w:bookmarkStart w:id="0" w:name="_Toc407135048"/>
      <w:bookmarkStart w:id="1" w:name="_Toc19234"/>
      <w:bookmarkStart w:id="2" w:name="_Toc389065120"/>
      <w:r>
        <w:rPr>
          <w:rFonts w:hint="eastAsia" w:cs="黑体"/>
        </w:rPr>
        <w:t>第一章</w:t>
      </w:r>
      <w:r>
        <w:t xml:space="preserve">  </w:t>
      </w:r>
      <w:r>
        <w:rPr>
          <w:rFonts w:hint="eastAsia" w:cs="黑体"/>
        </w:rPr>
        <w:t>招标公告</w:t>
      </w:r>
      <w:bookmarkEnd w:id="0"/>
      <w:bookmarkEnd w:id="1"/>
      <w:bookmarkEnd w:id="2"/>
    </w:p>
    <w:p>
      <w:pPr>
        <w:ind w:firstLine="435"/>
      </w:pPr>
    </w:p>
    <w:p>
      <w:pPr>
        <w:jc w:val="center"/>
        <w:outlineLvl w:val="0"/>
        <w:rPr>
          <w:rFonts w:hint="eastAsia" w:cs="宋体"/>
          <w:b/>
          <w:bCs/>
          <w:sz w:val="36"/>
          <w:szCs w:val="36"/>
        </w:rPr>
      </w:pPr>
      <w:bookmarkStart w:id="3" w:name="_Toc389065121"/>
      <w:r>
        <w:rPr>
          <w:rFonts w:hint="eastAsia"/>
          <w:b/>
          <w:bCs/>
          <w:sz w:val="36"/>
          <w:szCs w:val="36"/>
          <w:u w:val="none"/>
          <w:lang w:eastAsia="zh-CN"/>
        </w:rPr>
        <w:t>2022年上思县高标准农田建设项目（那明村、平福村、伟华村片区）</w:t>
      </w:r>
      <w:r>
        <w:rPr>
          <w:rFonts w:hint="eastAsia"/>
          <w:b/>
          <w:bCs/>
          <w:sz w:val="36"/>
          <w:szCs w:val="36"/>
          <w:u w:val="none"/>
          <w:lang w:val="en-US" w:eastAsia="zh-CN"/>
        </w:rPr>
        <w:t>施工招标</w:t>
      </w:r>
      <w:r>
        <w:rPr>
          <w:rFonts w:hint="eastAsia" w:cs="宋体"/>
          <w:b/>
          <w:bCs/>
          <w:sz w:val="36"/>
          <w:szCs w:val="36"/>
        </w:rPr>
        <w:t>公告</w:t>
      </w:r>
      <w:bookmarkEnd w:id="3"/>
    </w:p>
    <w:p>
      <w:pPr>
        <w:pageBreakBefore w:val="0"/>
        <w:kinsoku/>
        <w:wordWrap/>
        <w:overflowPunct/>
        <w:topLinePunct w:val="0"/>
        <w:autoSpaceDE/>
        <w:autoSpaceDN/>
        <w:bidi w:val="0"/>
        <w:adjustRightInd/>
        <w:spacing w:line="420" w:lineRule="exact"/>
        <w:rPr>
          <w:rFonts w:hint="eastAsia" w:ascii="宋体" w:hAnsi="宋体" w:eastAsia="宋体" w:cs="宋体"/>
          <w:color w:val="000000"/>
          <w:sz w:val="21"/>
          <w:szCs w:val="21"/>
          <w:highlight w:val="non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4" w:type="dxa"/>
            <w:noWrap w:val="0"/>
            <w:vAlign w:val="top"/>
          </w:tcPr>
          <w:p>
            <w:pPr>
              <w:keepNext/>
              <w:keepLines/>
              <w:pageBreakBefore w:val="0"/>
              <w:kinsoku/>
              <w:wordWrap/>
              <w:overflowPunct/>
              <w:topLinePunct w:val="0"/>
              <w:autoSpaceDE/>
              <w:autoSpaceDN/>
              <w:bidi w:val="0"/>
              <w:adjustRightInd/>
              <w:spacing w:line="440" w:lineRule="exact"/>
              <w:outlineLvl w:val="1"/>
              <w:rPr>
                <w:rFonts w:hint="eastAsia" w:eastAsia="宋体"/>
                <w:b/>
                <w:bCs/>
                <w:lang w:val="en-US" w:eastAsia="zh-CN"/>
              </w:rPr>
            </w:pPr>
            <w:bookmarkStart w:id="4" w:name="_Toc1709"/>
            <w:bookmarkStart w:id="5" w:name="_Toc23478"/>
            <w:bookmarkStart w:id="6" w:name="_Toc14715"/>
            <w:bookmarkStart w:id="7" w:name="_Toc28359002"/>
            <w:bookmarkStart w:id="8" w:name="_Toc35393621"/>
            <w:bookmarkStart w:id="9" w:name="_Toc28359079"/>
            <w:bookmarkStart w:id="10" w:name="_Toc35393790"/>
            <w:bookmarkStart w:id="11" w:name="_Hlk24379207"/>
            <w:r>
              <w:rPr>
                <w:rFonts w:hint="eastAsia"/>
                <w:b/>
                <w:bCs/>
                <w:lang w:val="en-US" w:eastAsia="zh-CN"/>
              </w:rPr>
              <w:t>项目概况</w:t>
            </w:r>
            <w:bookmarkEnd w:id="4"/>
            <w:bookmarkEnd w:id="5"/>
            <w:bookmarkEnd w:id="6"/>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b/>
                <w:bCs/>
                <w:color w:val="000000"/>
                <w:sz w:val="21"/>
                <w:szCs w:val="21"/>
                <w:highlight w:val="none"/>
                <w:vertAlign w:val="baseline"/>
              </w:rPr>
            </w:pPr>
            <w:r>
              <w:rPr>
                <w:rFonts w:hint="eastAsia" w:ascii="宋体" w:hAnsi="宋体" w:cs="宋体"/>
                <w:color w:val="000000"/>
                <w:sz w:val="21"/>
                <w:szCs w:val="21"/>
                <w:highlight w:val="none"/>
                <w:u w:val="single"/>
                <w:lang w:val="en-US" w:eastAsia="zh-CN"/>
              </w:rPr>
              <w:t>2022年上思县高标准农田建设项目（那明村、平福村、伟华村片区）</w:t>
            </w:r>
            <w:r>
              <w:rPr>
                <w:rFonts w:hint="eastAsia" w:ascii="宋体" w:hAnsi="宋体" w:eastAsia="宋体" w:cs="宋体"/>
                <w:color w:val="000000"/>
                <w:sz w:val="21"/>
                <w:szCs w:val="21"/>
                <w:highlight w:val="none"/>
                <w:u w:val="none"/>
                <w:lang w:val="en-US" w:eastAsia="zh-CN"/>
              </w:rPr>
              <w:t>招标项目的潜在投标人应在</w:t>
            </w:r>
            <w:r>
              <w:rPr>
                <w:rFonts w:hint="eastAsia" w:ascii="宋体" w:hAnsi="宋体" w:eastAsia="宋体" w:cs="宋体"/>
                <w:color w:val="000000"/>
                <w:sz w:val="21"/>
                <w:szCs w:val="21"/>
                <w:highlight w:val="none"/>
                <w:u w:val="single"/>
                <w:lang w:val="en-US" w:eastAsia="zh-CN"/>
              </w:rPr>
              <w:t>政采云平台</w:t>
            </w:r>
            <w:r>
              <w:rPr>
                <w:rFonts w:hint="eastAsia" w:ascii="宋体" w:hAnsi="宋体" w:eastAsia="宋体" w:cs="宋体"/>
                <w:color w:val="000000"/>
                <w:sz w:val="21"/>
                <w:szCs w:val="21"/>
                <w:highlight w:val="none"/>
                <w:u w:val="none"/>
                <w:lang w:eastAsia="zh-CN"/>
              </w:rPr>
              <w:t>获取招标文件，并于</w:t>
            </w:r>
            <w:r>
              <w:rPr>
                <w:rFonts w:hint="eastAsia" w:ascii="宋体" w:hAnsi="宋体" w:eastAsia="宋体" w:cs="宋体"/>
                <w:color w:val="000000"/>
                <w:sz w:val="21"/>
                <w:szCs w:val="21"/>
                <w:highlight w:val="none"/>
                <w:u w:val="single"/>
                <w:lang w:eastAsia="zh-CN"/>
              </w:rPr>
              <w:t>202</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lang w:eastAsia="zh-CN"/>
              </w:rPr>
              <w:t>年</w:t>
            </w:r>
            <w:r>
              <w:rPr>
                <w:rFonts w:hint="eastAsia" w:ascii="宋体" w:hAnsi="宋体" w:cs="宋体"/>
                <w:color w:val="000000"/>
                <w:sz w:val="21"/>
                <w:szCs w:val="21"/>
                <w:highlight w:val="none"/>
                <w:u w:val="single"/>
                <w:lang w:val="en-US" w:eastAsia="zh-CN"/>
              </w:rPr>
              <w:t>11</w:t>
            </w:r>
            <w:r>
              <w:rPr>
                <w:rFonts w:hint="eastAsia" w:ascii="宋体" w:hAnsi="宋体" w:eastAsia="宋体" w:cs="宋体"/>
                <w:color w:val="000000"/>
                <w:sz w:val="21"/>
                <w:szCs w:val="21"/>
                <w:highlight w:val="none"/>
                <w:u w:val="single"/>
                <w:lang w:eastAsia="zh-CN"/>
              </w:rPr>
              <w:t>月</w:t>
            </w:r>
            <w:r>
              <w:rPr>
                <w:rFonts w:hint="eastAsia" w:ascii="宋体" w:hAnsi="宋体" w:cs="宋体"/>
                <w:color w:val="000000"/>
                <w:sz w:val="21"/>
                <w:szCs w:val="21"/>
                <w:highlight w:val="none"/>
                <w:u w:val="single"/>
                <w:lang w:val="en-US" w:eastAsia="zh-CN"/>
              </w:rPr>
              <w:t>4</w:t>
            </w:r>
            <w:r>
              <w:rPr>
                <w:rFonts w:hint="eastAsia" w:ascii="宋体" w:hAnsi="宋体" w:eastAsia="宋体" w:cs="宋体"/>
                <w:color w:val="000000"/>
                <w:sz w:val="21"/>
                <w:szCs w:val="21"/>
                <w:highlight w:val="none"/>
                <w:u w:val="single"/>
                <w:lang w:eastAsia="zh-CN"/>
              </w:rPr>
              <w:t>日</w:t>
            </w:r>
            <w:r>
              <w:rPr>
                <w:rFonts w:hint="eastAsia" w:ascii="宋体" w:hAnsi="宋体" w:cs="宋体"/>
                <w:color w:val="000000"/>
                <w:sz w:val="21"/>
                <w:szCs w:val="21"/>
                <w:highlight w:val="none"/>
                <w:u w:val="single"/>
                <w:lang w:val="en-US" w:eastAsia="zh-CN"/>
              </w:rPr>
              <w:t>09</w:t>
            </w:r>
            <w:r>
              <w:rPr>
                <w:rFonts w:hint="eastAsia" w:ascii="宋体" w:hAnsi="宋体" w:eastAsia="宋体" w:cs="宋体"/>
                <w:color w:val="000000"/>
                <w:sz w:val="21"/>
                <w:szCs w:val="21"/>
                <w:highlight w:val="none"/>
                <w:u w:val="single"/>
                <w:lang w:eastAsia="zh-CN"/>
              </w:rPr>
              <w:t>时</w:t>
            </w:r>
            <w:r>
              <w:rPr>
                <w:rFonts w:hint="eastAsia" w:ascii="宋体" w:hAnsi="宋体" w:cs="宋体"/>
                <w:color w:val="000000"/>
                <w:sz w:val="21"/>
                <w:szCs w:val="21"/>
                <w:highlight w:val="none"/>
                <w:u w:val="single"/>
                <w:lang w:val="en-US" w:eastAsia="zh-CN"/>
              </w:rPr>
              <w:t>30</w:t>
            </w:r>
            <w:r>
              <w:rPr>
                <w:rFonts w:hint="eastAsia" w:ascii="宋体" w:hAnsi="宋体" w:eastAsia="宋体" w:cs="宋体"/>
                <w:color w:val="000000"/>
                <w:sz w:val="21"/>
                <w:szCs w:val="21"/>
                <w:highlight w:val="none"/>
                <w:u w:val="single"/>
                <w:lang w:eastAsia="zh-CN"/>
              </w:rPr>
              <w:t>分</w:t>
            </w:r>
            <w:r>
              <w:rPr>
                <w:rFonts w:hint="eastAsia" w:ascii="宋体" w:hAnsi="宋体" w:eastAsia="宋体" w:cs="宋体"/>
                <w:color w:val="000000"/>
                <w:sz w:val="21"/>
                <w:szCs w:val="21"/>
                <w:highlight w:val="none"/>
                <w:u w:val="single"/>
                <w:lang w:eastAsia="zh-CN"/>
              </w:rPr>
              <w:t>（北京时间）</w:t>
            </w:r>
            <w:r>
              <w:rPr>
                <w:rFonts w:hint="eastAsia" w:ascii="宋体" w:hAnsi="宋体" w:eastAsia="宋体" w:cs="宋体"/>
                <w:color w:val="000000"/>
                <w:sz w:val="21"/>
                <w:szCs w:val="21"/>
                <w:highlight w:val="none"/>
                <w:u w:val="none"/>
                <w:lang w:eastAsia="zh-CN"/>
              </w:rPr>
              <w:t>前递交投标文件。</w:t>
            </w:r>
          </w:p>
        </w:tc>
      </w:tr>
    </w:tbl>
    <w:p>
      <w:pPr>
        <w:keepNext/>
        <w:keepLines/>
        <w:pageBreakBefore w:val="0"/>
        <w:kinsoku/>
        <w:wordWrap/>
        <w:overflowPunct/>
        <w:topLinePunct w:val="0"/>
        <w:autoSpaceDE/>
        <w:autoSpaceDN/>
        <w:bidi w:val="0"/>
        <w:adjustRightInd/>
        <w:spacing w:line="440" w:lineRule="exact"/>
        <w:outlineLvl w:val="1"/>
        <w:rPr>
          <w:rFonts w:hint="eastAsia" w:ascii="宋体" w:hAnsi="宋体" w:eastAsia="宋体" w:cs="宋体"/>
          <w:b/>
          <w:bCs/>
          <w:color w:val="000000"/>
          <w:sz w:val="24"/>
          <w:szCs w:val="24"/>
          <w:highlight w:val="none"/>
        </w:rPr>
      </w:pPr>
      <w:bookmarkStart w:id="12" w:name="_Toc18437"/>
      <w:bookmarkStart w:id="13" w:name="_Toc5937"/>
      <w:bookmarkStart w:id="14" w:name="_Toc11738"/>
      <w:r>
        <w:rPr>
          <w:rFonts w:hint="eastAsia" w:ascii="宋体" w:hAnsi="宋体" w:eastAsia="宋体" w:cs="宋体"/>
          <w:b/>
          <w:bCs/>
          <w:color w:val="000000"/>
          <w:sz w:val="24"/>
          <w:szCs w:val="24"/>
          <w:highlight w:val="none"/>
        </w:rPr>
        <w:t>一、项目基本情况</w:t>
      </w:r>
      <w:bookmarkEnd w:id="7"/>
      <w:bookmarkEnd w:id="8"/>
      <w:bookmarkEnd w:id="9"/>
      <w:bookmarkEnd w:id="10"/>
      <w:bookmarkEnd w:id="12"/>
      <w:bookmarkEnd w:id="13"/>
      <w:bookmarkEnd w:id="14"/>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项目编号</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FCZC2022-G2-40008-GXGX</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项目名称：</w:t>
      </w:r>
      <w:r>
        <w:rPr>
          <w:rFonts w:hint="eastAsia" w:ascii="宋体" w:hAnsi="宋体" w:cs="宋体"/>
          <w:color w:val="000000"/>
          <w:sz w:val="24"/>
          <w:szCs w:val="24"/>
          <w:highlight w:val="none"/>
          <w:lang w:eastAsia="zh-CN"/>
        </w:rPr>
        <w:t>2022年上思县高标准农田建设项目（那明村、平福村、伟华村片区）</w:t>
      </w:r>
    </w:p>
    <w:bookmarkEnd w:id="11"/>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预算金额：29251836.39元</w:t>
      </w:r>
    </w:p>
    <w:p>
      <w:pPr>
        <w:pageBreakBefore w:val="0"/>
        <w:kinsoku/>
        <w:wordWrap/>
        <w:overflowPunct/>
        <w:topLinePunct w:val="0"/>
        <w:autoSpaceDE/>
        <w:autoSpaceDN/>
        <w:bidi w:val="0"/>
        <w:adjustRightInd/>
        <w:spacing w:line="44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最高限价：同预算金额。</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采购需求</w:t>
      </w:r>
      <w:r>
        <w:rPr>
          <w:rFonts w:hint="eastAsia" w:ascii="宋体" w:hAnsi="宋体" w:eastAsia="宋体" w:cs="宋体"/>
          <w:b w:val="0"/>
          <w:bCs w:val="0"/>
          <w:color w:val="000000"/>
          <w:sz w:val="24"/>
          <w:szCs w:val="24"/>
          <w:highlight w:val="none"/>
        </w:rPr>
        <w:t>：</w:t>
      </w:r>
      <w:r>
        <w:rPr>
          <w:rFonts w:hint="eastAsia" w:ascii="宋体" w:hAnsi="宋体" w:eastAsia="宋体" w:cs="宋体"/>
          <w:color w:val="000000"/>
          <w:sz w:val="24"/>
          <w:szCs w:val="24"/>
          <w:highlight w:val="none"/>
          <w:lang w:eastAsia="zh-CN"/>
        </w:rPr>
        <w:t>本项目共划分为</w:t>
      </w:r>
      <w:r>
        <w:rPr>
          <w:rFonts w:hint="eastAsia" w:ascii="宋体" w:hAnsi="宋体" w:cs="宋体"/>
          <w:color w:val="000000"/>
          <w:sz w:val="24"/>
          <w:szCs w:val="24"/>
          <w:highlight w:val="none"/>
          <w:lang w:val="en-US" w:eastAsia="zh-CN"/>
        </w:rPr>
        <w:t>21</w:t>
      </w:r>
      <w:r>
        <w:rPr>
          <w:rFonts w:hint="eastAsia" w:ascii="宋体" w:hAnsi="宋体" w:eastAsia="宋体" w:cs="宋体"/>
          <w:color w:val="000000"/>
          <w:sz w:val="24"/>
          <w:szCs w:val="24"/>
          <w:highlight w:val="none"/>
          <w:lang w:val="en-US" w:eastAsia="zh-CN"/>
        </w:rPr>
        <w:t>个标段，</w:t>
      </w:r>
      <w:r>
        <w:rPr>
          <w:rFonts w:hint="eastAsia" w:ascii="宋体" w:hAnsi="宋体" w:eastAsia="宋体" w:cs="宋体"/>
          <w:color w:val="000000"/>
          <w:sz w:val="24"/>
          <w:szCs w:val="24"/>
          <w:highlight w:val="none"/>
          <w:u w:val="none"/>
        </w:rPr>
        <w:t>具体建设内容以经财政投资评审的</w:t>
      </w:r>
      <w:r>
        <w:rPr>
          <w:rFonts w:hint="eastAsia" w:ascii="宋体" w:hAnsi="宋体" w:cs="宋体"/>
          <w:color w:val="000000"/>
          <w:sz w:val="24"/>
          <w:szCs w:val="24"/>
          <w:highlight w:val="none"/>
          <w:u w:val="none"/>
          <w:lang w:val="en-US" w:eastAsia="zh-CN"/>
        </w:rPr>
        <w:t>招标</w:t>
      </w:r>
      <w:r>
        <w:rPr>
          <w:rFonts w:hint="eastAsia" w:ascii="宋体" w:hAnsi="宋体" w:eastAsia="宋体" w:cs="宋体"/>
          <w:color w:val="000000"/>
          <w:sz w:val="24"/>
          <w:szCs w:val="24"/>
          <w:highlight w:val="none"/>
          <w:u w:val="none"/>
        </w:rPr>
        <w:t>工程量清单为准，其施工技术标准详见</w:t>
      </w:r>
      <w:r>
        <w:rPr>
          <w:rFonts w:hint="eastAsia" w:ascii="宋体" w:hAnsi="宋体" w:cs="宋体"/>
          <w:color w:val="000000"/>
          <w:sz w:val="24"/>
          <w:szCs w:val="24"/>
          <w:highlight w:val="none"/>
          <w:u w:val="none"/>
          <w:lang w:val="en-US" w:eastAsia="zh-CN"/>
        </w:rPr>
        <w:t>设计</w:t>
      </w:r>
      <w:r>
        <w:rPr>
          <w:rFonts w:hint="eastAsia" w:ascii="宋体" w:hAnsi="宋体" w:eastAsia="宋体" w:cs="宋体"/>
          <w:color w:val="000000"/>
          <w:sz w:val="24"/>
          <w:szCs w:val="24"/>
          <w:highlight w:val="none"/>
          <w:u w:val="none"/>
        </w:rPr>
        <w:t>施工图。</w:t>
      </w:r>
      <w:r>
        <w:rPr>
          <w:rFonts w:hint="eastAsia" w:ascii="宋体" w:hAnsi="宋体" w:eastAsia="宋体" w:cs="宋体"/>
          <w:color w:val="000000"/>
          <w:sz w:val="24"/>
          <w:szCs w:val="24"/>
          <w:highlight w:val="none"/>
          <w:lang w:val="en-US" w:eastAsia="zh-CN"/>
        </w:rPr>
        <w:t>如需进一步了解详细内容，详见《招标文件》。</w:t>
      </w:r>
    </w:p>
    <w:tbl>
      <w:tblPr>
        <w:tblStyle w:val="39"/>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381"/>
        <w:gridCol w:w="1215"/>
        <w:gridCol w:w="3735"/>
        <w:gridCol w:w="130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标段</w:t>
            </w:r>
          </w:p>
        </w:tc>
        <w:tc>
          <w:tcPr>
            <w:tcW w:w="138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标段</w:t>
            </w:r>
            <w:r>
              <w:rPr>
                <w:rFonts w:hint="eastAsia" w:ascii="宋体" w:hAnsi="宋体" w:eastAsia="宋体" w:cs="宋体"/>
                <w:b/>
                <w:bCs/>
                <w:color w:val="000000"/>
                <w:kern w:val="2"/>
                <w:sz w:val="21"/>
                <w:szCs w:val="21"/>
                <w:highlight w:val="none"/>
                <w:lang w:eastAsia="zh-CN"/>
              </w:rPr>
              <w:t>名称</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i w:val="0"/>
                <w:color w:val="000000"/>
                <w:kern w:val="0"/>
                <w:sz w:val="21"/>
                <w:szCs w:val="21"/>
                <w:highlight w:val="none"/>
                <w:u w:val="none"/>
                <w:lang w:val="en-US" w:eastAsia="zh-CN" w:bidi="ar"/>
              </w:rPr>
              <w:t>实施项目名称</w:t>
            </w:r>
          </w:p>
        </w:tc>
        <w:tc>
          <w:tcPr>
            <w:tcW w:w="373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简要规格描述</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rPr>
              <w:t>采购金额</w:t>
            </w:r>
            <w:r>
              <w:rPr>
                <w:rFonts w:hint="eastAsia" w:ascii="宋体" w:hAnsi="宋体" w:eastAsia="宋体" w:cs="宋体"/>
                <w:b/>
                <w:bCs/>
                <w:color w:val="000000"/>
                <w:kern w:val="2"/>
                <w:sz w:val="21"/>
                <w:szCs w:val="21"/>
                <w:highlight w:val="none"/>
                <w:lang w:eastAsia="zh-CN"/>
              </w:rPr>
              <w:t>（元）</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b/>
                <w:bCs/>
                <w:color w:val="000000"/>
                <w:kern w:val="2"/>
                <w:sz w:val="21"/>
                <w:szCs w:val="21"/>
                <w:highlight w:val="none"/>
                <w:lang w:val="en-US" w:eastAsia="zh-CN"/>
              </w:rPr>
            </w:pPr>
            <w:r>
              <w:rPr>
                <w:rFonts w:hint="default" w:ascii="宋体" w:hAnsi="宋体" w:eastAsia="宋体" w:cs="宋体"/>
                <w:b/>
                <w:bCs/>
                <w:color w:val="000000"/>
                <w:kern w:val="2"/>
                <w:sz w:val="21"/>
                <w:szCs w:val="21"/>
                <w:highlight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836"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cs="宋体"/>
                <w:color w:val="000000"/>
                <w:sz w:val="21"/>
                <w:szCs w:val="21"/>
                <w:highlight w:val="none"/>
                <w:lang w:val="en-US" w:eastAsia="zh-CN"/>
              </w:rPr>
            </w:pPr>
            <w:r>
              <w:rPr>
                <w:rFonts w:hint="eastAsia" w:ascii="宋体" w:hAnsi="宋体" w:cs="宋体"/>
                <w:b/>
                <w:bCs/>
                <w:color w:val="000000"/>
                <w:sz w:val="21"/>
                <w:szCs w:val="21"/>
                <w:highlight w:val="none"/>
                <w:lang w:val="en-US" w:eastAsia="zh-CN"/>
              </w:rPr>
              <w:t>建设地点：那明村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1分标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rPr>
            </w:pPr>
            <w:r>
              <w:rPr>
                <w:rFonts w:hint="eastAsia" w:ascii="宋体" w:hAnsi="宋体" w:cs="宋体"/>
                <w:color w:val="000000"/>
                <w:sz w:val="21"/>
                <w:szCs w:val="21"/>
                <w:highlight w:val="none"/>
                <w:lang w:eastAsia="zh-CN"/>
              </w:rPr>
              <w:t>2022年上思县平福乡高标准农田建设项目（那明村片区）1标段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（1）灌溉与排水工程：维修玉沙屯排灌渠283.3m。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（2）田间道路工程：玉沙1#机耕路长 2681.51m。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（3）附属建筑物：错车平台10座，下田坡道15座，过路涵1座，项目标识牌2座。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1807401.98</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2分标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2分标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（1）灌溉与排水工程：取水平台一座。</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（2）田间道路工程：派岽屯1#机耕路长452.81m，派岽屯 2#机耕路长548.08m，厄怀屯 1#机耕路长455.95m，厄怀屯2#机耕路长358.05m。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（3）附属建筑物：错车平台4座，回车台4座，下田坡道12座，过路涵4座，项目标识牌5座。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1277888.80</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3分标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3分标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（1）灌溉与排水工程：取水平台一座。</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（2）田间道路工程：平岩屯1#机耕路长750m，马麻屯1#机耕路长941.79m。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（3）附属建筑物：错车平台7座，回车台2座，下田坡道10座，过路涵1座，项目标识牌3座。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1191712.63</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4分标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4分标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（1）灌溉与排水工程：取水平台一座。</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（2）田间道路工程：那岽屯1#机耕路长214.9m，那岽屯2#机耕路长1294.57m。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（3）附属建筑物：错车平台10座，下田坡道8座，过路涵2座，项目标识牌 3座，项目公示牌1座。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1104748.52</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5分标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5分标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lang w:eastAsia="zh-CN"/>
              </w:rPr>
              <w:t>标段</w:t>
            </w:r>
          </w:p>
        </w:tc>
        <w:tc>
          <w:tcPr>
            <w:tcW w:w="3735" w:type="dxa"/>
            <w:noWrap w:val="0"/>
            <w:vAlign w:val="center"/>
          </w:tcPr>
          <w:p>
            <w:pPr>
              <w:rPr>
                <w:rFonts w:hint="eastAsia" w:ascii="宋体" w:hAnsi="宋体" w:eastAsia="宋体" w:cs="宋体"/>
                <w:lang w:eastAsia="zh-CN"/>
              </w:rPr>
            </w:pPr>
            <w:r>
              <w:rPr>
                <w:rFonts w:hint="eastAsia" w:ascii="宋体" w:hAnsi="宋体" w:eastAsia="宋体" w:cs="宋体"/>
                <w:lang w:eastAsia="zh-CN"/>
              </w:rPr>
              <w:t>（1）田间道路工程：丁楼屯1#机耕路长313.57m，丁楼屯2#机耕路长 678.66m，雷骨屯1#机耕路长 1320.51m。</w:t>
            </w:r>
          </w:p>
          <w:p>
            <w:pPr>
              <w:rPr>
                <w:rFonts w:hint="eastAsia"/>
                <w:lang w:eastAsia="zh-CN"/>
              </w:rPr>
            </w:pPr>
            <w:r>
              <w:rPr>
                <w:rFonts w:hint="eastAsia" w:ascii="宋体" w:hAnsi="宋体" w:eastAsia="宋体" w:cs="宋体"/>
                <w:lang w:eastAsia="zh-CN"/>
              </w:rPr>
              <w:t>（2）附属建筑物：错车平台6座，回车台3座，下田坡道13座，过路涵3 座，项目标识牌3座。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1415291.52</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6分标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6分标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（1）田间道路工程：二汪屯1#机耕路长650m，二汪屯2#机耕路长696.81m，上岩屯1#机耕路长578.26m，上岩屯 2#机耕路长600m，上岩屯 3#机耕路长 225.05m。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rPr>
              <w:t>（2）附属建筑物：错车平台8座，回车台3座，下田坡道13座，项目标识牌5座。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1819945.72</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7分标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7分标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（1）田间道路工程：把舍屯1#机耕路长1669.25m，把舍屯2#机耕路长 446.6m，把舍屯3#机耕路长66.7m。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（2）附属建筑物：错车平台8座，回车台2座，下田坡道13座，过路涵2 座，项目标识牌3座。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1435517.17</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36"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cs="宋体"/>
                <w:color w:val="000000"/>
                <w:sz w:val="21"/>
                <w:szCs w:val="21"/>
                <w:highlight w:val="none"/>
                <w:lang w:val="en-US" w:eastAsia="zh-CN"/>
              </w:rPr>
            </w:pPr>
            <w:r>
              <w:rPr>
                <w:rFonts w:hint="eastAsia" w:ascii="宋体" w:hAnsi="宋体" w:cs="宋体"/>
                <w:b/>
                <w:bCs/>
                <w:color w:val="000000"/>
                <w:sz w:val="21"/>
                <w:szCs w:val="21"/>
                <w:highlight w:val="none"/>
                <w:lang w:val="en-US" w:eastAsia="zh-CN"/>
              </w:rPr>
              <w:t>建设地点：平福村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8分标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Style w:val="159"/>
                <w:rFonts w:hint="eastAsia" w:ascii="宋体" w:hAnsi="宋体" w:cs="宋体"/>
                <w:color w:val="000000"/>
                <w:sz w:val="21"/>
                <w:szCs w:val="21"/>
                <w:highlight w:val="none"/>
                <w:lang w:val="en-US" w:eastAsia="zh-CN" w:bidi="ar"/>
              </w:rPr>
              <w:t>8分</w:t>
            </w:r>
            <w:r>
              <w:rPr>
                <w:rStyle w:val="159"/>
                <w:rFonts w:hint="eastAsia" w:ascii="宋体" w:hAnsi="宋体" w:eastAsia="宋体" w:cs="宋体"/>
                <w:color w:val="000000"/>
                <w:sz w:val="21"/>
                <w:szCs w:val="21"/>
                <w:highlight w:val="none"/>
                <w:lang w:val="en-US" w:eastAsia="zh-CN" w:bidi="ar"/>
              </w:rPr>
              <w:t>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2022年上思县平福乡高标准农田建设项目（平福村片区）1标段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（1）渠系工程：维修玉沙屯排灌渠50m；玉沙取水平台一座</w:t>
            </w:r>
            <w:r>
              <w:rPr>
                <w:rFonts w:hint="eastAsia" w:ascii="宋体" w:hAnsi="宋体" w:cs="宋体"/>
                <w:color w:val="000000"/>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（2）机耕路工程：玉沙2#机耕路长265m，玉沙3#机耕路长745m，玉沙4#机耕路长1545m</w:t>
            </w:r>
            <w:r>
              <w:rPr>
                <w:rFonts w:hint="eastAsia" w:ascii="宋体" w:hAnsi="宋体" w:cs="宋体"/>
                <w:color w:val="000000"/>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（3）附属建筑物：会车平台3座，下田坡道4座，过路涵5座，项目公示牌1座、项目标志牌1座。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1668657.03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9分标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Style w:val="159"/>
                <w:rFonts w:hint="eastAsia" w:ascii="宋体" w:hAnsi="宋体" w:cs="宋体"/>
                <w:color w:val="000000"/>
                <w:sz w:val="21"/>
                <w:szCs w:val="21"/>
                <w:highlight w:val="none"/>
                <w:lang w:val="en-US" w:eastAsia="zh-CN" w:bidi="ar"/>
              </w:rPr>
              <w:t>9分</w:t>
            </w:r>
            <w:r>
              <w:rPr>
                <w:rStyle w:val="159"/>
                <w:rFonts w:hint="eastAsia" w:ascii="宋体" w:hAnsi="宋体" w:eastAsia="宋体" w:cs="宋体"/>
                <w:color w:val="000000"/>
                <w:sz w:val="21"/>
                <w:szCs w:val="21"/>
                <w:highlight w:val="none"/>
                <w:lang w:val="en-US" w:eastAsia="zh-CN" w:bidi="ar"/>
              </w:rPr>
              <w:t>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（1）机耕路工程：茅圩1#机耕路长1015m，茅圩2#机耕路长235m，茅圩3#机耕路长705m</w:t>
            </w:r>
            <w:r>
              <w:rPr>
                <w:rFonts w:hint="eastAsia" w:ascii="宋体" w:hAnsi="宋体" w:cs="宋体"/>
                <w:color w:val="000000"/>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（2）附属建筑物：会车平台2座，下田坡道3座，过路涵5座，项目公示牌1座、项目标志牌1座。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1086733.81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10分标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Style w:val="159"/>
                <w:rFonts w:hint="eastAsia" w:ascii="宋体" w:hAnsi="宋体" w:cs="宋体"/>
                <w:color w:val="000000"/>
                <w:sz w:val="21"/>
                <w:szCs w:val="21"/>
                <w:highlight w:val="none"/>
                <w:lang w:val="en-US" w:eastAsia="zh-CN" w:bidi="ar"/>
              </w:rPr>
              <w:t>10分</w:t>
            </w:r>
            <w:r>
              <w:rPr>
                <w:rStyle w:val="159"/>
                <w:rFonts w:hint="eastAsia" w:ascii="宋体" w:hAnsi="宋体" w:eastAsia="宋体" w:cs="宋体"/>
                <w:color w:val="000000"/>
                <w:sz w:val="21"/>
                <w:szCs w:val="21"/>
                <w:highlight w:val="none"/>
                <w:lang w:val="en-US" w:eastAsia="zh-CN" w:bidi="ar"/>
              </w:rPr>
              <w:t>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（1）机耕路工程：玉沙1#机耕路长510m，念晓1#机耕路长865m，念晓2#机耕路长170m，念晓4#机耕路长1425m</w:t>
            </w:r>
            <w:r>
              <w:rPr>
                <w:rFonts w:hint="eastAsia" w:ascii="宋体" w:hAnsi="宋体" w:cs="宋体"/>
                <w:color w:val="000000"/>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（2）附属建筑物：会车平台4座，下田坡道5座，过路涵7座，项目公示牌1座、项目标志牌1座。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1514296.20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11分标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11分标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（1）机耕路工程：念晓3#机耕路长1340m，派岳1#机耕路长505m，派岳2#机耕路长530m。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（2）附属建筑物：会车平台4座，下田坡道4座，过路涵6座，项目公示牌1座、项目标志牌1座。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1449425.85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12分标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12分标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（1）灌溉设施：汪凯屯取水平台一座。</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（2）机耕路工程：汪凯1#机耕路长175m，汪凯2#机耕路长120m，汪凯3#机耕路长85m，汪凯4#机耕路长1330m，汪凯5#机耕路长325m。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（3）附属建筑物：会车平台2座，下田坡道4座，过路涵7座，项目公示牌1座、项目标志牌1座。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1141305.14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13分标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13分标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（1）机耕路工程：桂晓屯1#机耕路长2530m。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（2）附属建筑物：会车平台3座，下田坡道4座，过路涵5座，项目公示牌1座、项目标志牌1座。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1472020.39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14分标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14分标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（1）灌溉设施：桂晓屯取水平台一座，汪淋屯取水平台一座。</w:t>
            </w:r>
          </w:p>
          <w:p>
            <w:pPr>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（2）机耕路工程：桂晓屯2#机耕路长455m，桂晓屯3#机耕路长555m，汪淋屯1#机耕路长313m，汪淋屯2#机耕路长210m，汪淋屯3#机耕路长460m，汪淋屯4#机耕路长70m</w:t>
            </w:r>
            <w:r>
              <w:rPr>
                <w:rFonts w:hint="eastAsia" w:ascii="宋体" w:hAnsi="宋体" w:cs="宋体"/>
                <w:color w:val="000000"/>
                <w:kern w:val="2"/>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（3）土壤改良与培肥：土壤改良与培肥300亩，无人机飞播苕子200亩。</w:t>
            </w:r>
          </w:p>
          <w:p>
            <w:pPr>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（4）附属建筑物：会车平台2座，下田坡道6座，过路涵8座，项目公示牌1座、项目标志牌1座。</w:t>
            </w:r>
          </w:p>
        </w:tc>
        <w:tc>
          <w:tcPr>
            <w:tcW w:w="1305"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1264905.58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36"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cs="宋体"/>
                <w:color w:val="000000"/>
                <w:sz w:val="21"/>
                <w:szCs w:val="21"/>
                <w:highlight w:val="none"/>
                <w:lang w:val="en-US" w:eastAsia="zh-CN"/>
              </w:rPr>
            </w:pPr>
            <w:r>
              <w:rPr>
                <w:rFonts w:hint="eastAsia" w:ascii="宋体" w:hAnsi="宋体" w:cs="宋体"/>
                <w:b/>
                <w:bCs/>
                <w:color w:val="000000"/>
                <w:sz w:val="21"/>
                <w:szCs w:val="21"/>
                <w:highlight w:val="none"/>
                <w:lang w:val="en-US" w:eastAsia="zh-CN"/>
              </w:rPr>
              <w:t>建设地点：伟华村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15分标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15分标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片区）1标段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（1）灌溉与排水工程：改建灌溉渠道长2142m；</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（2）田间道路工程：机耕路长509m；</w:t>
            </w:r>
          </w:p>
          <w:p>
            <w:pPr>
              <w:pStyle w:val="49"/>
              <w:ind w:left="0" w:leftChars="0" w:firstLine="0" w:firstLineChars="0"/>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（3）附属建筑物：错车台1座，回车台1座，标识牌2块。</w:t>
            </w:r>
          </w:p>
        </w:tc>
        <w:tc>
          <w:tcPr>
            <w:tcW w:w="1305"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1449749.01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16分标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16分标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）田间道路工程：机耕路长</w:t>
            </w:r>
            <w:r>
              <w:rPr>
                <w:rFonts w:hint="eastAsia" w:ascii="宋体" w:hAnsi="宋体" w:cs="宋体"/>
                <w:sz w:val="21"/>
                <w:szCs w:val="21"/>
                <w:lang w:val="en-US" w:eastAsia="zh-CN"/>
              </w:rPr>
              <w:t>2613</w:t>
            </w:r>
            <w:r>
              <w:rPr>
                <w:rFonts w:hint="eastAsia" w:ascii="宋体" w:hAnsi="宋体" w:eastAsia="宋体" w:cs="宋体"/>
                <w:sz w:val="21"/>
                <w:szCs w:val="21"/>
                <w:lang w:val="en-US" w:eastAsia="zh-CN"/>
              </w:rPr>
              <w:t>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）附属建筑物：错车台</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座，回车台1座，</w:t>
            </w:r>
            <w:r>
              <w:rPr>
                <w:rFonts w:hint="eastAsia" w:ascii="宋体" w:hAnsi="宋体" w:cs="宋体"/>
                <w:b w:val="0"/>
                <w:bCs w:val="0"/>
                <w:sz w:val="21"/>
                <w:szCs w:val="21"/>
                <w:lang w:val="en-US" w:eastAsia="zh-CN"/>
              </w:rPr>
              <w:t>下田坡道6座，圆管涵4座，</w:t>
            </w:r>
            <w:r>
              <w:rPr>
                <w:rFonts w:hint="eastAsia" w:ascii="宋体" w:hAnsi="宋体" w:eastAsia="宋体" w:cs="宋体"/>
                <w:b w:val="0"/>
                <w:bCs w:val="0"/>
                <w:sz w:val="21"/>
                <w:szCs w:val="21"/>
                <w:lang w:val="en-US" w:eastAsia="zh-CN"/>
              </w:rPr>
              <w:t>标识牌</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块。</w:t>
            </w:r>
          </w:p>
        </w:tc>
        <w:tc>
          <w:tcPr>
            <w:tcW w:w="1305"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1389033.28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17分标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17分标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（1）灌溉与排水工程：改建灌溉渠道长</w:t>
            </w:r>
            <w:r>
              <w:rPr>
                <w:rFonts w:hint="eastAsia" w:ascii="宋体" w:hAnsi="宋体" w:cs="宋体"/>
                <w:sz w:val="21"/>
                <w:szCs w:val="21"/>
                <w:lang w:val="en-US" w:eastAsia="zh-CN"/>
              </w:rPr>
              <w:t>1771</w:t>
            </w:r>
            <w:r>
              <w:rPr>
                <w:rFonts w:hint="eastAsia" w:ascii="宋体" w:hAnsi="宋体" w:eastAsia="宋体" w:cs="宋体"/>
                <w:sz w:val="21"/>
                <w:szCs w:val="21"/>
                <w:lang w:val="en-US" w:eastAsia="zh-CN"/>
              </w:rPr>
              <w:t>m</w:t>
            </w:r>
            <w:r>
              <w:rPr>
                <w:rFonts w:hint="eastAsia" w:ascii="宋体" w:hAnsi="宋体" w:cs="宋体"/>
                <w:sz w:val="21"/>
                <w:szCs w:val="21"/>
                <w:lang w:val="en-US" w:eastAsia="zh-CN"/>
              </w:rPr>
              <w:t>；</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（2）田间道路工程：机耕路长</w:t>
            </w:r>
            <w:r>
              <w:rPr>
                <w:rFonts w:hint="eastAsia" w:ascii="宋体" w:hAnsi="宋体" w:cs="宋体"/>
                <w:sz w:val="21"/>
                <w:szCs w:val="21"/>
                <w:lang w:val="en-US" w:eastAsia="zh-CN"/>
              </w:rPr>
              <w:t>826</w:t>
            </w:r>
            <w:r>
              <w:rPr>
                <w:rFonts w:hint="eastAsia" w:ascii="宋体" w:hAnsi="宋体" w:eastAsia="宋体" w:cs="宋体"/>
                <w:sz w:val="21"/>
                <w:szCs w:val="21"/>
                <w:lang w:val="en-US" w:eastAsia="zh-CN"/>
              </w:rPr>
              <w:t>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b w:val="0"/>
                <w:bCs w:val="0"/>
                <w:sz w:val="21"/>
                <w:szCs w:val="21"/>
                <w:lang w:val="en-US" w:eastAsia="zh-CN"/>
              </w:rPr>
              <w:t>（3）附属建筑物：错车台1座，回车台</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座，</w:t>
            </w:r>
            <w:r>
              <w:rPr>
                <w:rFonts w:hint="eastAsia" w:ascii="宋体" w:hAnsi="宋体" w:cs="宋体"/>
                <w:b w:val="0"/>
                <w:bCs w:val="0"/>
                <w:sz w:val="21"/>
                <w:szCs w:val="21"/>
                <w:lang w:val="en-US" w:eastAsia="zh-CN"/>
              </w:rPr>
              <w:t>下田坡道1座，圆管涵2座，</w:t>
            </w:r>
            <w:r>
              <w:rPr>
                <w:rFonts w:hint="eastAsia" w:ascii="宋体" w:hAnsi="宋体" w:eastAsia="宋体" w:cs="宋体"/>
                <w:b w:val="0"/>
                <w:bCs w:val="0"/>
                <w:sz w:val="21"/>
                <w:szCs w:val="21"/>
                <w:lang w:val="en-US" w:eastAsia="zh-CN"/>
              </w:rPr>
              <w:t>标识牌</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块。</w:t>
            </w:r>
          </w:p>
        </w:tc>
        <w:tc>
          <w:tcPr>
            <w:tcW w:w="1305"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1398859.27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18分标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18分标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（1）灌溉与排水工程：改建灌溉渠道长</w:t>
            </w:r>
            <w:r>
              <w:rPr>
                <w:rFonts w:hint="eastAsia" w:ascii="宋体" w:hAnsi="宋体" w:cs="宋体"/>
                <w:sz w:val="21"/>
                <w:szCs w:val="21"/>
                <w:lang w:val="en-US" w:eastAsia="zh-CN"/>
              </w:rPr>
              <w:t>2336</w:t>
            </w:r>
            <w:r>
              <w:rPr>
                <w:rFonts w:hint="eastAsia" w:ascii="宋体" w:hAnsi="宋体" w:eastAsia="宋体" w:cs="宋体"/>
                <w:sz w:val="21"/>
                <w:szCs w:val="21"/>
                <w:lang w:val="en-US" w:eastAsia="zh-CN"/>
              </w:rPr>
              <w:t>m</w:t>
            </w:r>
            <w:r>
              <w:rPr>
                <w:rFonts w:hint="eastAsia" w:ascii="宋体" w:hAnsi="宋体" w:cs="宋体"/>
                <w:sz w:val="21"/>
                <w:szCs w:val="21"/>
                <w:lang w:val="en-US" w:eastAsia="zh-CN"/>
              </w:rPr>
              <w:t>；</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（2）田间道路工程：机耕路长</w:t>
            </w:r>
            <w:r>
              <w:rPr>
                <w:rFonts w:hint="eastAsia" w:ascii="宋体" w:hAnsi="宋体" w:cs="宋体"/>
                <w:sz w:val="21"/>
                <w:szCs w:val="21"/>
                <w:lang w:val="en-US" w:eastAsia="zh-CN"/>
              </w:rPr>
              <w:t>1012</w:t>
            </w:r>
            <w:r>
              <w:rPr>
                <w:rFonts w:hint="eastAsia" w:ascii="宋体" w:hAnsi="宋体" w:eastAsia="宋体" w:cs="宋体"/>
                <w:sz w:val="21"/>
                <w:szCs w:val="21"/>
                <w:lang w:val="en-US" w:eastAsia="zh-CN"/>
              </w:rPr>
              <w:t>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b w:val="0"/>
                <w:bCs w:val="0"/>
                <w:sz w:val="21"/>
                <w:szCs w:val="21"/>
                <w:lang w:val="en-US" w:eastAsia="zh-CN"/>
              </w:rPr>
              <w:t>（3）附属建筑物：错车台</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座，回车台</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座，</w:t>
            </w:r>
            <w:r>
              <w:rPr>
                <w:rFonts w:hint="eastAsia" w:ascii="宋体" w:hAnsi="宋体" w:cs="宋体"/>
                <w:b w:val="0"/>
                <w:bCs w:val="0"/>
                <w:sz w:val="21"/>
                <w:szCs w:val="21"/>
                <w:lang w:val="en-US" w:eastAsia="zh-CN"/>
              </w:rPr>
              <w:t>下田坡道2座，项目公示牌1座，</w:t>
            </w:r>
            <w:r>
              <w:rPr>
                <w:rFonts w:hint="eastAsia" w:ascii="宋体" w:hAnsi="宋体" w:eastAsia="宋体" w:cs="宋体"/>
                <w:b w:val="0"/>
                <w:bCs w:val="0"/>
                <w:sz w:val="21"/>
                <w:szCs w:val="21"/>
                <w:lang w:val="en-US" w:eastAsia="zh-CN"/>
              </w:rPr>
              <w:t>标识牌</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块。</w:t>
            </w:r>
          </w:p>
        </w:tc>
        <w:tc>
          <w:tcPr>
            <w:tcW w:w="1305"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1100919.26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19分标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19分标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）田间道路工程：机耕路长</w:t>
            </w:r>
            <w:r>
              <w:rPr>
                <w:rFonts w:hint="eastAsia" w:ascii="宋体" w:hAnsi="宋体" w:cs="宋体"/>
                <w:sz w:val="21"/>
                <w:szCs w:val="21"/>
                <w:lang w:val="en-US" w:eastAsia="zh-CN"/>
              </w:rPr>
              <w:t>2618</w:t>
            </w:r>
            <w:r>
              <w:rPr>
                <w:rFonts w:hint="eastAsia" w:ascii="宋体" w:hAnsi="宋体" w:eastAsia="宋体" w:cs="宋体"/>
                <w:sz w:val="21"/>
                <w:szCs w:val="21"/>
                <w:lang w:val="en-US" w:eastAsia="zh-CN"/>
              </w:rPr>
              <w:t>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）附属建筑物：错车台</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座，回车台</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座，</w:t>
            </w:r>
            <w:r>
              <w:rPr>
                <w:rFonts w:hint="eastAsia" w:ascii="宋体" w:hAnsi="宋体" w:cs="宋体"/>
                <w:b w:val="0"/>
                <w:bCs w:val="0"/>
                <w:sz w:val="21"/>
                <w:szCs w:val="21"/>
                <w:lang w:val="en-US" w:eastAsia="zh-CN"/>
              </w:rPr>
              <w:t>下田坡道7座，圆管涵2座，</w:t>
            </w:r>
            <w:r>
              <w:rPr>
                <w:rFonts w:hint="eastAsia" w:ascii="宋体" w:hAnsi="宋体" w:eastAsia="宋体" w:cs="宋体"/>
                <w:b w:val="0"/>
                <w:bCs w:val="0"/>
                <w:sz w:val="21"/>
                <w:szCs w:val="21"/>
                <w:lang w:val="en-US" w:eastAsia="zh-CN"/>
              </w:rPr>
              <w:t>标识牌</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块。</w:t>
            </w:r>
          </w:p>
        </w:tc>
        <w:tc>
          <w:tcPr>
            <w:tcW w:w="1305"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1392437.54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20分标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20分标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（1）灌溉与排水工程：改建灌溉渠道长</w:t>
            </w:r>
            <w:r>
              <w:rPr>
                <w:rFonts w:hint="eastAsia" w:ascii="宋体" w:hAnsi="宋体" w:cs="宋体"/>
                <w:sz w:val="21"/>
                <w:szCs w:val="21"/>
                <w:lang w:val="en-US" w:eastAsia="zh-CN"/>
              </w:rPr>
              <w:t>1144</w:t>
            </w:r>
            <w:r>
              <w:rPr>
                <w:rFonts w:hint="eastAsia" w:ascii="宋体" w:hAnsi="宋体" w:eastAsia="宋体" w:cs="宋体"/>
                <w:sz w:val="21"/>
                <w:szCs w:val="21"/>
                <w:lang w:val="en-US" w:eastAsia="zh-CN"/>
              </w:rPr>
              <w:t>m</w:t>
            </w:r>
            <w:r>
              <w:rPr>
                <w:rFonts w:hint="eastAsia" w:ascii="宋体" w:hAnsi="宋体" w:cs="宋体"/>
                <w:sz w:val="21"/>
                <w:szCs w:val="21"/>
                <w:lang w:val="en-US" w:eastAsia="zh-CN"/>
              </w:rPr>
              <w:t>；</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（2）田间道路工程：机耕路长</w:t>
            </w:r>
            <w:r>
              <w:rPr>
                <w:rFonts w:hint="eastAsia" w:ascii="宋体" w:hAnsi="宋体" w:cs="宋体"/>
                <w:sz w:val="21"/>
                <w:szCs w:val="21"/>
                <w:lang w:val="en-US" w:eastAsia="zh-CN"/>
              </w:rPr>
              <w:t>2067</w:t>
            </w:r>
            <w:r>
              <w:rPr>
                <w:rFonts w:hint="eastAsia" w:ascii="宋体" w:hAnsi="宋体" w:eastAsia="宋体" w:cs="宋体"/>
                <w:sz w:val="21"/>
                <w:szCs w:val="21"/>
                <w:lang w:val="en-US" w:eastAsia="zh-CN"/>
              </w:rPr>
              <w:t>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b w:val="0"/>
                <w:bCs w:val="0"/>
                <w:sz w:val="21"/>
                <w:szCs w:val="21"/>
                <w:lang w:val="en-US" w:eastAsia="zh-CN"/>
              </w:rPr>
              <w:t>（3）附属建筑物：错车台</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座，回车台</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座，</w:t>
            </w:r>
            <w:r>
              <w:rPr>
                <w:rFonts w:hint="eastAsia" w:ascii="宋体" w:hAnsi="宋体" w:cs="宋体"/>
                <w:b w:val="0"/>
                <w:bCs w:val="0"/>
                <w:sz w:val="21"/>
                <w:szCs w:val="21"/>
                <w:lang w:val="en-US" w:eastAsia="zh-CN"/>
              </w:rPr>
              <w:t>下田坡道5座，圆管涵3座，</w:t>
            </w:r>
            <w:r>
              <w:rPr>
                <w:rFonts w:hint="eastAsia" w:ascii="宋体" w:hAnsi="宋体" w:eastAsia="宋体" w:cs="宋体"/>
                <w:b w:val="0"/>
                <w:bCs w:val="0"/>
                <w:sz w:val="21"/>
                <w:szCs w:val="21"/>
                <w:lang w:val="en-US" w:eastAsia="zh-CN"/>
              </w:rPr>
              <w:t>标识牌</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块。</w:t>
            </w:r>
          </w:p>
        </w:tc>
        <w:tc>
          <w:tcPr>
            <w:tcW w:w="1305"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1456953.92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21分标</w:t>
            </w:r>
          </w:p>
        </w:tc>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21分标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eastAsia="zh-CN"/>
              </w:rPr>
              <w:t>标段</w:t>
            </w:r>
          </w:p>
        </w:tc>
        <w:tc>
          <w:tcPr>
            <w:tcW w:w="37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（1）灌溉与排水工程：改建灌溉渠道长</w:t>
            </w:r>
            <w:r>
              <w:rPr>
                <w:rFonts w:hint="eastAsia" w:ascii="宋体" w:hAnsi="宋体" w:cs="宋体"/>
                <w:sz w:val="21"/>
                <w:szCs w:val="21"/>
                <w:lang w:val="en-US" w:eastAsia="zh-CN"/>
              </w:rPr>
              <w:t>1501</w:t>
            </w:r>
            <w:r>
              <w:rPr>
                <w:rFonts w:hint="eastAsia" w:ascii="宋体" w:hAnsi="宋体" w:eastAsia="宋体" w:cs="宋体"/>
                <w:sz w:val="21"/>
                <w:szCs w:val="21"/>
                <w:lang w:val="en-US" w:eastAsia="zh-CN"/>
              </w:rPr>
              <w:t>m</w:t>
            </w:r>
            <w:r>
              <w:rPr>
                <w:rFonts w:hint="eastAsia" w:ascii="宋体" w:hAnsi="宋体" w:cs="宋体"/>
                <w:sz w:val="21"/>
                <w:szCs w:val="21"/>
                <w:lang w:val="en-US" w:eastAsia="zh-CN"/>
              </w:rPr>
              <w:t>；</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（2）田间道路工程：机耕路长</w:t>
            </w:r>
            <w:r>
              <w:rPr>
                <w:rFonts w:hint="eastAsia" w:ascii="宋体" w:hAnsi="宋体" w:cs="宋体"/>
                <w:sz w:val="21"/>
                <w:szCs w:val="21"/>
                <w:lang w:val="en-US" w:eastAsia="zh-CN"/>
              </w:rPr>
              <w:t>1302</w:t>
            </w:r>
            <w:r>
              <w:rPr>
                <w:rFonts w:hint="eastAsia" w:ascii="宋体" w:hAnsi="宋体" w:eastAsia="宋体" w:cs="宋体"/>
                <w:sz w:val="21"/>
                <w:szCs w:val="21"/>
                <w:lang w:val="en-US" w:eastAsia="zh-CN"/>
              </w:rPr>
              <w:t>m；</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b w:val="0"/>
                <w:bCs w:val="0"/>
                <w:sz w:val="21"/>
                <w:szCs w:val="21"/>
                <w:lang w:val="en-US" w:eastAsia="zh-CN"/>
              </w:rPr>
              <w:t>（3）附属建筑物：错车台</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座，回车台</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座，</w:t>
            </w:r>
            <w:r>
              <w:rPr>
                <w:rFonts w:hint="eastAsia" w:ascii="宋体" w:hAnsi="宋体" w:cs="宋体"/>
                <w:b w:val="0"/>
                <w:bCs w:val="0"/>
                <w:sz w:val="21"/>
                <w:szCs w:val="21"/>
                <w:lang w:val="en-US" w:eastAsia="zh-CN"/>
              </w:rPr>
              <w:t>下田坡道3座，圆管涵2座，</w:t>
            </w:r>
            <w:r>
              <w:rPr>
                <w:rFonts w:hint="eastAsia" w:ascii="宋体" w:hAnsi="宋体" w:eastAsia="宋体" w:cs="宋体"/>
                <w:b w:val="0"/>
                <w:bCs w:val="0"/>
                <w:sz w:val="21"/>
                <w:szCs w:val="21"/>
                <w:lang w:val="en-US" w:eastAsia="zh-CN"/>
              </w:rPr>
              <w:t>标识牌</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块。</w:t>
            </w:r>
          </w:p>
        </w:tc>
        <w:tc>
          <w:tcPr>
            <w:tcW w:w="1305"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1414033.77 </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bl>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：各个标段均为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180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本项目不接受联合体投标。</w:t>
      </w:r>
    </w:p>
    <w:p>
      <w:pPr>
        <w:keepNext/>
        <w:keepLines/>
        <w:pageBreakBefore w:val="0"/>
        <w:kinsoku/>
        <w:wordWrap/>
        <w:overflowPunct/>
        <w:topLinePunct w:val="0"/>
        <w:autoSpaceDE/>
        <w:autoSpaceDN/>
        <w:bidi w:val="0"/>
        <w:adjustRightInd/>
        <w:spacing w:line="440" w:lineRule="exact"/>
        <w:outlineLvl w:val="1"/>
        <w:rPr>
          <w:rFonts w:hint="eastAsia" w:ascii="宋体" w:hAnsi="宋体" w:eastAsia="宋体" w:cs="宋体"/>
          <w:b/>
          <w:bCs/>
          <w:color w:val="000000"/>
          <w:sz w:val="24"/>
          <w:szCs w:val="24"/>
          <w:highlight w:val="none"/>
        </w:rPr>
      </w:pPr>
      <w:bookmarkStart w:id="15" w:name="_Toc28359080"/>
      <w:bookmarkStart w:id="16" w:name="_Toc16342"/>
      <w:bookmarkStart w:id="17" w:name="_Toc28359003"/>
      <w:bookmarkStart w:id="18" w:name="_Toc20767"/>
      <w:bookmarkStart w:id="19" w:name="_Toc35393622"/>
      <w:bookmarkStart w:id="20" w:name="_Toc32083"/>
      <w:r>
        <w:rPr>
          <w:rFonts w:hint="eastAsia" w:ascii="宋体" w:hAnsi="宋体" w:eastAsia="宋体" w:cs="宋体"/>
          <w:b/>
          <w:bCs/>
          <w:color w:val="000000"/>
          <w:sz w:val="24"/>
          <w:szCs w:val="24"/>
          <w:highlight w:val="none"/>
        </w:rPr>
        <w:t>二、申请人的资格要求：</w:t>
      </w:r>
      <w:bookmarkEnd w:id="15"/>
      <w:bookmarkEnd w:id="16"/>
      <w:bookmarkEnd w:id="17"/>
      <w:bookmarkEnd w:id="18"/>
      <w:bookmarkEnd w:id="19"/>
      <w:bookmarkEnd w:id="20"/>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1.满足《中华人民共和国政府采购法》第二十二条规定</w:t>
      </w:r>
      <w:r>
        <w:rPr>
          <w:rFonts w:hint="eastAsia" w:ascii="宋体" w:hAnsi="宋体" w:eastAsia="宋体" w:cs="宋体"/>
          <w:color w:val="000000"/>
          <w:sz w:val="24"/>
          <w:szCs w:val="24"/>
          <w:highlight w:val="none"/>
          <w:lang w:eastAsia="zh-CN"/>
        </w:rPr>
        <w:t>。</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2.落实政府采购政策需满足的资格要求：</w:t>
      </w:r>
      <w:r>
        <w:rPr>
          <w:rFonts w:hint="eastAsia" w:ascii="宋体" w:hAnsi="宋体" w:cs="宋体"/>
          <w:b/>
          <w:bCs/>
          <w:color w:val="000000"/>
          <w:sz w:val="24"/>
          <w:szCs w:val="24"/>
          <w:highlight w:val="none"/>
          <w:lang w:eastAsia="zh-CN"/>
        </w:rPr>
        <w:t>供应商为小微企业</w:t>
      </w:r>
      <w:r>
        <w:rPr>
          <w:rFonts w:hint="eastAsia" w:ascii="宋体" w:hAnsi="宋体" w:eastAsia="宋体" w:cs="宋体"/>
          <w:b/>
          <w:bCs/>
          <w:color w:val="000000"/>
          <w:sz w:val="24"/>
          <w:szCs w:val="24"/>
          <w:highlight w:val="none"/>
          <w:u w:val="none"/>
        </w:rPr>
        <w:t>。</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3.本项目的特定资格要求：</w:t>
      </w:r>
      <w:bookmarkStart w:id="21" w:name="OLE_LINK18"/>
      <w:bookmarkStart w:id="22" w:name="OLE_LINK28"/>
      <w:bookmarkStart w:id="23" w:name="OLE_LINK19"/>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3.1</w:t>
      </w:r>
      <w:r>
        <w:rPr>
          <w:rFonts w:hint="eastAsia" w:ascii="宋体" w:hAnsi="宋体" w:eastAsia="宋体" w:cs="宋体"/>
          <w:color w:val="000000"/>
          <w:sz w:val="24"/>
          <w:szCs w:val="24"/>
          <w:highlight w:val="none"/>
        </w:rPr>
        <w:t>投标人资质要求：具备</w:t>
      </w:r>
      <w:r>
        <w:rPr>
          <w:rFonts w:hint="eastAsia" w:ascii="宋体" w:hAnsi="宋体" w:eastAsia="宋体" w:cs="宋体"/>
          <w:b/>
          <w:bCs/>
          <w:color w:val="000000"/>
          <w:sz w:val="24"/>
          <w:szCs w:val="24"/>
          <w:highlight w:val="none"/>
          <w:u w:val="single"/>
        </w:rPr>
        <w:t>水利水电工程</w:t>
      </w:r>
      <w:r>
        <w:rPr>
          <w:rFonts w:hint="eastAsia" w:ascii="宋体" w:hAnsi="宋体" w:eastAsia="宋体" w:cs="宋体"/>
          <w:b/>
          <w:bCs/>
          <w:color w:val="000000"/>
          <w:sz w:val="24"/>
          <w:szCs w:val="24"/>
          <w:highlight w:val="none"/>
          <w:u w:val="single"/>
          <w:lang w:eastAsia="zh-CN"/>
        </w:rPr>
        <w:t>或市政公用工程</w:t>
      </w:r>
      <w:r>
        <w:rPr>
          <w:rFonts w:hint="eastAsia" w:ascii="宋体" w:hAnsi="宋体" w:eastAsia="宋体" w:cs="宋体"/>
          <w:b/>
          <w:bCs/>
          <w:color w:val="000000"/>
          <w:sz w:val="24"/>
          <w:szCs w:val="24"/>
          <w:highlight w:val="none"/>
          <w:u w:val="single"/>
        </w:rPr>
        <w:t>施工总承包叁级或</w:t>
      </w:r>
      <w:r>
        <w:rPr>
          <w:rFonts w:hint="eastAsia" w:ascii="宋体" w:hAnsi="宋体" w:eastAsia="宋体" w:cs="宋体"/>
          <w:b/>
          <w:bCs/>
          <w:color w:val="000000"/>
          <w:sz w:val="24"/>
          <w:szCs w:val="24"/>
          <w:highlight w:val="none"/>
          <w:u w:val="single"/>
          <w:lang w:val="en-US" w:eastAsia="zh-CN"/>
        </w:rPr>
        <w:t>叁级</w:t>
      </w:r>
      <w:r>
        <w:rPr>
          <w:rFonts w:hint="eastAsia" w:ascii="宋体" w:hAnsi="宋体" w:eastAsia="宋体" w:cs="宋体"/>
          <w:color w:val="000000"/>
          <w:sz w:val="24"/>
          <w:szCs w:val="24"/>
          <w:highlight w:val="none"/>
        </w:rPr>
        <w:t>以上资质，并在人员、设备、资金等方面具备相应的施工能力；</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3.2项目经理要求：拟派项目经理</w:t>
      </w:r>
      <w:r>
        <w:rPr>
          <w:rFonts w:hint="eastAsia" w:ascii="宋体" w:hAnsi="宋体" w:eastAsia="宋体" w:cs="宋体"/>
          <w:color w:val="000000"/>
          <w:sz w:val="24"/>
          <w:szCs w:val="24"/>
          <w:highlight w:val="none"/>
        </w:rPr>
        <w:t>须具备</w:t>
      </w:r>
      <w:r>
        <w:rPr>
          <w:rFonts w:hint="eastAsia" w:ascii="宋体" w:hAnsi="宋体" w:eastAsia="宋体" w:cs="宋体"/>
          <w:b/>
          <w:bCs/>
          <w:color w:val="000000"/>
          <w:sz w:val="24"/>
          <w:szCs w:val="24"/>
          <w:highlight w:val="none"/>
          <w:u w:val="single"/>
        </w:rPr>
        <w:t>水利水电工程</w:t>
      </w:r>
      <w:r>
        <w:rPr>
          <w:rFonts w:hint="eastAsia" w:ascii="宋体" w:hAnsi="宋体" w:eastAsia="宋体" w:cs="宋体"/>
          <w:b/>
          <w:bCs/>
          <w:color w:val="000000"/>
          <w:sz w:val="24"/>
          <w:szCs w:val="24"/>
          <w:highlight w:val="none"/>
          <w:u w:val="single"/>
          <w:lang w:eastAsia="zh-CN"/>
        </w:rPr>
        <w:t>或市政公用工程</w:t>
      </w:r>
      <w:r>
        <w:rPr>
          <w:rFonts w:hint="eastAsia" w:ascii="宋体" w:hAnsi="宋体" w:eastAsia="宋体" w:cs="宋体"/>
          <w:b/>
          <w:bCs/>
          <w:color w:val="000000"/>
          <w:sz w:val="24"/>
          <w:szCs w:val="24"/>
          <w:highlight w:val="none"/>
          <w:u w:val="single"/>
        </w:rPr>
        <w:t>专业注册建造师二级以上（含二级）</w:t>
      </w:r>
      <w:r>
        <w:rPr>
          <w:rFonts w:hint="eastAsia" w:ascii="宋体" w:hAnsi="宋体" w:eastAsia="宋体" w:cs="宋体"/>
          <w:color w:val="000000"/>
          <w:sz w:val="24"/>
          <w:szCs w:val="24"/>
          <w:highlight w:val="none"/>
        </w:rPr>
        <w:t>执业资格</w:t>
      </w:r>
      <w:r>
        <w:rPr>
          <w:rFonts w:hint="eastAsia" w:ascii="宋体" w:hAnsi="宋体" w:eastAsia="宋体" w:cs="宋体"/>
          <w:color w:val="000000"/>
          <w:sz w:val="24"/>
          <w:szCs w:val="24"/>
          <w:highlight w:val="none"/>
          <w:lang w:eastAsia="zh-CN"/>
        </w:rPr>
        <w:t>和持有有效的《安全生产考核合格证书（B证）》</w:t>
      </w:r>
      <w:r>
        <w:rPr>
          <w:rFonts w:hint="eastAsia" w:ascii="宋体" w:hAnsi="宋体" w:eastAsia="宋体" w:cs="宋体"/>
          <w:color w:val="000000"/>
          <w:sz w:val="24"/>
          <w:szCs w:val="24"/>
          <w:highlight w:val="none"/>
        </w:rPr>
        <w:t>，且不得在任何在建工程中担任任何管理职务。</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3.3安全管理员要求：持有有效的《安全生产考核合格证书（C证）》。</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3.4业绩要求：无要求。</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3.5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bookmarkEnd w:id="21"/>
    <w:bookmarkEnd w:id="22"/>
    <w:bookmarkEnd w:id="23"/>
    <w:p>
      <w:pPr>
        <w:keepNext/>
        <w:keepLines/>
        <w:pageBreakBefore w:val="0"/>
        <w:kinsoku/>
        <w:wordWrap/>
        <w:overflowPunct/>
        <w:topLinePunct w:val="0"/>
        <w:autoSpaceDE/>
        <w:autoSpaceDN/>
        <w:bidi w:val="0"/>
        <w:adjustRightInd/>
        <w:spacing w:line="440" w:lineRule="exact"/>
        <w:outlineLvl w:val="1"/>
        <w:rPr>
          <w:rFonts w:hint="eastAsia" w:ascii="宋体" w:hAnsi="宋体" w:eastAsia="宋体" w:cs="宋体"/>
          <w:b/>
          <w:bCs/>
          <w:color w:val="000000"/>
          <w:sz w:val="24"/>
          <w:szCs w:val="24"/>
          <w:highlight w:val="none"/>
        </w:rPr>
      </w:pPr>
      <w:bookmarkStart w:id="24" w:name="_Toc35393792"/>
      <w:bookmarkStart w:id="25" w:name="_Toc28132"/>
      <w:bookmarkStart w:id="26" w:name="_Toc7556"/>
      <w:bookmarkStart w:id="27" w:name="_Toc21970"/>
      <w:r>
        <w:rPr>
          <w:rFonts w:hint="eastAsia" w:ascii="宋体" w:hAnsi="宋体" w:eastAsia="宋体" w:cs="宋体"/>
          <w:b/>
          <w:bCs/>
          <w:color w:val="000000"/>
          <w:sz w:val="24"/>
          <w:szCs w:val="24"/>
          <w:highlight w:val="none"/>
        </w:rPr>
        <w:t>三、获取招标文件</w:t>
      </w:r>
      <w:bookmarkEnd w:id="24"/>
      <w:bookmarkEnd w:id="25"/>
      <w:bookmarkEnd w:id="26"/>
      <w:bookmarkEnd w:id="27"/>
    </w:p>
    <w:p>
      <w:pPr>
        <w:pageBreakBefore w:val="0"/>
        <w:kinsoku/>
        <w:wordWrap/>
        <w:overflowPunct/>
        <w:topLinePunct w:val="0"/>
        <w:autoSpaceDE/>
        <w:autoSpaceDN/>
        <w:bidi w:val="0"/>
        <w:adjustRightInd/>
        <w:spacing w:line="440" w:lineRule="exact"/>
        <w:ind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1.时间：</w:t>
      </w:r>
      <w:r>
        <w:rPr>
          <w:rFonts w:hint="eastAsia" w:ascii="宋体" w:hAnsi="宋体" w:eastAsia="宋体" w:cs="宋体"/>
          <w:b w:val="0"/>
          <w:bCs/>
          <w:color w:val="000000"/>
          <w:sz w:val="24"/>
          <w:szCs w:val="24"/>
          <w:highlight w:val="none"/>
          <w:u w:val="single"/>
        </w:rPr>
        <w:t>202</w:t>
      </w:r>
      <w:r>
        <w:rPr>
          <w:rFonts w:hint="eastAsia" w:ascii="宋体" w:hAnsi="宋体" w:eastAsia="宋体" w:cs="宋体"/>
          <w:b w:val="0"/>
          <w:bCs/>
          <w:color w:val="000000"/>
          <w:sz w:val="24"/>
          <w:szCs w:val="24"/>
          <w:highlight w:val="none"/>
          <w:u w:val="single"/>
          <w:lang w:val="en-US" w:eastAsia="zh-CN"/>
        </w:rPr>
        <w:t>2</w:t>
      </w:r>
      <w:r>
        <w:rPr>
          <w:rFonts w:hint="eastAsia" w:ascii="宋体" w:hAnsi="宋体" w:eastAsia="宋体" w:cs="宋体"/>
          <w:b w:val="0"/>
          <w:bCs/>
          <w:color w:val="000000"/>
          <w:sz w:val="24"/>
          <w:szCs w:val="24"/>
          <w:highlight w:val="none"/>
          <w:u w:val="single"/>
        </w:rPr>
        <w:t>年</w:t>
      </w:r>
      <w:r>
        <w:rPr>
          <w:rFonts w:hint="eastAsia" w:ascii="宋体" w:hAnsi="宋体" w:cs="宋体"/>
          <w:b w:val="0"/>
          <w:bCs/>
          <w:color w:val="000000"/>
          <w:sz w:val="24"/>
          <w:szCs w:val="24"/>
          <w:highlight w:val="none"/>
          <w:u w:val="single"/>
          <w:lang w:val="en-US" w:eastAsia="zh-CN"/>
        </w:rPr>
        <w:t>10</w:t>
      </w:r>
      <w:r>
        <w:rPr>
          <w:rFonts w:hint="eastAsia" w:ascii="宋体" w:hAnsi="宋体" w:eastAsia="宋体" w:cs="宋体"/>
          <w:b w:val="0"/>
          <w:bCs/>
          <w:color w:val="000000"/>
          <w:sz w:val="24"/>
          <w:szCs w:val="24"/>
          <w:highlight w:val="none"/>
          <w:u w:val="single"/>
        </w:rPr>
        <w:t>月</w:t>
      </w:r>
      <w:r>
        <w:rPr>
          <w:rFonts w:hint="eastAsia" w:ascii="宋体" w:hAnsi="宋体" w:cs="宋体"/>
          <w:b w:val="0"/>
          <w:bCs/>
          <w:color w:val="000000"/>
          <w:sz w:val="24"/>
          <w:szCs w:val="24"/>
          <w:highlight w:val="none"/>
          <w:u w:val="single"/>
          <w:lang w:val="en-US" w:eastAsia="zh-CN"/>
        </w:rPr>
        <w:t>9</w:t>
      </w:r>
      <w:r>
        <w:rPr>
          <w:rFonts w:hint="eastAsia" w:ascii="宋体" w:hAnsi="宋体" w:eastAsia="宋体" w:cs="宋体"/>
          <w:b w:val="0"/>
          <w:bCs/>
          <w:color w:val="000000"/>
          <w:sz w:val="24"/>
          <w:szCs w:val="24"/>
          <w:highlight w:val="none"/>
          <w:u w:val="single"/>
        </w:rPr>
        <w:t>日至202</w:t>
      </w:r>
      <w:r>
        <w:rPr>
          <w:rFonts w:hint="eastAsia" w:ascii="宋体" w:hAnsi="宋体" w:eastAsia="宋体" w:cs="宋体"/>
          <w:b w:val="0"/>
          <w:bCs/>
          <w:color w:val="000000"/>
          <w:sz w:val="24"/>
          <w:szCs w:val="24"/>
          <w:highlight w:val="none"/>
          <w:u w:val="single"/>
          <w:lang w:val="en-US" w:eastAsia="zh-CN"/>
        </w:rPr>
        <w:t>2</w:t>
      </w:r>
      <w:r>
        <w:rPr>
          <w:rFonts w:hint="eastAsia" w:ascii="宋体" w:hAnsi="宋体" w:eastAsia="宋体" w:cs="宋体"/>
          <w:b w:val="0"/>
          <w:bCs/>
          <w:color w:val="000000"/>
          <w:sz w:val="24"/>
          <w:szCs w:val="24"/>
          <w:highlight w:val="none"/>
          <w:u w:val="single"/>
        </w:rPr>
        <w:t>年</w:t>
      </w:r>
      <w:r>
        <w:rPr>
          <w:rFonts w:hint="eastAsia" w:ascii="宋体" w:hAnsi="宋体" w:cs="宋体"/>
          <w:b w:val="0"/>
          <w:bCs/>
          <w:color w:val="000000"/>
          <w:sz w:val="24"/>
          <w:szCs w:val="24"/>
          <w:highlight w:val="none"/>
          <w:u w:val="single"/>
          <w:lang w:val="en-US" w:eastAsia="zh-CN"/>
        </w:rPr>
        <w:t>10</w:t>
      </w:r>
      <w:r>
        <w:rPr>
          <w:rFonts w:hint="eastAsia" w:ascii="宋体" w:hAnsi="宋体" w:eastAsia="宋体" w:cs="宋体"/>
          <w:b w:val="0"/>
          <w:bCs/>
          <w:color w:val="000000"/>
          <w:sz w:val="24"/>
          <w:szCs w:val="24"/>
          <w:highlight w:val="none"/>
          <w:u w:val="single"/>
        </w:rPr>
        <w:t>月</w:t>
      </w: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000000"/>
          <w:sz w:val="24"/>
          <w:szCs w:val="24"/>
          <w:highlight w:val="none"/>
          <w:u w:val="single"/>
        </w:rPr>
        <w:t>日</w:t>
      </w:r>
      <w:r>
        <w:rPr>
          <w:rFonts w:hint="eastAsia" w:ascii="宋体" w:hAnsi="宋体" w:eastAsia="宋体" w:cs="宋体"/>
          <w:color w:val="000000"/>
          <w:sz w:val="24"/>
          <w:szCs w:val="24"/>
          <w:highlight w:val="none"/>
        </w:rPr>
        <w:t>，每天上午8时</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0分至12时00分，下午</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0分至1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0分（北京时间，法定节假日除外）</w:t>
      </w:r>
      <w:r>
        <w:rPr>
          <w:rFonts w:hint="eastAsia" w:ascii="宋体" w:hAnsi="宋体" w:eastAsia="宋体" w:cs="宋体"/>
          <w:color w:val="000000"/>
          <w:sz w:val="24"/>
          <w:szCs w:val="24"/>
          <w:highlight w:val="none"/>
          <w:lang w:eastAsia="zh-CN"/>
        </w:rPr>
        <w:t>。</w:t>
      </w:r>
    </w:p>
    <w:p>
      <w:pPr>
        <w:pageBreakBefore w:val="0"/>
        <w:kinsoku/>
        <w:wordWrap/>
        <w:overflowPunct/>
        <w:topLinePunct w:val="0"/>
        <w:autoSpaceDE/>
        <w:autoSpaceDN/>
        <w:bidi w:val="0"/>
        <w:adjustRightInd/>
        <w:spacing w:line="44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2.地点：政采云平台</w:t>
      </w:r>
    </w:p>
    <w:p>
      <w:pPr>
        <w:pageBreakBefore w:val="0"/>
        <w:kinsoku/>
        <w:wordWrap/>
        <w:overflowPunct/>
        <w:topLinePunct w:val="0"/>
        <w:autoSpaceDE/>
        <w:autoSpaceDN/>
        <w:bidi w:val="0"/>
        <w:adjustRightInd/>
        <w:spacing w:line="44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3.方式：潜在投标人需使用账号登录或者使用CA登录“政采云”平台-进入“项目采购”应用，在获取采购文件菜单中选择项目，获取招标文件（或在“政采云电子投标客户端-获取</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文件”跳转到政采云系统获取）。电子投标文件制作需要基于“政采云”平台获取的招标文件编制，通过其他方式获取招标文件的，将有可能导致投标人无法在政采云平台编制及上传投标文件。</w:t>
      </w:r>
    </w:p>
    <w:p>
      <w:pPr>
        <w:pageBreakBefore w:val="0"/>
        <w:kinsoku/>
        <w:wordWrap/>
        <w:overflowPunct/>
        <w:topLinePunct w:val="0"/>
        <w:autoSpaceDE/>
        <w:autoSpaceDN/>
        <w:bidi w:val="0"/>
        <w:adjustRightInd/>
        <w:spacing w:line="44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获取</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文件时应当填写完整准确的单位名称</w:t>
      </w:r>
      <w:r>
        <w:rPr>
          <w:rFonts w:hint="eastAsia" w:ascii="宋体" w:hAnsi="宋体" w:eastAsia="宋体" w:cs="宋体"/>
          <w:color w:val="000000"/>
          <w:sz w:val="24"/>
          <w:szCs w:val="24"/>
          <w:highlight w:val="none"/>
          <w:lang w:eastAsia="zh-CN"/>
        </w:rPr>
        <w:t>、联系人姓名及联系方式</w:t>
      </w:r>
      <w:r>
        <w:rPr>
          <w:rFonts w:hint="eastAsia" w:ascii="宋体" w:hAnsi="宋体" w:eastAsia="宋体" w:cs="宋体"/>
          <w:color w:val="000000"/>
          <w:sz w:val="24"/>
          <w:szCs w:val="24"/>
          <w:highlight w:val="none"/>
        </w:rPr>
        <w:t>。</w:t>
      </w:r>
    </w:p>
    <w:p>
      <w:pPr>
        <w:pageBreakBefore w:val="0"/>
        <w:kinsoku/>
        <w:wordWrap/>
        <w:overflowPunct/>
        <w:topLinePunct w:val="0"/>
        <w:autoSpaceDE/>
        <w:autoSpaceDN/>
        <w:bidi w:val="0"/>
        <w:adjustRightInd/>
        <w:spacing w:line="44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已获取</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文件的</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不等于符合本项目的</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资格条件。</w:t>
      </w:r>
    </w:p>
    <w:p>
      <w:pPr>
        <w:pageBreakBefore w:val="0"/>
        <w:kinsoku/>
        <w:wordWrap/>
        <w:overflowPunct/>
        <w:topLinePunct w:val="0"/>
        <w:autoSpaceDE/>
        <w:autoSpaceDN/>
        <w:bidi w:val="0"/>
        <w:adjustRightInd/>
        <w:spacing w:line="44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（3）本项目不接受未在规定时间内下载本项目招标文件的投标人投标。</w:t>
      </w:r>
    </w:p>
    <w:p>
      <w:pPr>
        <w:pageBreakBefore w:val="0"/>
        <w:kinsoku/>
        <w:wordWrap/>
        <w:overflowPunct/>
        <w:topLinePunct w:val="0"/>
        <w:autoSpaceDE/>
        <w:autoSpaceDN/>
        <w:bidi w:val="0"/>
        <w:adjustRightInd/>
        <w:spacing w:line="44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为配合</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人进行政府采购项目执行和备案，未在政采云入驻正式</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的，可在获取</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文件后登录政采云进行入驻，如在操作过程中遇到问题或者需要技术支持，请致电政采云客服热线：400-881-7190。</w:t>
      </w:r>
    </w:p>
    <w:p>
      <w:pPr>
        <w:pageBreakBefore w:val="0"/>
        <w:kinsoku/>
        <w:wordWrap/>
        <w:overflowPunct/>
        <w:topLinePunct w:val="0"/>
        <w:autoSpaceDE/>
        <w:autoSpaceDN/>
        <w:bidi w:val="0"/>
        <w:adjustRightInd/>
        <w:spacing w:line="440" w:lineRule="exact"/>
        <w:ind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售价：0</w:t>
      </w:r>
      <w:r>
        <w:rPr>
          <w:rFonts w:hint="eastAsia" w:ascii="宋体" w:hAnsi="宋体" w:eastAsia="宋体" w:cs="宋体"/>
          <w:color w:val="000000"/>
          <w:sz w:val="24"/>
          <w:szCs w:val="24"/>
          <w:highlight w:val="none"/>
          <w:lang w:val="en-US" w:eastAsia="zh-CN"/>
        </w:rPr>
        <w:t>元。</w:t>
      </w:r>
    </w:p>
    <w:p>
      <w:pPr>
        <w:pageBreakBefore w:val="0"/>
        <w:kinsoku/>
        <w:wordWrap/>
        <w:overflowPunct/>
        <w:topLinePunct w:val="0"/>
        <w:autoSpaceDE/>
        <w:autoSpaceDN/>
        <w:bidi w:val="0"/>
        <w:adjustRightInd/>
        <w:spacing w:line="440" w:lineRule="exact"/>
        <w:rPr>
          <w:rFonts w:hint="eastAsia" w:ascii="宋体" w:hAnsi="宋体" w:eastAsia="宋体" w:cs="宋体"/>
          <w:b/>
          <w:bCs w:val="0"/>
          <w:color w:val="000000"/>
          <w:sz w:val="24"/>
          <w:szCs w:val="24"/>
          <w:highlight w:val="none"/>
          <w:u w:val="none"/>
        </w:rPr>
      </w:pPr>
      <w:bookmarkStart w:id="28" w:name="_Toc71365908"/>
      <w:r>
        <w:rPr>
          <w:rFonts w:hint="eastAsia" w:ascii="宋体" w:hAnsi="宋体" w:eastAsia="宋体" w:cs="宋体"/>
          <w:b/>
          <w:bCs w:val="0"/>
          <w:color w:val="000000"/>
          <w:sz w:val="24"/>
          <w:szCs w:val="24"/>
          <w:highlight w:val="none"/>
          <w:u w:val="none"/>
        </w:rPr>
        <w:t>四、</w:t>
      </w:r>
      <w:bookmarkEnd w:id="28"/>
      <w:r>
        <w:rPr>
          <w:rFonts w:hint="eastAsia" w:ascii="宋体" w:hAnsi="宋体" w:eastAsia="宋体" w:cs="宋体"/>
          <w:b/>
          <w:bCs w:val="0"/>
          <w:color w:val="000000"/>
          <w:sz w:val="24"/>
          <w:szCs w:val="24"/>
          <w:highlight w:val="none"/>
          <w:u w:val="none"/>
        </w:rPr>
        <w:t>提交投标文件截止时间、开标时间和地点</w:t>
      </w:r>
    </w:p>
    <w:p>
      <w:pPr>
        <w:spacing w:line="400" w:lineRule="exact"/>
        <w:ind w:firstLine="480" w:firstLineChars="200"/>
        <w:rPr>
          <w:rFonts w:hint="eastAsia" w:ascii="宋体" w:hAnsi="宋体" w:cs="宋体"/>
          <w:bCs/>
          <w:sz w:val="24"/>
          <w:szCs w:val="24"/>
        </w:rPr>
      </w:pPr>
      <w:bookmarkStart w:id="29" w:name="_Toc28359093"/>
      <w:bookmarkStart w:id="30" w:name="_Toc28359016"/>
      <w:bookmarkStart w:id="31" w:name="_Toc35393633"/>
      <w:bookmarkStart w:id="32" w:name="_Toc35393802"/>
      <w:bookmarkStart w:id="33" w:name="_Toc44229882"/>
      <w:r>
        <w:rPr>
          <w:rFonts w:hint="eastAsia" w:ascii="宋体" w:hAnsi="宋体" w:cs="宋体"/>
          <w:bCs/>
          <w:sz w:val="24"/>
          <w:szCs w:val="24"/>
        </w:rPr>
        <w:t>提交投标文件截止时间：2022年11月4日09时30分（北京时间）</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投标地点(网址）：政府采购云平台</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开标时间：2022年11月4日09时30分（北京时间）</w:t>
      </w:r>
    </w:p>
    <w:p>
      <w:pPr>
        <w:pageBreakBefore w:val="0"/>
        <w:kinsoku/>
        <w:wordWrap/>
        <w:overflowPunct/>
        <w:topLinePunct w:val="0"/>
        <w:autoSpaceDE/>
        <w:autoSpaceDN/>
        <w:bidi w:val="0"/>
        <w:adjustRightInd/>
        <w:spacing w:line="440" w:lineRule="exact"/>
        <w:ind w:firstLine="480" w:firstLineChars="200"/>
        <w:rPr>
          <w:rFonts w:hint="default" w:ascii="宋体" w:hAnsi="宋体" w:eastAsia="宋体" w:cs="宋体"/>
          <w:bCs/>
          <w:color w:val="000000"/>
          <w:sz w:val="24"/>
          <w:szCs w:val="24"/>
          <w:highlight w:val="none"/>
          <w:u w:val="none"/>
          <w:lang w:val="en-US"/>
        </w:rPr>
      </w:pPr>
      <w:r>
        <w:rPr>
          <w:rFonts w:hint="eastAsia" w:ascii="宋体" w:hAnsi="宋体" w:cs="宋体"/>
          <w:bCs/>
          <w:sz w:val="24"/>
          <w:szCs w:val="24"/>
        </w:rPr>
        <w:t>开标地点：开标室</w:t>
      </w:r>
      <w:r>
        <w:rPr>
          <w:rFonts w:hint="eastAsia" w:ascii="宋体" w:hAnsi="宋体" w:cs="宋体"/>
          <w:bCs/>
          <w:sz w:val="24"/>
          <w:szCs w:val="24"/>
          <w:lang w:val="en-US" w:eastAsia="zh-CN"/>
        </w:rPr>
        <w:t xml:space="preserve">  </w:t>
      </w:r>
      <w:r>
        <w:rPr>
          <w:rFonts w:hint="eastAsia" w:ascii="宋体" w:hAnsi="宋体" w:cs="宋体"/>
          <w:bCs/>
          <w:sz w:val="24"/>
          <w:szCs w:val="24"/>
        </w:rPr>
        <w:t>政府采购开标室</w:t>
      </w:r>
      <w:r>
        <w:rPr>
          <w:rFonts w:hint="eastAsia" w:ascii="宋体" w:hAnsi="宋体" w:cs="宋体"/>
          <w:bCs/>
          <w:sz w:val="24"/>
          <w:szCs w:val="24"/>
          <w:lang w:val="en-US" w:eastAsia="zh-CN"/>
        </w:rPr>
        <w:t xml:space="preserve">  </w:t>
      </w:r>
    </w:p>
    <w:bookmarkEnd w:id="29"/>
    <w:bookmarkEnd w:id="30"/>
    <w:bookmarkEnd w:id="31"/>
    <w:bookmarkEnd w:id="32"/>
    <w:bookmarkEnd w:id="33"/>
    <w:p>
      <w:pPr>
        <w:keepNext/>
        <w:keepLines/>
        <w:pageBreakBefore w:val="0"/>
        <w:kinsoku/>
        <w:wordWrap/>
        <w:overflowPunct/>
        <w:topLinePunct w:val="0"/>
        <w:autoSpaceDE/>
        <w:autoSpaceDN/>
        <w:bidi w:val="0"/>
        <w:adjustRightInd/>
        <w:spacing w:line="440" w:lineRule="exact"/>
        <w:outlineLvl w:val="1"/>
        <w:rPr>
          <w:rFonts w:hint="eastAsia" w:ascii="宋体" w:hAnsi="宋体" w:eastAsia="宋体" w:cs="宋体"/>
          <w:b/>
          <w:bCs/>
          <w:color w:val="000000"/>
          <w:sz w:val="24"/>
          <w:szCs w:val="24"/>
          <w:highlight w:val="none"/>
        </w:rPr>
      </w:pPr>
      <w:bookmarkStart w:id="34" w:name="_Toc35393625"/>
      <w:bookmarkStart w:id="35" w:name="_Toc2822"/>
      <w:bookmarkStart w:id="36" w:name="_Toc18646"/>
      <w:bookmarkStart w:id="37" w:name="_Toc20875"/>
      <w:bookmarkStart w:id="38" w:name="_Toc35393794"/>
      <w:bookmarkStart w:id="39" w:name="_Toc28359084"/>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、公告期限</w:t>
      </w:r>
      <w:bookmarkEnd w:id="34"/>
      <w:bookmarkEnd w:id="35"/>
      <w:bookmarkEnd w:id="36"/>
      <w:bookmarkEnd w:id="37"/>
      <w:bookmarkEnd w:id="38"/>
      <w:bookmarkEnd w:id="39"/>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自本公告发布之日起5个工作日。</w:t>
      </w:r>
    </w:p>
    <w:p>
      <w:pPr>
        <w:keepNext/>
        <w:keepLines/>
        <w:pageBreakBefore w:val="0"/>
        <w:numPr>
          <w:ilvl w:val="0"/>
          <w:numId w:val="0"/>
        </w:numPr>
        <w:kinsoku/>
        <w:wordWrap/>
        <w:overflowPunct/>
        <w:topLinePunct w:val="0"/>
        <w:autoSpaceDE/>
        <w:autoSpaceDN/>
        <w:bidi w:val="0"/>
        <w:adjustRightInd/>
        <w:spacing w:line="440" w:lineRule="exact"/>
        <w:outlineLvl w:val="1"/>
        <w:rPr>
          <w:rFonts w:hint="eastAsia" w:ascii="宋体" w:hAnsi="宋体" w:eastAsia="宋体" w:cs="宋体"/>
          <w:b/>
          <w:bCs/>
          <w:color w:val="000000"/>
          <w:sz w:val="24"/>
          <w:szCs w:val="24"/>
          <w:highlight w:val="none"/>
        </w:rPr>
      </w:pPr>
      <w:bookmarkStart w:id="40" w:name="_Toc35393795"/>
      <w:bookmarkStart w:id="41" w:name="_Toc17266"/>
      <w:bookmarkStart w:id="42" w:name="_Toc24757"/>
      <w:bookmarkStart w:id="43" w:name="_Toc12653"/>
      <w:r>
        <w:rPr>
          <w:rFonts w:hint="eastAsia" w:ascii="宋体" w:hAnsi="宋体" w:eastAsia="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rPr>
        <w:t>其他补充事宜</w:t>
      </w:r>
      <w:bookmarkEnd w:id="40"/>
      <w:r>
        <w:rPr>
          <w:rFonts w:hint="eastAsia" w:ascii="宋体" w:hAnsi="宋体" w:eastAsia="宋体" w:cs="宋体"/>
          <w:b/>
          <w:bCs/>
          <w:color w:val="000000"/>
          <w:sz w:val="24"/>
          <w:szCs w:val="24"/>
          <w:highlight w:val="none"/>
        </w:rPr>
        <w:t>：</w:t>
      </w:r>
      <w:bookmarkEnd w:id="41"/>
      <w:bookmarkEnd w:id="42"/>
      <w:bookmarkEnd w:id="43"/>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2.对在“信用中国”网站、中国政府采购网等渠道列入失信被执行人、重大税收违法案件当事人名单、政府采购严重违法失信行为记录名单，不得参与政府采购活动。</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3.网上查询地址</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中国政府采购网、广西壮族自治区政府采购网、全国公共资源交易平台（广西·防城港）。</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4.本项目需要落实的政府采购政策</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（1）政府采购促进中小企业发展；（2）政府采购支持采用本国产品的政策；（3）强制采购节能产品；优先采购节能产品、环境标志产品；（4）政府采购促进残疾人就业政策；（5）政府采购支持监狱企业发展。</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5.在线投标响应（电子投标）说明</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5.1.本项目通过政采云平台实行在线投标响应（电子投标），供应商需要先安装“政采云电子交易客户端”，并按照本竞争性投标文件和政采云平台的要求，通过“政采云电子交易客户端”编制并加密电子响应文件。供应商未按规定编制并加密的电子响应文件，政采云平台将予以拒收。</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5.2“政采云电子交易客户端”请自行前往广西政府采购网下载并安装；电子投标具体操作流程参考《政府采购项目电子交易管理操作指南-供应商》；在使用政采云投标客户端时，建议使用WIN7及以上操作系统,通过政采云平台参与在线投标时如遇平台技术问题详询400-881-7190。</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5.3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供应商获取竞争性投标文件后立即办理。）</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5.4供应商应当在投标截止时间前，将生成的“电子响应文件”上传递交至政采云平台。投标截止时间前可以补充、修改或者撤回电子响应文件。补充或者修改电子响应文件的，应当先行撤回原文件，补充、修改后重新传输递交，投标截止时间前未完成传输的，视为撤回电子响应文件。</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通过“政采云平台”上传递交的“电子加密投标文件”无法按时解密的，代理机构向采购监督部门备案后，供应商可以在接到通知后30分钟内以电子邮件或者其他方式提交电子备份响应文件。供应商按时递交了电子备份响应文件的，以电子备份响应文件为依据，否则视为撤回响应文件。（注：能够处理异常解密、递交电子备份文件的前提，是供应商已上传了标书且未能按时正常解密标书；系统生成标书时，生成两份，一份是投标用的标书，一份是备份标书；提供的备份标书要跟上传的电子标书是同一份，否则系统不支持其进行异常解密）。</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6.监督部门：上思县政府采购中心</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电话：0770-8521708。</w:t>
      </w:r>
    </w:p>
    <w:p>
      <w:pPr>
        <w:keepNext/>
        <w:keepLines/>
        <w:pageBreakBefore w:val="0"/>
        <w:numPr>
          <w:ilvl w:val="0"/>
          <w:numId w:val="0"/>
        </w:numPr>
        <w:kinsoku/>
        <w:wordWrap/>
        <w:overflowPunct/>
        <w:topLinePunct w:val="0"/>
        <w:autoSpaceDE/>
        <w:autoSpaceDN/>
        <w:bidi w:val="0"/>
        <w:adjustRightInd/>
        <w:spacing w:line="440" w:lineRule="exact"/>
        <w:outlineLvl w:val="1"/>
        <w:rPr>
          <w:rFonts w:hint="eastAsia" w:ascii="宋体" w:hAnsi="宋体" w:eastAsia="宋体" w:cs="宋体"/>
          <w:b/>
          <w:bCs/>
          <w:color w:val="000000"/>
          <w:sz w:val="24"/>
          <w:szCs w:val="24"/>
          <w:highlight w:val="none"/>
        </w:rPr>
      </w:pPr>
      <w:bookmarkStart w:id="44" w:name="_Toc28359008"/>
      <w:bookmarkStart w:id="45" w:name="_Toc22824"/>
      <w:bookmarkStart w:id="46" w:name="_Toc9173"/>
      <w:bookmarkStart w:id="47" w:name="_Toc35393627"/>
      <w:bookmarkStart w:id="48" w:name="_Toc28359085"/>
      <w:bookmarkStart w:id="49" w:name="_Toc8317"/>
      <w:r>
        <w:rPr>
          <w:rFonts w:hint="eastAsia" w:ascii="宋体" w:hAnsi="宋体" w:eastAsia="宋体" w:cs="宋体"/>
          <w:b/>
          <w:bCs/>
          <w:color w:val="000000"/>
          <w:sz w:val="24"/>
          <w:szCs w:val="24"/>
          <w:highlight w:val="none"/>
          <w:lang w:val="en-US" w:eastAsia="zh-CN"/>
        </w:rPr>
        <w:t>七、对本次招</w:t>
      </w:r>
      <w:r>
        <w:rPr>
          <w:rFonts w:hint="eastAsia" w:ascii="宋体" w:hAnsi="宋体" w:eastAsia="宋体" w:cs="宋体"/>
          <w:b/>
          <w:bCs/>
          <w:color w:val="000000"/>
          <w:sz w:val="24"/>
          <w:szCs w:val="24"/>
          <w:highlight w:val="none"/>
        </w:rPr>
        <w:t>标提出询问，请按以下方式联系。</w:t>
      </w:r>
      <w:bookmarkEnd w:id="44"/>
      <w:bookmarkEnd w:id="45"/>
      <w:bookmarkEnd w:id="46"/>
      <w:bookmarkEnd w:id="47"/>
      <w:bookmarkEnd w:id="48"/>
      <w:bookmarkEnd w:id="49"/>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1.招标人信息</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名    称：上思县农业农村局</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    址：上思县思阳镇仁甫路</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联系方式：黄海峰，0770-8509018</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2.招标代理机构信息</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名    称：广西国兴项目管理有限公司</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　　址：防城港市防城区三中苑（三中旁）2栋903室</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联系方式：</w:t>
      </w:r>
      <w:r>
        <w:rPr>
          <w:rFonts w:hint="eastAsia" w:ascii="宋体" w:hAnsi="宋体" w:eastAsia="宋体" w:cs="宋体"/>
          <w:sz w:val="24"/>
          <w:szCs w:val="24"/>
        </w:rPr>
        <w:t>0770-3260944</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3.项目联系方式</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项目联系人：蒋世斌</w:t>
      </w:r>
    </w:p>
    <w:p>
      <w:pPr>
        <w:pageBreakBefore w:val="0"/>
        <w:kinsoku/>
        <w:wordWrap/>
        <w:overflowPunct/>
        <w:topLinePunct w:val="0"/>
        <w:autoSpaceDE/>
        <w:autoSpaceDN/>
        <w:bidi w:val="0"/>
        <w:adjustRightInd/>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　　话：</w:t>
      </w:r>
      <w:r>
        <w:rPr>
          <w:rFonts w:hint="eastAsia" w:ascii="宋体" w:hAnsi="宋体" w:eastAsia="宋体" w:cs="宋体"/>
          <w:sz w:val="24"/>
          <w:szCs w:val="24"/>
        </w:rPr>
        <w:t>0770-3260944</w:t>
      </w:r>
    </w:p>
    <w:p>
      <w:pPr>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采购人：上思县农业农村局</w:t>
      </w:r>
    </w:p>
    <w:p>
      <w:pPr>
        <w:pageBreakBefore w:val="0"/>
        <w:kinsoku/>
        <w:wordWrap/>
        <w:overflowPunct/>
        <w:topLinePunct w:val="0"/>
        <w:autoSpaceDE/>
        <w:autoSpaceDN/>
        <w:bidi w:val="0"/>
        <w:adjustRightInd/>
        <w:snapToGrid w:val="0"/>
        <w:spacing w:line="440" w:lineRule="exact"/>
        <w:jc w:val="righ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招标代理机构：广西国兴项目管理有限公司</w:t>
      </w:r>
    </w:p>
    <w:p>
      <w:pPr>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4"/>
          <w:szCs w:val="24"/>
          <w:highlight w:val="none"/>
          <w:lang w:val="en-US" w:eastAsia="zh-CN"/>
        </w:rPr>
        <w:t xml:space="preserve">                                           日  期：</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日</w:t>
      </w:r>
    </w:p>
    <w:p>
      <w:pPr>
        <w:rPr>
          <w:rFonts w:hint="eastAsia" w:cs="黑体"/>
        </w:rPr>
      </w:pPr>
      <w:bookmarkStart w:id="50" w:name="_Toc24786"/>
      <w:bookmarkStart w:id="51" w:name="_Toc407135075"/>
      <w:bookmarkStart w:id="52" w:name="_Toc389065143"/>
      <w:r>
        <w:rPr>
          <w:rFonts w:hint="eastAsia" w:cs="黑体"/>
        </w:rPr>
        <w:br w:type="page"/>
      </w:r>
    </w:p>
    <w:p>
      <w:pPr>
        <w:pStyle w:val="3"/>
        <w:jc w:val="center"/>
      </w:pPr>
      <w:r>
        <w:rPr>
          <w:rFonts w:hint="eastAsia" w:cs="黑体"/>
        </w:rPr>
        <w:t>第二章</w:t>
      </w:r>
      <w:r>
        <w:t xml:space="preserve">  </w:t>
      </w:r>
      <w:r>
        <w:rPr>
          <w:rFonts w:hint="eastAsia" w:cs="黑体"/>
        </w:rPr>
        <w:t>投标人须知</w:t>
      </w:r>
      <w:bookmarkEnd w:id="50"/>
    </w:p>
    <w:p>
      <w:pPr>
        <w:pStyle w:val="3"/>
        <w:jc w:val="center"/>
      </w:pPr>
      <w:bookmarkStart w:id="53" w:name="_Toc14888"/>
      <w:r>
        <w:rPr>
          <w:rFonts w:hint="eastAsia" w:cs="黑体"/>
        </w:rPr>
        <w:t>投标人须知前附表</w:t>
      </w:r>
      <w:bookmarkEnd w:id="51"/>
      <w:bookmarkEnd w:id="52"/>
      <w:bookmarkEnd w:id="53"/>
    </w:p>
    <w:tbl>
      <w:tblPr>
        <w:tblStyle w:val="39"/>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478"/>
        <w:gridCol w:w="3048"/>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97" w:type="dxa"/>
            <w:shd w:val="clear" w:color="auto" w:fill="E6E6E6"/>
            <w:noWrap w:val="0"/>
            <w:vAlign w:val="center"/>
          </w:tcPr>
          <w:p>
            <w:pPr>
              <w:spacing w:line="360" w:lineRule="auto"/>
              <w:jc w:val="center"/>
              <w:rPr>
                <w:rFonts w:hint="eastAsia" w:ascii="宋体" w:hAnsi="宋体" w:eastAsia="宋体" w:cs="宋体"/>
                <w:b/>
                <w:bCs/>
              </w:rPr>
            </w:pPr>
            <w:r>
              <w:rPr>
                <w:rFonts w:hint="eastAsia" w:ascii="宋体" w:hAnsi="宋体" w:eastAsia="宋体" w:cs="宋体"/>
                <w:b/>
                <w:bCs/>
              </w:rPr>
              <w:t>条款号</w:t>
            </w:r>
          </w:p>
        </w:tc>
        <w:tc>
          <w:tcPr>
            <w:tcW w:w="2478" w:type="dxa"/>
            <w:shd w:val="clear" w:color="auto" w:fill="E6E6E6"/>
            <w:noWrap w:val="0"/>
            <w:vAlign w:val="center"/>
          </w:tcPr>
          <w:p>
            <w:pPr>
              <w:spacing w:line="360" w:lineRule="auto"/>
              <w:jc w:val="center"/>
              <w:rPr>
                <w:rFonts w:hint="eastAsia" w:ascii="宋体" w:hAnsi="宋体" w:eastAsia="宋体" w:cs="宋体"/>
                <w:b/>
                <w:bCs/>
              </w:rPr>
            </w:pPr>
            <w:r>
              <w:rPr>
                <w:rFonts w:hint="eastAsia" w:ascii="宋体" w:hAnsi="宋体" w:eastAsia="宋体" w:cs="宋体"/>
                <w:b/>
                <w:bCs/>
              </w:rPr>
              <w:t>条  款  名  称</w:t>
            </w:r>
          </w:p>
        </w:tc>
        <w:tc>
          <w:tcPr>
            <w:tcW w:w="6092" w:type="dxa"/>
            <w:gridSpan w:val="2"/>
            <w:shd w:val="clear" w:color="auto" w:fill="E6E6E6"/>
            <w:noWrap w:val="0"/>
            <w:vAlign w:val="center"/>
          </w:tcPr>
          <w:p>
            <w:pPr>
              <w:spacing w:line="360" w:lineRule="auto"/>
              <w:jc w:val="center"/>
              <w:rPr>
                <w:rFonts w:hint="eastAsia" w:ascii="宋体" w:hAnsi="宋体" w:eastAsia="宋体" w:cs="宋体"/>
                <w:b/>
                <w:bCs/>
              </w:rPr>
            </w:pPr>
            <w:r>
              <w:rPr>
                <w:rFonts w:hint="eastAsia" w:ascii="宋体" w:hAnsi="宋体" w:eastAsia="宋体" w:cs="宋体"/>
                <w:b/>
                <w:bCs/>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1.1.2</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招标人</w:t>
            </w:r>
          </w:p>
        </w:tc>
        <w:tc>
          <w:tcPr>
            <w:tcW w:w="6092" w:type="dxa"/>
            <w:gridSpan w:val="2"/>
            <w:noWrap w:val="0"/>
            <w:vAlign w:val="center"/>
          </w:tcPr>
          <w:p>
            <w:pPr>
              <w:spacing w:line="360" w:lineRule="auto"/>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上思县农业农村局</w:t>
            </w:r>
          </w:p>
          <w:p>
            <w:pPr>
              <w:spacing w:line="360" w:lineRule="auto"/>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eastAsia="zh-CN"/>
              </w:rPr>
              <w:t>上思县思阳镇仁甫路</w:t>
            </w:r>
          </w:p>
          <w:p>
            <w:pPr>
              <w:spacing w:line="360" w:lineRule="auto"/>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黄海峰</w:t>
            </w:r>
          </w:p>
          <w:p>
            <w:pPr>
              <w:spacing w:line="360" w:lineRule="auto"/>
              <w:rPr>
                <w:rFonts w:hint="eastAsia" w:ascii="宋体" w:hAnsi="宋体" w:eastAsia="宋体" w:cs="宋体"/>
                <w:lang w:eastAsia="zh-CN"/>
              </w:rPr>
            </w:pPr>
            <w:r>
              <w:rPr>
                <w:rFonts w:hint="eastAsia" w:ascii="宋体" w:hAnsi="宋体" w:eastAsia="宋体" w:cs="宋体"/>
              </w:rPr>
              <w:t>电话：</w:t>
            </w:r>
            <w:r>
              <w:rPr>
                <w:rFonts w:hint="eastAsia" w:ascii="宋体" w:hAnsi="宋体" w:eastAsia="宋体" w:cs="宋体"/>
                <w:lang w:eastAsia="zh-CN"/>
              </w:rPr>
              <w:t>0770-8509018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1.1.3</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招标代理机构</w:t>
            </w:r>
          </w:p>
        </w:tc>
        <w:tc>
          <w:tcPr>
            <w:tcW w:w="6092" w:type="dxa"/>
            <w:gridSpan w:val="2"/>
            <w:noWrap w:val="0"/>
            <w:vAlign w:val="center"/>
          </w:tcPr>
          <w:p>
            <w:pPr>
              <w:spacing w:line="360" w:lineRule="auto"/>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广西国兴项目管理有限公司</w:t>
            </w:r>
          </w:p>
          <w:p>
            <w:pPr>
              <w:spacing w:line="360" w:lineRule="auto"/>
              <w:rPr>
                <w:rFonts w:hint="eastAsia" w:ascii="宋体" w:hAnsi="宋体" w:eastAsia="宋体" w:cs="宋体"/>
                <w:lang w:eastAsia="zh-CN"/>
              </w:rPr>
            </w:pPr>
            <w:r>
              <w:rPr>
                <w:rFonts w:hint="eastAsia" w:ascii="宋体" w:hAnsi="宋体" w:eastAsia="宋体" w:cs="宋体"/>
              </w:rPr>
              <w:t>地址：防城港市防城区三中苑（三中旁）2栋903室</w:t>
            </w:r>
          </w:p>
          <w:p>
            <w:pPr>
              <w:spacing w:line="360" w:lineRule="auto"/>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蒋世斌</w:t>
            </w:r>
          </w:p>
          <w:p>
            <w:pPr>
              <w:spacing w:line="360" w:lineRule="auto"/>
              <w:rPr>
                <w:rFonts w:hint="eastAsia" w:ascii="宋体" w:hAnsi="宋体" w:eastAsia="宋体" w:cs="宋体"/>
                <w:lang w:eastAsia="zh-CN"/>
              </w:rPr>
            </w:pPr>
            <w:r>
              <w:rPr>
                <w:rFonts w:hint="eastAsia" w:ascii="宋体" w:hAnsi="宋体" w:eastAsia="宋体" w:cs="宋体"/>
              </w:rPr>
              <w:t>电话：0770-3260944</w:t>
            </w:r>
          </w:p>
          <w:p>
            <w:pPr>
              <w:spacing w:line="360" w:lineRule="auto"/>
              <w:rPr>
                <w:rFonts w:hint="eastAsia" w:ascii="宋体" w:hAnsi="宋体" w:eastAsia="宋体" w:cs="宋体"/>
                <w:lang w:eastAsia="zh-CN"/>
              </w:rPr>
            </w:pPr>
            <w:r>
              <w:rPr>
                <w:rFonts w:hint="eastAsia" w:ascii="宋体" w:hAnsi="宋体" w:eastAsia="宋体" w:cs="宋体"/>
              </w:rPr>
              <w:t>电子邮箱：</w:t>
            </w:r>
            <w:r>
              <w:rPr>
                <w:rFonts w:hint="eastAsia" w:ascii="宋体" w:hAnsi="宋体" w:eastAsia="宋体" w:cs="宋体"/>
                <w:lang w:val="en-US" w:eastAsia="zh-CN"/>
              </w:rPr>
              <w:t>gxfcgv</w:t>
            </w:r>
            <w:r>
              <w:rPr>
                <w:rFonts w:hint="eastAsia" w:ascii="宋体" w:hAnsi="宋体" w:eastAsia="宋体" w:cs="宋体"/>
                <w:lang w:eastAsia="zh-CN"/>
              </w:rPr>
              <w:t>@1</w:t>
            </w:r>
            <w:r>
              <w:rPr>
                <w:rFonts w:hint="eastAsia" w:ascii="宋体" w:hAnsi="宋体" w:eastAsia="宋体" w:cs="宋体"/>
                <w:lang w:val="en-US" w:eastAsia="zh-CN"/>
              </w:rPr>
              <w:t>63</w:t>
            </w:r>
            <w:r>
              <w:rPr>
                <w:rFonts w:hint="eastAsia" w:ascii="宋体" w:hAnsi="宋体" w:eastAsia="宋体" w:cs="宋体"/>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1.1.4</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项目名称及项目编号</w:t>
            </w:r>
          </w:p>
        </w:tc>
        <w:tc>
          <w:tcPr>
            <w:tcW w:w="6092" w:type="dxa"/>
            <w:gridSpan w:val="2"/>
            <w:noWrap w:val="0"/>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项目名称：</w:t>
            </w:r>
            <w:r>
              <w:rPr>
                <w:rFonts w:hint="eastAsia" w:ascii="宋体" w:hAnsi="宋体" w:cs="宋体"/>
                <w:sz w:val="21"/>
                <w:szCs w:val="21"/>
                <w:lang w:eastAsia="zh-CN"/>
              </w:rPr>
              <w:t>2022年上思县高标准农田建设项目（那明村、平福村、伟华村片区）</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w:t>
            </w:r>
            <w:r>
              <w:rPr>
                <w:rFonts w:hint="eastAsia" w:ascii="宋体" w:hAnsi="宋体" w:cs="宋体"/>
                <w:color w:val="000000"/>
                <w:sz w:val="21"/>
                <w:szCs w:val="21"/>
                <w:highlight w:val="none"/>
                <w:lang w:eastAsia="zh-CN"/>
              </w:rPr>
              <w:t>FCZC2022-G2-40008-GXGX</w:t>
            </w:r>
          </w:p>
          <w:p>
            <w:pPr>
              <w:spacing w:line="360" w:lineRule="auto"/>
              <w:rPr>
                <w:rFonts w:hint="eastAsia" w:ascii="宋体" w:hAnsi="宋体" w:eastAsia="宋体" w:cs="宋体"/>
                <w:lang w:eastAsia="zh-CN"/>
              </w:rPr>
            </w:pPr>
            <w:r>
              <w:rPr>
                <w:rFonts w:hint="eastAsia" w:ascii="宋体" w:hAnsi="宋体" w:eastAsia="宋体" w:cs="宋体"/>
                <w:color w:val="000000"/>
                <w:sz w:val="21"/>
                <w:szCs w:val="21"/>
                <w:highlight w:val="none"/>
                <w:lang w:val="en-US" w:eastAsia="zh-CN"/>
              </w:rPr>
              <w:t>项目招标编号：</w:t>
            </w:r>
            <w:r>
              <w:rPr>
                <w:rFonts w:hint="eastAsia" w:ascii="宋体" w:hAnsi="宋体" w:eastAsia="宋体" w:cs="宋体"/>
                <w:lang w:eastAsia="zh-CN"/>
              </w:rPr>
              <w:t>FCZC2022-G2-40008-GXGX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1.1.5</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建设地点</w:t>
            </w:r>
          </w:p>
        </w:tc>
        <w:tc>
          <w:tcPr>
            <w:tcW w:w="6092" w:type="dxa"/>
            <w:gridSpan w:val="2"/>
            <w:noWrap w:val="0"/>
            <w:vAlign w:val="center"/>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1.2.1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资金来源</w:t>
            </w:r>
          </w:p>
        </w:tc>
        <w:tc>
          <w:tcPr>
            <w:tcW w:w="6092" w:type="dxa"/>
            <w:gridSpan w:val="2"/>
            <w:noWrap w:val="0"/>
            <w:vAlign w:val="center"/>
          </w:tcPr>
          <w:p>
            <w:pPr>
              <w:spacing w:line="400" w:lineRule="exact"/>
              <w:rPr>
                <w:rFonts w:hint="eastAsia" w:ascii="宋体" w:hAnsi="宋体" w:eastAsia="宋体" w:cs="宋体"/>
              </w:rPr>
            </w:pPr>
            <w:r>
              <w:rPr>
                <w:rFonts w:hint="eastAsia" w:ascii="宋体" w:hAnsi="宋体" w:eastAsia="宋体" w:cs="宋体"/>
                <w:lang w:val="en-US" w:eastAsia="zh-CN"/>
              </w:rPr>
              <w:t>上级</w:t>
            </w:r>
            <w:r>
              <w:rPr>
                <w:rFonts w:hint="eastAsia" w:ascii="宋体" w:hAnsi="宋体" w:eastAsia="宋体" w:cs="宋体"/>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1.2.2</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出资比例</w:t>
            </w:r>
          </w:p>
        </w:tc>
        <w:tc>
          <w:tcPr>
            <w:tcW w:w="6092" w:type="dxa"/>
            <w:gridSpan w:val="2"/>
            <w:noWrap w:val="0"/>
            <w:vAlign w:val="center"/>
          </w:tcPr>
          <w:p>
            <w:pPr>
              <w:spacing w:line="400" w:lineRule="exact"/>
              <w:rPr>
                <w:rFonts w:hint="eastAsia" w:ascii="宋体" w:hAnsi="宋体" w:eastAsia="宋体" w:cs="宋体"/>
              </w:rPr>
            </w:pPr>
            <w:r>
              <w:rPr>
                <w:rFonts w:hint="eastAsia" w:ascii="宋体" w:hAnsi="宋体" w:eastAsia="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1.2.3</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资金落实情况</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1.2.4</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本工程增值税计税方法</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 xml:space="preserve">一般计税法         </w:t>
            </w:r>
            <w:r>
              <w:rPr>
                <w:rFonts w:hint="eastAsia" w:ascii="宋体" w:hAnsi="宋体" w:eastAsia="宋体" w:cs="宋体"/>
                <w:lang w:eastAsia="zh-CN"/>
              </w:rPr>
              <w:t>☑</w:t>
            </w:r>
            <w:r>
              <w:rPr>
                <w:rFonts w:hint="eastAsia" w:ascii="宋体" w:hAnsi="宋体" w:eastAsia="宋体" w:cs="宋体"/>
              </w:rPr>
              <w:t>简易计税法</w:t>
            </w:r>
          </w:p>
          <w:p>
            <w:pPr>
              <w:spacing w:line="360" w:lineRule="auto"/>
              <w:rPr>
                <w:rFonts w:hint="eastAsia" w:ascii="宋体" w:hAnsi="宋体" w:eastAsia="宋体" w:cs="宋体"/>
              </w:rPr>
            </w:pPr>
            <w:r>
              <w:rPr>
                <w:rFonts w:hint="eastAsia" w:ascii="宋体" w:hAnsi="宋体" w:eastAsia="宋体" w:cs="宋体"/>
              </w:rPr>
              <w:t>【备注：根据《关于全面推开营业税改征增值税试点的通知》（财税〔2016〕36号）、《关于建筑服务等营改增试点政策的通知》（财税〔2017〕58号）文件规定选择】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97" w:type="dxa"/>
            <w:noWrap w:val="0"/>
            <w:vAlign w:val="top"/>
          </w:tcPr>
          <w:p>
            <w:pPr>
              <w:spacing w:line="360" w:lineRule="auto"/>
              <w:jc w:val="center"/>
              <w:rPr>
                <w:rFonts w:hint="eastAsia" w:ascii="宋体" w:hAnsi="宋体" w:eastAsia="宋体" w:cs="宋体"/>
              </w:rPr>
            </w:pPr>
            <w:r>
              <w:rPr>
                <w:rFonts w:hint="eastAsia" w:ascii="宋体" w:hAnsi="宋体" w:eastAsia="宋体" w:cs="宋体"/>
              </w:rPr>
              <w:t>1.3.1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招标范围</w:t>
            </w:r>
          </w:p>
        </w:tc>
        <w:tc>
          <w:tcPr>
            <w:tcW w:w="6092" w:type="dxa"/>
            <w:gridSpan w:val="2"/>
            <w:noWrap w:val="0"/>
            <w:vAlign w:val="top"/>
          </w:tcPr>
          <w:p>
            <w:pPr>
              <w:spacing w:line="360" w:lineRule="auto"/>
              <w:rPr>
                <w:rFonts w:hint="eastAsia" w:ascii="宋体" w:hAnsi="宋体" w:eastAsia="宋体" w:cs="宋体"/>
                <w:highlight w:val="none"/>
              </w:rPr>
            </w:pPr>
            <w:r>
              <w:rPr>
                <w:rFonts w:hint="eastAsia" w:ascii="宋体" w:hAnsi="宋体" w:eastAsia="宋体" w:cs="宋体"/>
                <w:color w:val="000000"/>
                <w:sz w:val="21"/>
                <w:szCs w:val="21"/>
                <w:highlight w:val="none"/>
                <w:lang w:eastAsia="zh-CN"/>
              </w:rPr>
              <w:t>同第</w:t>
            </w:r>
            <w:r>
              <w:rPr>
                <w:rFonts w:hint="eastAsia" w:ascii="宋体" w:hAnsi="宋体" w:eastAsia="宋体" w:cs="宋体"/>
                <w:color w:val="000000"/>
                <w:sz w:val="21"/>
                <w:szCs w:val="21"/>
                <w:highlight w:val="none"/>
                <w:lang w:val="en-US" w:eastAsia="zh-CN"/>
              </w:rPr>
              <w:t>一</w:t>
            </w:r>
            <w:r>
              <w:rPr>
                <w:rFonts w:hint="eastAsia" w:ascii="宋体" w:hAnsi="宋体" w:eastAsia="宋体" w:cs="宋体"/>
                <w:color w:val="000000"/>
                <w:sz w:val="21"/>
                <w:szCs w:val="21"/>
                <w:highlight w:val="none"/>
                <w:lang w:eastAsia="zh-CN"/>
              </w:rPr>
              <w:t>章</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招标公告”采购需求，</w:t>
            </w:r>
            <w:r>
              <w:rPr>
                <w:rFonts w:hint="eastAsia" w:ascii="宋体" w:hAnsi="宋体" w:eastAsia="宋体" w:cs="宋体"/>
                <w:color w:val="000000"/>
                <w:sz w:val="21"/>
                <w:szCs w:val="21"/>
                <w:highlight w:val="none"/>
                <w:u w:val="none"/>
              </w:rPr>
              <w:t>具体建设内容以经财政投资评审的</w:t>
            </w:r>
            <w:r>
              <w:rPr>
                <w:rFonts w:hint="eastAsia" w:ascii="宋体" w:hAnsi="宋体" w:eastAsia="宋体" w:cs="宋体"/>
                <w:color w:val="000000"/>
                <w:sz w:val="21"/>
                <w:szCs w:val="21"/>
                <w:highlight w:val="none"/>
                <w:u w:val="none"/>
                <w:lang w:val="en-US" w:eastAsia="zh-CN"/>
              </w:rPr>
              <w:t>招标</w:t>
            </w:r>
            <w:r>
              <w:rPr>
                <w:rFonts w:hint="eastAsia" w:ascii="宋体" w:hAnsi="宋体" w:eastAsia="宋体" w:cs="宋体"/>
                <w:color w:val="000000"/>
                <w:sz w:val="21"/>
                <w:szCs w:val="21"/>
                <w:highlight w:val="none"/>
                <w:u w:val="none"/>
              </w:rPr>
              <w:t>工程量清单为准，其施工技术标准详见</w:t>
            </w:r>
            <w:r>
              <w:rPr>
                <w:rFonts w:hint="eastAsia" w:ascii="宋体" w:hAnsi="宋体" w:eastAsia="宋体" w:cs="宋体"/>
                <w:color w:val="000000"/>
                <w:sz w:val="21"/>
                <w:szCs w:val="21"/>
                <w:highlight w:val="none"/>
                <w:u w:val="none"/>
                <w:lang w:val="en-US" w:eastAsia="zh-CN"/>
              </w:rPr>
              <w:t>设计</w:t>
            </w:r>
            <w:r>
              <w:rPr>
                <w:rFonts w:hint="eastAsia" w:ascii="宋体" w:hAnsi="宋体" w:eastAsia="宋体" w:cs="宋体"/>
                <w:color w:val="000000"/>
                <w:sz w:val="21"/>
                <w:szCs w:val="21"/>
                <w:highlight w:val="none"/>
                <w:u w:val="none"/>
              </w:rPr>
              <w:t>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1.3.2</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要求工期</w:t>
            </w:r>
          </w:p>
        </w:tc>
        <w:tc>
          <w:tcPr>
            <w:tcW w:w="6092" w:type="dxa"/>
            <w:gridSpan w:val="2"/>
            <w:noWrap w:val="0"/>
            <w:vAlign w:val="top"/>
          </w:tcPr>
          <w:p>
            <w:pPr>
              <w:spacing w:line="360" w:lineRule="auto"/>
              <w:rPr>
                <w:rFonts w:hint="eastAsia" w:ascii="宋体" w:hAnsi="宋体" w:eastAsia="宋体" w:cs="宋体"/>
                <w:highlight w:val="none"/>
                <w:lang w:eastAsia="zh-CN"/>
              </w:rPr>
            </w:pPr>
            <w:r>
              <w:rPr>
                <w:rFonts w:hint="eastAsia" w:ascii="宋体" w:hAnsi="宋体" w:eastAsia="宋体" w:cs="宋体"/>
                <w:highlight w:val="none"/>
              </w:rPr>
              <w:t>要求工期：</w:t>
            </w:r>
            <w:r>
              <w:rPr>
                <w:rFonts w:hint="eastAsia" w:ascii="宋体" w:hAnsi="宋体" w:eastAsia="宋体" w:cs="宋体"/>
                <w:highlight w:val="none"/>
                <w:u w:val="single"/>
                <w:lang w:val="en-US" w:eastAsia="zh-CN"/>
              </w:rPr>
              <w:t>180</w:t>
            </w:r>
            <w:r>
              <w:rPr>
                <w:rFonts w:hint="eastAsia" w:ascii="宋体" w:hAnsi="宋体" w:eastAsia="宋体" w:cs="宋体"/>
                <w:highlight w:val="none"/>
                <w:u w:val="single"/>
                <w:lang w:eastAsia="zh-CN"/>
              </w:rPr>
              <w:t>日历天</w:t>
            </w:r>
          </w:p>
          <w:p>
            <w:pPr>
              <w:spacing w:line="360" w:lineRule="auto"/>
              <w:rPr>
                <w:rFonts w:hint="eastAsia" w:ascii="宋体" w:hAnsi="宋体" w:eastAsia="宋体" w:cs="宋体"/>
                <w:highlight w:val="none"/>
              </w:rPr>
            </w:pPr>
            <w:r>
              <w:rPr>
                <w:rFonts w:hint="eastAsia" w:ascii="宋体" w:hAnsi="宋体" w:eastAsia="宋体" w:cs="宋体"/>
                <w:highlight w:val="none"/>
              </w:rPr>
              <w:t>计划开工日期：</w:t>
            </w:r>
            <w:r>
              <w:rPr>
                <w:rFonts w:hint="eastAsia" w:ascii="宋体" w:hAnsi="宋体" w:eastAsia="宋体" w:cs="宋体"/>
                <w:highlight w:val="none"/>
                <w:u w:val="single"/>
              </w:rPr>
              <w:t xml:space="preserve"> 202</w:t>
            </w:r>
            <w:r>
              <w:rPr>
                <w:rFonts w:hint="eastAsia" w:ascii="宋体" w:hAnsi="宋体" w:eastAsia="宋体" w:cs="宋体"/>
                <w:highlight w:val="none"/>
                <w:u w:val="single"/>
                <w:lang w:val="en-US" w:eastAsia="zh-CN"/>
              </w:rPr>
              <w:t>2</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日</w:t>
            </w:r>
            <w:r>
              <w:rPr>
                <w:rFonts w:hint="eastAsia" w:ascii="宋体" w:hAnsi="宋体" w:eastAsia="宋体" w:cs="宋体"/>
                <w:color w:val="000000"/>
                <w:sz w:val="21"/>
                <w:szCs w:val="21"/>
                <w:highlight w:val="none"/>
                <w:lang w:val="en-US" w:eastAsia="zh-CN"/>
              </w:rPr>
              <w:t>（实际以开工令为准）</w:t>
            </w:r>
          </w:p>
          <w:p>
            <w:pPr>
              <w:spacing w:line="360" w:lineRule="auto"/>
              <w:rPr>
                <w:rFonts w:hint="eastAsia" w:ascii="宋体" w:hAnsi="宋体" w:eastAsia="宋体" w:cs="宋体"/>
                <w:highlight w:val="none"/>
              </w:rPr>
            </w:pPr>
            <w:r>
              <w:rPr>
                <w:rFonts w:hint="eastAsia" w:ascii="宋体" w:hAnsi="宋体" w:eastAsia="宋体" w:cs="宋体"/>
                <w:highlight w:val="none"/>
              </w:rPr>
              <w:t>计划竣工日期：</w:t>
            </w:r>
            <w:r>
              <w:rPr>
                <w:rFonts w:hint="eastAsia" w:ascii="宋体" w:hAnsi="宋体" w:eastAsia="宋体" w:cs="宋体"/>
                <w:highlight w:val="none"/>
                <w:u w:val="single"/>
              </w:rPr>
              <w:t xml:space="preserve"> 202</w:t>
            </w:r>
            <w:r>
              <w:rPr>
                <w:rFonts w:hint="eastAsia" w:ascii="宋体" w:hAnsi="宋体" w:eastAsia="宋体" w:cs="宋体"/>
                <w:highlight w:val="none"/>
                <w:u w:val="single"/>
                <w:lang w:val="en-US" w:eastAsia="zh-CN"/>
              </w:rPr>
              <w:t>2</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spacing w:line="360" w:lineRule="auto"/>
              <w:rPr>
                <w:rFonts w:hint="eastAsia" w:ascii="宋体" w:hAnsi="宋体" w:eastAsia="宋体" w:cs="宋体"/>
                <w:highlight w:val="none"/>
              </w:rPr>
            </w:pPr>
            <w:r>
              <w:rPr>
                <w:rFonts w:hint="eastAsia" w:ascii="宋体" w:hAnsi="宋体" w:eastAsia="宋体" w:cs="宋体"/>
                <w:highlight w:val="none"/>
              </w:rPr>
              <w:t>有关工期的详细要求见第八章“技术标准和要求”。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97" w:type="dxa"/>
            <w:noWrap w:val="0"/>
            <w:vAlign w:val="top"/>
          </w:tcPr>
          <w:p>
            <w:pPr>
              <w:spacing w:line="360" w:lineRule="auto"/>
              <w:jc w:val="center"/>
              <w:rPr>
                <w:rFonts w:hint="eastAsia" w:ascii="宋体" w:hAnsi="宋体" w:eastAsia="宋体" w:cs="宋体"/>
              </w:rPr>
            </w:pPr>
            <w:r>
              <w:rPr>
                <w:rFonts w:hint="eastAsia" w:ascii="宋体" w:hAnsi="宋体" w:eastAsia="宋体" w:cs="宋体"/>
              </w:rPr>
              <w:t>1.3.3</w:t>
            </w:r>
          </w:p>
        </w:tc>
        <w:tc>
          <w:tcPr>
            <w:tcW w:w="2478" w:type="dxa"/>
            <w:noWrap w:val="0"/>
            <w:vAlign w:val="top"/>
          </w:tcPr>
          <w:p>
            <w:pPr>
              <w:spacing w:line="360" w:lineRule="auto"/>
              <w:jc w:val="center"/>
              <w:rPr>
                <w:rFonts w:hint="eastAsia" w:ascii="宋体" w:hAnsi="宋体" w:eastAsia="宋体" w:cs="宋体"/>
              </w:rPr>
            </w:pPr>
            <w:r>
              <w:rPr>
                <w:rFonts w:hint="eastAsia" w:ascii="宋体" w:hAnsi="宋体" w:eastAsia="宋体" w:cs="宋体"/>
              </w:rPr>
              <w:t>质量要求</w:t>
            </w:r>
          </w:p>
        </w:tc>
        <w:tc>
          <w:tcPr>
            <w:tcW w:w="6092" w:type="dxa"/>
            <w:gridSpan w:val="2"/>
            <w:noWrap w:val="0"/>
            <w:vAlign w:val="top"/>
          </w:tcPr>
          <w:p>
            <w:pPr>
              <w:spacing w:line="360" w:lineRule="auto"/>
              <w:rPr>
                <w:rFonts w:hint="eastAsia" w:ascii="宋体" w:hAnsi="宋体" w:eastAsia="宋体" w:cs="宋体"/>
              </w:rPr>
            </w:pPr>
            <w:r>
              <w:rPr>
                <w:rFonts w:hint="eastAsia" w:ascii="宋体" w:hAnsi="宋体" w:eastAsia="宋体" w:cs="宋体"/>
              </w:rPr>
              <w:t>质量标准：</w:t>
            </w: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1.4.1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投标人资质条件、能力、诚信要求</w:t>
            </w:r>
          </w:p>
        </w:tc>
        <w:tc>
          <w:tcPr>
            <w:tcW w:w="6092" w:type="dxa"/>
            <w:gridSpan w:val="2"/>
            <w:noWrap w:val="0"/>
            <w:vAlign w:val="top"/>
          </w:tcPr>
          <w:p>
            <w:pPr>
              <w:spacing w:line="360" w:lineRule="auto"/>
              <w:rPr>
                <w:rFonts w:hint="eastAsia" w:ascii="宋体" w:hAnsi="宋体" w:eastAsia="宋体" w:cs="宋体"/>
                <w:b/>
                <w:bCs/>
              </w:rPr>
            </w:pPr>
            <w:r>
              <w:rPr>
                <w:rFonts w:hint="eastAsia" w:ascii="宋体" w:hAnsi="宋体" w:eastAsia="宋体" w:cs="宋体"/>
              </w:rPr>
              <w:t>（1）投标人资质要求：具备</w:t>
            </w:r>
            <w:r>
              <w:rPr>
                <w:rFonts w:hint="eastAsia" w:ascii="宋体" w:hAnsi="宋体" w:eastAsia="宋体" w:cs="宋体"/>
                <w:b/>
                <w:bCs/>
              </w:rPr>
              <w:t>水利水电工程或市政公用工程施工</w:t>
            </w:r>
          </w:p>
          <w:p>
            <w:pPr>
              <w:spacing w:line="360" w:lineRule="auto"/>
              <w:rPr>
                <w:rFonts w:hint="eastAsia" w:ascii="宋体" w:hAnsi="宋体" w:eastAsia="宋体" w:cs="宋体"/>
              </w:rPr>
            </w:pPr>
            <w:r>
              <w:rPr>
                <w:rFonts w:hint="eastAsia" w:ascii="宋体" w:hAnsi="宋体" w:eastAsia="宋体" w:cs="宋体"/>
                <w:b/>
                <w:bCs/>
              </w:rPr>
              <w:t>总承包叁级或叁级以上资质</w:t>
            </w:r>
            <w:r>
              <w:rPr>
                <w:rFonts w:hint="eastAsia" w:ascii="宋体" w:hAnsi="宋体" w:eastAsia="宋体" w:cs="宋体"/>
              </w:rPr>
              <w:t>，并在人员、设备、资金等方面具备</w:t>
            </w:r>
          </w:p>
          <w:p>
            <w:pPr>
              <w:spacing w:line="360" w:lineRule="auto"/>
              <w:rPr>
                <w:rFonts w:hint="eastAsia" w:ascii="宋体" w:hAnsi="宋体" w:eastAsia="宋体" w:cs="宋体"/>
              </w:rPr>
            </w:pPr>
            <w:r>
              <w:rPr>
                <w:rFonts w:hint="eastAsia" w:ascii="宋体" w:hAnsi="宋体" w:eastAsia="宋体" w:cs="宋体"/>
              </w:rPr>
              <w:t>相应的施工能力。</w:t>
            </w:r>
          </w:p>
          <w:p>
            <w:pPr>
              <w:spacing w:line="360" w:lineRule="auto"/>
              <w:rPr>
                <w:rFonts w:hint="eastAsia" w:ascii="宋体" w:hAnsi="宋体" w:eastAsia="宋体" w:cs="宋体"/>
              </w:rPr>
            </w:pPr>
            <w:r>
              <w:rPr>
                <w:rFonts w:hint="eastAsia" w:ascii="宋体" w:hAnsi="宋体" w:eastAsia="宋体" w:cs="宋体"/>
              </w:rPr>
              <w:t>（2）财务要求：</w:t>
            </w:r>
            <w:r>
              <w:rPr>
                <w:rFonts w:hint="eastAsia" w:ascii="宋体" w:hAnsi="宋体" w:eastAsia="宋体" w:cs="宋体"/>
                <w:b/>
                <w:bCs/>
              </w:rPr>
              <w:t>近三年经审计的财务报表</w:t>
            </w:r>
            <w:r>
              <w:rPr>
                <w:rFonts w:hint="eastAsia" w:ascii="宋体" w:hAnsi="宋体" w:eastAsia="宋体" w:cs="宋体"/>
              </w:rPr>
              <w:t>（以复印件为准）【备</w:t>
            </w:r>
          </w:p>
          <w:p>
            <w:pPr>
              <w:spacing w:line="360" w:lineRule="auto"/>
              <w:rPr>
                <w:rFonts w:hint="eastAsia" w:ascii="宋体" w:hAnsi="宋体" w:eastAsia="宋体" w:cs="宋体"/>
              </w:rPr>
            </w:pPr>
            <w:r>
              <w:rPr>
                <w:rFonts w:hint="eastAsia" w:ascii="宋体" w:hAnsi="宋体" w:eastAsia="宋体" w:cs="宋体"/>
              </w:rPr>
              <w:t>注：对于从取得营业执照时间起到投标截止时间为止不足要求年</w:t>
            </w:r>
          </w:p>
          <w:p>
            <w:pPr>
              <w:spacing w:line="360" w:lineRule="auto"/>
              <w:rPr>
                <w:rFonts w:hint="eastAsia" w:ascii="宋体" w:hAnsi="宋体" w:eastAsia="宋体" w:cs="宋体"/>
              </w:rPr>
            </w:pPr>
            <w:r>
              <w:rPr>
                <w:rFonts w:hint="eastAsia" w:ascii="宋体" w:hAnsi="宋体" w:eastAsia="宋体" w:cs="宋体"/>
              </w:rPr>
              <w:t>数的企业，只需提交企业取得营业执照年份至所要求最近年份经</w:t>
            </w:r>
          </w:p>
          <w:p>
            <w:pPr>
              <w:spacing w:line="360" w:lineRule="auto"/>
              <w:rPr>
                <w:rFonts w:hint="eastAsia" w:ascii="宋体" w:hAnsi="宋体" w:eastAsia="宋体" w:cs="宋体"/>
              </w:rPr>
            </w:pPr>
            <w:r>
              <w:rPr>
                <w:rFonts w:hint="eastAsia" w:ascii="宋体" w:hAnsi="宋体" w:eastAsia="宋体" w:cs="宋体"/>
              </w:rPr>
              <w:t>审计的财务报表】。</w:t>
            </w:r>
          </w:p>
          <w:p>
            <w:pPr>
              <w:spacing w:line="360" w:lineRule="auto"/>
              <w:rPr>
                <w:rFonts w:hint="eastAsia" w:ascii="宋体" w:hAnsi="宋体" w:eastAsia="宋体" w:cs="宋体"/>
              </w:rPr>
            </w:pPr>
            <w:r>
              <w:rPr>
                <w:rFonts w:hint="eastAsia" w:ascii="宋体" w:hAnsi="宋体" w:eastAsia="宋体" w:cs="宋体"/>
              </w:rPr>
              <w:t>（3）业绩要求：无要求。</w:t>
            </w:r>
          </w:p>
          <w:p>
            <w:pPr>
              <w:spacing w:line="360" w:lineRule="auto"/>
              <w:rPr>
                <w:rFonts w:hint="eastAsia" w:ascii="宋体" w:hAnsi="宋体" w:eastAsia="宋体" w:cs="宋体"/>
              </w:rPr>
            </w:pPr>
            <w:r>
              <w:rPr>
                <w:rFonts w:hint="eastAsia" w:ascii="宋体" w:hAnsi="宋体" w:eastAsia="宋体" w:cs="宋体"/>
              </w:rPr>
              <w:t>（4）诚信要求：未被“信用中国”网站(www.creditchina.gov.cn)、中国政府采购网(www.ccgp.gov.cn)等渠道列入失信被执行人、重大税收违法案件当事人名单、政府采购严重违法失信行为记录名单。（以评标阶段通过政采云平台接口与“信用中国”网站</w:t>
            </w:r>
          </w:p>
          <w:p>
            <w:pPr>
              <w:spacing w:line="360" w:lineRule="auto"/>
              <w:rPr>
                <w:rFonts w:hint="eastAsia" w:ascii="宋体" w:hAnsi="宋体" w:eastAsia="宋体" w:cs="宋体"/>
              </w:rPr>
            </w:pPr>
            <w:r>
              <w:rPr>
                <w:rFonts w:hint="eastAsia" w:ascii="宋体" w:hAnsi="宋体" w:eastAsia="宋体" w:cs="宋体"/>
              </w:rPr>
              <w:t>（www.creditchina.gov.cn）、中国政府采购网(www.ccgp.gov.cn)连接查询的结果为准）。</w:t>
            </w:r>
          </w:p>
          <w:p>
            <w:pPr>
              <w:spacing w:line="360" w:lineRule="auto"/>
              <w:rPr>
                <w:rFonts w:hint="eastAsia" w:ascii="宋体" w:hAnsi="宋体" w:eastAsia="宋体" w:cs="宋体"/>
                <w:b/>
                <w:bCs/>
              </w:rPr>
            </w:pPr>
            <w:r>
              <w:rPr>
                <w:rFonts w:hint="eastAsia" w:ascii="宋体" w:hAnsi="宋体" w:eastAsia="宋体" w:cs="宋体"/>
              </w:rPr>
              <w:t>（5）项目经理要求：拟派项目经理须具备</w:t>
            </w:r>
            <w:r>
              <w:rPr>
                <w:rFonts w:hint="eastAsia" w:ascii="宋体" w:hAnsi="宋体" w:eastAsia="宋体" w:cs="宋体"/>
                <w:b/>
                <w:bCs/>
              </w:rPr>
              <w:t>水利水电工程或市政</w:t>
            </w:r>
          </w:p>
          <w:p>
            <w:pPr>
              <w:spacing w:line="360" w:lineRule="auto"/>
              <w:rPr>
                <w:rFonts w:hint="eastAsia" w:ascii="宋体" w:hAnsi="宋体" w:eastAsia="宋体" w:cs="宋体"/>
              </w:rPr>
            </w:pPr>
            <w:r>
              <w:rPr>
                <w:rFonts w:hint="eastAsia" w:ascii="宋体" w:hAnsi="宋体" w:eastAsia="宋体" w:cs="宋体"/>
                <w:b/>
                <w:bCs/>
              </w:rPr>
              <w:t>公用工程专业注册建造师贰级以上（含贰级）</w:t>
            </w:r>
            <w:r>
              <w:rPr>
                <w:rFonts w:hint="eastAsia" w:ascii="宋体" w:hAnsi="宋体" w:eastAsia="宋体" w:cs="宋体"/>
              </w:rPr>
              <w:t>执业资格和持有有</w:t>
            </w:r>
          </w:p>
          <w:p>
            <w:pPr>
              <w:spacing w:line="360" w:lineRule="auto"/>
              <w:rPr>
                <w:rFonts w:hint="eastAsia" w:ascii="宋体" w:hAnsi="宋体" w:eastAsia="宋体" w:cs="宋体"/>
              </w:rPr>
            </w:pPr>
            <w:r>
              <w:rPr>
                <w:rFonts w:hint="eastAsia" w:ascii="宋体" w:hAnsi="宋体" w:eastAsia="宋体" w:cs="宋体"/>
              </w:rPr>
              <w:t>效的</w:t>
            </w:r>
            <w:r>
              <w:rPr>
                <w:rFonts w:hint="eastAsia" w:ascii="宋体" w:hAnsi="宋体" w:eastAsia="宋体" w:cs="宋体"/>
                <w:b/>
                <w:bCs/>
              </w:rPr>
              <w:t>《安全生产考核合格证书（B 证）》</w:t>
            </w:r>
            <w:r>
              <w:rPr>
                <w:rFonts w:hint="eastAsia" w:ascii="宋体" w:hAnsi="宋体" w:eastAsia="宋体" w:cs="宋体"/>
              </w:rPr>
              <w:t>，且不得在任何在建工</w:t>
            </w:r>
          </w:p>
          <w:p>
            <w:pPr>
              <w:spacing w:line="360" w:lineRule="auto"/>
              <w:rPr>
                <w:rFonts w:hint="eastAsia" w:ascii="宋体" w:hAnsi="宋体" w:eastAsia="宋体" w:cs="宋体"/>
              </w:rPr>
            </w:pPr>
            <w:r>
              <w:rPr>
                <w:rFonts w:hint="eastAsia" w:ascii="宋体" w:hAnsi="宋体" w:eastAsia="宋体" w:cs="宋体"/>
              </w:rPr>
              <w:t>程中担任任何管理职务。项目经理符合以下条件之一的，界定为无在建工程： ①在建项目施工合同工期已结束； ②项目通过合同完工验收或竣工验收；③发包人原因造成停工的，工程项目已按建设管理程序办理停工手续。</w:t>
            </w:r>
          </w:p>
          <w:p>
            <w:pPr>
              <w:spacing w:line="360" w:lineRule="auto"/>
              <w:rPr>
                <w:rFonts w:hint="eastAsia" w:ascii="宋体" w:hAnsi="宋体" w:eastAsia="宋体" w:cs="宋体"/>
              </w:rPr>
            </w:pPr>
            <w:r>
              <w:rPr>
                <w:rFonts w:hint="eastAsia" w:ascii="宋体" w:hAnsi="宋体" w:eastAsia="宋体" w:cs="宋体"/>
              </w:rPr>
              <w:t>（6）技术负责人要求：具备中级或中级以上技术职称。</w:t>
            </w:r>
          </w:p>
          <w:p>
            <w:pPr>
              <w:spacing w:line="360" w:lineRule="auto"/>
              <w:rPr>
                <w:rFonts w:hint="eastAsia" w:ascii="宋体" w:hAnsi="宋体" w:eastAsia="宋体" w:cs="宋体"/>
              </w:rPr>
            </w:pPr>
            <w:r>
              <w:rPr>
                <w:rFonts w:hint="eastAsia" w:ascii="宋体" w:hAnsi="宋体" w:eastAsia="宋体" w:cs="宋体"/>
              </w:rPr>
              <w:t>（7）安全管理员要求：持有有效的《安全生产考核合格证书（C</w:t>
            </w:r>
          </w:p>
          <w:p>
            <w:pPr>
              <w:spacing w:line="360" w:lineRule="auto"/>
              <w:rPr>
                <w:rFonts w:hint="eastAsia" w:ascii="宋体" w:hAnsi="宋体" w:eastAsia="宋体" w:cs="宋体"/>
              </w:rPr>
            </w:pPr>
            <w:r>
              <w:rPr>
                <w:rFonts w:hint="eastAsia" w:ascii="宋体" w:hAnsi="宋体" w:eastAsia="宋体" w:cs="宋体"/>
              </w:rPr>
              <w:t>证）》，人数不少于 1 人。</w:t>
            </w:r>
          </w:p>
          <w:p>
            <w:pPr>
              <w:spacing w:line="360" w:lineRule="auto"/>
              <w:rPr>
                <w:rFonts w:hint="eastAsia" w:ascii="宋体" w:hAnsi="宋体" w:eastAsia="宋体" w:cs="宋体"/>
              </w:rPr>
            </w:pPr>
            <w:r>
              <w:rPr>
                <w:rFonts w:hint="eastAsia" w:ascii="宋体" w:hAnsi="宋体" w:eastAsia="宋体" w:cs="宋体"/>
              </w:rPr>
              <w:t>（8）其他要求：</w:t>
            </w:r>
          </w:p>
          <w:p>
            <w:pPr>
              <w:spacing w:line="360" w:lineRule="auto"/>
              <w:rPr>
                <w:rFonts w:hint="eastAsia" w:ascii="宋体" w:hAnsi="宋体" w:eastAsia="宋体" w:cs="宋体"/>
              </w:rPr>
            </w:pPr>
            <w:r>
              <w:rPr>
                <w:rFonts w:hint="eastAsia" w:ascii="宋体" w:hAnsi="宋体" w:eastAsia="宋体" w:cs="宋体"/>
              </w:rPr>
              <w:t>①单位负责人为同一人或者存在直接控股、管理关系的不同投</w:t>
            </w:r>
          </w:p>
          <w:p>
            <w:pPr>
              <w:spacing w:line="360" w:lineRule="auto"/>
              <w:rPr>
                <w:rFonts w:hint="eastAsia" w:ascii="宋体" w:hAnsi="宋体" w:eastAsia="宋体" w:cs="宋体"/>
              </w:rPr>
            </w:pPr>
            <w:r>
              <w:rPr>
                <w:rFonts w:hint="eastAsia" w:ascii="宋体" w:hAnsi="宋体" w:eastAsia="宋体" w:cs="宋体"/>
              </w:rPr>
              <w:t>标人，不得参加同一合同项下的政府采购活动。为采购项目提供</w:t>
            </w:r>
          </w:p>
          <w:p>
            <w:pPr>
              <w:spacing w:line="360" w:lineRule="auto"/>
              <w:rPr>
                <w:rFonts w:hint="eastAsia" w:ascii="宋体" w:hAnsi="宋体" w:eastAsia="宋体" w:cs="宋体"/>
              </w:rPr>
            </w:pPr>
            <w:r>
              <w:rPr>
                <w:rFonts w:hint="eastAsia" w:ascii="宋体" w:hAnsi="宋体" w:eastAsia="宋体" w:cs="宋体"/>
              </w:rPr>
              <w:t>整体设计、规范编制或者项目管理、监理、检测等服务的投标人，</w:t>
            </w:r>
          </w:p>
          <w:p>
            <w:pPr>
              <w:spacing w:line="360" w:lineRule="auto"/>
              <w:rPr>
                <w:rFonts w:hint="eastAsia" w:ascii="宋体" w:hAnsi="宋体" w:eastAsia="宋体" w:cs="宋体"/>
              </w:rPr>
            </w:pPr>
            <w:r>
              <w:rPr>
                <w:rFonts w:hint="eastAsia" w:ascii="宋体" w:hAnsi="宋体" w:eastAsia="宋体" w:cs="宋体"/>
              </w:rPr>
              <w:t>不得再参加该采购项目的其他采购活动；</w:t>
            </w:r>
          </w:p>
          <w:p>
            <w:pPr>
              <w:spacing w:line="360" w:lineRule="auto"/>
              <w:rPr>
                <w:rFonts w:hint="eastAsia" w:ascii="宋体" w:hAnsi="宋体" w:eastAsia="宋体" w:cs="宋体"/>
              </w:rPr>
            </w:pPr>
            <w:r>
              <w:rPr>
                <w:rFonts w:hint="eastAsia" w:ascii="宋体" w:hAnsi="宋体" w:eastAsia="宋体" w:cs="宋体"/>
              </w:rPr>
              <w:t>②不符合《中华人民共和国政府采购法》第二十二条规定条件</w:t>
            </w:r>
          </w:p>
          <w:p>
            <w:pPr>
              <w:spacing w:line="360" w:lineRule="auto"/>
              <w:rPr>
                <w:rFonts w:hint="eastAsia" w:ascii="宋体" w:hAnsi="宋体" w:eastAsia="宋体" w:cs="宋体"/>
              </w:rPr>
            </w:pPr>
            <w:r>
              <w:rPr>
                <w:rFonts w:hint="eastAsia" w:ascii="宋体" w:hAnsi="宋体" w:eastAsia="宋体" w:cs="宋体"/>
              </w:rPr>
              <w:t>的投标人，不得参与政府采购活动。</w:t>
            </w:r>
          </w:p>
          <w:p>
            <w:pPr>
              <w:spacing w:line="360" w:lineRule="auto"/>
              <w:rPr>
                <w:rFonts w:hint="eastAsia" w:ascii="宋体" w:hAnsi="宋体" w:eastAsia="宋体" w:cs="宋体"/>
              </w:rPr>
            </w:pPr>
            <w:r>
              <w:rPr>
                <w:rFonts w:hint="eastAsia" w:ascii="宋体" w:hAnsi="宋体" w:eastAsia="宋体" w:cs="宋体"/>
              </w:rPr>
              <w:t>③不得被依法暂停或者取消投标资格；不得被责令停产停业、</w:t>
            </w:r>
          </w:p>
          <w:p>
            <w:pPr>
              <w:spacing w:line="360" w:lineRule="auto"/>
              <w:rPr>
                <w:rFonts w:hint="eastAsia" w:ascii="宋体" w:hAnsi="宋体" w:eastAsia="宋体" w:cs="宋体"/>
              </w:rPr>
            </w:pPr>
            <w:r>
              <w:rPr>
                <w:rFonts w:hint="eastAsia" w:ascii="宋体" w:hAnsi="宋体" w:eastAsia="宋体" w:cs="宋体"/>
              </w:rPr>
              <w:t>暂扣或者吊销许可证、暂扣或者吊销执照；不得处于进入清算程</w:t>
            </w:r>
          </w:p>
          <w:p>
            <w:pPr>
              <w:spacing w:line="360" w:lineRule="auto"/>
              <w:rPr>
                <w:rFonts w:hint="eastAsia" w:ascii="宋体" w:hAnsi="宋体" w:eastAsia="宋体" w:cs="宋体"/>
              </w:rPr>
            </w:pPr>
            <w:r>
              <w:rPr>
                <w:rFonts w:hint="eastAsia" w:ascii="宋体" w:hAnsi="宋体" w:eastAsia="宋体" w:cs="宋体"/>
              </w:rPr>
              <w:t>序，或被宣告破产，或其他丧失履约能力的情形。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1.4.2</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是否接受联合体投标</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不接受    </w:t>
            </w:r>
            <w:r>
              <w:rPr>
                <w:rFonts w:hint="eastAsia" w:ascii="宋体" w:hAnsi="宋体" w:eastAsia="宋体" w:cs="宋体"/>
                <w:lang w:eastAsia="zh-CN"/>
              </w:rPr>
              <w:t>□</w:t>
            </w:r>
            <w:r>
              <w:rPr>
                <w:rFonts w:hint="eastAsia" w:ascii="宋体" w:hAnsi="宋体" w:eastAsia="宋体" w:cs="宋体"/>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1.9.1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踏勘现场</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1.10</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投标预备会</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1.11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分  包</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不允许</w:t>
            </w:r>
          </w:p>
          <w:p>
            <w:pPr>
              <w:spacing w:line="360" w:lineRule="auto"/>
              <w:rPr>
                <w:rFonts w:hint="eastAsia" w:ascii="宋体" w:hAnsi="宋体" w:eastAsia="宋体" w:cs="宋体"/>
              </w:rPr>
            </w:pPr>
            <w:r>
              <w:rPr>
                <w:rFonts w:hint="eastAsia" w:ascii="宋体" w:hAnsi="宋体" w:eastAsia="宋体" w:cs="宋体"/>
              </w:rPr>
              <w:t>□允许，分包内容要求：</w:t>
            </w:r>
          </w:p>
          <w:p>
            <w:pPr>
              <w:spacing w:line="360" w:lineRule="auto"/>
              <w:rPr>
                <w:rFonts w:hint="eastAsia" w:ascii="宋体" w:hAnsi="宋体" w:eastAsia="宋体" w:cs="宋体"/>
              </w:rPr>
            </w:pPr>
            <w:r>
              <w:rPr>
                <w:rFonts w:hint="eastAsia" w:ascii="宋体" w:hAnsi="宋体" w:eastAsia="宋体" w:cs="宋体"/>
              </w:rPr>
              <w:t xml:space="preserve">        分包金额要求：</w:t>
            </w:r>
          </w:p>
          <w:p>
            <w:pPr>
              <w:spacing w:line="360" w:lineRule="auto"/>
              <w:rPr>
                <w:rFonts w:hint="eastAsia" w:ascii="宋体" w:hAnsi="宋体" w:eastAsia="宋体" w:cs="宋体"/>
              </w:rPr>
            </w:pPr>
            <w:r>
              <w:rPr>
                <w:rFonts w:hint="eastAsia" w:ascii="宋体" w:hAnsi="宋体" w:eastAsia="宋体" w:cs="宋体"/>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1.12</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偏  离</w:t>
            </w:r>
          </w:p>
        </w:tc>
        <w:tc>
          <w:tcPr>
            <w:tcW w:w="6092" w:type="dxa"/>
            <w:gridSpan w:val="2"/>
            <w:noWrap w:val="0"/>
            <w:vAlign w:val="center"/>
          </w:tcPr>
          <w:p>
            <w:pPr>
              <w:spacing w:line="360" w:lineRule="auto"/>
              <w:rPr>
                <w:rFonts w:hint="eastAsia" w:ascii="宋体" w:hAnsi="宋体" w:eastAsia="宋体" w:cs="宋体"/>
                <w:lang w:eastAsia="zh-CN"/>
              </w:rPr>
            </w:pPr>
            <w:r>
              <w:rPr>
                <w:rFonts w:hint="eastAsia" w:ascii="宋体" w:hAnsi="宋体" w:eastAsia="宋体" w:cs="宋体"/>
              </w:rPr>
              <w:t>不允许</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2.1.1（10）</w:t>
            </w:r>
          </w:p>
        </w:tc>
        <w:tc>
          <w:tcPr>
            <w:tcW w:w="2478" w:type="dxa"/>
            <w:noWrap w:val="0"/>
            <w:vAlign w:val="center"/>
          </w:tcPr>
          <w:p>
            <w:pPr>
              <w:jc w:val="center"/>
              <w:rPr>
                <w:rFonts w:hint="eastAsia" w:ascii="宋体" w:hAnsi="宋体" w:eastAsia="宋体" w:cs="宋体"/>
              </w:rPr>
            </w:pPr>
            <w:r>
              <w:rPr>
                <w:rFonts w:hint="eastAsia" w:ascii="宋体" w:hAnsi="宋体" w:eastAsia="宋体" w:cs="宋体"/>
              </w:rPr>
              <w:t>构成招标文件的其他材料</w:t>
            </w:r>
          </w:p>
        </w:tc>
        <w:tc>
          <w:tcPr>
            <w:tcW w:w="6092" w:type="dxa"/>
            <w:gridSpan w:val="2"/>
            <w:noWrap w:val="0"/>
            <w:vAlign w:val="center"/>
          </w:tcPr>
          <w:p>
            <w:pPr>
              <w:tabs>
                <w:tab w:val="left" w:pos="826"/>
              </w:tabs>
              <w:spacing w:line="360" w:lineRule="auto"/>
              <w:rPr>
                <w:rFonts w:hint="eastAsia" w:ascii="宋体" w:hAnsi="宋体" w:eastAsia="宋体" w:cs="宋体"/>
              </w:rPr>
            </w:pPr>
            <w:r>
              <w:rPr>
                <w:rFonts w:hint="eastAsia" w:ascii="宋体" w:hAnsi="宋体" w:eastAsia="宋体" w:cs="宋体"/>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2.2.1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投标人对招标文件提出异议的截止时间</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投标截止时间10日前。投标人不在规定期限内提出，招标人有权不予答复，或答复后投标截止时间由招标人确定是否顺延。</w:t>
            </w:r>
          </w:p>
          <w:p>
            <w:pPr>
              <w:spacing w:line="360" w:lineRule="auto"/>
              <w:rPr>
                <w:rFonts w:hint="eastAsia" w:ascii="宋体" w:hAnsi="宋体" w:eastAsia="宋体" w:cs="宋体"/>
              </w:rPr>
            </w:pPr>
            <w:r>
              <w:rPr>
                <w:rFonts w:hint="eastAsia" w:ascii="宋体" w:hAnsi="宋体" w:eastAsia="宋体" w:cs="宋体"/>
              </w:rPr>
              <w:t>澄清和答复须通过广西电子招标投标系统进行。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restart"/>
            <w:noWrap w:val="0"/>
            <w:vAlign w:val="center"/>
          </w:tcPr>
          <w:p>
            <w:pPr>
              <w:spacing w:line="360" w:lineRule="auto"/>
              <w:jc w:val="center"/>
              <w:rPr>
                <w:rFonts w:hint="eastAsia" w:ascii="宋体" w:hAnsi="宋体" w:eastAsia="宋体" w:cs="宋体"/>
              </w:rPr>
            </w:pPr>
            <w:r>
              <w:rPr>
                <w:rFonts w:hint="eastAsia" w:ascii="宋体" w:hAnsi="宋体" w:eastAsia="宋体" w:cs="宋体"/>
              </w:rPr>
              <w:t>2.2.2</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投标截止时间</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highlight w:val="yellow"/>
                <w:u w:val="single"/>
              </w:rPr>
              <w:t>202</w:t>
            </w:r>
            <w:r>
              <w:rPr>
                <w:rFonts w:hint="eastAsia" w:ascii="宋体" w:hAnsi="宋体" w:eastAsia="宋体" w:cs="宋体"/>
                <w:highlight w:val="yellow"/>
                <w:u w:val="single"/>
                <w:lang w:val="en-US" w:eastAsia="zh-CN"/>
              </w:rPr>
              <w:t>2</w:t>
            </w:r>
            <w:r>
              <w:rPr>
                <w:rFonts w:hint="eastAsia" w:ascii="宋体" w:hAnsi="宋体" w:eastAsia="宋体" w:cs="宋体"/>
                <w:highlight w:val="yellow"/>
                <w:u w:val="single"/>
              </w:rPr>
              <w:t xml:space="preserve"> </w:t>
            </w:r>
            <w:r>
              <w:rPr>
                <w:rFonts w:hint="eastAsia" w:ascii="宋体" w:hAnsi="宋体" w:eastAsia="宋体" w:cs="宋体"/>
                <w:highlight w:val="yellow"/>
              </w:rPr>
              <w:t>年</w:t>
            </w:r>
            <w:r>
              <w:rPr>
                <w:rFonts w:hint="eastAsia" w:ascii="宋体" w:hAnsi="宋体" w:eastAsia="宋体" w:cs="宋体"/>
                <w:highlight w:val="yellow"/>
                <w:u w:val="single"/>
              </w:rPr>
              <w:t xml:space="preserve"> </w:t>
            </w:r>
            <w:r>
              <w:rPr>
                <w:rFonts w:hint="eastAsia" w:ascii="宋体" w:hAnsi="宋体" w:eastAsia="宋体" w:cs="宋体"/>
                <w:highlight w:val="yellow"/>
                <w:u w:val="single"/>
                <w:lang w:val="en-US" w:eastAsia="zh-CN"/>
              </w:rPr>
              <w:t xml:space="preserve">  </w:t>
            </w:r>
            <w:r>
              <w:rPr>
                <w:rFonts w:hint="eastAsia" w:ascii="宋体" w:hAnsi="宋体" w:eastAsia="宋体" w:cs="宋体"/>
                <w:highlight w:val="yellow"/>
                <w:u w:val="single"/>
              </w:rPr>
              <w:t xml:space="preserve"> </w:t>
            </w:r>
            <w:r>
              <w:rPr>
                <w:rFonts w:hint="eastAsia" w:ascii="宋体" w:hAnsi="宋体" w:eastAsia="宋体" w:cs="宋体"/>
                <w:highlight w:val="yellow"/>
              </w:rPr>
              <w:t>月</w:t>
            </w:r>
            <w:r>
              <w:rPr>
                <w:rFonts w:hint="eastAsia" w:ascii="宋体" w:hAnsi="宋体" w:eastAsia="宋体" w:cs="宋体"/>
                <w:highlight w:val="yellow"/>
                <w:u w:val="single"/>
              </w:rPr>
              <w:t xml:space="preserve"> </w:t>
            </w:r>
            <w:r>
              <w:rPr>
                <w:rFonts w:hint="eastAsia" w:ascii="宋体" w:hAnsi="宋体" w:eastAsia="宋体" w:cs="宋体"/>
                <w:highlight w:val="yellow"/>
                <w:u w:val="single"/>
                <w:lang w:val="en-US" w:eastAsia="zh-CN"/>
              </w:rPr>
              <w:t xml:space="preserve">  </w:t>
            </w:r>
            <w:r>
              <w:rPr>
                <w:rFonts w:hint="eastAsia" w:ascii="宋体" w:hAnsi="宋体" w:eastAsia="宋体" w:cs="宋体"/>
                <w:highlight w:val="yellow"/>
                <w:u w:val="single"/>
              </w:rPr>
              <w:t xml:space="preserve"> </w:t>
            </w:r>
            <w:r>
              <w:rPr>
                <w:rFonts w:hint="eastAsia" w:ascii="宋体" w:hAnsi="宋体" w:eastAsia="宋体" w:cs="宋体"/>
                <w:highlight w:val="yellow"/>
              </w:rPr>
              <w:t>日</w:t>
            </w:r>
            <w:r>
              <w:rPr>
                <w:rFonts w:hint="eastAsia" w:ascii="宋体" w:hAnsi="宋体" w:eastAsia="宋体" w:cs="宋体"/>
                <w:highlight w:val="yellow"/>
                <w:u w:val="single"/>
              </w:rPr>
              <w:t xml:space="preserve"> </w:t>
            </w:r>
            <w:r>
              <w:rPr>
                <w:rFonts w:hint="eastAsia" w:ascii="宋体" w:hAnsi="宋体" w:eastAsia="宋体" w:cs="宋体"/>
                <w:highlight w:val="yellow"/>
                <w:u w:val="single"/>
                <w:lang w:val="en-US" w:eastAsia="zh-CN"/>
              </w:rPr>
              <w:t xml:space="preserve">  </w:t>
            </w:r>
            <w:r>
              <w:rPr>
                <w:rFonts w:hint="eastAsia" w:ascii="宋体" w:hAnsi="宋体" w:eastAsia="宋体" w:cs="宋体"/>
                <w:highlight w:val="yellow"/>
                <w:u w:val="single"/>
              </w:rPr>
              <w:t xml:space="preserve"> </w:t>
            </w:r>
            <w:r>
              <w:rPr>
                <w:rFonts w:hint="eastAsia" w:ascii="宋体" w:hAnsi="宋体" w:eastAsia="宋体" w:cs="宋体"/>
                <w:highlight w:val="yellow"/>
              </w:rPr>
              <w:t>时</w:t>
            </w:r>
            <w:r>
              <w:rPr>
                <w:rFonts w:hint="eastAsia" w:ascii="宋体" w:hAnsi="宋体" w:eastAsia="宋体" w:cs="宋体"/>
                <w:highlight w:val="yellow"/>
                <w:u w:val="single"/>
              </w:rPr>
              <w:t xml:space="preserve"> </w:t>
            </w:r>
            <w:r>
              <w:rPr>
                <w:rFonts w:hint="eastAsia" w:ascii="宋体" w:hAnsi="宋体" w:eastAsia="宋体" w:cs="宋体"/>
                <w:highlight w:val="yellow"/>
                <w:u w:val="single"/>
                <w:lang w:val="en-US" w:eastAsia="zh-CN"/>
              </w:rPr>
              <w:t xml:space="preserve">  </w:t>
            </w:r>
            <w:r>
              <w:rPr>
                <w:rFonts w:hint="eastAsia" w:ascii="宋体" w:hAnsi="宋体" w:eastAsia="宋体" w:cs="宋体"/>
                <w:highlight w:val="yellow"/>
                <w:u w:val="single"/>
              </w:rPr>
              <w:t xml:space="preserve"> </w:t>
            </w:r>
            <w:r>
              <w:rPr>
                <w:rFonts w:hint="eastAsia" w:ascii="宋体" w:hAnsi="宋体" w:eastAsia="宋体" w:cs="宋体"/>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097" w:type="dxa"/>
            <w:vMerge w:val="continue"/>
            <w:noWrap w:val="0"/>
            <w:vAlign w:val="center"/>
          </w:tcPr>
          <w:p>
            <w:pPr>
              <w:spacing w:line="360" w:lineRule="auto"/>
              <w:jc w:val="center"/>
              <w:rPr>
                <w:rFonts w:hint="eastAsia" w:ascii="宋体" w:hAnsi="宋体" w:eastAsia="宋体" w:cs="宋体"/>
              </w:rPr>
            </w:pP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招标文件澄清发布方式</w:t>
            </w:r>
          </w:p>
        </w:tc>
        <w:tc>
          <w:tcPr>
            <w:tcW w:w="6092" w:type="dxa"/>
            <w:gridSpan w:val="2"/>
            <w:noWrap w:val="0"/>
            <w:vAlign w:val="top"/>
          </w:tcPr>
          <w:p>
            <w:pPr>
              <w:spacing w:line="360" w:lineRule="auto"/>
              <w:rPr>
                <w:rFonts w:hint="eastAsia" w:ascii="宋体" w:hAnsi="宋体" w:eastAsia="宋体" w:cs="宋体"/>
                <w:u w:val="single"/>
              </w:rPr>
            </w:pPr>
            <w:r>
              <w:rPr>
                <w:rFonts w:hint="eastAsia" w:ascii="宋体" w:hAnsi="宋体" w:eastAsia="宋体" w:cs="宋体"/>
              </w:rPr>
              <w:t>在发布招标公告的网站上发布澄清公告， 但不指明澄清问题的来源。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2.2.3</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投标人确认收到澄清的方式</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澄清文件在本章第2.2.2款规定的网站上发布之日起，视为投标人已收到该澄清。投标人未及时关注招标人在网站上发布的澄清文件造成的损失，由投标人自行负责。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3.1.1</w:t>
            </w:r>
          </w:p>
        </w:tc>
        <w:tc>
          <w:tcPr>
            <w:tcW w:w="2478" w:type="dxa"/>
            <w:noWrap w:val="0"/>
            <w:vAlign w:val="center"/>
          </w:tcPr>
          <w:p>
            <w:pPr>
              <w:jc w:val="center"/>
              <w:rPr>
                <w:rFonts w:hint="eastAsia" w:ascii="宋体" w:hAnsi="宋体" w:eastAsia="宋体" w:cs="宋体"/>
              </w:rPr>
            </w:pPr>
            <w:r>
              <w:rPr>
                <w:rFonts w:hint="eastAsia" w:ascii="宋体" w:hAnsi="宋体" w:eastAsia="宋体" w:cs="宋体"/>
              </w:rPr>
              <w:t>构成投标文件的材料</w:t>
            </w:r>
          </w:p>
        </w:tc>
        <w:tc>
          <w:tcPr>
            <w:tcW w:w="6092" w:type="dxa"/>
            <w:gridSpan w:val="2"/>
            <w:noWrap w:val="0"/>
            <w:vAlign w:val="center"/>
          </w:tcPr>
          <w:p>
            <w:pPr>
              <w:spacing w:line="360" w:lineRule="auto"/>
              <w:rPr>
                <w:rFonts w:hint="eastAsia" w:ascii="宋体" w:hAnsi="宋体" w:eastAsia="宋体" w:cs="宋体"/>
                <w:sz w:val="24"/>
                <w:szCs w:val="24"/>
              </w:rPr>
            </w:pPr>
            <w:r>
              <w:rPr>
                <w:rFonts w:hint="eastAsia" w:ascii="宋体" w:hAnsi="宋体" w:eastAsia="宋体" w:cs="宋体"/>
              </w:rPr>
              <w:t>投标文件的组成部分：资格审查部分、商务标部分、技术标部分组成</w:t>
            </w:r>
          </w:p>
          <w:p>
            <w:pPr>
              <w:spacing w:line="360" w:lineRule="auto"/>
              <w:rPr>
                <w:rFonts w:hint="eastAsia" w:ascii="宋体" w:hAnsi="宋体" w:eastAsia="宋体" w:cs="宋体"/>
              </w:rPr>
            </w:pPr>
            <w:r>
              <w:rPr>
                <w:rFonts w:hint="eastAsia" w:ascii="宋体" w:hAnsi="宋体" w:eastAsia="宋体" w:cs="宋体"/>
                <w:b/>
                <w:bCs/>
              </w:rPr>
              <w:t>资格审查部分（备注：</w:t>
            </w:r>
            <w:r>
              <w:rPr>
                <w:rFonts w:hint="eastAsia" w:ascii="宋体" w:hAnsi="宋体" w:eastAsia="宋体" w:cs="宋体"/>
                <w:b/>
                <w:bCs/>
                <w:lang w:val="en-US" w:eastAsia="zh-CN"/>
              </w:rPr>
              <w:t>以下复印件</w:t>
            </w:r>
            <w:r>
              <w:rPr>
                <w:rFonts w:hint="eastAsia" w:ascii="宋体" w:hAnsi="宋体" w:eastAsia="宋体" w:cs="宋体"/>
                <w:b/>
                <w:bCs/>
              </w:rPr>
              <w:t>均须加盖投标人单位公章）</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投标文件签署授权委托书</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（2）投标人基本情况表；</w:t>
            </w:r>
          </w:p>
          <w:p>
            <w:pPr>
              <w:spacing w:line="360" w:lineRule="auto"/>
              <w:rPr>
                <w:rFonts w:hint="eastAsia" w:ascii="宋体" w:hAnsi="宋体" w:eastAsia="宋体" w:cs="宋体"/>
              </w:rPr>
            </w:pPr>
            <w:r>
              <w:rPr>
                <w:rFonts w:hint="eastAsia" w:ascii="宋体" w:hAnsi="宋体" w:eastAsia="宋体" w:cs="宋体"/>
              </w:rPr>
              <w:t>（3）建设工程项目管理承诺书；</w:t>
            </w:r>
          </w:p>
          <w:p>
            <w:pPr>
              <w:spacing w:line="360" w:lineRule="auto"/>
              <w:rPr>
                <w:rFonts w:hint="eastAsia" w:ascii="宋体" w:hAnsi="宋体" w:eastAsia="宋体" w:cs="宋体"/>
              </w:rPr>
            </w:pPr>
            <w:r>
              <w:rPr>
                <w:rFonts w:hint="eastAsia" w:ascii="宋体" w:hAnsi="宋体" w:eastAsia="宋体" w:cs="宋体"/>
              </w:rPr>
              <w:t>（4）拟派项目经理、项目施工专职安全员</w:t>
            </w:r>
            <w:r>
              <w:rPr>
                <w:rFonts w:hint="eastAsia" w:ascii="宋体" w:hAnsi="宋体" w:eastAsia="宋体" w:cs="宋体"/>
                <w:lang w:eastAsia="zh-CN"/>
              </w:rPr>
              <w:t>等</w:t>
            </w:r>
            <w:r>
              <w:rPr>
                <w:rFonts w:hint="eastAsia" w:ascii="宋体" w:hAnsi="宋体" w:eastAsia="宋体" w:cs="宋体"/>
              </w:rPr>
              <w:t>基本情况表；</w:t>
            </w:r>
          </w:p>
          <w:p>
            <w:pPr>
              <w:spacing w:line="360" w:lineRule="auto"/>
              <w:rPr>
                <w:rFonts w:hint="eastAsia" w:ascii="宋体" w:hAnsi="宋体" w:eastAsia="宋体" w:cs="宋体"/>
              </w:rPr>
            </w:pPr>
            <w:r>
              <w:rPr>
                <w:rFonts w:hint="eastAsia" w:ascii="宋体" w:hAnsi="宋体" w:eastAsia="宋体" w:cs="宋体"/>
              </w:rPr>
              <w:t>（5）</w:t>
            </w:r>
            <w:r>
              <w:rPr>
                <w:rFonts w:hint="eastAsia" w:ascii="宋体" w:hAnsi="宋体" w:eastAsia="宋体" w:cs="宋体"/>
                <w:color w:val="auto"/>
                <w:szCs w:val="21"/>
                <w:highlight w:val="none"/>
              </w:rPr>
              <w:t>供应商直接控股、管理关系信息表</w:t>
            </w:r>
            <w:r>
              <w:rPr>
                <w:rFonts w:hint="eastAsia" w:ascii="宋体" w:hAnsi="宋体" w:eastAsia="宋体" w:cs="宋体"/>
              </w:rPr>
              <w:t>；</w:t>
            </w:r>
          </w:p>
          <w:p>
            <w:pPr>
              <w:spacing w:line="360" w:lineRule="auto"/>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6</w:t>
            </w:r>
            <w:r>
              <w:rPr>
                <w:rFonts w:hint="eastAsia" w:ascii="宋体" w:hAnsi="宋体" w:cs="宋体"/>
                <w:lang w:eastAsia="zh-CN"/>
              </w:rPr>
              <w:t>）供应商为小微企业（本项目属于专门面向小微企业采购的项目或者采购包，供应商</w:t>
            </w:r>
            <w:r>
              <w:rPr>
                <w:rFonts w:hint="eastAsia" w:ascii="宋体" w:hAnsi="宋体" w:cs="宋体"/>
                <w:b/>
                <w:bCs/>
                <w:lang w:eastAsia="zh-CN"/>
              </w:rPr>
              <w:t>必须提供小微企业声明函</w:t>
            </w:r>
            <w:r>
              <w:rPr>
                <w:rFonts w:hint="eastAsia" w:ascii="宋体" w:hAnsi="宋体" w:cs="宋体"/>
                <w:lang w:eastAsia="zh-CN"/>
              </w:rPr>
              <w:t>）；</w:t>
            </w:r>
          </w:p>
          <w:p>
            <w:pPr>
              <w:spacing w:line="360" w:lineRule="auto"/>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）资格审查需要的其他材料：项目管理机构配备情况表、拟投入施工机械设备情况表、企业近3年已完成类似项目一览表（如有）、企业近3年信誉实力一览表（如有）、企业近3年财务状况表（如有）、近</w:t>
            </w:r>
            <w:r>
              <w:rPr>
                <w:rFonts w:hint="eastAsia" w:ascii="宋体" w:hAnsi="宋体" w:eastAsia="宋体" w:cs="宋体"/>
                <w:lang w:val="en-US" w:eastAsia="zh-CN"/>
              </w:rPr>
              <w:t>3</w:t>
            </w:r>
            <w:r>
              <w:rPr>
                <w:rFonts w:hint="eastAsia" w:ascii="宋体" w:hAnsi="宋体" w:eastAsia="宋体" w:cs="宋体"/>
              </w:rPr>
              <w:t>年发生的诉讼和仲裁情况（如有）等。</w:t>
            </w:r>
          </w:p>
          <w:p>
            <w:pPr>
              <w:spacing w:line="360" w:lineRule="auto"/>
              <w:rPr>
                <w:rFonts w:hint="eastAsia" w:ascii="宋体" w:hAnsi="宋体" w:eastAsia="宋体" w:cs="宋体"/>
              </w:rPr>
            </w:pPr>
            <w:r>
              <w:rPr>
                <w:rFonts w:hint="eastAsia" w:ascii="宋体" w:hAnsi="宋体" w:eastAsia="宋体" w:cs="宋体"/>
                <w:b/>
              </w:rPr>
              <w:t>商务标部分</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（1）投标函；</w:t>
            </w:r>
          </w:p>
          <w:p>
            <w:pPr>
              <w:spacing w:line="360" w:lineRule="auto"/>
              <w:rPr>
                <w:rFonts w:hint="eastAsia" w:ascii="宋体" w:hAnsi="宋体" w:eastAsia="宋体" w:cs="宋体"/>
              </w:rPr>
            </w:pPr>
            <w:r>
              <w:rPr>
                <w:rFonts w:hint="eastAsia" w:ascii="宋体" w:hAnsi="宋体" w:eastAsia="宋体" w:cs="宋体"/>
              </w:rPr>
              <w:t>（2）投标函附录；</w:t>
            </w:r>
          </w:p>
          <w:p>
            <w:pPr>
              <w:spacing w:line="360" w:lineRule="auto"/>
              <w:rPr>
                <w:rFonts w:hint="eastAsia" w:ascii="宋体" w:hAnsi="宋体" w:eastAsia="宋体" w:cs="宋体"/>
              </w:rPr>
            </w:pPr>
            <w:r>
              <w:rPr>
                <w:rFonts w:hint="eastAsia" w:ascii="宋体" w:hAnsi="宋体" w:eastAsia="宋体" w:cs="宋体"/>
              </w:rPr>
              <w:t>（3）投标报价表；</w:t>
            </w:r>
          </w:p>
          <w:p>
            <w:pPr>
              <w:spacing w:line="360" w:lineRule="auto"/>
              <w:rPr>
                <w:rFonts w:hint="eastAsia" w:ascii="宋体" w:hAnsi="宋体" w:eastAsia="宋体" w:cs="宋体"/>
                <w:lang w:eastAsia="zh-CN"/>
              </w:rPr>
            </w:pPr>
            <w:r>
              <w:rPr>
                <w:rFonts w:hint="eastAsia" w:ascii="宋体" w:hAnsi="宋体" w:eastAsia="宋体" w:cs="宋体"/>
              </w:rPr>
              <w:t>（4）已标价工程量清单</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lang w:val="en-US" w:eastAsia="zh-CN"/>
              </w:rPr>
              <w:t>（5）投标报价需要的其他资料（如有，请提供）。</w:t>
            </w:r>
          </w:p>
          <w:p>
            <w:pPr>
              <w:spacing w:line="360" w:lineRule="auto"/>
              <w:rPr>
                <w:rFonts w:hint="eastAsia" w:ascii="宋体" w:hAnsi="宋体" w:eastAsia="宋体" w:cs="宋体"/>
                <w:b/>
                <w:bCs/>
              </w:rPr>
            </w:pPr>
            <w:r>
              <w:rPr>
                <w:rFonts w:hint="eastAsia" w:ascii="宋体" w:hAnsi="宋体" w:eastAsia="宋体" w:cs="宋体"/>
                <w:b/>
                <w:bCs/>
              </w:rPr>
              <w:t>技术标部分：</w:t>
            </w:r>
          </w:p>
          <w:p>
            <w:pPr>
              <w:spacing w:line="360" w:lineRule="auto"/>
              <w:rPr>
                <w:rFonts w:hint="eastAsia" w:ascii="宋体" w:hAnsi="宋体" w:eastAsia="宋体" w:cs="宋体"/>
              </w:rPr>
            </w:pPr>
            <w:r>
              <w:rPr>
                <w:rFonts w:hint="eastAsia" w:ascii="宋体" w:hAnsi="宋体" w:eastAsia="宋体" w:cs="宋体"/>
              </w:rPr>
              <w:t>（1）施工组织设计；</w:t>
            </w:r>
          </w:p>
          <w:p>
            <w:pPr>
              <w:spacing w:line="360" w:lineRule="auto"/>
              <w:rPr>
                <w:rFonts w:hint="eastAsia" w:ascii="宋体" w:hAnsi="宋体" w:eastAsia="宋体" w:cs="宋体"/>
              </w:rPr>
            </w:pPr>
            <w:r>
              <w:rPr>
                <w:rFonts w:hint="eastAsia" w:ascii="宋体" w:hAnsi="宋体" w:eastAsia="宋体" w:cs="宋体"/>
              </w:rPr>
              <w:t>（2）拟分包计划表；</w:t>
            </w:r>
          </w:p>
          <w:p>
            <w:pPr>
              <w:spacing w:line="360" w:lineRule="auto"/>
              <w:rPr>
                <w:rFonts w:hint="eastAsia" w:ascii="宋体" w:hAnsi="宋体" w:eastAsia="宋体" w:cs="宋体"/>
              </w:rPr>
            </w:pPr>
            <w:r>
              <w:rPr>
                <w:rFonts w:hint="eastAsia" w:ascii="宋体" w:hAnsi="宋体" w:eastAsia="宋体" w:cs="宋体"/>
              </w:rPr>
              <w:t>（3）项目管理机构。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97" w:type="dxa"/>
            <w:vMerge w:val="restart"/>
            <w:noWrap w:val="0"/>
            <w:vAlign w:val="center"/>
          </w:tcPr>
          <w:p>
            <w:pPr>
              <w:spacing w:line="360" w:lineRule="auto"/>
              <w:jc w:val="center"/>
              <w:rPr>
                <w:rFonts w:hint="eastAsia" w:ascii="宋体" w:hAnsi="宋体" w:eastAsia="宋体" w:cs="宋体"/>
              </w:rPr>
            </w:pPr>
            <w:r>
              <w:rPr>
                <w:rFonts w:hint="eastAsia" w:ascii="宋体" w:hAnsi="宋体" w:eastAsia="宋体" w:cs="宋体"/>
              </w:rPr>
              <w:t>3.1.4</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近年财务状况的年份要求</w:t>
            </w:r>
          </w:p>
        </w:tc>
        <w:tc>
          <w:tcPr>
            <w:tcW w:w="6092" w:type="dxa"/>
            <w:gridSpan w:val="2"/>
            <w:noWrap w:val="0"/>
            <w:vAlign w:val="center"/>
          </w:tcPr>
          <w:p>
            <w:pPr>
              <w:spacing w:line="360" w:lineRule="auto"/>
              <w:rPr>
                <w:rFonts w:hint="eastAsia" w:ascii="宋体" w:hAnsi="宋体" w:eastAsia="宋体" w:cs="宋体"/>
                <w:lang w:val="en-US" w:eastAsia="zh-CN"/>
              </w:rPr>
            </w:pPr>
            <w:r>
              <w:rPr>
                <w:rFonts w:hint="eastAsia" w:ascii="宋体" w:hAnsi="宋体" w:eastAsia="宋体" w:cs="宋体"/>
              </w:rPr>
              <w:t>三年，指</w:t>
            </w:r>
            <w:r>
              <w:rPr>
                <w:rFonts w:hint="eastAsia" w:ascii="宋体" w:hAnsi="宋体" w:eastAsia="宋体" w:cs="宋体"/>
                <w:u w:val="single"/>
              </w:rPr>
              <w:t>201</w:t>
            </w:r>
            <w:r>
              <w:rPr>
                <w:rFonts w:hint="eastAsia" w:ascii="宋体" w:hAnsi="宋体" w:eastAsia="宋体" w:cs="宋体"/>
                <w:u w:val="single"/>
                <w:lang w:val="en-US" w:eastAsia="zh-CN"/>
              </w:rPr>
              <w:t>9</w:t>
            </w:r>
            <w:r>
              <w:rPr>
                <w:rFonts w:hint="eastAsia" w:ascii="宋体" w:hAnsi="宋体" w:eastAsia="宋体" w:cs="宋体"/>
              </w:rPr>
              <w:t>年度、</w:t>
            </w:r>
            <w:r>
              <w:rPr>
                <w:rFonts w:hint="eastAsia" w:ascii="宋体" w:hAnsi="宋体" w:eastAsia="宋体" w:cs="宋体"/>
                <w:u w:val="single"/>
              </w:rPr>
              <w:t>20</w:t>
            </w:r>
            <w:r>
              <w:rPr>
                <w:rFonts w:hint="eastAsia" w:ascii="宋体" w:hAnsi="宋体" w:eastAsia="宋体" w:cs="宋体"/>
                <w:u w:val="single"/>
                <w:lang w:val="en-US" w:eastAsia="zh-CN"/>
              </w:rPr>
              <w:t>20</w:t>
            </w:r>
            <w:r>
              <w:rPr>
                <w:rFonts w:hint="eastAsia" w:ascii="宋体" w:hAnsi="宋体" w:eastAsia="宋体" w:cs="宋体"/>
              </w:rPr>
              <w:t>年度和</w:t>
            </w:r>
            <w:r>
              <w:rPr>
                <w:rFonts w:hint="eastAsia" w:ascii="宋体" w:hAnsi="宋体" w:eastAsia="宋体" w:cs="宋体"/>
                <w:u w:val="single"/>
              </w:rPr>
              <w:t>20</w:t>
            </w:r>
            <w:r>
              <w:rPr>
                <w:rFonts w:hint="eastAsia" w:ascii="宋体" w:hAnsi="宋体" w:eastAsia="宋体" w:cs="宋体"/>
                <w:u w:val="single"/>
                <w:lang w:val="en-US" w:eastAsia="zh-CN"/>
              </w:rPr>
              <w:t>21</w:t>
            </w:r>
            <w:r>
              <w:rPr>
                <w:rFonts w:hint="eastAsia" w:ascii="宋体" w:hAnsi="宋体" w:eastAsia="宋体" w:cs="宋体"/>
              </w:rPr>
              <w:t>年度（对于从取得营业执照时间起到投标截止时间为止不足要求年数的企业，只需提交企业取得营业执照年份至所要求最近年份经审计的财务报表）。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97" w:type="dxa"/>
            <w:vMerge w:val="continue"/>
            <w:noWrap w:val="0"/>
            <w:vAlign w:val="center"/>
          </w:tcPr>
          <w:p>
            <w:pPr>
              <w:spacing w:line="360" w:lineRule="auto"/>
              <w:jc w:val="center"/>
              <w:rPr>
                <w:rFonts w:hint="eastAsia" w:ascii="宋体" w:hAnsi="宋体" w:eastAsia="宋体" w:cs="宋体"/>
              </w:rPr>
            </w:pPr>
          </w:p>
        </w:tc>
        <w:tc>
          <w:tcPr>
            <w:tcW w:w="2478"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近年完成的类似项目的年份要求</w:t>
            </w:r>
          </w:p>
        </w:tc>
        <w:tc>
          <w:tcPr>
            <w:tcW w:w="6092" w:type="dxa"/>
            <w:gridSpan w:val="2"/>
            <w:noWrap w:val="0"/>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3年，指项目竣工日期至投标截止日止不超过3年。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97" w:type="dxa"/>
            <w:vMerge w:val="continue"/>
            <w:noWrap w:val="0"/>
            <w:vAlign w:val="top"/>
          </w:tcPr>
          <w:p>
            <w:pPr>
              <w:spacing w:line="360" w:lineRule="auto"/>
              <w:jc w:val="center"/>
              <w:rPr>
                <w:rFonts w:hint="eastAsia" w:ascii="宋体" w:hAnsi="宋体" w:eastAsia="宋体" w:cs="宋体"/>
              </w:rPr>
            </w:pPr>
          </w:p>
        </w:tc>
        <w:tc>
          <w:tcPr>
            <w:tcW w:w="2478" w:type="dxa"/>
            <w:noWrap w:val="0"/>
            <w:vAlign w:val="center"/>
          </w:tcPr>
          <w:p>
            <w:pPr>
              <w:spacing w:line="300" w:lineRule="exact"/>
              <w:jc w:val="center"/>
              <w:rPr>
                <w:rFonts w:hint="eastAsia" w:ascii="宋体" w:hAnsi="宋体" w:eastAsia="宋体" w:cs="宋体"/>
              </w:rPr>
            </w:pPr>
            <w:r>
              <w:rPr>
                <w:rFonts w:hint="eastAsia" w:ascii="宋体" w:hAnsi="宋体" w:eastAsia="宋体" w:cs="宋体"/>
                <w:color w:val="auto"/>
                <w:szCs w:val="21"/>
              </w:rPr>
              <w:t>近三年发生的诉讼及仲裁情况的时间要求</w:t>
            </w:r>
          </w:p>
        </w:tc>
        <w:tc>
          <w:tcPr>
            <w:tcW w:w="6092" w:type="dxa"/>
            <w:gridSpan w:val="2"/>
            <w:noWrap w:val="0"/>
            <w:vAlign w:val="center"/>
          </w:tcPr>
          <w:p>
            <w:pPr>
              <w:spacing w:line="300" w:lineRule="exact"/>
              <w:rPr>
                <w:rFonts w:hint="eastAsia" w:ascii="宋体" w:hAnsi="宋体" w:eastAsia="宋体" w:cs="宋体"/>
              </w:rPr>
            </w:pPr>
            <w:r>
              <w:rPr>
                <w:rFonts w:hint="eastAsia" w:ascii="宋体" w:hAnsi="宋体" w:eastAsia="宋体" w:cs="宋体"/>
                <w:color w:val="auto"/>
                <w:szCs w:val="21"/>
              </w:rPr>
              <w:t>3年，指诉讼及仲裁判决日期至投标截止日止不超过3年。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3.3.1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投标有效期</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 xml:space="preserve">□45天   </w:t>
            </w:r>
            <w:r>
              <w:rPr>
                <w:rFonts w:hint="eastAsia" w:ascii="宋体" w:hAnsi="宋体" w:eastAsia="宋体" w:cs="宋体"/>
                <w:lang w:eastAsia="zh-CN"/>
              </w:rPr>
              <w:t>□</w:t>
            </w:r>
            <w:r>
              <w:rPr>
                <w:rFonts w:hint="eastAsia" w:ascii="宋体" w:hAnsi="宋体" w:eastAsia="宋体" w:cs="宋体"/>
              </w:rPr>
              <w:t xml:space="preserve">60天    </w:t>
            </w:r>
            <w:r>
              <w:rPr>
                <w:rFonts w:hint="eastAsia" w:ascii="宋体" w:hAnsi="宋体" w:eastAsia="宋体" w:cs="宋体"/>
                <w:lang w:eastAsia="zh-CN"/>
              </w:rPr>
              <w:t>☑</w:t>
            </w:r>
            <w:r>
              <w:rPr>
                <w:rFonts w:hint="eastAsia" w:ascii="宋体" w:hAnsi="宋体" w:eastAsia="宋体" w:cs="宋体"/>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3.4.1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投标保证金</w:t>
            </w:r>
          </w:p>
        </w:tc>
        <w:tc>
          <w:tcPr>
            <w:tcW w:w="6092" w:type="dxa"/>
            <w:gridSpan w:val="2"/>
            <w:noWrap w:val="0"/>
            <w:vAlign w:val="center"/>
          </w:tcPr>
          <w:p>
            <w:pPr>
              <w:spacing w:line="360" w:lineRule="auto"/>
              <w:rPr>
                <w:rFonts w:hint="eastAsia" w:ascii="宋体" w:hAnsi="宋体" w:eastAsia="宋体" w:cs="宋体"/>
                <w:u w:val="single"/>
              </w:rPr>
            </w:pPr>
            <w:r>
              <w:rPr>
                <w:rFonts w:hint="eastAsia" w:ascii="宋体" w:hAnsi="宋体" w:eastAsia="宋体" w:cs="宋体"/>
                <w:color w:val="000000"/>
                <w:kern w:val="0"/>
                <w:sz w:val="21"/>
                <w:szCs w:val="21"/>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3.5</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是否允许提交备选投标方案</w:t>
            </w:r>
          </w:p>
        </w:tc>
        <w:tc>
          <w:tcPr>
            <w:tcW w:w="6092" w:type="dxa"/>
            <w:gridSpan w:val="2"/>
            <w:noWrap w:val="0"/>
            <w:vAlign w:val="center"/>
          </w:tcPr>
          <w:p>
            <w:pPr>
              <w:spacing w:line="360" w:lineRule="auto"/>
              <w:rPr>
                <w:rFonts w:hint="eastAsia" w:ascii="宋体" w:hAnsi="宋体" w:eastAsia="宋体" w:cs="宋体"/>
                <w:u w:val="single"/>
                <w:lang w:eastAsia="zh-CN"/>
              </w:rPr>
            </w:pPr>
            <w:r>
              <w:rPr>
                <w:rFonts w:hint="eastAsia" w:ascii="宋体" w:hAnsi="宋体" w:eastAsia="宋体" w:cs="宋体"/>
              </w:rPr>
              <w:t>不允许</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3.6.3</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签字和（或）盖章要求</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电子投标文件应由投标人在电子招标文件规定的相关位置加盖投标人法人单位公章或 CA 电子公章，且经法定代表人签字（或盖章）或其委托代理人本人签字或 CA 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3.6.4</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投标文件副本份数</w:t>
            </w:r>
          </w:p>
        </w:tc>
        <w:tc>
          <w:tcPr>
            <w:tcW w:w="6092" w:type="dxa"/>
            <w:gridSpan w:val="2"/>
            <w:noWrap w:val="0"/>
            <w:vAlign w:val="center"/>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1.系统生成标书时，生成两份，一份是投标用的标书，一份是备</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份标书。</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2.电子投标文件通过平台有效 CA 加密后在“政采云”平台投送。</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3.投标人如参与多个分标，因资格审查部分为共同使用，投标人</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按照招标文件要求提供资料后可合并编制，上传任意分标即可；</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商务技术必须按每个分标独立编制、分别单独投送投标文件，否</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则，后果自负。</w:t>
            </w:r>
          </w:p>
          <w:p>
            <w:pPr>
              <w:spacing w:line="360" w:lineRule="auto"/>
              <w:rPr>
                <w:rFonts w:hint="eastAsia" w:ascii="宋体" w:hAnsi="宋体" w:eastAsia="宋体" w:cs="宋体"/>
                <w:b/>
                <w:bCs/>
                <w:lang w:val="en-US" w:eastAsia="zh-CN"/>
              </w:rPr>
            </w:pPr>
            <w:r>
              <w:rPr>
                <w:rFonts w:hint="eastAsia" w:ascii="宋体" w:hAnsi="宋体" w:eastAsia="宋体" w:cs="宋体"/>
                <w:lang w:val="en-US" w:eastAsia="zh-CN"/>
              </w:rPr>
              <w:t>备注：</w:t>
            </w:r>
            <w:r>
              <w:rPr>
                <w:rFonts w:hint="eastAsia" w:ascii="宋体" w:hAnsi="宋体" w:eastAsia="宋体" w:cs="宋体"/>
                <w:b/>
                <w:bCs/>
                <w:lang w:val="en-US" w:eastAsia="zh-CN"/>
              </w:rPr>
              <w:t>投标人中标后，须提供两套纸质版（一正一副）投标文件</w:t>
            </w:r>
          </w:p>
          <w:p>
            <w:pPr>
              <w:spacing w:line="360" w:lineRule="auto"/>
              <w:rPr>
                <w:rFonts w:hint="eastAsia" w:ascii="宋体" w:hAnsi="宋体" w:eastAsia="宋体" w:cs="宋体"/>
              </w:rPr>
            </w:pPr>
            <w:r>
              <w:rPr>
                <w:rFonts w:hint="eastAsia" w:ascii="宋体" w:hAnsi="宋体" w:eastAsia="宋体" w:cs="宋体"/>
                <w:b/>
                <w:bCs/>
                <w:lang w:val="en-US" w:eastAsia="zh-CN"/>
              </w:rPr>
              <w:t>给招标代理机构</w:t>
            </w:r>
            <w:r>
              <w:rPr>
                <w:rFonts w:hint="eastAsia" w:ascii="宋体" w:hAnsi="宋体" w:eastAsia="宋体" w:cs="宋体"/>
                <w:lang w:val="en-US" w:eastAsia="zh-CN"/>
              </w:rPr>
              <w:t>，招标代理机构整理资料完善后交付招标人存档。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3.6.5</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投标文件装订要求</w:t>
            </w:r>
          </w:p>
        </w:tc>
        <w:tc>
          <w:tcPr>
            <w:tcW w:w="6092" w:type="dxa"/>
            <w:gridSpan w:val="2"/>
            <w:noWrap w:val="0"/>
            <w:vAlign w:val="center"/>
          </w:tcPr>
          <w:p>
            <w:pPr>
              <w:snapToGrid w:val="0"/>
              <w:spacing w:line="360" w:lineRule="auto"/>
              <w:rPr>
                <w:rFonts w:hint="eastAsia" w:ascii="宋体" w:hAnsi="宋体" w:eastAsia="宋体" w:cs="宋体"/>
                <w:u w:val="single"/>
              </w:rPr>
            </w:pPr>
            <w:r>
              <w:rPr>
                <w:rFonts w:hint="eastAsia" w:ascii="宋体" w:hAnsi="宋体" w:eastAsia="宋体" w:cs="宋体"/>
              </w:rPr>
              <w:t>为确保网上操作合法、有效和安全，投标人应当在投标截止时间前完成在“政采云”平台的身份认证，确保在电子投标过程中能够对相关数据电文进行加密和使用电子签名。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7" w:type="dxa"/>
            <w:noWrap w:val="0"/>
            <w:vAlign w:val="center"/>
          </w:tcPr>
          <w:p>
            <w:pPr>
              <w:snapToGrid w:val="0"/>
              <w:spacing w:line="360" w:lineRule="auto"/>
              <w:jc w:val="center"/>
              <w:rPr>
                <w:rFonts w:hint="eastAsia" w:ascii="宋体" w:hAnsi="宋体" w:eastAsia="宋体" w:cs="宋体"/>
              </w:rPr>
            </w:pPr>
            <w:r>
              <w:rPr>
                <w:rFonts w:hint="eastAsia" w:ascii="宋体" w:hAnsi="宋体" w:eastAsia="宋体" w:cs="宋体"/>
              </w:rPr>
              <w:t>4.1.1</w:t>
            </w:r>
          </w:p>
        </w:tc>
        <w:tc>
          <w:tcPr>
            <w:tcW w:w="2478" w:type="dxa"/>
            <w:noWrap w:val="0"/>
            <w:vAlign w:val="center"/>
          </w:tcPr>
          <w:p>
            <w:pPr>
              <w:snapToGrid w:val="0"/>
              <w:spacing w:line="360" w:lineRule="auto"/>
              <w:jc w:val="center"/>
              <w:rPr>
                <w:rFonts w:hint="eastAsia" w:ascii="宋体" w:hAnsi="宋体" w:eastAsia="宋体" w:cs="宋体"/>
              </w:rPr>
            </w:pPr>
            <w:r>
              <w:rPr>
                <w:rFonts w:hint="eastAsia" w:ascii="宋体" w:hAnsi="宋体" w:eastAsia="宋体" w:cs="宋体"/>
                <w:lang w:val="zh-CN"/>
              </w:rPr>
              <w:t>密封和标记</w:t>
            </w:r>
          </w:p>
        </w:tc>
        <w:tc>
          <w:tcPr>
            <w:tcW w:w="6092" w:type="dxa"/>
            <w:gridSpan w:val="2"/>
            <w:noWrap w:val="0"/>
            <w:vAlign w:val="center"/>
          </w:tcPr>
          <w:p>
            <w:pPr>
              <w:snapToGrid w:val="0"/>
              <w:spacing w:line="360" w:lineRule="auto"/>
              <w:jc w:val="both"/>
              <w:rPr>
                <w:rFonts w:hint="eastAsia" w:ascii="宋体" w:hAnsi="宋体" w:eastAsia="宋体" w:cs="宋体"/>
                <w:lang w:val="en-US" w:eastAsia="zh-CN"/>
              </w:rPr>
            </w:pPr>
            <w:r>
              <w:rPr>
                <w:rFonts w:hint="eastAsia" w:ascii="宋体" w:hAnsi="宋体" w:eastAsia="宋体" w:cs="宋体"/>
                <w:color w:val="auto"/>
                <w:szCs w:val="21"/>
              </w:rPr>
              <w:t>电子投标文件通过平台有效CA加密后在“政采云”平台投送。（操作方式见公告附件“电子投标文件制作与投送教程”）。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97" w:type="dxa"/>
            <w:noWrap w:val="0"/>
            <w:vAlign w:val="center"/>
          </w:tcPr>
          <w:p>
            <w:pPr>
              <w:snapToGrid w:val="0"/>
              <w:spacing w:line="360" w:lineRule="auto"/>
              <w:jc w:val="center"/>
              <w:rPr>
                <w:rFonts w:hint="eastAsia" w:ascii="宋体" w:hAnsi="宋体" w:eastAsia="宋体" w:cs="宋体"/>
              </w:rPr>
            </w:pPr>
            <w:r>
              <w:rPr>
                <w:rFonts w:hint="eastAsia" w:ascii="宋体" w:hAnsi="宋体" w:eastAsia="宋体" w:cs="宋体"/>
              </w:rPr>
              <w:t>4.1.2</w:t>
            </w:r>
          </w:p>
        </w:tc>
        <w:tc>
          <w:tcPr>
            <w:tcW w:w="2478" w:type="dxa"/>
            <w:noWrap w:val="0"/>
            <w:vAlign w:val="center"/>
          </w:tcPr>
          <w:p>
            <w:pPr>
              <w:snapToGrid w:val="0"/>
              <w:spacing w:line="360" w:lineRule="auto"/>
              <w:jc w:val="center"/>
              <w:rPr>
                <w:rFonts w:hint="eastAsia" w:ascii="宋体" w:hAnsi="宋体" w:eastAsia="宋体" w:cs="宋体"/>
              </w:rPr>
            </w:pPr>
            <w:r>
              <w:rPr>
                <w:rFonts w:hint="eastAsia" w:ascii="宋体" w:hAnsi="宋体" w:eastAsia="宋体" w:cs="宋体"/>
              </w:rPr>
              <w:t>封套上写明</w:t>
            </w:r>
          </w:p>
        </w:tc>
        <w:tc>
          <w:tcPr>
            <w:tcW w:w="6092" w:type="dxa"/>
            <w:gridSpan w:val="2"/>
            <w:noWrap w:val="0"/>
            <w:vAlign w:val="center"/>
          </w:tcPr>
          <w:p>
            <w:pPr>
              <w:snapToGrid w:val="0"/>
              <w:spacing w:line="360" w:lineRule="auto"/>
              <w:rPr>
                <w:rFonts w:hint="eastAsia" w:ascii="宋体" w:hAnsi="宋体" w:eastAsia="宋体" w:cs="宋体"/>
                <w:lang w:val="en-US" w:eastAsia="zh-CN"/>
              </w:rPr>
            </w:pPr>
            <w:r>
              <w:rPr>
                <w:rFonts w:hint="eastAsia" w:ascii="宋体" w:hAnsi="宋体" w:eastAsia="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napToGrid w:val="0"/>
              <w:spacing w:line="360" w:lineRule="auto"/>
              <w:jc w:val="center"/>
              <w:rPr>
                <w:rFonts w:hint="eastAsia" w:ascii="宋体" w:hAnsi="宋体" w:eastAsia="宋体" w:cs="宋体"/>
              </w:rPr>
            </w:pPr>
            <w:r>
              <w:rPr>
                <w:rFonts w:hint="eastAsia" w:ascii="宋体" w:hAnsi="宋体" w:eastAsia="宋体" w:cs="宋体"/>
              </w:rPr>
              <w:t>4.2.2</w:t>
            </w:r>
          </w:p>
        </w:tc>
        <w:tc>
          <w:tcPr>
            <w:tcW w:w="2478" w:type="dxa"/>
            <w:noWrap w:val="0"/>
            <w:vAlign w:val="center"/>
          </w:tcPr>
          <w:p>
            <w:pPr>
              <w:snapToGrid w:val="0"/>
              <w:spacing w:line="360" w:lineRule="auto"/>
              <w:jc w:val="center"/>
              <w:rPr>
                <w:rFonts w:hint="eastAsia" w:ascii="宋体" w:hAnsi="宋体" w:eastAsia="宋体" w:cs="宋体"/>
              </w:rPr>
            </w:pPr>
            <w:r>
              <w:rPr>
                <w:rFonts w:hint="eastAsia" w:ascii="宋体" w:hAnsi="宋体" w:eastAsia="宋体" w:cs="宋体"/>
              </w:rPr>
              <w:t>递交投标文件地点</w:t>
            </w:r>
          </w:p>
        </w:tc>
        <w:tc>
          <w:tcPr>
            <w:tcW w:w="6092" w:type="dxa"/>
            <w:gridSpan w:val="2"/>
            <w:noWrap w:val="0"/>
            <w:vAlign w:val="center"/>
          </w:tcPr>
          <w:p>
            <w:pPr>
              <w:snapToGrid w:val="0"/>
              <w:spacing w:line="360" w:lineRule="auto"/>
              <w:rPr>
                <w:rFonts w:hint="eastAsia" w:ascii="宋体" w:hAnsi="宋体" w:eastAsia="宋体" w:cs="宋体"/>
                <w:lang w:val="en-US"/>
              </w:rPr>
            </w:pPr>
            <w:r>
              <w:rPr>
                <w:rFonts w:hint="eastAsia" w:ascii="宋体" w:hAnsi="宋体" w:eastAsia="宋体" w:cs="宋体"/>
                <w:lang w:val="en-US" w:eastAsia="zh-CN"/>
              </w:rPr>
              <w:t>通过政采云平台在线投送响应。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4.2.3</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是否退还投标文件</w:t>
            </w:r>
          </w:p>
        </w:tc>
        <w:tc>
          <w:tcPr>
            <w:tcW w:w="6092" w:type="dxa"/>
            <w:gridSpan w:val="2"/>
            <w:noWrap w:val="0"/>
            <w:vAlign w:val="center"/>
          </w:tcPr>
          <w:p>
            <w:pPr>
              <w:spacing w:line="360" w:lineRule="auto"/>
              <w:rPr>
                <w:rFonts w:hint="eastAsia" w:ascii="宋体" w:hAnsi="宋体" w:eastAsia="宋体" w:cs="宋体"/>
                <w:u w:val="single"/>
              </w:rPr>
            </w:pP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5.1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开标时间和地点</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开标时间：同投标截止时间</w:t>
            </w:r>
          </w:p>
          <w:p>
            <w:pPr>
              <w:spacing w:line="360" w:lineRule="auto"/>
              <w:rPr>
                <w:rFonts w:hint="eastAsia" w:ascii="宋体" w:hAnsi="宋体" w:eastAsia="宋体" w:cs="宋体"/>
              </w:rPr>
            </w:pPr>
            <w:r>
              <w:rPr>
                <w:rFonts w:hint="eastAsia" w:ascii="宋体" w:hAnsi="宋体" w:eastAsia="宋体" w:cs="宋体"/>
              </w:rPr>
              <w:t>开标地点：</w:t>
            </w:r>
            <w:r>
              <w:rPr>
                <w:rFonts w:hint="eastAsia" w:ascii="宋体" w:hAnsi="宋体" w:eastAsia="宋体" w:cs="宋体"/>
                <w:lang w:val="en-US" w:eastAsia="zh-CN"/>
              </w:rPr>
              <w:t>通过政采云平台在线开标。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5.2</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开标程序</w:t>
            </w:r>
          </w:p>
        </w:tc>
        <w:tc>
          <w:tcPr>
            <w:tcW w:w="6092" w:type="dxa"/>
            <w:gridSpan w:val="2"/>
            <w:noWrap w:val="0"/>
            <w:vAlign w:val="center"/>
          </w:tcPr>
          <w:p>
            <w:pPr>
              <w:spacing w:line="360" w:lineRule="auto"/>
              <w:rPr>
                <w:rFonts w:hint="eastAsia" w:ascii="宋体" w:hAnsi="宋体" w:eastAsia="宋体" w:cs="宋体"/>
                <w:lang w:eastAsia="zh-CN"/>
              </w:rPr>
            </w:pPr>
            <w:r>
              <w:rPr>
                <w:rFonts w:hint="eastAsia" w:ascii="宋体" w:hAnsi="宋体" w:eastAsia="宋体" w:cs="宋体"/>
              </w:rPr>
              <w:t>见正文5.2条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6.1.1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评标委员会的组建</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评标委员会构成：</w:t>
            </w:r>
            <w:r>
              <w:rPr>
                <w:rFonts w:hint="eastAsia" w:ascii="宋体" w:hAnsi="宋体" w:eastAsia="宋体" w:cs="宋体"/>
                <w:u w:val="single"/>
                <w:lang w:val="en-US" w:eastAsia="zh-CN"/>
              </w:rPr>
              <w:t>7</w:t>
            </w:r>
            <w:r>
              <w:rPr>
                <w:rFonts w:hint="eastAsia" w:ascii="宋体" w:hAnsi="宋体" w:eastAsia="宋体" w:cs="宋体"/>
              </w:rPr>
              <w:t>人，其中招标人代表</w:t>
            </w:r>
            <w:r>
              <w:rPr>
                <w:rFonts w:hint="eastAsia" w:ascii="宋体" w:hAnsi="宋体" w:eastAsia="宋体" w:cs="宋体"/>
                <w:u w:val="single"/>
                <w:lang w:val="en-US" w:eastAsia="zh-CN"/>
              </w:rPr>
              <w:t>2</w:t>
            </w:r>
            <w:r>
              <w:rPr>
                <w:rFonts w:hint="eastAsia" w:ascii="宋体" w:hAnsi="宋体" w:eastAsia="宋体" w:cs="宋体"/>
              </w:rPr>
              <w:t>人，专家</w:t>
            </w:r>
            <w:r>
              <w:rPr>
                <w:rFonts w:hint="eastAsia" w:ascii="宋体" w:hAnsi="宋体" w:eastAsia="宋体" w:cs="宋体"/>
                <w:u w:val="single"/>
                <w:lang w:val="en-US" w:eastAsia="zh-CN"/>
              </w:rPr>
              <w:t>5</w:t>
            </w:r>
            <w:r>
              <w:rPr>
                <w:rFonts w:hint="eastAsia" w:ascii="宋体" w:hAnsi="宋体" w:eastAsia="宋体" w:cs="宋体"/>
                <w:u w:val="single"/>
              </w:rPr>
              <w:t xml:space="preserve"> </w:t>
            </w:r>
            <w:r>
              <w:rPr>
                <w:rFonts w:hint="eastAsia" w:ascii="宋体" w:hAnsi="宋体" w:eastAsia="宋体" w:cs="宋体"/>
              </w:rPr>
              <w:t>人。</w:t>
            </w:r>
          </w:p>
          <w:p>
            <w:pPr>
              <w:spacing w:line="360" w:lineRule="auto"/>
              <w:rPr>
                <w:rFonts w:hint="eastAsia" w:ascii="宋体" w:hAnsi="宋体" w:eastAsia="宋体" w:cs="宋体"/>
              </w:rPr>
            </w:pPr>
            <w:r>
              <w:rPr>
                <w:rFonts w:hint="eastAsia" w:ascii="宋体" w:hAnsi="宋体" w:eastAsia="宋体" w:cs="宋体"/>
              </w:rPr>
              <w:t>评标专家分工：</w:t>
            </w:r>
            <w:r>
              <w:rPr>
                <w:rFonts w:hint="eastAsia" w:ascii="宋体" w:hAnsi="宋体" w:eastAsia="宋体" w:cs="宋体"/>
                <w:lang w:eastAsia="zh-CN"/>
              </w:rPr>
              <w:t>☑</w:t>
            </w:r>
            <w:r>
              <w:rPr>
                <w:rFonts w:hint="eastAsia" w:ascii="宋体" w:hAnsi="宋体" w:eastAsia="宋体" w:cs="宋体"/>
              </w:rPr>
              <w:t>分技术、经济类，其中，招标人代表参加技术类</w:t>
            </w:r>
            <w:r>
              <w:rPr>
                <w:rFonts w:hint="eastAsia" w:ascii="宋体" w:hAnsi="宋体" w:eastAsia="宋体" w:cs="宋体"/>
                <w:u w:val="single"/>
              </w:rPr>
              <w:t xml:space="preserve"> </w:t>
            </w:r>
            <w:r>
              <w:rPr>
                <w:rFonts w:hint="eastAsia" w:ascii="宋体" w:hAnsi="宋体" w:eastAsia="宋体" w:cs="宋体"/>
                <w:u w:val="single"/>
                <w:lang w:val="en-US" w:eastAsia="zh-CN"/>
              </w:rPr>
              <w:t>2</w:t>
            </w:r>
            <w:r>
              <w:rPr>
                <w:rFonts w:hint="eastAsia" w:ascii="宋体" w:hAnsi="宋体" w:eastAsia="宋体" w:cs="宋体"/>
                <w:u w:val="single"/>
              </w:rPr>
              <w:t xml:space="preserve"> </w:t>
            </w:r>
            <w:r>
              <w:rPr>
                <w:rFonts w:hint="eastAsia" w:ascii="宋体" w:hAnsi="宋体" w:eastAsia="宋体" w:cs="宋体"/>
              </w:rPr>
              <w:t>人、经济类</w:t>
            </w:r>
            <w:r>
              <w:rPr>
                <w:rFonts w:hint="eastAsia" w:ascii="宋体" w:hAnsi="宋体" w:eastAsia="宋体" w:cs="宋体"/>
                <w:u w:val="single"/>
              </w:rPr>
              <w:t xml:space="preserve">  0   </w:t>
            </w:r>
            <w:r>
              <w:rPr>
                <w:rFonts w:hint="eastAsia" w:ascii="宋体" w:hAnsi="宋体" w:eastAsia="宋体" w:cs="宋体"/>
              </w:rPr>
              <w:t>人；技术类专家</w:t>
            </w:r>
            <w:r>
              <w:rPr>
                <w:rFonts w:hint="eastAsia" w:ascii="宋体" w:hAnsi="宋体" w:eastAsia="宋体" w:cs="宋体"/>
                <w:u w:val="single"/>
              </w:rPr>
              <w:t xml:space="preserve"> </w:t>
            </w:r>
            <w:r>
              <w:rPr>
                <w:rFonts w:hint="eastAsia" w:ascii="宋体" w:hAnsi="宋体" w:eastAsia="宋体" w:cs="宋体"/>
                <w:u w:val="single"/>
                <w:lang w:val="en-US" w:eastAsia="zh-CN"/>
              </w:rPr>
              <w:t>3</w:t>
            </w:r>
            <w:r>
              <w:rPr>
                <w:rFonts w:hint="eastAsia" w:ascii="宋体" w:hAnsi="宋体" w:eastAsia="宋体" w:cs="宋体"/>
                <w:u w:val="single"/>
              </w:rPr>
              <w:t xml:space="preserve"> </w:t>
            </w:r>
            <w:r>
              <w:rPr>
                <w:rFonts w:hint="eastAsia" w:ascii="宋体" w:hAnsi="宋体" w:eastAsia="宋体" w:cs="宋体"/>
              </w:rPr>
              <w:t>人、经济类专家</w:t>
            </w:r>
            <w:r>
              <w:rPr>
                <w:rFonts w:hint="eastAsia" w:ascii="宋体" w:hAnsi="宋体" w:eastAsia="宋体" w:cs="宋体"/>
                <w:u w:val="single"/>
              </w:rPr>
              <w:t xml:space="preserve">  2  </w:t>
            </w:r>
            <w:r>
              <w:rPr>
                <w:rFonts w:hint="eastAsia" w:ascii="宋体" w:hAnsi="宋体" w:eastAsia="宋体" w:cs="宋体"/>
              </w:rPr>
              <w:t>人。</w:t>
            </w:r>
          </w:p>
          <w:p>
            <w:pPr>
              <w:spacing w:line="360" w:lineRule="auto"/>
              <w:rPr>
                <w:rFonts w:hint="eastAsia" w:ascii="宋体" w:hAnsi="宋体" w:eastAsia="宋体" w:cs="宋体"/>
              </w:rPr>
            </w:pPr>
            <w:r>
              <w:rPr>
                <w:rFonts w:hint="eastAsia" w:ascii="宋体" w:hAnsi="宋体" w:eastAsia="宋体" w:cs="宋体"/>
              </w:rPr>
              <w:t>评标专家确定方式：</w:t>
            </w:r>
            <w:r>
              <w:rPr>
                <w:rFonts w:hint="eastAsia" w:ascii="宋体" w:hAnsi="宋体" w:eastAsia="宋体" w:cs="宋体"/>
                <w:color w:val="auto"/>
                <w:spacing w:val="0"/>
                <w:szCs w:val="21"/>
                <w:highlight w:val="none"/>
                <w:u w:val="single"/>
                <w:lang w:val="en-US" w:eastAsia="zh-CN"/>
              </w:rPr>
              <w:t>在政采云平台专家库</w:t>
            </w:r>
            <w:r>
              <w:rPr>
                <w:rFonts w:hint="eastAsia" w:ascii="宋体" w:hAnsi="宋体" w:eastAsia="宋体" w:cs="宋体"/>
                <w:color w:val="auto"/>
                <w:spacing w:val="0"/>
                <w:szCs w:val="21"/>
                <w:highlight w:val="none"/>
                <w:u w:val="single"/>
              </w:rPr>
              <w:t>随机抽取</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6.3</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评标方式</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□经评审的合理低价法</w:t>
            </w:r>
          </w:p>
          <w:p>
            <w:pPr>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6.5</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评标资料封存方式</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lang w:eastAsia="zh-CN"/>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6.5.1（3）</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封存的其它材料</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6.6.1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中标候选人公示的媒介</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在《招标公告》发布的同一媒介上公示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6.7</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履约能力审查的标准和方法</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在中标通知书发出前，中标候选人不得有以下情形：</w:t>
            </w:r>
          </w:p>
          <w:p>
            <w:pPr>
              <w:spacing w:line="360" w:lineRule="auto"/>
              <w:rPr>
                <w:rFonts w:hint="eastAsia" w:ascii="宋体" w:hAnsi="宋体" w:eastAsia="宋体" w:cs="宋体"/>
              </w:rPr>
            </w:pPr>
            <w:r>
              <w:rPr>
                <w:rFonts w:hint="eastAsia" w:ascii="宋体" w:hAnsi="宋体" w:eastAsia="宋体" w:cs="宋体"/>
              </w:rPr>
              <w:t>1、被吊销或暂扣营业执照</w:t>
            </w:r>
          </w:p>
          <w:p>
            <w:pPr>
              <w:spacing w:line="360" w:lineRule="auto"/>
              <w:rPr>
                <w:rFonts w:hint="eastAsia" w:ascii="宋体" w:hAnsi="宋体" w:eastAsia="宋体" w:cs="宋体"/>
              </w:rPr>
            </w:pPr>
            <w:r>
              <w:rPr>
                <w:rFonts w:hint="eastAsia" w:ascii="宋体" w:hAnsi="宋体" w:eastAsia="宋体" w:cs="宋体"/>
              </w:rPr>
              <w:t>2、进入破产程序</w:t>
            </w:r>
          </w:p>
          <w:p>
            <w:pPr>
              <w:spacing w:line="360" w:lineRule="auto"/>
              <w:rPr>
                <w:rFonts w:hint="eastAsia" w:ascii="宋体" w:hAnsi="宋体" w:eastAsia="宋体" w:cs="宋体"/>
                <w:lang w:eastAsia="zh-CN"/>
              </w:rPr>
            </w:pPr>
            <w:r>
              <w:rPr>
                <w:rFonts w:hint="eastAsia" w:ascii="宋体" w:hAnsi="宋体" w:eastAsia="宋体" w:cs="宋体"/>
              </w:rPr>
              <w:t>3、其他</w:t>
            </w:r>
          </w:p>
          <w:p>
            <w:pPr>
              <w:spacing w:line="360" w:lineRule="auto"/>
              <w:rPr>
                <w:rFonts w:hint="eastAsia" w:ascii="宋体" w:hAnsi="宋体" w:eastAsia="宋体" w:cs="宋体"/>
              </w:rPr>
            </w:pPr>
            <w:r>
              <w:rPr>
                <w:rFonts w:hint="eastAsia" w:ascii="宋体" w:hAnsi="宋体" w:eastAsia="宋体" w:cs="宋体"/>
              </w:rPr>
              <w:t>（1）被责令停业的；</w:t>
            </w:r>
          </w:p>
          <w:p>
            <w:pPr>
              <w:spacing w:line="360" w:lineRule="auto"/>
              <w:rPr>
                <w:rFonts w:hint="eastAsia" w:ascii="宋体" w:hAnsi="宋体" w:eastAsia="宋体" w:cs="宋体"/>
              </w:rPr>
            </w:pPr>
            <w:r>
              <w:rPr>
                <w:rFonts w:hint="eastAsia" w:ascii="宋体" w:hAnsi="宋体" w:eastAsia="宋体" w:cs="宋体"/>
              </w:rPr>
              <w:t xml:space="preserve">（2）被吊销或暂扣安全生产许可证； </w:t>
            </w:r>
          </w:p>
          <w:p>
            <w:pPr>
              <w:spacing w:line="360" w:lineRule="auto"/>
              <w:rPr>
                <w:rFonts w:hint="eastAsia" w:ascii="宋体" w:hAnsi="宋体" w:eastAsia="宋体" w:cs="宋体"/>
              </w:rPr>
            </w:pPr>
            <w:r>
              <w:rPr>
                <w:rFonts w:hint="eastAsia" w:ascii="宋体" w:hAnsi="宋体" w:eastAsia="宋体" w:cs="宋体"/>
              </w:rPr>
              <w:t>（3）在本行政区域被暂停或取消投标资格的；</w:t>
            </w:r>
          </w:p>
          <w:p>
            <w:pPr>
              <w:spacing w:line="360" w:lineRule="auto"/>
              <w:rPr>
                <w:rFonts w:hint="eastAsia" w:ascii="宋体" w:hAnsi="宋体" w:eastAsia="宋体" w:cs="宋体"/>
              </w:rPr>
            </w:pPr>
            <w:r>
              <w:rPr>
                <w:rFonts w:hint="eastAsia" w:ascii="宋体" w:hAnsi="宋体" w:eastAsia="宋体" w:cs="宋体"/>
              </w:rPr>
              <w:t>（4）财产被接管或基本账户被冻结的；</w:t>
            </w:r>
          </w:p>
          <w:p>
            <w:pPr>
              <w:spacing w:line="360" w:lineRule="auto"/>
              <w:rPr>
                <w:rFonts w:hint="eastAsia" w:ascii="宋体" w:hAnsi="宋体" w:eastAsia="宋体" w:cs="宋体"/>
              </w:rPr>
            </w:pPr>
            <w:r>
              <w:rPr>
                <w:rFonts w:hint="eastAsia" w:ascii="宋体" w:hAnsi="宋体" w:eastAsia="宋体" w:cs="宋体"/>
              </w:rPr>
              <w:t>（5）有骗取中标或严重违约或工程质量安全问题，在本行政区域被停业整顿或暂停投标</w:t>
            </w:r>
            <w:r>
              <w:rPr>
                <w:rFonts w:hint="eastAsia" w:ascii="宋体" w:hAnsi="宋体" w:eastAsia="宋体" w:cs="宋体"/>
                <w:lang w:eastAsia="zh-CN"/>
              </w:rPr>
              <w:t>。</w:t>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7.1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是否授权评标委员会确定中标人</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是</w:t>
            </w:r>
          </w:p>
          <w:p>
            <w:pPr>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否，推荐的中标候选人数：</w:t>
            </w:r>
            <w:r>
              <w:rPr>
                <w:rFonts w:hint="eastAsia" w:ascii="宋体" w:hAnsi="宋体" w:eastAsia="宋体" w:cs="宋体"/>
                <w:u w:val="single"/>
              </w:rPr>
              <w:t xml:space="preserve">  3</w:t>
            </w:r>
            <w:r>
              <w:rPr>
                <w:rFonts w:hint="eastAsia" w:ascii="宋体" w:hAnsi="宋体" w:eastAsia="宋体" w:cs="宋体"/>
                <w:u w:val="single"/>
                <w:lang w:val="en-US" w:eastAsia="zh-CN"/>
              </w:rPr>
              <w:t>人</w:t>
            </w: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97" w:type="dxa"/>
            <w:vMerge w:val="restart"/>
            <w:noWrap w:val="0"/>
            <w:vAlign w:val="center"/>
          </w:tcPr>
          <w:p>
            <w:pPr>
              <w:spacing w:line="360" w:lineRule="auto"/>
              <w:jc w:val="center"/>
              <w:rPr>
                <w:rFonts w:hint="eastAsia" w:ascii="宋体" w:hAnsi="宋体" w:eastAsia="宋体" w:cs="宋体"/>
              </w:rPr>
            </w:pPr>
            <w:r>
              <w:rPr>
                <w:rFonts w:hint="eastAsia" w:ascii="宋体" w:hAnsi="宋体" w:eastAsia="宋体" w:cs="宋体"/>
              </w:rPr>
              <w:t>7.3.1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履约保证金</w:t>
            </w:r>
          </w:p>
        </w:tc>
        <w:tc>
          <w:tcPr>
            <w:tcW w:w="6092" w:type="dxa"/>
            <w:gridSpan w:val="2"/>
            <w:noWrap w:val="0"/>
            <w:vAlign w:val="center"/>
          </w:tcPr>
          <w:p>
            <w:pPr>
              <w:spacing w:line="360" w:lineRule="auto"/>
              <w:rPr>
                <w:rFonts w:hint="eastAsia" w:ascii="宋体" w:hAnsi="宋体" w:eastAsia="宋体" w:cs="宋体"/>
                <w:b/>
                <w:bCs/>
              </w:rPr>
            </w:pPr>
            <w:r>
              <w:rPr>
                <w:rFonts w:hint="eastAsia" w:ascii="宋体" w:hAnsi="宋体" w:eastAsia="宋体" w:cs="宋体"/>
                <w:lang w:eastAsia="zh-CN"/>
              </w:rPr>
              <w:t>□</w:t>
            </w:r>
            <w:r>
              <w:rPr>
                <w:rFonts w:hint="eastAsia" w:ascii="宋体" w:hAnsi="宋体" w:eastAsia="宋体" w:cs="宋体"/>
              </w:rPr>
              <w:t>是  履约保证金的形式：可以采用现金、银行保函、工程担保或保证保险等形式</w:t>
            </w:r>
          </w:p>
          <w:p>
            <w:pPr>
              <w:spacing w:line="360" w:lineRule="auto"/>
              <w:rPr>
                <w:rFonts w:hint="eastAsia" w:ascii="宋体" w:hAnsi="宋体" w:eastAsia="宋体" w:cs="宋体"/>
                <w:b/>
                <w:bCs/>
                <w:u w:val="single"/>
              </w:rPr>
            </w:pPr>
            <w:r>
              <w:rPr>
                <w:rFonts w:hint="eastAsia" w:ascii="宋体" w:hAnsi="宋体" w:eastAsia="宋体" w:cs="宋体"/>
              </w:rPr>
              <w:t>履约保证金：</w:t>
            </w:r>
            <w:r>
              <w:rPr>
                <w:rFonts w:hint="eastAsia" w:ascii="宋体" w:hAnsi="宋体" w:eastAsia="宋体" w:cs="宋体"/>
                <w:u w:val="single"/>
              </w:rPr>
              <w:t xml:space="preserve">合同价款扣除发包人材料设备价款、暂估专业工程、暂列金额后的3% </w:t>
            </w:r>
          </w:p>
          <w:p>
            <w:pPr>
              <w:spacing w:line="360" w:lineRule="auto"/>
              <w:rPr>
                <w:rFonts w:hint="eastAsia" w:ascii="宋体" w:hAnsi="宋体" w:eastAsia="宋体" w:cs="宋体"/>
                <w:lang w:eastAsia="zh-CN"/>
              </w:rPr>
            </w:pPr>
            <w:r>
              <w:rPr>
                <w:rFonts w:hint="eastAsia" w:ascii="宋体" w:hAnsi="宋体" w:eastAsia="宋体" w:cs="宋体"/>
              </w:rPr>
              <w:t>投标人在收到中标通知书后，须在</w:t>
            </w:r>
            <w:r>
              <w:rPr>
                <w:rFonts w:hint="eastAsia" w:ascii="宋体" w:hAnsi="宋体" w:eastAsia="宋体" w:cs="宋体"/>
                <w:u w:val="single"/>
              </w:rPr>
              <w:t xml:space="preserve"> 10 </w:t>
            </w:r>
            <w:r>
              <w:rPr>
                <w:rFonts w:hint="eastAsia" w:ascii="宋体" w:hAnsi="宋体" w:eastAsia="宋体" w:cs="宋体"/>
              </w:rPr>
              <w:t>日内向招标人足额提交履约保证金，否则招标人可以取消其中标资格</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97" w:type="dxa"/>
            <w:vMerge w:val="continue"/>
            <w:noWrap w:val="0"/>
            <w:vAlign w:val="center"/>
          </w:tcPr>
          <w:p>
            <w:pPr>
              <w:spacing w:line="360" w:lineRule="auto"/>
              <w:jc w:val="center"/>
              <w:rPr>
                <w:rFonts w:hint="eastAsia" w:ascii="宋体" w:hAnsi="宋体" w:eastAsia="宋体" w:cs="宋体"/>
              </w:rPr>
            </w:pPr>
          </w:p>
        </w:tc>
        <w:tc>
          <w:tcPr>
            <w:tcW w:w="2478" w:type="dxa"/>
            <w:noWrap w:val="0"/>
            <w:vAlign w:val="center"/>
          </w:tcPr>
          <w:p>
            <w:pPr>
              <w:spacing w:line="360" w:lineRule="auto"/>
              <w:jc w:val="center"/>
              <w:rPr>
                <w:rFonts w:hint="eastAsia" w:ascii="宋体" w:hAnsi="宋体" w:eastAsia="宋体" w:cs="宋体"/>
                <w:lang w:eastAsia="zh-CN"/>
              </w:rPr>
            </w:pPr>
            <w:r>
              <w:rPr>
                <w:rFonts w:hint="eastAsia" w:ascii="宋体" w:hAnsi="宋体" w:eastAsia="宋体" w:cs="宋体"/>
              </w:rPr>
              <w:t>农民工工资</w:t>
            </w:r>
          </w:p>
          <w:p>
            <w:pPr>
              <w:spacing w:line="360" w:lineRule="auto"/>
              <w:jc w:val="center"/>
              <w:rPr>
                <w:rFonts w:hint="eastAsia" w:ascii="宋体" w:hAnsi="宋体" w:eastAsia="宋体" w:cs="宋体"/>
              </w:rPr>
            </w:pPr>
            <w:r>
              <w:rPr>
                <w:rFonts w:hint="eastAsia" w:ascii="宋体" w:hAnsi="宋体" w:eastAsia="宋体" w:cs="宋体"/>
              </w:rPr>
              <w:t>保障金</w:t>
            </w:r>
          </w:p>
        </w:tc>
        <w:tc>
          <w:tcPr>
            <w:tcW w:w="6092" w:type="dxa"/>
            <w:gridSpan w:val="2"/>
            <w:noWrap w:val="0"/>
            <w:vAlign w:val="center"/>
          </w:tcPr>
          <w:p>
            <w:pPr>
              <w:spacing w:line="360" w:lineRule="auto"/>
              <w:rPr>
                <w:rFonts w:hint="eastAsia" w:ascii="宋体" w:hAnsi="宋体" w:eastAsia="宋体" w:cs="宋体"/>
                <w:lang w:eastAsia="zh-CN"/>
              </w:rPr>
            </w:pPr>
            <w:r>
              <w:rPr>
                <w:rFonts w:hint="eastAsia" w:ascii="宋体" w:hAnsi="宋体" w:eastAsia="宋体" w:cs="宋体"/>
              </w:rPr>
              <w:t>按《保障农民工工资支付条例（中华人民共和国国务院令第 724 号）》和《工程建设领域农民工工资专用账户管理暂行办法（人社部发【2021】53 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67" w:type="dxa"/>
            <w:gridSpan w:val="4"/>
            <w:noWrap w:val="0"/>
            <w:vAlign w:val="top"/>
          </w:tcPr>
          <w:p>
            <w:pPr>
              <w:spacing w:line="360" w:lineRule="auto"/>
              <w:jc w:val="center"/>
              <w:rPr>
                <w:rFonts w:hint="eastAsia" w:ascii="宋体" w:hAnsi="宋体" w:eastAsia="宋体" w:cs="宋体"/>
              </w:rPr>
            </w:pPr>
            <w:r>
              <w:rPr>
                <w:rFonts w:hint="eastAsia" w:ascii="宋体" w:hAnsi="宋体" w:eastAsia="宋体" w:cs="宋体"/>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top"/>
          </w:tcPr>
          <w:p>
            <w:pPr>
              <w:spacing w:line="360" w:lineRule="auto"/>
              <w:jc w:val="center"/>
              <w:rPr>
                <w:rFonts w:hint="eastAsia" w:ascii="宋体" w:hAnsi="宋体" w:eastAsia="宋体" w:cs="宋体"/>
              </w:rPr>
            </w:pPr>
            <w:r>
              <w:rPr>
                <w:rFonts w:hint="eastAsia" w:ascii="宋体" w:hAnsi="宋体" w:eastAsia="宋体" w:cs="宋体"/>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center"/>
          </w:tcPr>
          <w:p>
            <w:pPr>
              <w:spacing w:line="360" w:lineRule="auto"/>
              <w:rPr>
                <w:rFonts w:hint="eastAsia" w:ascii="宋体" w:hAnsi="宋体" w:eastAsia="宋体" w:cs="宋体"/>
              </w:rPr>
            </w:pPr>
            <w:r>
              <w:rPr>
                <w:rFonts w:hint="eastAsia" w:ascii="宋体" w:hAnsi="宋体" w:eastAsia="宋体" w:cs="宋体"/>
              </w:rPr>
              <w:t>10.1.1</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类似项目</w:t>
            </w:r>
          </w:p>
        </w:tc>
        <w:tc>
          <w:tcPr>
            <w:tcW w:w="6092" w:type="dxa"/>
            <w:gridSpan w:val="2"/>
            <w:noWrap w:val="0"/>
            <w:vAlign w:val="center"/>
          </w:tcPr>
          <w:p>
            <w:pPr>
              <w:spacing w:line="360" w:lineRule="auto"/>
              <w:jc w:val="center"/>
              <w:rPr>
                <w:rFonts w:hint="eastAsia" w:ascii="宋体" w:hAnsi="宋体" w:eastAsia="宋体" w:cs="宋体"/>
                <w:b/>
                <w:bCs/>
              </w:rPr>
            </w:pPr>
            <w:r>
              <w:rPr>
                <w:rFonts w:hint="eastAsia" w:ascii="宋体" w:hAnsi="宋体" w:eastAsia="宋体" w:cs="宋体"/>
                <w:b/>
                <w:bCs/>
              </w:rPr>
              <w:t>类似项目是指：</w:t>
            </w:r>
            <w:r>
              <w:rPr>
                <w:rFonts w:hint="eastAsia" w:ascii="宋体" w:hAnsi="宋体" w:eastAsia="宋体" w:cs="宋体"/>
                <w:b/>
                <w:bCs/>
                <w:color w:val="000000"/>
                <w:sz w:val="21"/>
                <w:szCs w:val="21"/>
                <w:highlight w:val="none"/>
              </w:rPr>
              <w:t>高标准农田、水利水电工程</w:t>
            </w:r>
            <w:r>
              <w:rPr>
                <w:rFonts w:hint="eastAsia" w:ascii="宋体" w:hAnsi="宋体" w:eastAsia="宋体" w:cs="宋体"/>
                <w:b/>
                <w:bCs/>
                <w:color w:val="000000"/>
                <w:sz w:val="21"/>
                <w:szCs w:val="21"/>
                <w:highlight w:val="none"/>
                <w:lang w:eastAsia="zh-CN"/>
              </w:rPr>
              <w:t>、市政公用工程</w:t>
            </w:r>
            <w:r>
              <w:rPr>
                <w:rFonts w:hint="eastAsia" w:ascii="宋体" w:hAnsi="宋体" w:eastAsia="宋体" w:cs="宋体"/>
                <w:b/>
                <w:bCs/>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center"/>
          </w:tcPr>
          <w:p>
            <w:pPr>
              <w:spacing w:line="360" w:lineRule="auto"/>
              <w:rPr>
                <w:rFonts w:hint="eastAsia" w:ascii="宋体" w:hAnsi="宋体" w:eastAsia="宋体" w:cs="宋体"/>
              </w:rPr>
            </w:pPr>
            <w:r>
              <w:rPr>
                <w:rFonts w:hint="eastAsia" w:ascii="宋体" w:hAnsi="宋体" w:eastAsia="宋体" w:cs="宋体"/>
              </w:rPr>
              <w:t>10.1.2</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不良行为记录</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不良行为记录是指：</w:t>
            </w:r>
            <w:r>
              <w:rPr>
                <w:rFonts w:hint="eastAsia" w:ascii="宋体" w:hAnsi="宋体" w:eastAsia="宋体" w:cs="宋体"/>
                <w:color w:val="000000"/>
                <w:sz w:val="21"/>
                <w:szCs w:val="21"/>
                <w:highlight w:val="none"/>
              </w:rPr>
              <w:t>“建筑市场各方主体在工程建设过程中违反有关工程建设的法律、法规、规章或强制性标准和执业行为规范，经县级以上建设行政主管部门或其委托的执法监督机构查实和行政处罚，形成的不良行为记录。”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center"/>
          </w:tcPr>
          <w:p>
            <w:pPr>
              <w:spacing w:line="360" w:lineRule="auto"/>
              <w:rPr>
                <w:rFonts w:hint="eastAsia" w:ascii="宋体" w:hAnsi="宋体" w:eastAsia="宋体" w:cs="宋体"/>
              </w:rPr>
            </w:pPr>
            <w:r>
              <w:rPr>
                <w:rFonts w:hint="eastAsia" w:ascii="宋体" w:hAnsi="宋体" w:eastAsia="宋体" w:cs="宋体"/>
              </w:rPr>
              <w:t>10.1.3</w:t>
            </w:r>
          </w:p>
        </w:tc>
        <w:tc>
          <w:tcPr>
            <w:tcW w:w="2478"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发布媒介</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发布媒介是指招标公告规定的发布招标公告、招标文件澄清、评标结果公示、中标公告等信息的媒（体）介。按照招标公告规定还需在其它媒介上公示的，发布内容、发布期限应以法规指定媒介发布的为准。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top"/>
          </w:tcPr>
          <w:p>
            <w:pPr>
              <w:spacing w:line="360" w:lineRule="auto"/>
              <w:rPr>
                <w:rFonts w:hint="eastAsia" w:ascii="宋体" w:hAnsi="宋体" w:eastAsia="宋体" w:cs="宋体"/>
              </w:rPr>
            </w:pPr>
            <w:r>
              <w:rPr>
                <w:rFonts w:hint="eastAsia" w:ascii="宋体" w:hAnsi="宋体" w:eastAsia="宋体" w:cs="宋体"/>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top"/>
          </w:tcPr>
          <w:p>
            <w:pPr>
              <w:spacing w:line="360" w:lineRule="auto"/>
              <w:rPr>
                <w:rFonts w:hint="eastAsia" w:ascii="宋体" w:hAnsi="宋体" w:eastAsia="宋体" w:cs="宋体"/>
                <w:lang w:eastAsia="zh-CN"/>
              </w:rPr>
            </w:pPr>
            <w:r>
              <w:rPr>
                <w:rFonts w:hint="eastAsia" w:ascii="宋体" w:hAnsi="宋体" w:eastAsia="宋体" w:cs="宋体"/>
                <w:lang w:eastAsia="zh-CN"/>
              </w:rPr>
              <w:sym w:font="Wingdings 2" w:char="0052"/>
            </w:r>
            <w:r>
              <w:rPr>
                <w:rFonts w:hint="eastAsia" w:ascii="宋体" w:hAnsi="宋体" w:cs="宋体"/>
                <w:lang w:eastAsia="zh-CN"/>
              </w:rPr>
              <w:t>设招标控制价</w:t>
            </w:r>
            <w:r>
              <w:rPr>
                <w:rFonts w:hint="eastAsia" w:ascii="宋体" w:hAnsi="宋体" w:cs="宋体"/>
                <w:lang w:val="en-US" w:eastAsia="zh-CN"/>
              </w:rPr>
              <w:t xml:space="preserve">      </w:t>
            </w:r>
            <w:r>
              <w:rPr>
                <w:rFonts w:hint="eastAsia" w:ascii="宋体" w:hAnsi="宋体" w:eastAsia="宋体" w:cs="宋体"/>
                <w:lang w:eastAsia="zh-CN"/>
              </w:rPr>
              <w:t>□</w:t>
            </w:r>
            <w:r>
              <w:rPr>
                <w:rFonts w:hint="eastAsia" w:ascii="宋体" w:hAnsi="宋体" w:cs="宋体"/>
                <w:lang w:eastAsia="zh-CN"/>
              </w:rPr>
              <w:t>不设招标控制价</w:t>
            </w:r>
          </w:p>
          <w:tbl>
            <w:tblPr>
              <w:tblStyle w:val="39"/>
              <w:tblW w:w="957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80"/>
              <w:gridCol w:w="349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8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标段</w:t>
                  </w:r>
                </w:p>
              </w:tc>
              <w:tc>
                <w:tcPr>
                  <w:tcW w:w="348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标段</w:t>
                  </w:r>
                  <w:r>
                    <w:rPr>
                      <w:rFonts w:hint="eastAsia" w:ascii="宋体" w:hAnsi="宋体" w:eastAsia="宋体" w:cs="宋体"/>
                      <w:b/>
                      <w:bCs/>
                      <w:color w:val="000000"/>
                      <w:kern w:val="2"/>
                      <w:sz w:val="21"/>
                      <w:szCs w:val="21"/>
                      <w:highlight w:val="none"/>
                      <w:lang w:eastAsia="zh-CN"/>
                    </w:rPr>
                    <w:t>名称</w:t>
                  </w:r>
                </w:p>
              </w:tc>
              <w:tc>
                <w:tcPr>
                  <w:tcW w:w="34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i w:val="0"/>
                      <w:color w:val="000000"/>
                      <w:kern w:val="0"/>
                      <w:sz w:val="21"/>
                      <w:szCs w:val="21"/>
                      <w:highlight w:val="none"/>
                      <w:u w:val="none"/>
                      <w:lang w:val="en-US" w:eastAsia="zh-CN" w:bidi="ar"/>
                    </w:rPr>
                    <w:t>实施项目名称</w:t>
                  </w:r>
                </w:p>
              </w:tc>
              <w:tc>
                <w:tcPr>
                  <w:tcW w:w="17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rPr>
                    <w:t>招标控制价</w:t>
                  </w:r>
                  <w:r>
                    <w:rPr>
                      <w:rFonts w:hint="eastAsia" w:ascii="宋体" w:hAnsi="宋体" w:eastAsia="宋体" w:cs="宋体"/>
                      <w:b/>
                      <w:bCs/>
                      <w:color w:val="000000"/>
                      <w:kern w:val="2"/>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1分标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rPr>
                  </w:pPr>
                  <w:r>
                    <w:rPr>
                      <w:rFonts w:hint="eastAsia" w:ascii="宋体" w:hAnsi="宋体" w:cs="宋体"/>
                      <w:color w:val="000000"/>
                      <w:sz w:val="21"/>
                      <w:szCs w:val="21"/>
                      <w:highlight w:val="none"/>
                      <w:lang w:eastAsia="zh-CN"/>
                    </w:rPr>
                    <w:t>2022年上思县平福乡高标准农田建设项目（那明村片区）1标段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1807401.98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2分标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2分标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1277888.80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3分标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3分标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1191712.63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4分标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4分标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1104748.52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5分标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5分标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1415291.52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6分标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6分标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1819945.72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7分标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7分标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2022年上思县平福乡高标准农田建设项目（那明村片区）</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1435517.17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8分标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Style w:val="159"/>
                      <w:rFonts w:hint="eastAsia" w:ascii="宋体" w:hAnsi="宋体" w:cs="宋体"/>
                      <w:color w:val="000000"/>
                      <w:sz w:val="21"/>
                      <w:szCs w:val="21"/>
                      <w:highlight w:val="none"/>
                      <w:lang w:val="en-US" w:eastAsia="zh-CN" w:bidi="ar"/>
                    </w:rPr>
                    <w:t>8分</w:t>
                  </w:r>
                  <w:r>
                    <w:rPr>
                      <w:rStyle w:val="159"/>
                      <w:rFonts w:hint="eastAsia" w:ascii="宋体" w:hAnsi="宋体" w:eastAsia="宋体" w:cs="宋体"/>
                      <w:color w:val="000000"/>
                      <w:sz w:val="21"/>
                      <w:szCs w:val="21"/>
                      <w:highlight w:val="none"/>
                      <w:lang w:val="en-US" w:eastAsia="zh-CN" w:bidi="ar"/>
                    </w:rPr>
                    <w:t>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2022年上思县平福乡高标准农田建设项目（平福村片区）1标段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1668657.03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9分标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Style w:val="159"/>
                      <w:rFonts w:hint="eastAsia" w:ascii="宋体" w:hAnsi="宋体" w:cs="宋体"/>
                      <w:color w:val="000000"/>
                      <w:sz w:val="21"/>
                      <w:szCs w:val="21"/>
                      <w:highlight w:val="none"/>
                      <w:lang w:val="en-US" w:eastAsia="zh-CN" w:bidi="ar"/>
                    </w:rPr>
                    <w:t>9分</w:t>
                  </w:r>
                  <w:r>
                    <w:rPr>
                      <w:rStyle w:val="159"/>
                      <w:rFonts w:hint="eastAsia" w:ascii="宋体" w:hAnsi="宋体" w:eastAsia="宋体" w:cs="宋体"/>
                      <w:color w:val="000000"/>
                      <w:sz w:val="21"/>
                      <w:szCs w:val="21"/>
                      <w:highlight w:val="none"/>
                      <w:lang w:val="en-US" w:eastAsia="zh-CN" w:bidi="ar"/>
                    </w:rPr>
                    <w:t>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1086733.81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10分标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2022年上思县高标准农田建设项目（那明村、平福村、伟华村片区）</w:t>
                  </w:r>
                  <w:r>
                    <w:rPr>
                      <w:rStyle w:val="159"/>
                      <w:rFonts w:hint="eastAsia" w:ascii="宋体" w:hAnsi="宋体" w:cs="宋体"/>
                      <w:color w:val="000000"/>
                      <w:sz w:val="21"/>
                      <w:szCs w:val="21"/>
                      <w:highlight w:val="none"/>
                      <w:lang w:val="en-US" w:eastAsia="zh-CN" w:bidi="ar"/>
                    </w:rPr>
                    <w:t>10分</w:t>
                  </w:r>
                  <w:r>
                    <w:rPr>
                      <w:rStyle w:val="159"/>
                      <w:rFonts w:hint="eastAsia" w:ascii="宋体" w:hAnsi="宋体" w:eastAsia="宋体" w:cs="宋体"/>
                      <w:color w:val="000000"/>
                      <w:sz w:val="21"/>
                      <w:szCs w:val="21"/>
                      <w:highlight w:val="none"/>
                      <w:lang w:val="en-US" w:eastAsia="zh-CN" w:bidi="ar"/>
                    </w:rPr>
                    <w:t>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1514296.20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11分标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11分标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1449425.85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12分标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12分标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1141305.14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13分标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13分标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1472020.39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14分标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14分标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2022年上思县平福乡高标准农田建设项目（平福村片区）</w:t>
                  </w: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1264905.58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15分标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15分标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片区）1标段</w:t>
                  </w:r>
                </w:p>
              </w:tc>
              <w:tc>
                <w:tcPr>
                  <w:tcW w:w="17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1449749.01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16分标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16分标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1389033.28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17分标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17分标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1398859.27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18分标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18分标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1100919.26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19分标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19分标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1392437.54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20分标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20分标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1456953.92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21分标</w:t>
                  </w:r>
                </w:p>
              </w:tc>
              <w:tc>
                <w:tcPr>
                  <w:tcW w:w="34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2022年上思县高标准农田建设项目（那明村、平福村、伟华村片区）</w:t>
                  </w:r>
                  <w:r>
                    <w:rPr>
                      <w:rFonts w:hint="eastAsia" w:ascii="宋体" w:hAnsi="宋体" w:cs="宋体"/>
                      <w:color w:val="000000"/>
                      <w:sz w:val="21"/>
                      <w:szCs w:val="21"/>
                      <w:highlight w:val="none"/>
                      <w:lang w:val="en-US" w:eastAsia="zh-CN"/>
                    </w:rPr>
                    <w:t>21分标</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2022年上思县平福乡高标准农田建设项目（</w:t>
                  </w:r>
                  <w:r>
                    <w:rPr>
                      <w:rFonts w:hint="eastAsia" w:ascii="宋体" w:hAnsi="宋体" w:cs="宋体"/>
                      <w:color w:val="000000"/>
                      <w:kern w:val="0"/>
                      <w:sz w:val="21"/>
                      <w:szCs w:val="21"/>
                      <w:highlight w:val="none"/>
                      <w:lang w:eastAsia="zh-CN"/>
                    </w:rPr>
                    <w:t>伟华村</w:t>
                  </w:r>
                  <w:r>
                    <w:rPr>
                      <w:rFonts w:hint="eastAsia" w:ascii="宋体" w:hAnsi="宋体" w:eastAsia="宋体" w:cs="宋体"/>
                      <w:color w:val="000000"/>
                      <w:kern w:val="0"/>
                      <w:sz w:val="21"/>
                      <w:szCs w:val="21"/>
                      <w:highlight w:val="none"/>
                      <w:lang w:eastAsia="zh-CN"/>
                    </w:rPr>
                    <w:t>片区）</w:t>
                  </w: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eastAsia="zh-CN"/>
                    </w:rPr>
                    <w:t>标段</w:t>
                  </w:r>
                </w:p>
              </w:tc>
              <w:tc>
                <w:tcPr>
                  <w:tcW w:w="1710" w:type="dxa"/>
                  <w:noWrap w:val="0"/>
                  <w:vAlign w:val="center"/>
                </w:tcPr>
                <w:p>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1414033.77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36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合计</w:t>
                  </w:r>
                </w:p>
              </w:tc>
              <w:tc>
                <w:tcPr>
                  <w:tcW w:w="520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4"/>
                      <w:szCs w:val="24"/>
                      <w:highlight w:val="none"/>
                    </w:rPr>
                    <w:t>29251836.39</w:t>
                  </w:r>
                  <w:r>
                    <w:rPr>
                      <w:rFonts w:hint="eastAsia" w:ascii="宋体" w:hAnsi="宋体" w:cs="宋体"/>
                      <w:color w:val="000000"/>
                      <w:sz w:val="24"/>
                      <w:szCs w:val="24"/>
                      <w:highlight w:val="none"/>
                      <w:lang w:eastAsia="zh-CN"/>
                    </w:rPr>
                    <w:t>元</w:t>
                  </w:r>
                </w:p>
              </w:tc>
            </w:tr>
          </w:tbl>
          <w:p>
            <w:pPr>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667" w:type="dxa"/>
            <w:gridSpan w:val="4"/>
            <w:noWrap w:val="0"/>
            <w:vAlign w:val="center"/>
          </w:tcPr>
          <w:p>
            <w:pPr>
              <w:spacing w:line="360" w:lineRule="auto"/>
              <w:rPr>
                <w:rFonts w:hint="eastAsia" w:ascii="宋体" w:hAnsi="宋体" w:eastAsia="宋体" w:cs="宋体"/>
              </w:rPr>
            </w:pPr>
            <w:r>
              <w:rPr>
                <w:rFonts w:hint="eastAsia" w:ascii="宋体" w:hAnsi="宋体" w:eastAsia="宋体" w:cs="宋体"/>
              </w:rPr>
              <w:t>10.3技术标评审方式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center"/>
          </w:tcPr>
          <w:p>
            <w:pPr>
              <w:spacing w:line="360" w:lineRule="auto"/>
              <w:rPr>
                <w:rFonts w:hint="eastAsia" w:ascii="宋体" w:hAnsi="宋体" w:eastAsia="宋体" w:cs="宋体"/>
              </w:rPr>
            </w:pPr>
          </w:p>
        </w:tc>
        <w:tc>
          <w:tcPr>
            <w:tcW w:w="5526" w:type="dxa"/>
            <w:gridSpan w:val="2"/>
            <w:noWrap w:val="0"/>
            <w:vAlign w:val="center"/>
          </w:tcPr>
          <w:p>
            <w:pPr>
              <w:spacing w:line="360" w:lineRule="auto"/>
              <w:rPr>
                <w:rFonts w:hint="eastAsia" w:ascii="宋体" w:hAnsi="宋体" w:eastAsia="宋体" w:cs="宋体"/>
              </w:rPr>
            </w:pPr>
            <w:r>
              <w:rPr>
                <w:rFonts w:hint="eastAsia" w:ascii="宋体" w:hAnsi="宋体" w:eastAsia="宋体" w:cs="宋体"/>
              </w:rPr>
              <w:t xml:space="preserve">施工组织设计采用“暗标”评审方式 </w:t>
            </w:r>
          </w:p>
          <w:p>
            <w:pPr>
              <w:spacing w:line="360" w:lineRule="auto"/>
              <w:rPr>
                <w:rFonts w:hint="eastAsia" w:ascii="宋体" w:hAnsi="宋体" w:eastAsia="宋体" w:cs="宋体"/>
              </w:rPr>
            </w:pPr>
            <w:r>
              <w:rPr>
                <w:rFonts w:hint="eastAsia" w:ascii="宋体" w:hAnsi="宋体" w:eastAsia="宋体" w:cs="宋体"/>
              </w:rPr>
              <w:t>拟分包计划表、项目管理机构采用“明标”评审方式</w:t>
            </w:r>
          </w:p>
        </w:tc>
        <w:tc>
          <w:tcPr>
            <w:tcW w:w="3044" w:type="dxa"/>
            <w:noWrap w:val="0"/>
            <w:vAlign w:val="center"/>
          </w:tcPr>
          <w:p>
            <w:pPr>
              <w:spacing w:line="360" w:lineRule="auto"/>
              <w:rPr>
                <w:rFonts w:hint="eastAsia" w:ascii="宋体" w:hAnsi="宋体" w:eastAsia="宋体" w:cs="宋体"/>
              </w:rPr>
            </w:pPr>
            <w:r>
              <w:rPr>
                <w:rFonts w:hint="eastAsia" w:ascii="宋体" w:hAnsi="宋体" w:eastAsia="宋体" w:cs="宋体"/>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top"/>
          </w:tcPr>
          <w:p>
            <w:pPr>
              <w:spacing w:line="360" w:lineRule="auto"/>
              <w:rPr>
                <w:rFonts w:hint="eastAsia" w:ascii="宋体" w:hAnsi="宋体" w:eastAsia="宋体" w:cs="宋体"/>
              </w:rPr>
            </w:pPr>
            <w:r>
              <w:rPr>
                <w:rFonts w:hint="eastAsia" w:ascii="宋体" w:hAnsi="宋体" w:eastAsia="宋体" w:cs="宋体"/>
              </w:rPr>
              <w:t>10.4 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097" w:type="dxa"/>
            <w:noWrap w:val="0"/>
            <w:vAlign w:val="center"/>
          </w:tcPr>
          <w:p>
            <w:pPr>
              <w:spacing w:line="360" w:lineRule="auto"/>
              <w:rPr>
                <w:rFonts w:hint="eastAsia" w:ascii="宋体" w:hAnsi="宋体" w:eastAsia="宋体" w:cs="宋体"/>
              </w:rPr>
            </w:pPr>
          </w:p>
        </w:tc>
        <w:tc>
          <w:tcPr>
            <w:tcW w:w="2478" w:type="dxa"/>
            <w:noWrap w:val="0"/>
            <w:vAlign w:val="center"/>
          </w:tcPr>
          <w:p>
            <w:pPr>
              <w:snapToGrid w:val="0"/>
              <w:spacing w:line="360" w:lineRule="auto"/>
              <w:rPr>
                <w:rFonts w:hint="eastAsia" w:ascii="宋体" w:hAnsi="宋体" w:eastAsia="宋体" w:cs="宋体"/>
                <w:lang w:val="en-US" w:eastAsia="zh-CN"/>
              </w:rPr>
            </w:pPr>
            <w:r>
              <w:rPr>
                <w:rFonts w:hint="eastAsia" w:ascii="宋体" w:hAnsi="宋体" w:eastAsia="宋体" w:cs="宋体"/>
              </w:rPr>
              <w:t>电子投标文件</w:t>
            </w:r>
            <w:r>
              <w:rPr>
                <w:rFonts w:hint="eastAsia" w:ascii="宋体" w:hAnsi="宋体" w:eastAsia="宋体" w:cs="宋体"/>
                <w:lang w:val="en-US" w:eastAsia="zh-CN"/>
              </w:rPr>
              <w:t>制作与投送</w:t>
            </w:r>
          </w:p>
        </w:tc>
        <w:tc>
          <w:tcPr>
            <w:tcW w:w="6092" w:type="dxa"/>
            <w:gridSpan w:val="2"/>
            <w:noWrap w:val="0"/>
            <w:vAlign w:val="center"/>
          </w:tcPr>
          <w:p>
            <w:pPr>
              <w:spacing w:line="360" w:lineRule="auto"/>
              <w:rPr>
                <w:rFonts w:hint="eastAsia" w:ascii="宋体" w:hAnsi="宋体" w:eastAsia="宋体" w:cs="宋体"/>
              </w:rPr>
            </w:pPr>
            <w:r>
              <w:rPr>
                <w:rFonts w:hint="eastAsia" w:ascii="宋体" w:hAnsi="宋体" w:eastAsia="宋体" w:cs="宋体"/>
                <w:lang w:val="en-US" w:eastAsia="zh-CN"/>
              </w:rPr>
              <w:t>1.投标文件中所须加盖公章部分均采用CA签章。若投标文件中有专门标注的某关联点，并要求投标人在电子投标系统中作出投标响应的，如投标人未对关联点进行响应或者在投标文件其它内容进行描述，造成电子评审不能查询的责任由投标人自行承担。</w:t>
            </w:r>
          </w:p>
          <w:p>
            <w:pPr>
              <w:spacing w:line="360" w:lineRule="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以上材料属于复印件的扫描件的，必须加盖投标人电子公章，否则作无效投标处理。</w:t>
            </w:r>
          </w:p>
          <w:p>
            <w:pPr>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电子投标文件通过平台有效CA加密后在“政采云”平台投送。（操作方式见公告附件“电子投标文件制作与投送教程”）。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66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10.5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p>
        </w:tc>
        <w:tc>
          <w:tcPr>
            <w:tcW w:w="857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10.6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p>
        </w:tc>
        <w:tc>
          <w:tcPr>
            <w:tcW w:w="857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210" w:hanging="210" w:hangingChars="100"/>
              <w:textAlignment w:val="auto"/>
              <w:rPr>
                <w:rFonts w:hint="eastAsia" w:ascii="宋体" w:hAnsi="宋体" w:eastAsia="宋体" w:cs="宋体"/>
              </w:rPr>
            </w:pPr>
            <w:r>
              <w:rPr>
                <w:rFonts w:hint="eastAsia" w:ascii="宋体" w:hAnsi="宋体" w:eastAsia="宋体" w:cs="宋体"/>
              </w:rPr>
              <w:t>10.7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p>
        </w:tc>
        <w:tc>
          <w:tcPr>
            <w:tcW w:w="85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6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210" w:hanging="210" w:hangingChars="100"/>
              <w:textAlignment w:val="auto"/>
              <w:rPr>
                <w:rFonts w:hint="eastAsia" w:ascii="宋体" w:hAnsi="宋体" w:eastAsia="宋体" w:cs="宋体"/>
              </w:rPr>
            </w:pPr>
            <w:r>
              <w:rPr>
                <w:rFonts w:hint="eastAsia" w:ascii="宋体" w:hAnsi="宋体" w:eastAsia="宋体" w:cs="宋体"/>
              </w:rPr>
              <w:t>10.8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p>
        </w:tc>
        <w:tc>
          <w:tcPr>
            <w:tcW w:w="85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r>
              <w:rPr>
                <w:rFonts w:hint="eastAsia" w:ascii="宋体" w:hAnsi="宋体" w:eastAsia="宋体" w:cs="宋体"/>
                <w:lang w:val="en-US" w:eastAsia="zh-CN"/>
              </w:rPr>
              <w:t>监督管理机构：</w:t>
            </w:r>
            <w:r>
              <w:rPr>
                <w:rFonts w:hint="eastAsia" w:ascii="宋体" w:hAnsi="宋体" w:eastAsia="宋体" w:cs="宋体"/>
              </w:rPr>
              <w:t>上思县政府采购中心</w:t>
            </w:r>
            <w:r>
              <w:rPr>
                <w:rFonts w:hint="eastAsia" w:ascii="宋体" w:hAnsi="宋体" w:eastAsia="宋体" w:cs="宋体"/>
                <w:lang w:eastAsia="zh-CN"/>
              </w:rPr>
              <w:t>，</w:t>
            </w:r>
            <w:r>
              <w:rPr>
                <w:rFonts w:hint="eastAsia" w:ascii="宋体" w:hAnsi="宋体" w:eastAsia="宋体" w:cs="宋体"/>
                <w:lang w:val="en-US" w:eastAsia="zh-CN"/>
              </w:rPr>
              <w:t>联系</w:t>
            </w:r>
            <w:r>
              <w:rPr>
                <w:rFonts w:hint="eastAsia" w:ascii="宋体" w:hAnsi="宋体" w:eastAsia="宋体" w:cs="宋体"/>
              </w:rPr>
              <w:t>电话：0770-8521708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6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210" w:hanging="210" w:hangingChars="100"/>
              <w:textAlignment w:val="auto"/>
              <w:rPr>
                <w:rFonts w:hint="eastAsia" w:ascii="宋体" w:hAnsi="宋体" w:eastAsia="宋体" w:cs="宋体"/>
              </w:rPr>
            </w:pPr>
            <w:r>
              <w:rPr>
                <w:rFonts w:hint="eastAsia" w:ascii="宋体" w:hAnsi="宋体" w:eastAsia="宋体" w:cs="宋体"/>
              </w:rPr>
              <w:t>10.9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p>
        </w:tc>
        <w:tc>
          <w:tcPr>
            <w:tcW w:w="85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667" w:type="dxa"/>
            <w:gridSpan w:val="4"/>
            <w:noWrap w:val="0"/>
            <w:vAlign w:val="center"/>
          </w:tcPr>
          <w:p>
            <w:pPr>
              <w:spacing w:line="360" w:lineRule="auto"/>
              <w:rPr>
                <w:rFonts w:hint="eastAsia" w:ascii="宋体" w:hAnsi="宋体" w:eastAsia="宋体" w:cs="宋体"/>
              </w:rPr>
            </w:pPr>
            <w:r>
              <w:rPr>
                <w:rFonts w:hint="eastAsia" w:ascii="宋体" w:hAnsi="宋体" w:eastAsia="宋体" w:cs="宋体"/>
              </w:rPr>
              <w:t>10.10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10.10.1</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招标代理服务费的计算与收取</w:t>
            </w:r>
          </w:p>
        </w:tc>
        <w:tc>
          <w:tcPr>
            <w:tcW w:w="6092"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招标人支付</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中标人支付。具体为：具体</w:t>
            </w:r>
            <w:r>
              <w:rPr>
                <w:rFonts w:hint="eastAsia" w:ascii="宋体" w:hAnsi="宋体" w:eastAsia="宋体" w:cs="宋体"/>
                <w:lang w:val="en-US" w:eastAsia="zh-CN"/>
              </w:rPr>
              <w:t>以分标为计取额，</w:t>
            </w:r>
            <w:r>
              <w:rPr>
                <w:rFonts w:hint="eastAsia" w:ascii="宋体" w:hAnsi="宋体" w:eastAsia="宋体" w:cs="宋体"/>
              </w:rPr>
              <w:t>按计价格发改办价格</w:t>
            </w:r>
            <w:r>
              <w:rPr>
                <w:rFonts w:hint="eastAsia" w:ascii="宋体" w:hAnsi="宋体" w:eastAsia="宋体" w:cs="宋体"/>
                <w:lang w:val="en-US" w:eastAsia="zh-CN"/>
              </w:rPr>
              <w:t>[2011]534号、桂价费[2011]55号</w:t>
            </w:r>
            <w:r>
              <w:rPr>
                <w:rFonts w:hint="eastAsia" w:ascii="宋体" w:hAnsi="宋体" w:eastAsia="宋体" w:cs="宋体"/>
              </w:rPr>
              <w:t>文规定计取</w:t>
            </w:r>
            <w:r>
              <w:rPr>
                <w:rFonts w:hint="eastAsia" w:ascii="宋体" w:hAnsi="宋体" w:eastAsia="宋体" w:cs="宋体"/>
                <w:lang w:val="en-US" w:eastAsia="zh-CN"/>
              </w:rPr>
              <w:t>代理费</w:t>
            </w:r>
            <w:r>
              <w:rPr>
                <w:rFonts w:hint="eastAsia" w:ascii="宋体" w:hAnsi="宋体" w:eastAsia="宋体" w:cs="宋体"/>
              </w:rPr>
              <w:t>，由中标人在领取中标通知书时，一次性向招标代理机构支付。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10.10.2</w:t>
            </w:r>
          </w:p>
        </w:tc>
        <w:tc>
          <w:tcPr>
            <w:tcW w:w="85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lang w:eastAsia="zh-CN"/>
              </w:rPr>
            </w:pPr>
            <w:r>
              <w:rPr>
                <w:rFonts w:hint="eastAsia" w:ascii="宋体" w:hAnsi="宋体" w:eastAsia="宋体" w:cs="宋体"/>
              </w:rPr>
              <w:t>勘察单位：</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hint="eastAsia" w:ascii="宋体" w:hAnsi="宋体" w:eastAsia="宋体" w:cs="宋体"/>
                <w:lang w:val="en-US" w:eastAsia="zh-CN"/>
              </w:rPr>
            </w:pPr>
            <w:r>
              <w:rPr>
                <w:rFonts w:hint="eastAsia" w:ascii="宋体" w:hAnsi="宋体" w:eastAsia="宋体" w:cs="宋体"/>
                <w:highlight w:val="none"/>
              </w:rPr>
              <w:t>设计单位：</w:t>
            </w:r>
            <w:r>
              <w:rPr>
                <w:rFonts w:hint="eastAsia" w:ascii="宋体" w:hAnsi="宋体" w:eastAsia="宋体" w:cs="宋体"/>
                <w:highlight w:val="none"/>
                <w:lang w:val="en-US" w:eastAsia="zh-CN"/>
              </w:rPr>
              <w:t>广西宏源水利电力勘察设计有限公司</w:t>
            </w:r>
            <w:r>
              <w:rPr>
                <w:rFonts w:hint="eastAsia" w:ascii="宋体" w:hAnsi="宋体" w:cs="宋体"/>
                <w:highlight w:val="none"/>
                <w:lang w:val="en-US" w:eastAsia="zh-CN"/>
              </w:rPr>
              <w:t>、广西科艺蓝工程咨询有限公司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lang w:val="en-US" w:eastAsia="zh-CN"/>
              </w:rPr>
              <w:t>10.10.3</w:t>
            </w:r>
          </w:p>
        </w:tc>
        <w:tc>
          <w:tcPr>
            <w:tcW w:w="857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合同承包方式</w:t>
            </w:r>
            <w:r>
              <w:rPr>
                <w:rFonts w:hint="eastAsia" w:ascii="宋体" w:hAnsi="宋体" w:eastAsia="宋体"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本合同价款采用</w:t>
            </w:r>
            <w:r>
              <w:rPr>
                <w:rFonts w:hint="eastAsia" w:ascii="宋体" w:hAnsi="宋体" w:eastAsia="宋体" w:cs="宋体"/>
                <w:color w:val="000000"/>
                <w:sz w:val="21"/>
                <w:szCs w:val="21"/>
                <w:highlight w:val="none"/>
                <w:u w:val="single"/>
              </w:rPr>
              <w:t>固定单价包干</w:t>
            </w:r>
            <w:r>
              <w:rPr>
                <w:rFonts w:hint="eastAsia" w:ascii="宋体" w:hAnsi="宋体" w:eastAsia="宋体" w:cs="宋体"/>
                <w:color w:val="000000"/>
                <w:sz w:val="21"/>
                <w:szCs w:val="21"/>
                <w:highlight w:val="none"/>
              </w:rPr>
              <w:t>，以实际工程量结算方式确定。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计价方式采用</w:t>
            </w:r>
            <w:r>
              <w:rPr>
                <w:rFonts w:hint="eastAsia" w:ascii="宋体" w:hAnsi="宋体" w:eastAsia="宋体" w:cs="宋体"/>
                <w:color w:val="000000"/>
                <w:sz w:val="21"/>
                <w:szCs w:val="21"/>
                <w:highlight w:val="none"/>
                <w:u w:val="single"/>
              </w:rPr>
              <w:t>工程量清单计价</w:t>
            </w:r>
            <w:r>
              <w:rPr>
                <w:rFonts w:hint="eastAsia" w:ascii="宋体" w:hAnsi="宋体" w:eastAsia="宋体" w:cs="宋体"/>
                <w:color w:val="000000"/>
                <w:sz w:val="21"/>
                <w:szCs w:val="21"/>
                <w:highlight w:val="none"/>
              </w:rPr>
              <w:t>方式。</w:t>
            </w:r>
            <w:r>
              <w:rPr>
                <w:rFonts w:hint="eastAsia" w:ascii="宋体" w:hAnsi="宋体" w:eastAsia="宋体" w:cs="宋体"/>
                <w:color w:val="000000"/>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color w:val="000000"/>
                <w:sz w:val="21"/>
                <w:szCs w:val="21"/>
                <w:highlight w:val="none"/>
                <w:lang w:val="en-US" w:eastAsia="zh-CN"/>
              </w:rPr>
              <w:t>投标价格参考依据：</w:t>
            </w:r>
            <w:r>
              <w:rPr>
                <w:rFonts w:hint="eastAsia" w:ascii="宋体" w:hAnsi="宋体" w:eastAsia="宋体" w:cs="宋体"/>
                <w:color w:val="000000"/>
                <w:sz w:val="21"/>
                <w:szCs w:val="21"/>
                <w:highlight w:val="none"/>
                <w:u w:val="single"/>
                <w:lang w:val="en-US" w:eastAsia="zh-CN"/>
              </w:rPr>
              <w:t>（具体根据预算计算依据完善</w:t>
            </w:r>
            <w:r>
              <w:rPr>
                <w:rFonts w:hint="eastAsia" w:ascii="宋体" w:hAnsi="宋体" w:eastAsia="宋体" w:cs="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10.10.</w:t>
            </w:r>
            <w:r>
              <w:rPr>
                <w:rFonts w:hint="eastAsia" w:ascii="宋体" w:hAnsi="宋体" w:eastAsia="宋体" w:cs="宋体"/>
                <w:lang w:val="en-US" w:eastAsia="zh-CN"/>
              </w:rPr>
              <w:t>4</w:t>
            </w:r>
          </w:p>
        </w:tc>
        <w:tc>
          <w:tcPr>
            <w:tcW w:w="857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lang w:eastAsia="zh-CN"/>
              </w:rPr>
            </w:pPr>
            <w:r>
              <w:rPr>
                <w:rFonts w:hint="eastAsia" w:ascii="宋体" w:hAnsi="宋体" w:eastAsia="宋体" w:cs="宋体"/>
                <w:color w:val="000000"/>
                <w:sz w:val="21"/>
                <w:szCs w:val="21"/>
                <w:highlight w:val="none"/>
              </w:rPr>
              <w:t>政府采购合同备案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施工合同在发出中标通知书之日起25天内进行签订；</w:t>
            </w:r>
            <w:r>
              <w:rPr>
                <w:rFonts w:hint="eastAsia" w:ascii="宋体" w:hAnsi="宋体" w:eastAsia="宋体" w:cs="宋体"/>
                <w:color w:val="000000"/>
                <w:sz w:val="21"/>
                <w:szCs w:val="21"/>
                <w:highlight w:val="none"/>
              </w:rPr>
              <w:t>施工合同自签订之日起2个工作日内，中标单位必须将施工合同送本招标代理机构发布合同公示。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lang w:val="en-US" w:eastAsia="zh-CN"/>
              </w:rPr>
              <w:t>10.10.5</w:t>
            </w:r>
          </w:p>
        </w:tc>
        <w:tc>
          <w:tcPr>
            <w:tcW w:w="8570"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1、为配合招标人进行政府采购项目执行和备案，未在政采云注册正式</w:t>
            </w:r>
            <w:r>
              <w:rPr>
                <w:rFonts w:hint="eastAsia" w:ascii="宋体" w:hAnsi="宋体" w:eastAsia="宋体" w:cs="宋体"/>
                <w:lang w:eastAsia="zh-CN"/>
              </w:rPr>
              <w:t>投标人</w:t>
            </w:r>
            <w:r>
              <w:rPr>
                <w:rFonts w:hint="eastAsia" w:ascii="宋体" w:hAnsi="宋体" w:eastAsia="宋体" w:cs="宋体"/>
              </w:rPr>
              <w:t>的投标人可在获取招标文件后登录政采云进行注册，如在操作过程中遇到问题或者需要技术支持，请致电政采云客服热线：400-881-7190。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2.1、中标人必须在中标通知书发出之日起</w:t>
            </w:r>
            <w:r>
              <w:rPr>
                <w:rFonts w:hint="eastAsia" w:ascii="宋体" w:hAnsi="宋体" w:eastAsia="宋体" w:cs="宋体"/>
                <w:lang w:val="en-US" w:eastAsia="zh-CN"/>
              </w:rPr>
              <w:t>25</w:t>
            </w:r>
            <w:r>
              <w:rPr>
                <w:rFonts w:hint="eastAsia" w:ascii="宋体" w:hAnsi="宋体" w:eastAsia="宋体" w:cs="宋体"/>
              </w:rPr>
              <w:t>日内与采购单位签订合同。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2.2、采购单位自采购合同签订之日起在2个工作日内，将政府采购合同在财政部门指定的媒体上公告，政府采购合同中涉及国家秘密、商业秘密的内容除外。</w:t>
            </w:r>
          </w:p>
        </w:tc>
      </w:tr>
    </w:tbl>
    <w:p>
      <w:pPr>
        <w:ind w:left="750" w:hanging="749" w:hangingChars="357"/>
      </w:pPr>
      <w:r>
        <w:rPr>
          <w:rFonts w:eastAsia="楷体_GB2312" w:cs="楷体_GB2312"/>
        </w:rPr>
        <w:br w:type="page"/>
      </w:r>
    </w:p>
    <w:p>
      <w:pPr>
        <w:pStyle w:val="3"/>
        <w:jc w:val="center"/>
      </w:pPr>
      <w:bookmarkStart w:id="54" w:name="_Toc407135077"/>
      <w:bookmarkStart w:id="55" w:name="_Toc389065144"/>
      <w:bookmarkStart w:id="56" w:name="_Toc14375"/>
      <w:r>
        <w:rPr>
          <w:rFonts w:hint="eastAsia" w:cs="黑体"/>
        </w:rPr>
        <w:t>投标人须知正文部分</w:t>
      </w:r>
      <w:bookmarkEnd w:id="54"/>
      <w:bookmarkEnd w:id="55"/>
      <w:bookmarkEnd w:id="56"/>
    </w:p>
    <w:p>
      <w:pPr>
        <w:pStyle w:val="4"/>
      </w:pPr>
      <w:bookmarkStart w:id="57" w:name="_Toc407135078"/>
      <w:bookmarkStart w:id="58" w:name="_Toc21652"/>
      <w:bookmarkStart w:id="59" w:name="_Toc389065145"/>
      <w:r>
        <w:t xml:space="preserve">1 </w:t>
      </w:r>
      <w:r>
        <w:rPr>
          <w:rFonts w:hint="eastAsia" w:cs="黑体"/>
        </w:rPr>
        <w:t>总则</w:t>
      </w:r>
      <w:bookmarkEnd w:id="57"/>
      <w:bookmarkEnd w:id="58"/>
      <w:bookmarkEnd w:id="59"/>
    </w:p>
    <w:p>
      <w:pPr>
        <w:pStyle w:val="5"/>
      </w:pPr>
      <w:bookmarkStart w:id="60" w:name="_Toc407135079"/>
      <w:bookmarkStart w:id="61" w:name="_Toc389065146"/>
      <w:bookmarkStart w:id="62" w:name="_Toc24259"/>
      <w:r>
        <w:t xml:space="preserve">1.1 </w:t>
      </w:r>
      <w:r>
        <w:rPr>
          <w:rFonts w:hint="eastAsia" w:cs="黑体"/>
        </w:rPr>
        <w:t>项目概况</w:t>
      </w:r>
      <w:bookmarkEnd w:id="60"/>
      <w:bookmarkEnd w:id="61"/>
      <w:bookmarkEnd w:id="62"/>
    </w:p>
    <w:p>
      <w:pPr>
        <w:spacing w:line="360" w:lineRule="auto"/>
        <w:ind w:firstLine="420" w:firstLineChars="200"/>
      </w:pPr>
      <w:r>
        <w:t xml:space="preserve">1.1.1 </w:t>
      </w:r>
      <w:r>
        <w:rPr>
          <w:rFonts w:hint="eastAsia" w:cs="宋体"/>
        </w:rPr>
        <w:t>根据《中华人民共和国招标投标法》</w:t>
      </w:r>
      <w:r>
        <w:rPr>
          <w:rFonts w:hint="eastAsia" w:cs="宋体"/>
          <w:lang w:eastAsia="zh-CN"/>
        </w:rPr>
        <w:t>、《</w:t>
      </w:r>
      <w:r>
        <w:rPr>
          <w:rFonts w:hint="eastAsia"/>
          <w:lang w:eastAsia="zh-CN"/>
        </w:rPr>
        <w:t>中国人民共和国政府采购法</w:t>
      </w:r>
      <w:r>
        <w:rPr>
          <w:rFonts w:hint="eastAsia" w:cs="宋体"/>
          <w:lang w:eastAsia="zh-CN"/>
        </w:rPr>
        <w:t>》</w:t>
      </w:r>
      <w:r>
        <w:rPr>
          <w:rFonts w:hint="eastAsia" w:cs="宋体"/>
        </w:rPr>
        <w:t>等有关法律、法规和规章的规定，本招标项目已具备招标条件，现对本标段施工进行招标。</w:t>
      </w:r>
    </w:p>
    <w:p>
      <w:pPr>
        <w:spacing w:line="360" w:lineRule="auto"/>
        <w:ind w:firstLine="420" w:firstLineChars="200"/>
      </w:pPr>
      <w:r>
        <w:t xml:space="preserve">1.1.2 </w:t>
      </w:r>
      <w:r>
        <w:rPr>
          <w:rFonts w:hint="eastAsia" w:cs="宋体"/>
        </w:rPr>
        <w:t>本招标项目招标人：见</w:t>
      </w:r>
      <w:r>
        <w:t>“</w:t>
      </w:r>
      <w:r>
        <w:rPr>
          <w:rFonts w:hint="eastAsia" w:cs="宋体"/>
        </w:rPr>
        <w:t>投标人须知前附表</w:t>
      </w:r>
      <w:r>
        <w:t>”</w:t>
      </w:r>
      <w:r>
        <w:rPr>
          <w:rFonts w:hint="eastAsia" w:cs="宋体"/>
        </w:rPr>
        <w:t>。</w:t>
      </w:r>
    </w:p>
    <w:p>
      <w:pPr>
        <w:spacing w:line="360" w:lineRule="auto"/>
        <w:ind w:firstLine="420" w:firstLineChars="200"/>
      </w:pPr>
      <w:r>
        <w:t xml:space="preserve">1.1.3 </w:t>
      </w:r>
      <w:r>
        <w:rPr>
          <w:rFonts w:hint="eastAsia" w:cs="宋体"/>
        </w:rPr>
        <w:t>本标段招标代理机构：见</w:t>
      </w:r>
      <w:r>
        <w:t>“</w:t>
      </w:r>
      <w:r>
        <w:rPr>
          <w:rFonts w:hint="eastAsia" w:cs="宋体"/>
        </w:rPr>
        <w:t>投标人须知前附表</w:t>
      </w:r>
      <w:r>
        <w:t>”</w:t>
      </w:r>
      <w:r>
        <w:rPr>
          <w:rFonts w:hint="eastAsia" w:cs="宋体"/>
        </w:rPr>
        <w:t>。</w:t>
      </w:r>
    </w:p>
    <w:p>
      <w:pPr>
        <w:spacing w:line="360" w:lineRule="auto"/>
        <w:ind w:firstLine="420" w:firstLineChars="200"/>
      </w:pPr>
      <w:r>
        <w:t xml:space="preserve">1.1.4 </w:t>
      </w:r>
      <w:r>
        <w:rPr>
          <w:rFonts w:hint="eastAsia" w:cs="宋体"/>
        </w:rPr>
        <w:t>本招标项目名称及项目编号：见</w:t>
      </w:r>
      <w:r>
        <w:t>“</w:t>
      </w:r>
      <w:r>
        <w:rPr>
          <w:rFonts w:hint="eastAsia" w:cs="宋体"/>
        </w:rPr>
        <w:t>投标人须知前附表</w:t>
      </w:r>
      <w:r>
        <w:t>”</w:t>
      </w:r>
      <w:r>
        <w:rPr>
          <w:rFonts w:hint="eastAsia" w:cs="宋体"/>
        </w:rPr>
        <w:t>。</w:t>
      </w:r>
    </w:p>
    <w:p>
      <w:pPr>
        <w:spacing w:line="360" w:lineRule="auto"/>
        <w:ind w:firstLine="420" w:firstLineChars="200"/>
      </w:pPr>
      <w:r>
        <w:t xml:space="preserve">1.1.5 </w:t>
      </w:r>
      <w:r>
        <w:rPr>
          <w:rFonts w:hint="eastAsia" w:cs="宋体"/>
        </w:rPr>
        <w:t>本标段建设地点：见</w:t>
      </w:r>
      <w:r>
        <w:t>“</w:t>
      </w:r>
      <w:r>
        <w:rPr>
          <w:rFonts w:hint="eastAsia" w:cs="宋体"/>
        </w:rPr>
        <w:t>投标人须知前附表</w:t>
      </w:r>
      <w:r>
        <w:t>”</w:t>
      </w:r>
      <w:r>
        <w:rPr>
          <w:rFonts w:hint="eastAsia" w:cs="宋体"/>
        </w:rPr>
        <w:t>。</w:t>
      </w:r>
    </w:p>
    <w:p>
      <w:pPr>
        <w:pStyle w:val="5"/>
      </w:pPr>
      <w:bookmarkStart w:id="63" w:name="_Toc407135080"/>
      <w:bookmarkStart w:id="64" w:name="_Toc31172"/>
      <w:bookmarkStart w:id="65" w:name="_Toc389065147"/>
      <w:r>
        <w:t xml:space="preserve">1.2 </w:t>
      </w:r>
      <w:bookmarkEnd w:id="63"/>
      <w:r>
        <w:rPr>
          <w:rFonts w:hint="eastAsia" w:cs="黑体"/>
        </w:rPr>
        <w:t>资金来源和落实及增值税计税方法情况</w:t>
      </w:r>
      <w:bookmarkEnd w:id="64"/>
      <w:bookmarkEnd w:id="65"/>
    </w:p>
    <w:p>
      <w:pPr>
        <w:spacing w:line="360" w:lineRule="auto"/>
        <w:ind w:firstLine="420" w:firstLineChars="200"/>
      </w:pPr>
      <w:r>
        <w:t xml:space="preserve">1.2.1 </w:t>
      </w:r>
      <w:r>
        <w:rPr>
          <w:rFonts w:hint="eastAsia" w:cs="宋体"/>
        </w:rPr>
        <w:t>本招标项目的资金来源：见</w:t>
      </w:r>
      <w:r>
        <w:t>“</w:t>
      </w:r>
      <w:r>
        <w:rPr>
          <w:rFonts w:hint="eastAsia" w:cs="宋体"/>
        </w:rPr>
        <w:t>投标人须知前附表</w:t>
      </w:r>
      <w:r>
        <w:t>”</w:t>
      </w:r>
      <w:r>
        <w:rPr>
          <w:rFonts w:hint="eastAsia" w:cs="宋体"/>
        </w:rPr>
        <w:t>。</w:t>
      </w:r>
    </w:p>
    <w:p>
      <w:pPr>
        <w:spacing w:line="360" w:lineRule="auto"/>
        <w:ind w:firstLine="420" w:firstLineChars="200"/>
      </w:pPr>
      <w:r>
        <w:t xml:space="preserve">1.2.2 </w:t>
      </w:r>
      <w:r>
        <w:rPr>
          <w:rFonts w:hint="eastAsia" w:cs="宋体"/>
        </w:rPr>
        <w:t>本招标项目的出资比例：见</w:t>
      </w:r>
      <w:r>
        <w:t>“</w:t>
      </w:r>
      <w:r>
        <w:rPr>
          <w:rFonts w:hint="eastAsia" w:cs="宋体"/>
        </w:rPr>
        <w:t>投标人须知前附表</w:t>
      </w:r>
      <w:r>
        <w:t>”</w:t>
      </w:r>
      <w:r>
        <w:rPr>
          <w:rFonts w:hint="eastAsia" w:cs="宋体"/>
        </w:rPr>
        <w:t>。</w:t>
      </w:r>
    </w:p>
    <w:p>
      <w:pPr>
        <w:spacing w:line="360" w:lineRule="auto"/>
        <w:ind w:firstLine="420" w:firstLineChars="200"/>
        <w:rPr>
          <w:rFonts w:hint="eastAsia" w:cs="宋体"/>
        </w:rPr>
      </w:pPr>
      <w:r>
        <w:t xml:space="preserve">1.2.3 </w:t>
      </w:r>
      <w:r>
        <w:rPr>
          <w:rFonts w:hint="eastAsia" w:cs="宋体"/>
        </w:rPr>
        <w:t>本招标项目的资金落实情况：见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1.2.4本招标项目的增值税计税方法：见</w:t>
      </w:r>
      <w:r>
        <w:t>“</w:t>
      </w:r>
      <w:r>
        <w:rPr>
          <w:rFonts w:hint="eastAsia" w:cs="宋体"/>
        </w:rPr>
        <w:t>投标人须知前附表</w:t>
      </w:r>
      <w:r>
        <w:t>”</w:t>
      </w:r>
      <w:r>
        <w:rPr>
          <w:rFonts w:hint="eastAsia" w:cs="宋体"/>
        </w:rPr>
        <w:t>。</w:t>
      </w:r>
    </w:p>
    <w:p>
      <w:pPr>
        <w:pStyle w:val="5"/>
      </w:pPr>
      <w:bookmarkStart w:id="66" w:name="_Toc13376"/>
      <w:bookmarkStart w:id="67" w:name="_Toc389065148"/>
      <w:bookmarkStart w:id="68" w:name="_Toc407135081"/>
      <w:r>
        <w:t xml:space="preserve">1.3 </w:t>
      </w:r>
      <w:r>
        <w:rPr>
          <w:rFonts w:hint="eastAsia" w:cs="黑体"/>
        </w:rPr>
        <w:t>招标范围、计划工期和质量要求</w:t>
      </w:r>
      <w:bookmarkEnd w:id="66"/>
      <w:bookmarkEnd w:id="67"/>
      <w:bookmarkEnd w:id="68"/>
    </w:p>
    <w:p>
      <w:pPr>
        <w:spacing w:line="360" w:lineRule="auto"/>
        <w:ind w:firstLine="420" w:firstLineChars="200"/>
      </w:pPr>
      <w:r>
        <w:t xml:space="preserve">1.3.1 </w:t>
      </w:r>
      <w:r>
        <w:rPr>
          <w:rFonts w:hint="eastAsia" w:cs="宋体"/>
        </w:rPr>
        <w:t>本次招标范围：见</w:t>
      </w:r>
      <w:r>
        <w:t>“</w:t>
      </w:r>
      <w:r>
        <w:rPr>
          <w:rFonts w:hint="eastAsia" w:cs="宋体"/>
        </w:rPr>
        <w:t>投标人须知前附表</w:t>
      </w:r>
      <w:r>
        <w:t>”</w:t>
      </w:r>
      <w:r>
        <w:rPr>
          <w:rFonts w:hint="eastAsia" w:cs="宋体"/>
        </w:rPr>
        <w:t>。</w:t>
      </w:r>
    </w:p>
    <w:p>
      <w:pPr>
        <w:spacing w:line="360" w:lineRule="auto"/>
        <w:ind w:firstLine="420" w:firstLineChars="200"/>
      </w:pPr>
      <w:r>
        <w:t xml:space="preserve">1.3.2 </w:t>
      </w:r>
      <w:r>
        <w:rPr>
          <w:rFonts w:hint="eastAsia" w:cs="宋体"/>
        </w:rPr>
        <w:t>本标段的要求工期：见</w:t>
      </w:r>
      <w:r>
        <w:t>“</w:t>
      </w:r>
      <w:r>
        <w:rPr>
          <w:rFonts w:hint="eastAsia" w:cs="宋体"/>
        </w:rPr>
        <w:t>投标人须知前附表</w:t>
      </w:r>
      <w:r>
        <w:t>”</w:t>
      </w:r>
      <w:r>
        <w:rPr>
          <w:rFonts w:hint="eastAsia" w:cs="宋体"/>
        </w:rPr>
        <w:t>。</w:t>
      </w:r>
    </w:p>
    <w:p>
      <w:pPr>
        <w:spacing w:line="360" w:lineRule="auto"/>
        <w:ind w:firstLine="420" w:firstLineChars="200"/>
      </w:pPr>
      <w:r>
        <w:t xml:space="preserve">1.3.3 </w:t>
      </w:r>
      <w:r>
        <w:rPr>
          <w:rFonts w:hint="eastAsia" w:cs="宋体"/>
        </w:rPr>
        <w:t>本标段的质量要求：见</w:t>
      </w:r>
      <w:r>
        <w:t>“</w:t>
      </w:r>
      <w:r>
        <w:rPr>
          <w:rFonts w:hint="eastAsia" w:cs="宋体"/>
        </w:rPr>
        <w:t>投标人须知前附表</w:t>
      </w:r>
      <w:r>
        <w:t>”</w:t>
      </w:r>
      <w:r>
        <w:rPr>
          <w:rFonts w:hint="eastAsia" w:cs="宋体"/>
        </w:rPr>
        <w:t>。</w:t>
      </w:r>
    </w:p>
    <w:p>
      <w:pPr>
        <w:pStyle w:val="5"/>
      </w:pPr>
      <w:bookmarkStart w:id="69" w:name="_Toc31168"/>
      <w:bookmarkStart w:id="70" w:name="_Toc389065149"/>
      <w:bookmarkStart w:id="71" w:name="_Toc407135082"/>
      <w:r>
        <w:t xml:space="preserve">1.4 </w:t>
      </w:r>
      <w:r>
        <w:rPr>
          <w:rFonts w:hint="eastAsia" w:cs="黑体"/>
        </w:rPr>
        <w:t>投标人资格要求</w:t>
      </w:r>
      <w:bookmarkEnd w:id="69"/>
      <w:bookmarkEnd w:id="70"/>
      <w:bookmarkEnd w:id="71"/>
    </w:p>
    <w:p>
      <w:pPr>
        <w:spacing w:line="360" w:lineRule="auto"/>
        <w:ind w:firstLine="420" w:firstLineChars="200"/>
      </w:pPr>
      <w:r>
        <w:t xml:space="preserve">1.4.1 </w:t>
      </w:r>
      <w:r>
        <w:rPr>
          <w:rFonts w:hint="eastAsia" w:cs="宋体"/>
        </w:rPr>
        <w:t>投标人应具备承担本项目施工的资质条件、能力、诚信等要求。</w:t>
      </w:r>
    </w:p>
    <w:p>
      <w:pPr>
        <w:spacing w:line="360" w:lineRule="auto"/>
        <w:ind w:firstLine="420" w:firstLineChars="200"/>
      </w:pPr>
      <w:r>
        <w:rPr>
          <w:rFonts w:hint="eastAsia" w:cs="宋体"/>
        </w:rPr>
        <w:t>（</w:t>
      </w:r>
      <w:r>
        <w:t>1</w:t>
      </w:r>
      <w:r>
        <w:rPr>
          <w:rFonts w:hint="eastAsia" w:cs="宋体"/>
        </w:rPr>
        <w:t>）资质条件：见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2</w:t>
      </w:r>
      <w:r>
        <w:rPr>
          <w:rFonts w:hint="eastAsia" w:cs="宋体"/>
        </w:rPr>
        <w:t>）财务要求：见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3</w:t>
      </w:r>
      <w:r>
        <w:rPr>
          <w:rFonts w:hint="eastAsia" w:cs="宋体"/>
        </w:rPr>
        <w:t>）业绩要求：见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4</w:t>
      </w:r>
      <w:r>
        <w:rPr>
          <w:rFonts w:hint="eastAsia" w:cs="宋体"/>
        </w:rPr>
        <w:t>）诚信要求：见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5</w:t>
      </w:r>
      <w:r>
        <w:rPr>
          <w:rFonts w:hint="eastAsia" w:cs="宋体"/>
        </w:rPr>
        <w:t>）项目经理资格：见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6</w:t>
      </w:r>
      <w:r>
        <w:rPr>
          <w:rFonts w:hint="eastAsia" w:cs="宋体"/>
        </w:rPr>
        <w:t>）专职安全员要求：见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7</w:t>
      </w:r>
      <w:r>
        <w:rPr>
          <w:rFonts w:hint="eastAsia" w:cs="宋体"/>
        </w:rPr>
        <w:t>）其他要求：见</w:t>
      </w:r>
      <w:r>
        <w:t>“</w:t>
      </w:r>
      <w:r>
        <w:rPr>
          <w:rFonts w:hint="eastAsia" w:cs="宋体"/>
        </w:rPr>
        <w:t>投标人须知前附表</w:t>
      </w:r>
      <w:r>
        <w:t>”</w:t>
      </w:r>
      <w:r>
        <w:rPr>
          <w:rFonts w:hint="eastAsia" w:cs="宋体"/>
        </w:rPr>
        <w:t>。</w:t>
      </w:r>
    </w:p>
    <w:p>
      <w:pPr>
        <w:spacing w:line="360" w:lineRule="auto"/>
        <w:ind w:firstLine="420" w:firstLineChars="200"/>
      </w:pPr>
      <w:r>
        <w:t>1.4.2 “</w:t>
      </w:r>
      <w:r>
        <w:rPr>
          <w:rFonts w:hint="eastAsia" w:cs="宋体"/>
        </w:rPr>
        <w:t>投标人须知前附表</w:t>
      </w:r>
      <w:r>
        <w:t>”</w:t>
      </w:r>
      <w:r>
        <w:rPr>
          <w:rFonts w:hint="eastAsia" w:cs="宋体"/>
        </w:rPr>
        <w:t>规定接受联合体投标的，除应符合本章第</w:t>
      </w:r>
      <w:r>
        <w:t>1.4.1</w:t>
      </w:r>
      <w:r>
        <w:rPr>
          <w:rFonts w:hint="eastAsia" w:cs="宋体"/>
        </w:rPr>
        <w:t>项和</w:t>
      </w:r>
      <w:r>
        <w:t>“</w:t>
      </w:r>
      <w:r>
        <w:rPr>
          <w:rFonts w:hint="eastAsia" w:cs="宋体"/>
        </w:rPr>
        <w:t>投标人须知前附表</w:t>
      </w:r>
      <w:r>
        <w:t>”</w:t>
      </w:r>
      <w:r>
        <w:rPr>
          <w:rFonts w:hint="eastAsia" w:cs="宋体"/>
        </w:rPr>
        <w:t>的要求外，还应遵守以下规定：</w:t>
      </w:r>
    </w:p>
    <w:p>
      <w:pPr>
        <w:spacing w:line="360" w:lineRule="auto"/>
        <w:ind w:firstLine="420" w:firstLineChars="200"/>
      </w:pPr>
      <w:r>
        <w:rPr>
          <w:rFonts w:hint="eastAsia" w:cs="宋体"/>
        </w:rPr>
        <w:t>（</w:t>
      </w:r>
      <w:r>
        <w:t>1</w:t>
      </w:r>
      <w:r>
        <w:rPr>
          <w:rFonts w:hint="eastAsia" w:cs="宋体"/>
        </w:rPr>
        <w:t>）联合体各方应按招标文件提供的格式签订联合体协议书，明确联合体牵头人和各方权利义务；</w:t>
      </w:r>
    </w:p>
    <w:p>
      <w:pPr>
        <w:spacing w:line="360" w:lineRule="auto"/>
        <w:ind w:firstLine="420" w:firstLineChars="200"/>
      </w:pPr>
      <w:r>
        <w:rPr>
          <w:rFonts w:hint="eastAsia" w:cs="宋体"/>
        </w:rPr>
        <w:t>（</w:t>
      </w:r>
      <w:r>
        <w:t>2</w:t>
      </w:r>
      <w:r>
        <w:rPr>
          <w:rFonts w:hint="eastAsia" w:cs="宋体"/>
        </w:rPr>
        <w:t>）由同一专业的单位组成的联合体，按照资质等级较低的单位确定资质等级；</w:t>
      </w:r>
    </w:p>
    <w:p>
      <w:pPr>
        <w:spacing w:line="360" w:lineRule="auto"/>
        <w:ind w:firstLine="420" w:firstLineChars="200"/>
      </w:pPr>
      <w:r>
        <w:rPr>
          <w:rFonts w:hint="eastAsia" w:cs="宋体"/>
        </w:rPr>
        <w:t>（</w:t>
      </w:r>
      <w:r>
        <w:t>3</w:t>
      </w:r>
      <w:r>
        <w:rPr>
          <w:rFonts w:hint="eastAsia" w:cs="宋体"/>
        </w:rPr>
        <w:t>）联合体各方不得再以自己名义单独或参加其他联合体在同一标段中投标。</w:t>
      </w:r>
    </w:p>
    <w:p>
      <w:pPr>
        <w:spacing w:line="360" w:lineRule="auto"/>
        <w:ind w:firstLine="420" w:firstLineChars="200"/>
      </w:pPr>
      <w:r>
        <w:t xml:space="preserve">1.4.3 </w:t>
      </w:r>
      <w:r>
        <w:rPr>
          <w:rFonts w:hint="eastAsia" w:cs="宋体"/>
        </w:rPr>
        <w:t>投标人不得存在下列情形之一：</w:t>
      </w:r>
    </w:p>
    <w:p>
      <w:pPr>
        <w:spacing w:line="360" w:lineRule="auto"/>
        <w:ind w:firstLine="420" w:firstLineChars="200"/>
      </w:pPr>
      <w:r>
        <w:rPr>
          <w:rFonts w:hint="eastAsia" w:cs="宋体"/>
        </w:rPr>
        <w:t>（</w:t>
      </w:r>
      <w:r>
        <w:t>1</w:t>
      </w:r>
      <w:r>
        <w:rPr>
          <w:rFonts w:hint="eastAsia" w:cs="宋体"/>
        </w:rPr>
        <w:t>）与招标人存在利害关系可能影响招标公正性的法人、其他组织；</w:t>
      </w:r>
    </w:p>
    <w:p>
      <w:pPr>
        <w:spacing w:line="360" w:lineRule="auto"/>
        <w:ind w:firstLine="420" w:firstLineChars="200"/>
      </w:pPr>
      <w:r>
        <w:rPr>
          <w:rFonts w:hint="eastAsia" w:cs="宋体"/>
        </w:rPr>
        <w:t>（</w:t>
      </w:r>
      <w:r>
        <w:t>2</w:t>
      </w:r>
      <w:r>
        <w:rPr>
          <w:rFonts w:hint="eastAsia" w:cs="宋体"/>
        </w:rPr>
        <w:t>）为本标段前期准备提供设计或咨询服务的，但设计施工总承包的除外；</w:t>
      </w:r>
    </w:p>
    <w:p>
      <w:pPr>
        <w:spacing w:line="360" w:lineRule="auto"/>
        <w:ind w:firstLine="420" w:firstLineChars="200"/>
      </w:pPr>
      <w:r>
        <w:rPr>
          <w:rFonts w:hint="eastAsia" w:cs="宋体"/>
        </w:rPr>
        <w:t>（</w:t>
      </w:r>
      <w:r>
        <w:t>3</w:t>
      </w:r>
      <w:r>
        <w:rPr>
          <w:rFonts w:hint="eastAsia" w:cs="宋体"/>
        </w:rPr>
        <w:t>）为本标段的监理人；</w:t>
      </w:r>
    </w:p>
    <w:p>
      <w:pPr>
        <w:spacing w:line="360" w:lineRule="auto"/>
        <w:ind w:firstLine="420" w:firstLineChars="200"/>
      </w:pPr>
      <w:r>
        <w:rPr>
          <w:rFonts w:hint="eastAsia" w:cs="宋体"/>
        </w:rPr>
        <w:t>（</w:t>
      </w:r>
      <w:r>
        <w:t>4</w:t>
      </w:r>
      <w:r>
        <w:rPr>
          <w:rFonts w:hint="eastAsia" w:cs="宋体"/>
        </w:rPr>
        <w:t>）为本标段的代建人；</w:t>
      </w:r>
    </w:p>
    <w:p>
      <w:pPr>
        <w:spacing w:line="360" w:lineRule="auto"/>
        <w:ind w:firstLine="420" w:firstLineChars="200"/>
      </w:pPr>
      <w:r>
        <w:rPr>
          <w:rFonts w:hint="eastAsia" w:cs="宋体"/>
        </w:rPr>
        <w:t>（</w:t>
      </w:r>
      <w:r>
        <w:t>5</w:t>
      </w:r>
      <w:r>
        <w:rPr>
          <w:rFonts w:hint="eastAsia" w:cs="宋体"/>
        </w:rPr>
        <w:t>）为本标段提供招标代理服务的；</w:t>
      </w:r>
    </w:p>
    <w:p>
      <w:pPr>
        <w:spacing w:line="360" w:lineRule="auto"/>
        <w:ind w:firstLine="420" w:firstLineChars="200"/>
      </w:pPr>
      <w:r>
        <w:rPr>
          <w:rFonts w:hint="eastAsia" w:cs="宋体"/>
        </w:rPr>
        <w:t>（</w:t>
      </w:r>
      <w:r>
        <w:t>6</w:t>
      </w:r>
      <w:r>
        <w:rPr>
          <w:rFonts w:hint="eastAsia" w:cs="宋体"/>
        </w:rPr>
        <w:t>）与本标段的监理人或代建人或招标代理机构同为一个法定代表人的；</w:t>
      </w:r>
    </w:p>
    <w:p>
      <w:pPr>
        <w:spacing w:line="360" w:lineRule="auto"/>
        <w:ind w:firstLine="420" w:firstLineChars="200"/>
      </w:pPr>
      <w:r>
        <w:rPr>
          <w:rFonts w:hint="eastAsia" w:cs="宋体"/>
        </w:rPr>
        <w:t>（</w:t>
      </w:r>
      <w:r>
        <w:t>7</w:t>
      </w:r>
      <w:r>
        <w:rPr>
          <w:rFonts w:hint="eastAsia" w:cs="宋体"/>
        </w:rPr>
        <w:t>）与本标段的监理人或代建人或招标代理机构相互控股或参股的；</w:t>
      </w:r>
    </w:p>
    <w:p>
      <w:pPr>
        <w:spacing w:line="360" w:lineRule="auto"/>
        <w:ind w:firstLine="420" w:firstLineChars="200"/>
      </w:pPr>
      <w:r>
        <w:rPr>
          <w:rFonts w:hint="eastAsia" w:cs="宋体"/>
        </w:rPr>
        <w:t>（</w:t>
      </w:r>
      <w:r>
        <w:t>8</w:t>
      </w:r>
      <w:r>
        <w:rPr>
          <w:rFonts w:hint="eastAsia" w:cs="宋体"/>
        </w:rPr>
        <w:t>）与本标段的监理人或代建人或招标代理机构相互任职或工作的；</w:t>
      </w:r>
    </w:p>
    <w:p>
      <w:pPr>
        <w:spacing w:line="360" w:lineRule="auto"/>
        <w:ind w:firstLine="420" w:firstLineChars="200"/>
      </w:pPr>
      <w:r>
        <w:rPr>
          <w:rFonts w:hint="eastAsia" w:cs="宋体"/>
        </w:rPr>
        <w:t>（9）</w:t>
      </w:r>
      <w:r>
        <w:rPr>
          <w:rFonts w:hint="eastAsia"/>
        </w:rPr>
        <w:t>吊销</w:t>
      </w:r>
      <w:r>
        <w:t>或暂扣营业执照、安全生产</w:t>
      </w:r>
      <w:r>
        <w:rPr>
          <w:rFonts w:hint="eastAsia"/>
        </w:rPr>
        <w:t>许可</w:t>
      </w:r>
      <w:r>
        <w:t>证期间</w:t>
      </w:r>
      <w:r>
        <w:rPr>
          <w:rFonts w:hint="eastAsia"/>
        </w:rPr>
        <w:t>；</w:t>
      </w:r>
    </w:p>
    <w:p>
      <w:pPr>
        <w:spacing w:line="360" w:lineRule="auto"/>
        <w:ind w:firstLine="420" w:firstLineChars="200"/>
      </w:pPr>
      <w:r>
        <w:rPr>
          <w:rFonts w:hint="eastAsia" w:cs="宋体"/>
        </w:rPr>
        <w:t>（</w:t>
      </w:r>
      <w:r>
        <w:t>10</w:t>
      </w:r>
      <w:r>
        <w:rPr>
          <w:rFonts w:hint="eastAsia" w:cs="宋体"/>
        </w:rPr>
        <w:t>）在本行政区域被暂停或取消投标资格的；</w:t>
      </w:r>
    </w:p>
    <w:p>
      <w:pPr>
        <w:spacing w:line="360" w:lineRule="auto"/>
        <w:ind w:firstLine="420" w:firstLineChars="200"/>
      </w:pPr>
      <w:r>
        <w:rPr>
          <w:rFonts w:hint="eastAsia" w:cs="宋体"/>
        </w:rPr>
        <w:t>（</w:t>
      </w:r>
      <w:r>
        <w:t>11</w:t>
      </w:r>
      <w:r>
        <w:rPr>
          <w:rFonts w:hint="eastAsia" w:cs="宋体"/>
        </w:rPr>
        <w:t>）财产被接管或或基本账户被冻结的；</w:t>
      </w:r>
    </w:p>
    <w:p>
      <w:pPr>
        <w:spacing w:line="360" w:lineRule="auto"/>
        <w:ind w:firstLine="420" w:firstLineChars="200"/>
        <w:rPr>
          <w:rFonts w:hint="eastAsia" w:cs="宋体"/>
        </w:rPr>
      </w:pPr>
      <w:r>
        <w:rPr>
          <w:rFonts w:hint="eastAsia" w:cs="宋体"/>
        </w:rPr>
        <w:t>（</w:t>
      </w:r>
      <w:r>
        <w:t>12</w:t>
      </w:r>
      <w:r>
        <w:rPr>
          <w:rFonts w:hint="eastAsia" w:cs="宋体"/>
        </w:rPr>
        <w:t>）有骗取中标或严重违约或工程质量安全问题，在本行政区域正处在停业整顿或暂停投标期间的；</w:t>
      </w:r>
    </w:p>
    <w:p>
      <w:pPr>
        <w:spacing w:line="360" w:lineRule="auto"/>
        <w:ind w:firstLine="420" w:firstLineChars="200"/>
        <w:rPr>
          <w:rFonts w:hint="eastAsia" w:cs="宋体"/>
        </w:rPr>
      </w:pPr>
      <w:r>
        <w:rPr>
          <w:rFonts w:hint="eastAsia" w:cs="宋体"/>
        </w:rPr>
        <w:t>（</w:t>
      </w:r>
      <w:r>
        <w:t>13</w:t>
      </w:r>
      <w:r>
        <w:rPr>
          <w:rFonts w:hint="eastAsia" w:cs="宋体"/>
        </w:rPr>
        <w:t>）被责令停业的。</w:t>
      </w:r>
    </w:p>
    <w:p>
      <w:pPr>
        <w:spacing w:line="360" w:lineRule="auto"/>
        <w:ind w:firstLine="420" w:firstLineChars="200"/>
      </w:pPr>
      <w:r>
        <w:rPr>
          <w:rFonts w:hint="eastAsia"/>
        </w:rPr>
        <w:t>注：代建人是指政府通过招标方式对公益型、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pPr>
        <w:spacing w:line="360" w:lineRule="auto"/>
        <w:ind w:firstLine="420" w:firstLineChars="200"/>
      </w:pPr>
      <w:r>
        <w:t xml:space="preserve">1.4.4 </w:t>
      </w:r>
      <w:r>
        <w:rPr>
          <w:rFonts w:hint="eastAsia" w:cs="宋体"/>
        </w:rPr>
        <w:t>单位负责人为同一人或者存在控股、管理关系的不同单位，不得参加同一标段投标或者未划分标段的同一招标项目投标，违反本规定的，相关投标均无效。</w:t>
      </w:r>
    </w:p>
    <w:p>
      <w:pPr>
        <w:pStyle w:val="5"/>
      </w:pPr>
      <w:bookmarkStart w:id="72" w:name="_Toc389065150"/>
      <w:bookmarkStart w:id="73" w:name="_Toc17431"/>
      <w:bookmarkStart w:id="74" w:name="_Toc407135083"/>
      <w:r>
        <w:t xml:space="preserve">1.5 </w:t>
      </w:r>
      <w:r>
        <w:rPr>
          <w:rFonts w:hint="eastAsia" w:cs="黑体"/>
        </w:rPr>
        <w:t>费用承担</w:t>
      </w:r>
      <w:bookmarkEnd w:id="72"/>
      <w:bookmarkEnd w:id="73"/>
      <w:bookmarkEnd w:id="74"/>
    </w:p>
    <w:p>
      <w:pPr>
        <w:spacing w:line="360" w:lineRule="auto"/>
        <w:ind w:firstLine="420" w:firstLineChars="200"/>
      </w:pPr>
      <w:r>
        <w:rPr>
          <w:rFonts w:hint="eastAsia" w:cs="宋体"/>
        </w:rPr>
        <w:t>投标人准备和参加投标活动发生的费用自理。</w:t>
      </w:r>
    </w:p>
    <w:p>
      <w:pPr>
        <w:pStyle w:val="5"/>
      </w:pPr>
      <w:bookmarkStart w:id="75" w:name="_Toc407135084"/>
      <w:bookmarkStart w:id="76" w:name="_Toc389065151"/>
      <w:bookmarkStart w:id="77" w:name="_Toc26491"/>
      <w:r>
        <w:t xml:space="preserve">1.6 </w:t>
      </w:r>
      <w:r>
        <w:rPr>
          <w:rFonts w:hint="eastAsia" w:cs="黑体"/>
        </w:rPr>
        <w:t>保密</w:t>
      </w:r>
      <w:bookmarkEnd w:id="75"/>
      <w:bookmarkEnd w:id="76"/>
      <w:bookmarkEnd w:id="77"/>
    </w:p>
    <w:p>
      <w:pPr>
        <w:spacing w:line="360" w:lineRule="auto"/>
        <w:ind w:firstLine="420" w:firstLineChars="200"/>
      </w:pPr>
      <w:r>
        <w:rPr>
          <w:rFonts w:hint="eastAsia" w:cs="宋体"/>
        </w:rPr>
        <w:t>参与招标投标活动的各方应对招标文件和投标文件中的商业和技术等秘密保密，违者应对由此造成的后果承担法律责任。</w:t>
      </w:r>
    </w:p>
    <w:p>
      <w:pPr>
        <w:pStyle w:val="5"/>
      </w:pPr>
      <w:bookmarkStart w:id="78" w:name="_Toc389065152"/>
      <w:bookmarkStart w:id="79" w:name="_Toc15686"/>
      <w:bookmarkStart w:id="80" w:name="_Toc407135085"/>
      <w:r>
        <w:t xml:space="preserve">1.7 </w:t>
      </w:r>
      <w:r>
        <w:rPr>
          <w:rFonts w:hint="eastAsia" w:cs="黑体"/>
        </w:rPr>
        <w:t>语言文字</w:t>
      </w:r>
      <w:bookmarkEnd w:id="78"/>
      <w:bookmarkEnd w:id="79"/>
      <w:bookmarkEnd w:id="80"/>
    </w:p>
    <w:p>
      <w:pPr>
        <w:spacing w:line="360" w:lineRule="auto"/>
        <w:ind w:firstLine="420" w:firstLineChars="200"/>
      </w:pPr>
      <w:r>
        <w:rPr>
          <w:rFonts w:hint="eastAsia" w:cs="宋体"/>
        </w:rPr>
        <w:t>除专用术语外，与招标投标有关的语言均使用中文。必要时专用术语应附有中文注释。</w:t>
      </w:r>
    </w:p>
    <w:p>
      <w:pPr>
        <w:pStyle w:val="5"/>
      </w:pPr>
      <w:bookmarkStart w:id="81" w:name="_Toc26223"/>
      <w:bookmarkStart w:id="82" w:name="_Toc407135086"/>
      <w:bookmarkStart w:id="83" w:name="_Toc389065153"/>
      <w:r>
        <w:t xml:space="preserve">1.8 </w:t>
      </w:r>
      <w:r>
        <w:rPr>
          <w:rFonts w:hint="eastAsia" w:cs="黑体"/>
        </w:rPr>
        <w:t>计量单位</w:t>
      </w:r>
      <w:bookmarkEnd w:id="81"/>
      <w:bookmarkEnd w:id="82"/>
      <w:bookmarkEnd w:id="83"/>
    </w:p>
    <w:p>
      <w:pPr>
        <w:spacing w:line="360" w:lineRule="auto"/>
        <w:ind w:firstLine="420" w:firstLineChars="200"/>
      </w:pPr>
      <w:r>
        <w:rPr>
          <w:rFonts w:hint="eastAsia" w:cs="宋体"/>
        </w:rPr>
        <w:t>所有计量均采用中华人民共和国法定计量单位。</w:t>
      </w:r>
    </w:p>
    <w:p>
      <w:pPr>
        <w:pStyle w:val="5"/>
      </w:pPr>
      <w:bookmarkStart w:id="84" w:name="_Toc27657"/>
      <w:bookmarkStart w:id="85" w:name="_Toc407135087"/>
      <w:bookmarkStart w:id="86" w:name="_Toc389065154"/>
      <w:r>
        <w:t xml:space="preserve">1.9 </w:t>
      </w:r>
      <w:r>
        <w:rPr>
          <w:rFonts w:hint="eastAsia" w:cs="黑体"/>
        </w:rPr>
        <w:t>踏勘现场</w:t>
      </w:r>
      <w:bookmarkEnd w:id="84"/>
      <w:bookmarkEnd w:id="85"/>
      <w:bookmarkEnd w:id="86"/>
    </w:p>
    <w:p>
      <w:pPr>
        <w:spacing w:line="360" w:lineRule="auto"/>
        <w:ind w:firstLine="420" w:firstLineChars="200"/>
      </w:pPr>
      <w:r>
        <w:t xml:space="preserve">1.9.1 </w:t>
      </w:r>
      <w:r>
        <w:rPr>
          <w:rFonts w:hint="eastAsia" w:cs="宋体"/>
        </w:rPr>
        <w:t>投标人根据需要自行踏勘项目现场。</w:t>
      </w:r>
    </w:p>
    <w:p>
      <w:pPr>
        <w:spacing w:line="360" w:lineRule="auto"/>
        <w:ind w:firstLine="420" w:firstLineChars="200"/>
      </w:pPr>
      <w:r>
        <w:t xml:space="preserve">1.9.2 </w:t>
      </w:r>
      <w:r>
        <w:rPr>
          <w:rFonts w:hint="eastAsia" w:cs="宋体"/>
        </w:rPr>
        <w:t>投标人踏勘现场发生的费用自理。</w:t>
      </w:r>
    </w:p>
    <w:p>
      <w:pPr>
        <w:spacing w:line="360" w:lineRule="auto"/>
        <w:ind w:firstLine="420" w:firstLineChars="200"/>
      </w:pPr>
      <w:r>
        <w:t xml:space="preserve">1.9.3 </w:t>
      </w:r>
      <w:r>
        <w:rPr>
          <w:rFonts w:hint="eastAsia" w:cs="宋体"/>
        </w:rPr>
        <w:t>投标人自行负责在踏勘现场中所发生的人员伤亡和财产损失。</w:t>
      </w:r>
    </w:p>
    <w:p>
      <w:pPr>
        <w:pStyle w:val="5"/>
      </w:pPr>
      <w:bookmarkStart w:id="87" w:name="_Toc407135088"/>
      <w:bookmarkStart w:id="88" w:name="_Toc389065155"/>
      <w:bookmarkStart w:id="89" w:name="_Toc5606"/>
      <w:r>
        <w:t xml:space="preserve">1.10 </w:t>
      </w:r>
      <w:r>
        <w:rPr>
          <w:rFonts w:hint="eastAsia" w:cs="黑体"/>
        </w:rPr>
        <w:t>投标预备会</w:t>
      </w:r>
      <w:bookmarkEnd w:id="87"/>
      <w:bookmarkEnd w:id="88"/>
      <w:bookmarkEnd w:id="89"/>
    </w:p>
    <w:p>
      <w:pPr>
        <w:spacing w:line="360" w:lineRule="auto"/>
        <w:ind w:firstLine="420" w:firstLineChars="200"/>
      </w:pPr>
      <w:r>
        <w:rPr>
          <w:rFonts w:hint="eastAsia" w:cs="宋体"/>
        </w:rPr>
        <w:t>不召开。</w:t>
      </w:r>
    </w:p>
    <w:p>
      <w:pPr>
        <w:pStyle w:val="5"/>
      </w:pPr>
      <w:bookmarkStart w:id="90" w:name="_Toc407135089"/>
      <w:bookmarkStart w:id="91" w:name="_Toc28284"/>
      <w:bookmarkStart w:id="92" w:name="_Toc389065156"/>
      <w:r>
        <w:t xml:space="preserve">1.11 </w:t>
      </w:r>
      <w:r>
        <w:rPr>
          <w:rFonts w:hint="eastAsia" w:cs="黑体"/>
        </w:rPr>
        <w:t>分包</w:t>
      </w:r>
      <w:bookmarkEnd w:id="90"/>
      <w:bookmarkEnd w:id="91"/>
      <w:bookmarkEnd w:id="92"/>
    </w:p>
    <w:p>
      <w:pPr>
        <w:spacing w:line="360" w:lineRule="auto"/>
        <w:ind w:firstLine="420" w:firstLineChars="200"/>
      </w:pPr>
      <w:r>
        <w:rPr>
          <w:rFonts w:hint="eastAsia" w:cs="宋体"/>
        </w:rPr>
        <w:t>投标人拟在中标后将中标项目的部分非主体、非关键性工作进行分包的，应符合</w:t>
      </w:r>
      <w:r>
        <w:t>“</w:t>
      </w:r>
      <w:r>
        <w:rPr>
          <w:rFonts w:hint="eastAsia" w:cs="宋体"/>
        </w:rPr>
        <w:t>投标人须知前附表</w:t>
      </w:r>
      <w:r>
        <w:t>”</w:t>
      </w:r>
      <w:r>
        <w:rPr>
          <w:rFonts w:hint="eastAsia" w:cs="宋体"/>
        </w:rPr>
        <w:t>规定的分包内容、分包金额和接受分包的第三人资质要求等限制性条件。</w:t>
      </w:r>
    </w:p>
    <w:p>
      <w:pPr>
        <w:pStyle w:val="5"/>
      </w:pPr>
      <w:bookmarkStart w:id="93" w:name="_Toc389065157"/>
      <w:bookmarkStart w:id="94" w:name="_Toc407135090"/>
      <w:bookmarkStart w:id="95" w:name="_Toc4006"/>
      <w:r>
        <w:t xml:space="preserve">1.12 </w:t>
      </w:r>
      <w:r>
        <w:rPr>
          <w:rFonts w:hint="eastAsia" w:cs="黑体"/>
        </w:rPr>
        <w:t>偏离</w:t>
      </w:r>
      <w:bookmarkEnd w:id="93"/>
      <w:bookmarkEnd w:id="94"/>
      <w:bookmarkEnd w:id="95"/>
    </w:p>
    <w:p>
      <w:pPr>
        <w:spacing w:line="360" w:lineRule="auto"/>
        <w:ind w:firstLine="420" w:firstLineChars="200"/>
      </w:pPr>
      <w:r>
        <w:rPr>
          <w:rFonts w:hint="eastAsia" w:cs="宋体"/>
        </w:rPr>
        <w:t>不允许。</w:t>
      </w:r>
    </w:p>
    <w:p>
      <w:pPr>
        <w:pStyle w:val="4"/>
      </w:pPr>
      <w:bookmarkStart w:id="96" w:name="_Toc25370"/>
      <w:bookmarkStart w:id="97" w:name="_Toc407135091"/>
      <w:bookmarkStart w:id="98" w:name="_Toc389065158"/>
      <w:r>
        <w:t xml:space="preserve">2 </w:t>
      </w:r>
      <w:r>
        <w:rPr>
          <w:rFonts w:hint="eastAsia" w:cs="黑体"/>
        </w:rPr>
        <w:t>招标文件</w:t>
      </w:r>
      <w:bookmarkEnd w:id="96"/>
      <w:bookmarkEnd w:id="97"/>
      <w:bookmarkEnd w:id="98"/>
    </w:p>
    <w:p>
      <w:pPr>
        <w:pStyle w:val="5"/>
      </w:pPr>
      <w:bookmarkStart w:id="99" w:name="_Toc389065159"/>
      <w:bookmarkStart w:id="100" w:name="_Toc407135092"/>
      <w:bookmarkStart w:id="101" w:name="_Toc23768"/>
      <w:r>
        <w:t xml:space="preserve">2.1 </w:t>
      </w:r>
      <w:r>
        <w:rPr>
          <w:rFonts w:hint="eastAsia" w:cs="黑体"/>
        </w:rPr>
        <w:t>招标文件的组成</w:t>
      </w:r>
      <w:bookmarkEnd w:id="99"/>
      <w:bookmarkEnd w:id="100"/>
      <w:bookmarkEnd w:id="101"/>
    </w:p>
    <w:p>
      <w:pPr>
        <w:spacing w:line="360" w:lineRule="auto"/>
        <w:ind w:firstLine="420" w:firstLineChars="200"/>
      </w:pPr>
      <w:r>
        <w:t xml:space="preserve">2.1.1 </w:t>
      </w:r>
      <w:r>
        <w:rPr>
          <w:rFonts w:hint="eastAsia" w:cs="宋体"/>
        </w:rPr>
        <w:t>本招标文件包括：</w:t>
      </w:r>
    </w:p>
    <w:p>
      <w:pPr>
        <w:spacing w:line="360" w:lineRule="auto"/>
        <w:ind w:firstLine="420" w:firstLineChars="200"/>
      </w:pPr>
      <w:r>
        <w:rPr>
          <w:rFonts w:hint="eastAsia" w:cs="宋体"/>
        </w:rPr>
        <w:t>（</w:t>
      </w:r>
      <w:r>
        <w:t>1</w:t>
      </w:r>
      <w:r>
        <w:rPr>
          <w:rFonts w:hint="eastAsia" w:cs="宋体"/>
        </w:rPr>
        <w:t>）招标公告（或投标邀请书）；</w:t>
      </w:r>
    </w:p>
    <w:p>
      <w:pPr>
        <w:spacing w:line="360" w:lineRule="auto"/>
        <w:ind w:firstLine="420" w:firstLineChars="200"/>
      </w:pPr>
      <w:r>
        <w:rPr>
          <w:rFonts w:hint="eastAsia" w:cs="宋体"/>
        </w:rPr>
        <w:t>（</w:t>
      </w:r>
      <w:r>
        <w:t>2</w:t>
      </w:r>
      <w:r>
        <w:rPr>
          <w:rFonts w:hint="eastAsia" w:cs="宋体"/>
        </w:rPr>
        <w:t>）投标人须知；</w:t>
      </w:r>
    </w:p>
    <w:p>
      <w:pPr>
        <w:spacing w:line="360" w:lineRule="auto"/>
        <w:ind w:firstLine="420" w:firstLineChars="200"/>
      </w:pPr>
      <w:r>
        <w:rPr>
          <w:rFonts w:hint="eastAsia" w:cs="宋体"/>
        </w:rPr>
        <w:t>（</w:t>
      </w:r>
      <w:r>
        <w:t>3</w:t>
      </w:r>
      <w:r>
        <w:rPr>
          <w:rFonts w:hint="eastAsia" w:cs="宋体"/>
        </w:rPr>
        <w:t>）评标办法；</w:t>
      </w:r>
    </w:p>
    <w:p>
      <w:pPr>
        <w:spacing w:line="360" w:lineRule="auto"/>
        <w:ind w:firstLine="420" w:firstLineChars="200"/>
      </w:pPr>
      <w:r>
        <w:rPr>
          <w:rFonts w:hint="eastAsia" w:cs="宋体"/>
        </w:rPr>
        <w:t>（</w:t>
      </w:r>
      <w:r>
        <w:t>4</w:t>
      </w:r>
      <w:r>
        <w:rPr>
          <w:rFonts w:hint="eastAsia" w:cs="宋体"/>
        </w:rPr>
        <w:t>）合同条款及格式；</w:t>
      </w:r>
    </w:p>
    <w:p>
      <w:pPr>
        <w:spacing w:line="360" w:lineRule="auto"/>
        <w:ind w:firstLine="420" w:firstLineChars="200"/>
      </w:pPr>
      <w:r>
        <w:rPr>
          <w:rFonts w:hint="eastAsia" w:cs="宋体"/>
        </w:rPr>
        <w:t>（</w:t>
      </w:r>
      <w:r>
        <w:t>5</w:t>
      </w:r>
      <w:r>
        <w:rPr>
          <w:rFonts w:hint="eastAsia" w:cs="宋体"/>
        </w:rPr>
        <w:t>）工程量清单（电子版）；</w:t>
      </w:r>
    </w:p>
    <w:p>
      <w:pPr>
        <w:spacing w:line="360" w:lineRule="auto"/>
        <w:ind w:firstLine="420" w:firstLineChars="200"/>
      </w:pPr>
      <w:r>
        <w:rPr>
          <w:rFonts w:hint="eastAsia" w:cs="宋体"/>
        </w:rPr>
        <w:t>（</w:t>
      </w:r>
      <w:r>
        <w:t>6</w:t>
      </w:r>
      <w:r>
        <w:rPr>
          <w:rFonts w:hint="eastAsia" w:cs="宋体"/>
        </w:rPr>
        <w:t>）招标控制价；</w:t>
      </w:r>
    </w:p>
    <w:p>
      <w:pPr>
        <w:spacing w:line="360" w:lineRule="auto"/>
        <w:ind w:firstLine="420" w:firstLineChars="200"/>
        <w:rPr>
          <w:rFonts w:hint="eastAsia" w:cs="宋体"/>
        </w:rPr>
      </w:pPr>
      <w:r>
        <w:rPr>
          <w:rFonts w:hint="eastAsia" w:cs="宋体"/>
        </w:rPr>
        <w:t>（</w:t>
      </w:r>
      <w:r>
        <w:t>7</w:t>
      </w:r>
      <w:r>
        <w:rPr>
          <w:rFonts w:hint="eastAsia" w:cs="宋体"/>
        </w:rPr>
        <w:t>）图纸（电子图）；</w:t>
      </w:r>
    </w:p>
    <w:p>
      <w:pPr>
        <w:spacing w:line="360" w:lineRule="auto"/>
        <w:ind w:firstLine="420" w:firstLineChars="200"/>
      </w:pPr>
      <w:r>
        <w:rPr>
          <w:rFonts w:hint="eastAsia" w:cs="宋体"/>
        </w:rPr>
        <w:t>（8）</w:t>
      </w:r>
      <w:r>
        <w:rPr>
          <w:rFonts w:hint="eastAsia"/>
        </w:rPr>
        <w:t>危险性较大的分部分项工程清单（如有）；</w:t>
      </w:r>
    </w:p>
    <w:p>
      <w:pPr>
        <w:spacing w:line="360" w:lineRule="auto"/>
        <w:ind w:firstLine="420" w:firstLineChars="200"/>
      </w:pPr>
      <w:r>
        <w:rPr>
          <w:rFonts w:hint="eastAsia" w:cs="宋体"/>
        </w:rPr>
        <w:t>（</w:t>
      </w:r>
      <w:r>
        <w:rPr>
          <w:rFonts w:hint="eastAsia"/>
        </w:rPr>
        <w:t>9</w:t>
      </w:r>
      <w:r>
        <w:rPr>
          <w:rFonts w:hint="eastAsia" w:cs="宋体"/>
        </w:rPr>
        <w:t>）技术标准和要求；</w:t>
      </w:r>
    </w:p>
    <w:p>
      <w:pPr>
        <w:spacing w:line="360" w:lineRule="auto"/>
        <w:ind w:firstLine="420" w:firstLineChars="200"/>
      </w:pPr>
      <w:r>
        <w:rPr>
          <w:rFonts w:hint="eastAsia" w:cs="宋体"/>
        </w:rPr>
        <w:t>（</w:t>
      </w:r>
      <w:r>
        <w:rPr>
          <w:rFonts w:hint="eastAsia"/>
        </w:rPr>
        <w:t>10</w:t>
      </w:r>
      <w:r>
        <w:rPr>
          <w:rFonts w:hint="eastAsia" w:cs="宋体"/>
        </w:rPr>
        <w:t>）投标文件格式；</w:t>
      </w:r>
    </w:p>
    <w:p>
      <w:pPr>
        <w:spacing w:line="360" w:lineRule="auto"/>
        <w:ind w:firstLine="420" w:firstLineChars="200"/>
      </w:pPr>
      <w:r>
        <w:rPr>
          <w:rFonts w:hint="eastAsia" w:cs="宋体"/>
        </w:rPr>
        <w:t>（</w:t>
      </w:r>
      <w:r>
        <w:t>1</w:t>
      </w:r>
      <w:r>
        <w:rPr>
          <w:rFonts w:hint="eastAsia"/>
        </w:rPr>
        <w:t>1</w:t>
      </w:r>
      <w:r>
        <w:rPr>
          <w:rFonts w:hint="eastAsia" w:cs="宋体"/>
        </w:rPr>
        <w:t>）</w:t>
      </w:r>
      <w:r>
        <w:t>“</w:t>
      </w:r>
      <w:r>
        <w:rPr>
          <w:rFonts w:hint="eastAsia" w:cs="宋体"/>
        </w:rPr>
        <w:t>投标人须知前附表</w:t>
      </w:r>
      <w:r>
        <w:t>”</w:t>
      </w:r>
      <w:r>
        <w:rPr>
          <w:rFonts w:hint="eastAsia" w:cs="宋体"/>
        </w:rPr>
        <w:t>规定的其他材料。</w:t>
      </w:r>
    </w:p>
    <w:p>
      <w:pPr>
        <w:spacing w:line="360" w:lineRule="auto"/>
        <w:ind w:firstLine="420" w:firstLineChars="200"/>
      </w:pPr>
      <w:r>
        <w:t xml:space="preserve">2.1.2 </w:t>
      </w:r>
      <w:r>
        <w:rPr>
          <w:rFonts w:hint="eastAsia" w:cs="宋体"/>
        </w:rPr>
        <w:t>根据本章第</w:t>
      </w:r>
      <w:r>
        <w:t>2.2</w:t>
      </w:r>
      <w:r>
        <w:rPr>
          <w:rFonts w:hint="eastAsia" w:cs="宋体"/>
        </w:rPr>
        <w:t>款和第</w:t>
      </w:r>
      <w:r>
        <w:t>2.3</w:t>
      </w:r>
      <w:r>
        <w:rPr>
          <w:rFonts w:hint="eastAsia" w:cs="宋体"/>
        </w:rPr>
        <w:t>款对招标文件所作的澄清、修改，构成招标文件的组成部分。</w:t>
      </w:r>
      <w:r>
        <w:rPr>
          <w:rFonts w:hint="eastAsia" w:hAnsi="宋体" w:cs="宋体"/>
        </w:rPr>
        <w:t>当招标文件及其澄清、修改或补充文件对于同一内容表述不一致时，以最后发出的书面文件为准。</w:t>
      </w:r>
    </w:p>
    <w:p>
      <w:pPr>
        <w:pStyle w:val="5"/>
      </w:pPr>
      <w:bookmarkStart w:id="102" w:name="_Toc2170"/>
      <w:bookmarkStart w:id="103" w:name="_Toc407135093"/>
      <w:bookmarkStart w:id="104" w:name="_Toc389065160"/>
      <w:r>
        <w:t xml:space="preserve">2.2 </w:t>
      </w:r>
      <w:r>
        <w:rPr>
          <w:rFonts w:hint="eastAsia" w:cs="黑体"/>
        </w:rPr>
        <w:t>招标文件的澄清</w:t>
      </w:r>
      <w:bookmarkEnd w:id="102"/>
      <w:bookmarkEnd w:id="103"/>
      <w:bookmarkEnd w:id="104"/>
    </w:p>
    <w:p>
      <w:pPr>
        <w:spacing w:line="360" w:lineRule="auto"/>
        <w:ind w:firstLine="420" w:firstLineChars="200"/>
      </w:pPr>
      <w:r>
        <w:t>2.2.1投标人应仔细阅读和检查招标文件的全部内容。如发现缺页或附件不全，应及时向招标人提出，以便补齐。如有疑问</w:t>
      </w:r>
      <w:r>
        <w:rPr>
          <w:rFonts w:hint="eastAsia"/>
        </w:rPr>
        <w:t>或异议</w:t>
      </w:r>
      <w:r>
        <w:t>，应在“投标人须知前附表”规定的时间前书面要求（包括信函、电报、传真等可以有形地表现所载内容的形式，下同）招标人对招标文件予以澄清。</w:t>
      </w:r>
    </w:p>
    <w:p>
      <w:pPr>
        <w:spacing w:line="360" w:lineRule="auto"/>
        <w:ind w:firstLine="420" w:firstLineChars="200"/>
        <w:rPr>
          <w:rFonts w:hAnsi="宋体"/>
        </w:rPr>
      </w:pPr>
      <w:r>
        <w:t xml:space="preserve">2.2.2 </w:t>
      </w:r>
      <w:r>
        <w:rPr>
          <w:rFonts w:hint="eastAsia" w:cs="宋体"/>
        </w:rPr>
        <w:t>招标人对</w:t>
      </w:r>
      <w:r>
        <w:rPr>
          <w:rFonts w:hint="eastAsia" w:hAnsi="宋体" w:cs="宋体"/>
        </w:rPr>
        <w:t>招标文件的澄清将在“投标人须知前附表”规定的投标截止时间</w:t>
      </w:r>
      <w:r>
        <w:t>15</w:t>
      </w:r>
      <w:r>
        <w:rPr>
          <w:rFonts w:hint="eastAsia" w:hAnsi="宋体" w:cs="宋体"/>
        </w:rPr>
        <w:t>日前</w:t>
      </w:r>
      <w:r>
        <w:rPr>
          <w:rFonts w:hint="eastAsia" w:cs="宋体"/>
        </w:rPr>
        <w:t>（不涉及招标文件实质性内容修改的除外）</w:t>
      </w:r>
      <w:r>
        <w:rPr>
          <w:rFonts w:hint="eastAsia" w:ascii="仿宋_GB2312" w:hAnsi="宋体"/>
        </w:rPr>
        <w:t>以“投标人须知前附表”规定的方式发布，</w:t>
      </w:r>
      <w:r>
        <w:rPr>
          <w:rFonts w:hint="eastAsia" w:hAnsi="宋体" w:cs="宋体"/>
        </w:rPr>
        <w:t>并提供给所有下载</w:t>
      </w:r>
      <w:r>
        <w:rPr>
          <w:rFonts w:hAnsi="宋体" w:cs="宋体"/>
        </w:rPr>
        <w:t>了招标文件的</w:t>
      </w:r>
      <w:r>
        <w:rPr>
          <w:rFonts w:hint="eastAsia" w:hAnsi="宋体" w:cs="宋体"/>
        </w:rPr>
        <w:t>投标人下载，但不得指明澄清问题的来源。如果澄清发出的时间距投标截止时间不足</w:t>
      </w:r>
      <w:r>
        <w:t>15</w:t>
      </w:r>
      <w:r>
        <w:rPr>
          <w:rFonts w:hint="eastAsia" w:hAnsi="宋体" w:cs="宋体"/>
        </w:rPr>
        <w:t>日，相应延长投标截止时间。</w:t>
      </w:r>
    </w:p>
    <w:p>
      <w:pPr>
        <w:spacing w:line="360" w:lineRule="auto"/>
        <w:ind w:firstLine="420" w:firstLineChars="200"/>
      </w:pPr>
      <w:r>
        <w:rPr>
          <w:rFonts w:hAnsi="宋体"/>
        </w:rPr>
        <w:t>2.2.3</w:t>
      </w:r>
      <w:r>
        <w:rPr>
          <w:rFonts w:hint="eastAsia" w:hAnsi="宋体" w:cs="宋体"/>
        </w:rPr>
        <w:t>投标人确认收到澄清的方式：</w:t>
      </w:r>
      <w:r>
        <w:rPr>
          <w:rFonts w:hint="eastAsia" w:cs="宋体"/>
        </w:rPr>
        <w:t>见</w:t>
      </w:r>
      <w:r>
        <w:t>“</w:t>
      </w:r>
      <w:r>
        <w:rPr>
          <w:rFonts w:hint="eastAsia" w:cs="宋体"/>
        </w:rPr>
        <w:t>投标人须知前附表</w:t>
      </w:r>
      <w:r>
        <w:t>”</w:t>
      </w:r>
      <w:r>
        <w:rPr>
          <w:rFonts w:hint="eastAsia" w:cs="宋体"/>
        </w:rPr>
        <w:t>。</w:t>
      </w:r>
    </w:p>
    <w:p>
      <w:pPr>
        <w:pStyle w:val="5"/>
      </w:pPr>
      <w:bookmarkStart w:id="105" w:name="_Toc389065161"/>
      <w:bookmarkStart w:id="106" w:name="_Toc407135094"/>
      <w:bookmarkStart w:id="107" w:name="_Toc7021"/>
      <w:r>
        <w:t xml:space="preserve">2.3 </w:t>
      </w:r>
      <w:r>
        <w:rPr>
          <w:rFonts w:hint="eastAsia" w:cs="黑体"/>
        </w:rPr>
        <w:t>招标文件的修改</w:t>
      </w:r>
      <w:bookmarkEnd w:id="105"/>
      <w:bookmarkEnd w:id="106"/>
      <w:bookmarkEnd w:id="107"/>
    </w:p>
    <w:p>
      <w:pPr>
        <w:spacing w:line="360" w:lineRule="auto"/>
        <w:ind w:firstLine="420" w:firstLineChars="200"/>
      </w:pPr>
      <w:r>
        <w:t>2.3.1在投标截止时间15</w:t>
      </w:r>
      <w:r>
        <w:rPr>
          <w:rFonts w:hint="eastAsia"/>
        </w:rPr>
        <w:t>日</w:t>
      </w:r>
      <w:r>
        <w:t>前，招标人可以书面形式修改招标文件，并以“投标人须知前附表”2.2.</w:t>
      </w:r>
      <w:r>
        <w:rPr>
          <w:rFonts w:hint="eastAsia"/>
        </w:rPr>
        <w:t>2</w:t>
      </w:r>
      <w:r>
        <w:t>规定的</w:t>
      </w:r>
      <w:r>
        <w:rPr>
          <w:rFonts w:hint="eastAsia"/>
        </w:rPr>
        <w:t>澄清文件发布的相同</w:t>
      </w:r>
      <w:r>
        <w:t>形式</w:t>
      </w:r>
      <w:r>
        <w:rPr>
          <w:rFonts w:hint="eastAsia"/>
        </w:rPr>
        <w:t>，</w:t>
      </w:r>
      <w:r>
        <w:t>通知所有已购买招标文件的投标人。如果修改招标文件的时间距投标截止时间不足15</w:t>
      </w:r>
      <w:r>
        <w:rPr>
          <w:rFonts w:hint="eastAsia"/>
        </w:rPr>
        <w:t>日</w:t>
      </w:r>
      <w:r>
        <w:t>可能影响投标文件编制的，相应延长投标截止时间。</w:t>
      </w:r>
    </w:p>
    <w:p>
      <w:pPr>
        <w:spacing w:line="360" w:lineRule="auto"/>
        <w:ind w:firstLine="420" w:firstLineChars="200"/>
      </w:pPr>
      <w:r>
        <w:t>2.3.2 当招标文件、招标文件的修改、补充在同一内容表述不一致时，以最后的更正</w:t>
      </w:r>
      <w:r>
        <w:rPr>
          <w:rFonts w:hint="eastAsia"/>
        </w:rPr>
        <w:t>、补遗</w:t>
      </w:r>
      <w:r>
        <w:t>、澄清为准。未在系统发布的更正、</w:t>
      </w:r>
      <w:r>
        <w:rPr>
          <w:rFonts w:hint="eastAsia"/>
        </w:rPr>
        <w:t>补遗</w:t>
      </w:r>
      <w:r>
        <w:t>、澄清为无效更正、</w:t>
      </w:r>
      <w:r>
        <w:rPr>
          <w:rFonts w:hint="eastAsia"/>
        </w:rPr>
        <w:t>补遗</w:t>
      </w:r>
      <w:r>
        <w:t>、澄清。</w:t>
      </w:r>
    </w:p>
    <w:p>
      <w:pPr>
        <w:spacing w:line="360" w:lineRule="auto"/>
        <w:ind w:firstLine="420" w:firstLineChars="200"/>
      </w:pPr>
      <w:r>
        <w:t>招标人应根据系统发布的更正、</w:t>
      </w:r>
      <w:r>
        <w:rPr>
          <w:rFonts w:hint="eastAsia"/>
        </w:rPr>
        <w:t>补遗</w:t>
      </w:r>
      <w:r>
        <w:t>、澄清重新生成招标文件。除更正、</w:t>
      </w:r>
      <w:r>
        <w:rPr>
          <w:rFonts w:hint="eastAsia"/>
        </w:rPr>
        <w:t>补遗</w:t>
      </w:r>
      <w:r>
        <w:t xml:space="preserve">、澄清内容外，其他内容以原招标文件为准。 </w:t>
      </w:r>
    </w:p>
    <w:p>
      <w:pPr>
        <w:pStyle w:val="48"/>
        <w:snapToGrid w:val="0"/>
        <w:spacing w:line="360" w:lineRule="auto"/>
        <w:ind w:firstLine="420" w:firstLineChars="200"/>
        <w:rPr>
          <w:rFonts w:hAnsi="宋体"/>
          <w:color w:val="auto"/>
          <w:sz w:val="21"/>
          <w:szCs w:val="21"/>
        </w:rPr>
      </w:pPr>
      <w:r>
        <w:rPr>
          <w:color w:val="auto"/>
          <w:sz w:val="21"/>
          <w:szCs w:val="21"/>
        </w:rPr>
        <w:t xml:space="preserve">2.3.3 </w:t>
      </w:r>
      <w:r>
        <w:rPr>
          <w:rFonts w:hint="eastAsia" w:hAnsi="宋体" w:cs="宋体"/>
          <w:color w:val="auto"/>
          <w:sz w:val="21"/>
          <w:szCs w:val="21"/>
        </w:rPr>
        <w:t>为使投标人在编制投标文件时有充分的时间对招标文件的修改、补充等内容进行研究并做出响应，招标人可酌情延长提交投标文件的截止时间，具体时间在招标文件的修改、补充等通知中予以明确。</w:t>
      </w:r>
      <w:r>
        <w:rPr>
          <w:rFonts w:hAnsi="宋体"/>
          <w:color w:val="auto"/>
          <w:sz w:val="21"/>
          <w:szCs w:val="21"/>
        </w:rPr>
        <w:t xml:space="preserve"> </w:t>
      </w:r>
    </w:p>
    <w:p>
      <w:pPr>
        <w:spacing w:line="360" w:lineRule="auto"/>
        <w:ind w:firstLine="420" w:firstLineChars="200"/>
      </w:pPr>
      <w:r>
        <w:rPr>
          <w:rFonts w:hAnsi="宋体"/>
        </w:rPr>
        <w:t>2.3.4</w:t>
      </w:r>
      <w:r>
        <w:t xml:space="preserve">招标文件的修改或补充报招投标监督管理部门备案后，发送给所有获得招标文件的投标人。招标文件的修改内容作为招标文件的组成部分，具有约束作用。  </w:t>
      </w:r>
    </w:p>
    <w:p>
      <w:pPr>
        <w:pStyle w:val="4"/>
      </w:pPr>
      <w:bookmarkStart w:id="108" w:name="_Toc389065162"/>
      <w:bookmarkStart w:id="109" w:name="_Toc16318"/>
      <w:bookmarkStart w:id="110" w:name="_Toc407135095"/>
      <w:r>
        <w:t xml:space="preserve">3 </w:t>
      </w:r>
      <w:r>
        <w:rPr>
          <w:rFonts w:hint="eastAsia" w:cs="黑体"/>
        </w:rPr>
        <w:t>投标文件</w:t>
      </w:r>
      <w:bookmarkEnd w:id="108"/>
      <w:bookmarkEnd w:id="109"/>
      <w:bookmarkEnd w:id="110"/>
    </w:p>
    <w:p>
      <w:pPr>
        <w:pStyle w:val="5"/>
      </w:pPr>
      <w:bookmarkStart w:id="111" w:name="_Toc407135096"/>
      <w:bookmarkStart w:id="112" w:name="_Toc8002"/>
      <w:bookmarkStart w:id="113" w:name="_Toc389065163"/>
      <w:r>
        <w:t xml:space="preserve">3.1 </w:t>
      </w:r>
      <w:r>
        <w:rPr>
          <w:rFonts w:hint="eastAsia" w:cs="黑体"/>
        </w:rPr>
        <w:t>投标文件的组成</w:t>
      </w:r>
      <w:bookmarkEnd w:id="111"/>
      <w:bookmarkEnd w:id="112"/>
      <w:bookmarkEnd w:id="113"/>
    </w:p>
    <w:p>
      <w:pPr>
        <w:spacing w:line="360" w:lineRule="auto"/>
        <w:ind w:firstLine="420" w:firstLineChars="200"/>
      </w:pPr>
      <w:r>
        <w:t xml:space="preserve">3.1.1 </w:t>
      </w:r>
      <w:r>
        <w:rPr>
          <w:rFonts w:hint="eastAsia" w:cs="宋体"/>
        </w:rPr>
        <w:t>投标文件应包括下列内容：</w:t>
      </w:r>
    </w:p>
    <w:p>
      <w:pPr>
        <w:spacing w:line="360" w:lineRule="auto"/>
        <w:ind w:firstLine="420" w:firstLineChars="200"/>
      </w:pPr>
      <w:r>
        <w:rPr>
          <w:rFonts w:hint="eastAsia" w:cs="宋体"/>
        </w:rPr>
        <w:t>3.1.1.</w:t>
      </w:r>
      <w:r>
        <w:t>1</w:t>
      </w:r>
      <w:r>
        <w:rPr>
          <w:rFonts w:hint="eastAsia" w:cs="宋体"/>
        </w:rPr>
        <w:t>资格审查部分：具体材料见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3.1.1.</w:t>
      </w:r>
      <w:r>
        <w:t>2</w:t>
      </w:r>
      <w:r>
        <w:rPr>
          <w:rFonts w:hint="eastAsia" w:cs="宋体"/>
        </w:rPr>
        <w:t>商务标部分：具体材料见</w:t>
      </w:r>
      <w:r>
        <w:t>“</w:t>
      </w:r>
      <w:r>
        <w:rPr>
          <w:rFonts w:hint="eastAsia" w:cs="宋体"/>
        </w:rPr>
        <w:t>投标人须知前附表</w:t>
      </w:r>
      <w:r>
        <w:t>”</w:t>
      </w:r>
      <w:r>
        <w:rPr>
          <w:rFonts w:hint="eastAsia" w:cs="宋体"/>
        </w:rPr>
        <w:t>；</w:t>
      </w:r>
    </w:p>
    <w:p>
      <w:pPr>
        <w:spacing w:line="360" w:lineRule="auto"/>
        <w:ind w:firstLine="420" w:firstLineChars="200"/>
        <w:rPr>
          <w:rFonts w:cs="宋体"/>
        </w:rPr>
      </w:pPr>
      <w:r>
        <w:rPr>
          <w:rFonts w:hint="eastAsia" w:cs="宋体"/>
        </w:rPr>
        <w:t>3.1.1.</w:t>
      </w:r>
      <w:r>
        <w:t>3</w:t>
      </w:r>
      <w:r>
        <w:rPr>
          <w:rFonts w:hint="eastAsia" w:cs="宋体"/>
        </w:rPr>
        <w:t>技术标部分：具体材料见</w:t>
      </w:r>
      <w:r>
        <w:t>“</w:t>
      </w:r>
      <w:r>
        <w:rPr>
          <w:rFonts w:hint="eastAsia" w:cs="宋体"/>
        </w:rPr>
        <w:t>投标人须知前附表</w:t>
      </w:r>
      <w:r>
        <w:t>”</w:t>
      </w:r>
      <w:r>
        <w:rPr>
          <w:rFonts w:hint="eastAsia"/>
        </w:rPr>
        <w:t>，其中</w:t>
      </w:r>
      <w:r>
        <w:t>施工组织</w:t>
      </w:r>
      <w:r>
        <w:rPr>
          <w:rFonts w:hint="eastAsia"/>
        </w:rPr>
        <w:t>设计具体</w:t>
      </w:r>
      <w:r>
        <w:t>内容</w:t>
      </w:r>
      <w:r>
        <w:rPr>
          <w:rFonts w:hint="eastAsia" w:cs="宋体"/>
        </w:rPr>
        <w:t>如下：</w:t>
      </w:r>
    </w:p>
    <w:p>
      <w:pPr>
        <w:spacing w:line="360" w:lineRule="auto"/>
        <w:ind w:firstLine="420" w:firstLineChars="200"/>
        <w:rPr>
          <w:rFonts w:hint="eastAsia"/>
        </w:rPr>
      </w:pPr>
      <w:r>
        <w:rPr>
          <w:rFonts w:hint="eastAsia"/>
        </w:rPr>
        <w:t>（1）概述</w:t>
      </w:r>
    </w:p>
    <w:p>
      <w:pPr>
        <w:spacing w:line="360" w:lineRule="auto"/>
        <w:ind w:firstLine="420" w:firstLineChars="200"/>
        <w:rPr>
          <w:rFonts w:hint="eastAsia"/>
        </w:rPr>
      </w:pPr>
      <w:r>
        <w:rPr>
          <w:rFonts w:hint="eastAsia"/>
        </w:rPr>
        <w:t>（2）主要施工方法；</w:t>
      </w:r>
    </w:p>
    <w:p>
      <w:pPr>
        <w:spacing w:line="360" w:lineRule="auto"/>
        <w:ind w:firstLine="420" w:firstLineChars="200"/>
        <w:rPr>
          <w:rFonts w:hint="eastAsia" w:eastAsia="宋体"/>
          <w:lang w:eastAsia="zh-CN"/>
        </w:rPr>
      </w:pPr>
      <w:r>
        <w:rPr>
          <w:rFonts w:hint="eastAsia"/>
        </w:rPr>
        <w:t>（3）拟投入的主要物资计划</w:t>
      </w:r>
      <w:r>
        <w:rPr>
          <w:rFonts w:hint="eastAsia"/>
          <w:lang w:eastAsia="zh-CN"/>
        </w:rPr>
        <w:t>；</w:t>
      </w:r>
    </w:p>
    <w:p>
      <w:pPr>
        <w:spacing w:line="360" w:lineRule="auto"/>
        <w:ind w:firstLine="420" w:firstLineChars="200"/>
        <w:rPr>
          <w:rFonts w:hint="eastAsia" w:eastAsia="宋体"/>
          <w:lang w:eastAsia="zh-CN"/>
        </w:rPr>
      </w:pPr>
      <w:r>
        <w:rPr>
          <w:rFonts w:hint="eastAsia"/>
        </w:rPr>
        <w:t>（4）</w:t>
      </w:r>
      <w:r>
        <w:rPr>
          <w:rFonts w:hint="eastAsia" w:cs="宋体"/>
          <w:kern w:val="0"/>
        </w:rPr>
        <w:t>拟投入的主要施工机械、设备计划</w:t>
      </w:r>
      <w:r>
        <w:rPr>
          <w:rFonts w:hint="eastAsia" w:cs="宋体"/>
          <w:kern w:val="0"/>
          <w:lang w:eastAsia="zh-CN"/>
        </w:rPr>
        <w:t>；</w:t>
      </w:r>
    </w:p>
    <w:p>
      <w:pPr>
        <w:spacing w:line="360" w:lineRule="auto"/>
        <w:ind w:firstLine="420" w:firstLineChars="200"/>
        <w:rPr>
          <w:rFonts w:hint="eastAsia"/>
        </w:rPr>
      </w:pPr>
      <w:r>
        <w:rPr>
          <w:rFonts w:hint="eastAsia"/>
        </w:rPr>
        <w:t>（5）劳动力安排计划；</w:t>
      </w:r>
    </w:p>
    <w:p>
      <w:pPr>
        <w:spacing w:line="360" w:lineRule="auto"/>
        <w:ind w:firstLine="420" w:firstLineChars="200"/>
        <w:rPr>
          <w:rFonts w:hint="eastAsia"/>
        </w:rPr>
      </w:pPr>
      <w:r>
        <w:rPr>
          <w:rFonts w:hint="eastAsia"/>
        </w:rPr>
        <w:t>（6）确保工程质量的技术组织措施；</w:t>
      </w:r>
    </w:p>
    <w:p>
      <w:pPr>
        <w:spacing w:line="360" w:lineRule="auto"/>
        <w:ind w:firstLine="420" w:firstLineChars="200"/>
        <w:rPr>
          <w:rFonts w:hint="eastAsia"/>
        </w:rPr>
      </w:pPr>
      <w:r>
        <w:rPr>
          <w:rFonts w:hint="eastAsia"/>
        </w:rPr>
        <w:t>（7）确保安全生产的技术组织措施；</w:t>
      </w:r>
    </w:p>
    <w:p>
      <w:pPr>
        <w:spacing w:line="360" w:lineRule="auto"/>
        <w:ind w:firstLine="420" w:firstLineChars="200"/>
        <w:rPr>
          <w:rFonts w:hint="eastAsia"/>
        </w:rPr>
      </w:pPr>
      <w:r>
        <w:rPr>
          <w:rFonts w:hint="eastAsia"/>
        </w:rPr>
        <w:t>（8）确保工期的技术组织措施；</w:t>
      </w:r>
    </w:p>
    <w:p>
      <w:pPr>
        <w:spacing w:line="360" w:lineRule="auto"/>
        <w:ind w:firstLine="420" w:firstLineChars="200"/>
        <w:rPr>
          <w:rFonts w:hint="eastAsia"/>
        </w:rPr>
      </w:pPr>
      <w:r>
        <w:rPr>
          <w:rFonts w:hint="eastAsia"/>
        </w:rPr>
        <w:t>（9）确保文明施工的技术组织措施；</w:t>
      </w:r>
    </w:p>
    <w:p>
      <w:pPr>
        <w:spacing w:line="360" w:lineRule="auto"/>
        <w:ind w:firstLine="420" w:firstLineChars="200"/>
        <w:rPr>
          <w:rFonts w:hint="eastAsia"/>
        </w:rPr>
      </w:pPr>
      <w:r>
        <w:rPr>
          <w:rFonts w:hint="eastAsia"/>
        </w:rPr>
        <w:t>（10）工程施工的重点和难点及保证措施；</w:t>
      </w:r>
    </w:p>
    <w:p>
      <w:pPr>
        <w:spacing w:line="360" w:lineRule="auto"/>
        <w:ind w:firstLine="420" w:firstLineChars="200"/>
      </w:pPr>
      <w:r>
        <w:rPr>
          <w:rFonts w:hint="eastAsia"/>
        </w:rPr>
        <w:t>（1</w:t>
      </w:r>
      <w:r>
        <w:t>1</w:t>
      </w:r>
      <w:r>
        <w:rPr>
          <w:rFonts w:hint="eastAsia"/>
        </w:rPr>
        <w:t>）施工总平面布置图；</w:t>
      </w:r>
    </w:p>
    <w:p>
      <w:pPr>
        <w:spacing w:line="360" w:lineRule="auto"/>
        <w:ind w:firstLine="420" w:firstLineChars="200"/>
        <w:rPr>
          <w:rFonts w:hint="eastAsia"/>
        </w:rPr>
      </w:pPr>
      <w:r>
        <w:rPr>
          <w:rFonts w:hint="eastAsia"/>
        </w:rPr>
        <w:t>（1</w:t>
      </w:r>
      <w:r>
        <w:t>2</w:t>
      </w:r>
      <w:r>
        <w:rPr>
          <w:rFonts w:hint="eastAsia"/>
        </w:rPr>
        <w:t>）其他（</w:t>
      </w:r>
      <w:r>
        <w:t>如有）</w:t>
      </w:r>
      <w:r>
        <w:rPr>
          <w:rFonts w:hint="eastAsia"/>
        </w:rPr>
        <w:t>（与评标</w:t>
      </w:r>
      <w:r>
        <w:t>办法</w:t>
      </w:r>
      <w:r>
        <w:rPr>
          <w:rFonts w:hint="eastAsia"/>
        </w:rPr>
        <w:t>前</w:t>
      </w:r>
      <w:r>
        <w:t>附表技术标评分标准一致</w:t>
      </w:r>
      <w:r>
        <w:rPr>
          <w:rFonts w:hint="eastAsia"/>
        </w:rPr>
        <w:t>）</w:t>
      </w:r>
    </w:p>
    <w:p>
      <w:pPr>
        <w:spacing w:line="360" w:lineRule="auto"/>
        <w:ind w:firstLine="420" w:firstLineChars="200"/>
      </w:pPr>
      <w:r>
        <w:t xml:space="preserve">3.1.2 </w:t>
      </w:r>
      <w:r>
        <w:rPr>
          <w:rFonts w:hint="eastAsia" w:cs="宋体"/>
        </w:rPr>
        <w:t>招标文件</w:t>
      </w:r>
      <w:r>
        <w:t>“</w:t>
      </w:r>
      <w:r>
        <w:rPr>
          <w:rFonts w:hint="eastAsia" w:cs="宋体"/>
        </w:rPr>
        <w:t>第九章</w:t>
      </w:r>
      <w:r>
        <w:t xml:space="preserve"> </w:t>
      </w:r>
      <w:r>
        <w:rPr>
          <w:rFonts w:hint="eastAsia" w:cs="宋体"/>
        </w:rPr>
        <w:t>投标文件格式</w:t>
      </w:r>
      <w:r>
        <w:t>”</w:t>
      </w:r>
      <w:r>
        <w:rPr>
          <w:rFonts w:hint="eastAsia" w:cs="宋体"/>
        </w:rPr>
        <w:t>有规定格式要求的，投标人应按规定的格式填写并按要求提交相关的证明材料。</w:t>
      </w:r>
    </w:p>
    <w:p>
      <w:pPr>
        <w:spacing w:line="360" w:lineRule="auto"/>
        <w:ind w:firstLine="420" w:firstLineChars="200"/>
      </w:pPr>
      <w:r>
        <w:t>3.1.3 “</w:t>
      </w:r>
      <w:r>
        <w:rPr>
          <w:rFonts w:hint="eastAsia" w:cs="宋体"/>
        </w:rPr>
        <w:t>投标人须知前附表</w:t>
      </w:r>
      <w:r>
        <w:t>”</w:t>
      </w:r>
      <w:r>
        <w:rPr>
          <w:rFonts w:hint="eastAsia" w:cs="宋体"/>
        </w:rPr>
        <w:t>规定不接受联合体投标的，或投标人没有组成联合体的，投标文件不包括本章第</w:t>
      </w:r>
      <w:r>
        <w:t>3.1.1</w:t>
      </w:r>
      <w:r>
        <w:rPr>
          <w:rFonts w:hint="eastAsia" w:cs="宋体"/>
        </w:rPr>
        <w:t>.1中所指的联合体协议书。</w:t>
      </w:r>
    </w:p>
    <w:p>
      <w:pPr>
        <w:spacing w:line="360" w:lineRule="auto"/>
        <w:ind w:firstLine="420" w:firstLineChars="200"/>
      </w:pPr>
      <w:r>
        <w:t xml:space="preserve">3.1.4 </w:t>
      </w:r>
      <w:r>
        <w:rPr>
          <w:rFonts w:hint="eastAsia" w:cs="宋体"/>
        </w:rPr>
        <w:t>近年财务状况、完成的类似项目的年份要求：见</w:t>
      </w:r>
      <w:r>
        <w:t>“</w:t>
      </w:r>
      <w:r>
        <w:rPr>
          <w:rFonts w:hint="eastAsia" w:cs="宋体"/>
        </w:rPr>
        <w:t>投标人须知前附表</w:t>
      </w:r>
      <w:r>
        <w:t>”</w:t>
      </w:r>
      <w:r>
        <w:rPr>
          <w:rFonts w:hint="eastAsia" w:cs="宋体"/>
        </w:rPr>
        <w:t>。</w:t>
      </w:r>
    </w:p>
    <w:p>
      <w:pPr>
        <w:pStyle w:val="5"/>
      </w:pPr>
      <w:bookmarkStart w:id="114" w:name="_Toc407135097"/>
      <w:bookmarkStart w:id="115" w:name="_Toc12161"/>
      <w:bookmarkStart w:id="116" w:name="_Toc389065164"/>
      <w:r>
        <w:t xml:space="preserve">3.2 </w:t>
      </w:r>
      <w:r>
        <w:rPr>
          <w:rFonts w:hint="eastAsia" w:cs="黑体"/>
        </w:rPr>
        <w:t>投标报价</w:t>
      </w:r>
      <w:bookmarkEnd w:id="114"/>
      <w:bookmarkEnd w:id="115"/>
      <w:bookmarkEnd w:id="116"/>
    </w:p>
    <w:p>
      <w:pPr>
        <w:spacing w:line="360" w:lineRule="auto"/>
        <w:ind w:firstLine="420" w:firstLineChars="200"/>
      </w:pPr>
      <w:r>
        <w:t xml:space="preserve">3.2.1 </w:t>
      </w:r>
      <w:r>
        <w:rPr>
          <w:rFonts w:hint="eastAsia" w:cs="宋体"/>
        </w:rPr>
        <w:t>投标人应按第五章</w:t>
      </w:r>
      <w:r>
        <w:t>“</w:t>
      </w:r>
      <w:r>
        <w:rPr>
          <w:rFonts w:hint="eastAsia" w:cs="宋体"/>
        </w:rPr>
        <w:t>工程量清单</w:t>
      </w:r>
      <w:r>
        <w:t>”</w:t>
      </w:r>
      <w:r>
        <w:rPr>
          <w:rFonts w:hint="eastAsia" w:cs="宋体"/>
        </w:rPr>
        <w:t>的要求填写相应表格。</w:t>
      </w:r>
    </w:p>
    <w:p>
      <w:pPr>
        <w:spacing w:line="360" w:lineRule="auto"/>
        <w:ind w:firstLine="420" w:firstLineChars="200"/>
      </w:pPr>
      <w:r>
        <w:t xml:space="preserve">3.2.2 </w:t>
      </w:r>
      <w:r>
        <w:rPr>
          <w:rFonts w:hint="eastAsia" w:cs="宋体"/>
        </w:rPr>
        <w:t>投标人在投标截止时间前修改投标函中的投标总报价，应同时修改第九章</w:t>
      </w:r>
      <w:r>
        <w:t>“</w:t>
      </w:r>
      <w:r>
        <w:rPr>
          <w:rFonts w:hint="eastAsia" w:cs="宋体"/>
        </w:rPr>
        <w:t>投标文件格式</w:t>
      </w:r>
      <w:r>
        <w:t>”</w:t>
      </w:r>
      <w:r>
        <w:rPr>
          <w:rFonts w:hint="eastAsia" w:cs="宋体"/>
        </w:rPr>
        <w:t>中的相应报价。此修改须符合本章第</w:t>
      </w:r>
      <w:r>
        <w:t>4.3</w:t>
      </w:r>
      <w:r>
        <w:rPr>
          <w:rFonts w:hint="eastAsia" w:cs="宋体"/>
        </w:rPr>
        <w:t>款的有关要求。</w:t>
      </w:r>
    </w:p>
    <w:p>
      <w:pPr>
        <w:pStyle w:val="5"/>
      </w:pPr>
      <w:bookmarkStart w:id="117" w:name="_Toc407135098"/>
      <w:bookmarkStart w:id="118" w:name="_Toc389065165"/>
      <w:bookmarkStart w:id="119" w:name="_Toc30164"/>
      <w:r>
        <w:t xml:space="preserve">3.3 </w:t>
      </w:r>
      <w:r>
        <w:rPr>
          <w:rFonts w:hint="eastAsia" w:cs="黑体"/>
        </w:rPr>
        <w:t>投标有效期</w:t>
      </w:r>
      <w:bookmarkEnd w:id="117"/>
      <w:bookmarkEnd w:id="118"/>
      <w:bookmarkEnd w:id="119"/>
    </w:p>
    <w:p>
      <w:pPr>
        <w:spacing w:line="360" w:lineRule="auto"/>
        <w:ind w:firstLine="420" w:firstLineChars="200"/>
      </w:pPr>
      <w:r>
        <w:t xml:space="preserve">3.3.1 </w:t>
      </w:r>
      <w:r>
        <w:rPr>
          <w:rFonts w:hint="eastAsia" w:hAnsi="宋体" w:cs="宋体"/>
        </w:rPr>
        <w:t>在投标人须知前附表规定的投标有效期内，投标人不得要求撤销或修改其投标文件。</w:t>
      </w:r>
    </w:p>
    <w:p>
      <w:pPr>
        <w:spacing w:line="360" w:lineRule="auto"/>
        <w:ind w:firstLine="420" w:firstLineChars="200"/>
      </w:pPr>
      <w:r>
        <w:t xml:space="preserve">3.3.2 </w:t>
      </w:r>
      <w:r>
        <w:rPr>
          <w:rFonts w:hint="eastAsia" w:hAnsi="宋体" w:cs="宋体"/>
        </w:rPr>
        <w:t>出现特殊情况需要延长投标有效期的，招标人通过广西</w:t>
      </w:r>
      <w:r>
        <w:rPr>
          <w:rFonts w:hint="eastAsia" w:hAnsi="宋体" w:cs="宋体"/>
          <w:lang w:val="en-US" w:eastAsia="zh-CN"/>
        </w:rPr>
        <w:t>政采云</w:t>
      </w:r>
      <w:r>
        <w:rPr>
          <w:rFonts w:hint="eastAsia" w:hAnsi="宋体" w:cs="宋体"/>
        </w:rPr>
        <w:t>系统通知所有投标人延长投标有效期。投标人同意延长的，应相应延长其投标保证金的有效期，但不得要求或被允许修改或撤销其投标文件；投标人拒绝延长的，其投标失效，但投标人有权收回其投标保证金。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pPr>
      <w:bookmarkStart w:id="120" w:name="_Toc389065166"/>
      <w:bookmarkStart w:id="121" w:name="_Toc29525"/>
      <w:bookmarkStart w:id="122" w:name="_Toc407135099"/>
      <w:r>
        <w:t xml:space="preserve">3.4 </w:t>
      </w:r>
      <w:r>
        <w:rPr>
          <w:rFonts w:hint="eastAsia" w:cs="黑体"/>
        </w:rPr>
        <w:t>投标保证金</w:t>
      </w:r>
      <w:bookmarkEnd w:id="120"/>
      <w:bookmarkEnd w:id="121"/>
      <w:bookmarkEnd w:id="122"/>
    </w:p>
    <w:p>
      <w:pPr>
        <w:spacing w:line="360" w:lineRule="auto"/>
        <w:ind w:firstLine="420" w:firstLineChars="200"/>
      </w:pPr>
      <w:r>
        <w:t xml:space="preserve">3.4.1 </w:t>
      </w:r>
      <w:r>
        <w:rPr>
          <w:rFonts w:hint="eastAsia" w:cs="宋体"/>
        </w:rPr>
        <w:t>投标人必须在投标截止时间前，按</w:t>
      </w:r>
      <w:r>
        <w:t>“</w:t>
      </w:r>
      <w:r>
        <w:rPr>
          <w:rFonts w:hint="eastAsia" w:cs="宋体"/>
        </w:rPr>
        <w:t>投标人须知前附表</w:t>
      </w:r>
      <w:r>
        <w:t>”</w:t>
      </w:r>
      <w:r>
        <w:rPr>
          <w:rFonts w:hint="eastAsia" w:cs="宋体"/>
        </w:rPr>
        <w:t>规定的金额、方式和第九章</w:t>
      </w:r>
      <w:r>
        <w:t>“</w:t>
      </w:r>
      <w:r>
        <w:rPr>
          <w:rFonts w:hint="eastAsia" w:cs="宋体"/>
        </w:rPr>
        <w:t>投标文件格式</w:t>
      </w:r>
      <w:r>
        <w:t>”</w:t>
      </w:r>
      <w:r>
        <w:rPr>
          <w:rFonts w:hint="eastAsia" w:cs="宋体"/>
        </w:rPr>
        <w:t>规定的投标保证金格式提交投标保证金。投标保证金的提交情况以广西电子招标投标系统记录为准。联合体投标的，其投标保证金由牵头人提交，并应符合</w:t>
      </w:r>
      <w:r>
        <w:t>“</w:t>
      </w:r>
      <w:r>
        <w:rPr>
          <w:rFonts w:hint="eastAsia" w:cs="宋体"/>
        </w:rPr>
        <w:t>投标人须知前附表</w:t>
      </w:r>
      <w:r>
        <w:t>”</w:t>
      </w:r>
      <w:r>
        <w:rPr>
          <w:rFonts w:hint="eastAsia" w:cs="宋体"/>
        </w:rPr>
        <w:t>的规定。</w:t>
      </w:r>
    </w:p>
    <w:p>
      <w:pPr>
        <w:spacing w:line="360" w:lineRule="auto"/>
        <w:ind w:firstLine="420" w:firstLineChars="200"/>
        <w:rPr>
          <w:rFonts w:hint="eastAsia"/>
        </w:rPr>
      </w:pPr>
      <w:r>
        <w:t xml:space="preserve">3.4.2 </w:t>
      </w:r>
      <w:r>
        <w:rPr>
          <w:rFonts w:hint="eastAsia" w:cs="宋体"/>
        </w:rPr>
        <w:t>投标人不按本章第</w:t>
      </w:r>
      <w:r>
        <w:t>3.4.1</w:t>
      </w:r>
      <w:r>
        <w:rPr>
          <w:rFonts w:hint="eastAsia" w:cs="宋体"/>
        </w:rPr>
        <w:t>项要求提交投标保证金的，其投标文件作否决投标处理。</w:t>
      </w:r>
    </w:p>
    <w:p>
      <w:pPr>
        <w:spacing w:line="360" w:lineRule="auto"/>
        <w:ind w:firstLine="420" w:firstLineChars="200"/>
      </w:pPr>
      <w:r>
        <w:t xml:space="preserve">3.4.3 </w:t>
      </w:r>
      <w:r>
        <w:rPr>
          <w:rFonts w:hint="eastAsia" w:cs="宋体"/>
        </w:rPr>
        <w:t>对未中标人交纳的投标保证金（保函原件）应当于中标通知书发出之日起</w:t>
      </w:r>
      <w:r>
        <w:t>5</w:t>
      </w:r>
      <w:r>
        <w:rPr>
          <w:rFonts w:hint="eastAsia" w:cs="宋体"/>
        </w:rPr>
        <w:t>日内退回；对中标人交纳的投标保证金（保函原件）应当于合同签订之日起</w:t>
      </w:r>
      <w:r>
        <w:t>5</w:t>
      </w:r>
      <w:r>
        <w:rPr>
          <w:rFonts w:hint="eastAsia" w:cs="宋体"/>
        </w:rPr>
        <w:t>日内退回。</w:t>
      </w:r>
    </w:p>
    <w:p>
      <w:pPr>
        <w:spacing w:line="360" w:lineRule="auto"/>
        <w:ind w:firstLine="420" w:firstLineChars="200"/>
      </w:pPr>
      <w:r>
        <w:t xml:space="preserve">3.4.4 </w:t>
      </w:r>
      <w:r>
        <w:rPr>
          <w:rFonts w:hint="eastAsia" w:cs="宋体"/>
        </w:rPr>
        <w:t>有下列情形之一的，投标保证金将不予退还：</w:t>
      </w:r>
    </w:p>
    <w:p>
      <w:pPr>
        <w:spacing w:line="360" w:lineRule="auto"/>
        <w:ind w:firstLine="420" w:firstLineChars="200"/>
      </w:pPr>
      <w:r>
        <w:rPr>
          <w:rFonts w:hint="eastAsia" w:cs="宋体"/>
        </w:rPr>
        <w:t>（</w:t>
      </w:r>
      <w:r>
        <w:t>1</w:t>
      </w:r>
      <w:r>
        <w:rPr>
          <w:rFonts w:hint="eastAsia" w:cs="宋体"/>
        </w:rPr>
        <w:t>）投标人在规定的投标有效期内撤销或修改其投标文件；</w:t>
      </w:r>
    </w:p>
    <w:p>
      <w:pPr>
        <w:spacing w:line="360" w:lineRule="auto"/>
        <w:ind w:firstLine="420" w:firstLineChars="200"/>
      </w:pPr>
      <w:r>
        <w:rPr>
          <w:rFonts w:hint="eastAsia" w:cs="宋体"/>
        </w:rPr>
        <w:t>（</w:t>
      </w:r>
      <w:r>
        <w:t>2</w:t>
      </w:r>
      <w:r>
        <w:rPr>
          <w:rFonts w:hint="eastAsia" w:cs="宋体"/>
        </w:rPr>
        <w:t>）中标人在收到中标通知书后，无正当理由拒签合同协议书或未按招标文件规定提交履约保证金。</w:t>
      </w:r>
    </w:p>
    <w:p>
      <w:pPr>
        <w:pStyle w:val="5"/>
      </w:pPr>
      <w:bookmarkStart w:id="123" w:name="_Toc389065167"/>
      <w:bookmarkStart w:id="124" w:name="_Toc10323"/>
      <w:bookmarkStart w:id="125" w:name="_Toc407135100"/>
      <w:r>
        <w:t xml:space="preserve">3.5 </w:t>
      </w:r>
      <w:r>
        <w:rPr>
          <w:rFonts w:hint="eastAsia" w:cs="黑体"/>
        </w:rPr>
        <w:t>备选投标方案</w:t>
      </w:r>
      <w:bookmarkEnd w:id="123"/>
      <w:bookmarkEnd w:id="124"/>
      <w:bookmarkEnd w:id="125"/>
    </w:p>
    <w:p>
      <w:pPr>
        <w:spacing w:line="360" w:lineRule="auto"/>
        <w:ind w:firstLine="420" w:firstLineChars="200"/>
      </w:pPr>
      <w:r>
        <w:rPr>
          <w:rFonts w:hint="eastAsia" w:cs="宋体"/>
        </w:rPr>
        <w:t>除“投标人须知前附表”另有规定外，投标人不得提交备选投标方案。允许投标人提交备选投标方案的，只有中标人所提交的备选投标方案方可予以考虑。评标委员会认为中标人的备选投标方案优于其按照招标文件要求编制的投标方案的，招标人可以接受该备选投标方案。</w:t>
      </w:r>
    </w:p>
    <w:p>
      <w:pPr>
        <w:pStyle w:val="5"/>
      </w:pPr>
      <w:bookmarkStart w:id="126" w:name="_Toc25612"/>
      <w:bookmarkStart w:id="127" w:name="_Toc407135101"/>
      <w:bookmarkStart w:id="128" w:name="_Toc389065168"/>
      <w:r>
        <w:t xml:space="preserve">3.6 </w:t>
      </w:r>
      <w:r>
        <w:rPr>
          <w:rFonts w:hint="eastAsia" w:cs="黑体"/>
        </w:rPr>
        <w:t>投标文件的编制</w:t>
      </w:r>
      <w:bookmarkEnd w:id="126"/>
      <w:bookmarkEnd w:id="127"/>
      <w:bookmarkEnd w:id="128"/>
    </w:p>
    <w:p>
      <w:pPr>
        <w:spacing w:line="360" w:lineRule="auto"/>
        <w:ind w:firstLine="420" w:firstLineChars="200"/>
      </w:pPr>
      <w:r>
        <w:t xml:space="preserve">3.6.1 </w:t>
      </w:r>
      <w:r>
        <w:rPr>
          <w:rFonts w:hint="eastAsia" w:cs="宋体"/>
        </w:rPr>
        <w:t>投标文件应按第九章</w:t>
      </w:r>
      <w:r>
        <w:t>“</w:t>
      </w:r>
      <w:r>
        <w:rPr>
          <w:rFonts w:hint="eastAsia" w:cs="宋体"/>
        </w:rPr>
        <w:t>投标文件格式</w:t>
      </w:r>
      <w:r>
        <w:t>”</w:t>
      </w:r>
      <w:r>
        <w:rPr>
          <w:rFonts w:hint="eastAsia" w:cs="宋体"/>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pPr>
      <w:r>
        <w:t xml:space="preserve">3.6.2 </w:t>
      </w:r>
      <w:r>
        <w:rPr>
          <w:rFonts w:hint="eastAsia" w:cs="宋体"/>
        </w:rPr>
        <w:t>投标文件应当对招标文件有关工期、投标有效期、质量要求、技术标准和要求、招标范围等实质性内容作出响应。</w:t>
      </w:r>
      <w:r>
        <w:t xml:space="preserve"> </w:t>
      </w:r>
    </w:p>
    <w:p>
      <w:pPr>
        <w:spacing w:line="360" w:lineRule="auto"/>
        <w:ind w:firstLine="420" w:firstLineChars="200"/>
        <w:rPr>
          <w:rFonts w:hint="eastAsia"/>
        </w:rPr>
      </w:pPr>
      <w:r>
        <w:rPr>
          <w:rFonts w:hint="eastAsia"/>
        </w:rPr>
        <w:t>3.6.3 投标文件按照招标文件第八章格式要求在规定位置进行签署、盖章。投标人的投标文件未按照招标文件要求签署、盖章的，其投标无效。骑缝盖公章不视为在规定位置盖章。</w:t>
      </w:r>
    </w:p>
    <w:p>
      <w:pPr>
        <w:spacing w:line="360" w:lineRule="auto"/>
        <w:ind w:firstLine="420" w:firstLineChars="200"/>
        <w:rPr>
          <w:rFonts w:hint="eastAsia"/>
        </w:rPr>
      </w:pPr>
      <w:r>
        <w:rPr>
          <w:rFonts w:hint="eastAsia"/>
        </w:rPr>
        <w:t>3.6.4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pPr>
        <w:spacing w:line="360" w:lineRule="auto"/>
        <w:ind w:firstLine="420" w:firstLineChars="200"/>
        <w:rPr>
          <w:rFonts w:hint="eastAsia"/>
        </w:rPr>
      </w:pPr>
      <w:r>
        <w:rPr>
          <w:rFonts w:hint="eastAsia"/>
        </w:rPr>
        <w:t>3.6.5 为确保网上操作合法、有效和安全，投标人应当在投标截止时间前完成在“政采云”平台的身份认证，确保在电子投标过程中能够对相关数据电文进行加密和使用电子签名。</w:t>
      </w:r>
    </w:p>
    <w:p>
      <w:pPr>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3.6.6</w:t>
      </w:r>
      <w:r>
        <w:rPr>
          <w:rFonts w:hint="eastAsia" w:ascii="Times New Roman" w:hAnsi="Times New Roman" w:eastAsia="宋体" w:cs="Times New Roman"/>
        </w:rPr>
        <w:t>电子投标文件通过平台有效CA加密后在“政采云”平台投送。（操作方式见公告附件“电子投标文件制作与投送教程”）。</w:t>
      </w:r>
    </w:p>
    <w:p>
      <w:pPr>
        <w:pStyle w:val="4"/>
      </w:pPr>
      <w:bookmarkStart w:id="129" w:name="_Toc14136"/>
      <w:bookmarkStart w:id="130" w:name="_Toc407135102"/>
      <w:bookmarkStart w:id="131" w:name="_Toc389065169"/>
      <w:r>
        <w:t xml:space="preserve">4 </w:t>
      </w:r>
      <w:r>
        <w:rPr>
          <w:rFonts w:hint="eastAsia" w:cs="黑体"/>
        </w:rPr>
        <w:t>投标</w:t>
      </w:r>
      <w:bookmarkEnd w:id="129"/>
      <w:bookmarkEnd w:id="130"/>
      <w:bookmarkEnd w:id="131"/>
    </w:p>
    <w:p>
      <w:pPr>
        <w:keepNext/>
        <w:keepLines/>
        <w:spacing w:line="360" w:lineRule="auto"/>
        <w:outlineLvl w:val="2"/>
        <w:rPr>
          <w:rFonts w:ascii="Calibri" w:hAnsi="Calibri" w:eastAsia="黑体"/>
          <w:b/>
          <w:bCs/>
          <w:sz w:val="32"/>
          <w:szCs w:val="32"/>
          <w:lang w:val="zh-CN"/>
        </w:rPr>
      </w:pPr>
      <w:bookmarkStart w:id="132" w:name="_Toc15547246"/>
      <w:bookmarkStart w:id="133" w:name="_Toc20664427"/>
      <w:bookmarkStart w:id="134" w:name="_Toc16783823"/>
      <w:bookmarkStart w:id="135" w:name="_Toc407135103"/>
      <w:bookmarkStart w:id="136" w:name="_Toc389065170"/>
      <w:r>
        <w:rPr>
          <w:rFonts w:ascii="Calibri" w:hAnsi="Calibri" w:eastAsia="黑体"/>
          <w:b/>
          <w:bCs/>
          <w:sz w:val="32"/>
          <w:szCs w:val="32"/>
          <w:lang w:val="zh-CN"/>
        </w:rPr>
        <w:t>4.</w:t>
      </w:r>
      <w:r>
        <w:rPr>
          <w:rFonts w:hint="eastAsia" w:ascii="Calibri" w:hAnsi="Calibri" w:eastAsia="黑体"/>
          <w:b/>
          <w:bCs/>
          <w:sz w:val="32"/>
          <w:szCs w:val="32"/>
          <w:lang w:val="zh-CN"/>
        </w:rPr>
        <w:t>1</w:t>
      </w:r>
      <w:r>
        <w:rPr>
          <w:rFonts w:ascii="Calibri" w:hAnsi="Calibri" w:eastAsia="黑体"/>
          <w:b/>
          <w:bCs/>
          <w:sz w:val="32"/>
          <w:szCs w:val="32"/>
          <w:lang w:val="zh-CN"/>
        </w:rPr>
        <w:t>投标文件的密封和标</w:t>
      </w:r>
      <w:r>
        <w:rPr>
          <w:rFonts w:hint="eastAsia" w:ascii="Calibri" w:hAnsi="Calibri" w:eastAsia="黑体"/>
          <w:b/>
          <w:bCs/>
          <w:sz w:val="32"/>
          <w:szCs w:val="32"/>
          <w:lang w:val="zh-CN"/>
        </w:rPr>
        <w:t>记</w:t>
      </w:r>
      <w:bookmarkEnd w:id="132"/>
      <w:bookmarkEnd w:id="133"/>
      <w:bookmarkEnd w:id="134"/>
    </w:p>
    <w:p>
      <w:pPr>
        <w:spacing w:line="360" w:lineRule="auto"/>
        <w:ind w:firstLine="420" w:firstLineChars="200"/>
        <w:rPr>
          <w:rFonts w:ascii="Calibri" w:hAnsi="Calibri"/>
        </w:rPr>
      </w:pPr>
      <w:r>
        <w:rPr>
          <w:rFonts w:ascii="Calibri" w:hAnsi="Calibri"/>
        </w:rPr>
        <w:t>4.1.1 投标文件</w:t>
      </w:r>
      <w:r>
        <w:rPr>
          <w:rFonts w:ascii="Calibri" w:hAnsi="Calibri"/>
          <w:lang w:val="zh-CN"/>
        </w:rPr>
        <w:t>的密封和标</w:t>
      </w:r>
      <w:r>
        <w:rPr>
          <w:rFonts w:hint="eastAsia" w:ascii="Calibri" w:hAnsi="Calibri"/>
          <w:lang w:val="zh-CN"/>
        </w:rPr>
        <w:t>记</w:t>
      </w:r>
      <w:r>
        <w:rPr>
          <w:rFonts w:ascii="Calibri" w:hAnsi="Calibri"/>
        </w:rPr>
        <w:t>见“投标人须知前附表”。</w:t>
      </w:r>
    </w:p>
    <w:p>
      <w:pPr>
        <w:spacing w:line="360" w:lineRule="auto"/>
        <w:ind w:firstLine="420" w:firstLineChars="200"/>
        <w:rPr>
          <w:rFonts w:ascii="Calibri" w:hAnsi="宋体"/>
        </w:rPr>
      </w:pPr>
      <w:r>
        <w:rPr>
          <w:rFonts w:ascii="Calibri" w:hAnsi="Calibri"/>
        </w:rPr>
        <w:t>4.1.2 投标文件封套上应写明的其他内容见“投标人须知前附表”。</w:t>
      </w:r>
    </w:p>
    <w:bookmarkEnd w:id="135"/>
    <w:bookmarkEnd w:id="136"/>
    <w:p>
      <w:pPr>
        <w:keepNext/>
        <w:keepLines/>
        <w:spacing w:line="360" w:lineRule="auto"/>
        <w:outlineLvl w:val="2"/>
        <w:rPr>
          <w:rFonts w:ascii="Calibri" w:hAnsi="Calibri" w:eastAsia="黑体"/>
          <w:b/>
          <w:bCs/>
          <w:sz w:val="32"/>
          <w:szCs w:val="32"/>
          <w:lang w:val="zh-CN"/>
        </w:rPr>
      </w:pPr>
      <w:bookmarkStart w:id="137" w:name="_Toc20664428"/>
      <w:bookmarkStart w:id="138" w:name="_Toc407135104"/>
      <w:bookmarkStart w:id="139" w:name="_Toc15547247"/>
      <w:bookmarkStart w:id="140" w:name="_Toc16783824"/>
      <w:bookmarkStart w:id="141" w:name="_Toc389065171"/>
      <w:r>
        <w:rPr>
          <w:rFonts w:ascii="Calibri" w:hAnsi="Calibri" w:eastAsia="黑体"/>
          <w:b/>
          <w:bCs/>
          <w:sz w:val="32"/>
          <w:szCs w:val="32"/>
          <w:lang w:val="zh-CN"/>
        </w:rPr>
        <w:t>4.</w:t>
      </w:r>
      <w:r>
        <w:rPr>
          <w:rFonts w:hint="eastAsia" w:ascii="Calibri" w:hAnsi="Calibri" w:eastAsia="黑体"/>
          <w:b/>
          <w:bCs/>
          <w:sz w:val="32"/>
          <w:szCs w:val="32"/>
        </w:rPr>
        <w:t>2</w:t>
      </w:r>
      <w:r>
        <w:rPr>
          <w:rFonts w:ascii="Calibri" w:hAnsi="Calibri" w:eastAsia="黑体"/>
          <w:b/>
          <w:bCs/>
          <w:sz w:val="32"/>
          <w:szCs w:val="32"/>
          <w:lang w:val="zh-CN"/>
        </w:rPr>
        <w:t xml:space="preserve"> </w:t>
      </w:r>
      <w:r>
        <w:rPr>
          <w:rFonts w:hint="eastAsia" w:ascii="Calibri" w:hAnsi="Calibri" w:eastAsia="黑体" w:cs="黑体"/>
          <w:b/>
          <w:bCs/>
          <w:sz w:val="32"/>
          <w:szCs w:val="32"/>
          <w:lang w:val="zh-CN"/>
        </w:rPr>
        <w:t>投标文件的递交</w:t>
      </w:r>
      <w:bookmarkEnd w:id="137"/>
      <w:bookmarkEnd w:id="138"/>
      <w:bookmarkEnd w:id="139"/>
      <w:bookmarkEnd w:id="140"/>
      <w:bookmarkEnd w:id="141"/>
    </w:p>
    <w:p>
      <w:pPr>
        <w:spacing w:line="360" w:lineRule="auto"/>
        <w:ind w:firstLine="420" w:firstLineChars="200"/>
        <w:rPr>
          <w:rFonts w:ascii="Calibri" w:hAnsi="宋体"/>
        </w:rPr>
      </w:pPr>
      <w:r>
        <w:rPr>
          <w:rFonts w:ascii="Calibri" w:hAnsi="Calibri"/>
        </w:rPr>
        <w:t>4.</w:t>
      </w:r>
      <w:r>
        <w:rPr>
          <w:rFonts w:hint="eastAsia" w:ascii="Calibri" w:hAnsi="Calibri"/>
        </w:rPr>
        <w:t>2</w:t>
      </w:r>
      <w:r>
        <w:rPr>
          <w:rFonts w:ascii="Calibri" w:hAnsi="Calibri"/>
        </w:rPr>
        <w:t xml:space="preserve">.1 </w:t>
      </w:r>
      <w:r>
        <w:rPr>
          <w:rFonts w:hint="eastAsia" w:ascii="Calibri" w:hAnsi="宋体" w:cs="宋体"/>
        </w:rPr>
        <w:t>投标人应在投标人须知</w:t>
      </w:r>
      <w:r>
        <w:rPr>
          <w:rFonts w:hint="eastAsia" w:ascii="仿宋_GB2312" w:hAnsi="宋体" w:cs="宋体"/>
        </w:rPr>
        <w:t>前附表</w:t>
      </w:r>
      <w:r>
        <w:rPr>
          <w:rFonts w:hint="eastAsia" w:ascii="Calibri" w:hAnsi="宋体" w:cs="宋体"/>
        </w:rPr>
        <w:t>第</w:t>
      </w:r>
      <w:r>
        <w:rPr>
          <w:rFonts w:ascii="Calibri" w:hAnsi="宋体"/>
        </w:rPr>
        <w:t xml:space="preserve">2.2.2 </w:t>
      </w:r>
      <w:r>
        <w:rPr>
          <w:rFonts w:hint="eastAsia" w:ascii="Calibri" w:hAnsi="宋体" w:cs="宋体"/>
        </w:rPr>
        <w:t>项规定的投标截止时间前。</w:t>
      </w:r>
    </w:p>
    <w:p>
      <w:pPr>
        <w:spacing w:line="360" w:lineRule="auto"/>
        <w:ind w:firstLine="420" w:firstLineChars="200"/>
        <w:rPr>
          <w:rFonts w:ascii="Calibri" w:hAnsi="Calibri"/>
        </w:rPr>
      </w:pPr>
      <w:r>
        <w:rPr>
          <w:rFonts w:ascii="Calibri" w:hAnsi="Calibri"/>
        </w:rPr>
        <w:t>4.</w:t>
      </w:r>
      <w:r>
        <w:rPr>
          <w:rFonts w:hint="eastAsia" w:ascii="Calibri" w:hAnsi="Calibri"/>
        </w:rPr>
        <w:t>2</w:t>
      </w:r>
      <w:r>
        <w:rPr>
          <w:rFonts w:ascii="Calibri" w:hAnsi="Calibri"/>
        </w:rPr>
        <w:t>.</w:t>
      </w:r>
      <w:r>
        <w:rPr>
          <w:rFonts w:ascii="Calibri" w:hAnsi="宋体"/>
        </w:rPr>
        <w:t>2</w:t>
      </w:r>
      <w:r>
        <w:rPr>
          <w:rFonts w:hint="eastAsia" w:ascii="Calibri" w:hAnsi="宋体" w:cs="宋体"/>
        </w:rPr>
        <w:t>递交投标文件地点：见投标人须知前附表。</w:t>
      </w:r>
    </w:p>
    <w:p>
      <w:pPr>
        <w:spacing w:line="360" w:lineRule="auto"/>
        <w:ind w:firstLine="420" w:firstLineChars="200"/>
        <w:rPr>
          <w:rFonts w:hint="eastAsia" w:ascii="Calibri" w:hAnsi="宋体" w:cs="宋体"/>
        </w:rPr>
      </w:pPr>
      <w:r>
        <w:rPr>
          <w:rFonts w:ascii="Calibri" w:hAnsi="Calibri"/>
        </w:rPr>
        <w:t>4.</w:t>
      </w:r>
      <w:r>
        <w:rPr>
          <w:rFonts w:hint="eastAsia" w:ascii="Calibri" w:hAnsi="Calibri"/>
        </w:rPr>
        <w:t>2</w:t>
      </w:r>
      <w:r>
        <w:rPr>
          <w:rFonts w:ascii="Calibri" w:hAnsi="Calibri"/>
        </w:rPr>
        <w:t xml:space="preserve">.3 </w:t>
      </w:r>
      <w:r>
        <w:rPr>
          <w:rFonts w:hint="eastAsia" w:ascii="Calibri" w:hAnsi="宋体" w:cs="宋体"/>
        </w:rPr>
        <w:t>是否退还投标文件：见投标人须知前附表。</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zh-CN"/>
        </w:rPr>
        <w:t>4.2.</w:t>
      </w:r>
      <w:r>
        <w:rPr>
          <w:rFonts w:hint="eastAsia" w:ascii="Calibri" w:hAnsi="Calibri" w:eastAsia="宋体" w:cs="Times New Roman"/>
          <w:lang w:val="en-US" w:eastAsia="zh-CN"/>
        </w:rPr>
        <w:t>4</w:t>
      </w:r>
      <w:r>
        <w:rPr>
          <w:rFonts w:hint="eastAsia" w:ascii="Calibri" w:hAnsi="Calibri" w:eastAsia="宋体" w:cs="Times New Roman"/>
          <w:lang w:val="zh-CN"/>
        </w:rPr>
        <w:t xml:space="preserve"> 电子投标文件应在制作完成后，在投标截止时间前通过有效数字证书（CA认证锁）进行电子签章、加密，然后通过网络将加密的电子投标文件递交至“政采云平台”。</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zh-CN"/>
        </w:rPr>
        <w:t>4.2.</w:t>
      </w:r>
      <w:r>
        <w:rPr>
          <w:rFonts w:hint="eastAsia" w:ascii="Calibri" w:hAnsi="Calibri" w:eastAsia="宋体" w:cs="Times New Roman"/>
          <w:lang w:val="en-US" w:eastAsia="zh-CN"/>
        </w:rPr>
        <w:t>5</w:t>
      </w:r>
      <w:r>
        <w:rPr>
          <w:rFonts w:hint="eastAsia" w:ascii="Calibri" w:hAnsi="Calibri" w:eastAsia="宋体" w:cs="Times New Roman"/>
          <w:lang w:val="zh-CN"/>
        </w:rPr>
        <w:t xml:space="preserve"> 电子交易平台收到</w:t>
      </w:r>
      <w:r>
        <w:rPr>
          <w:rFonts w:hint="eastAsia" w:ascii="Calibri" w:hAnsi="Calibri" w:eastAsia="宋体" w:cs="Times New Roman"/>
          <w:lang w:val="en-US" w:eastAsia="zh-CN"/>
        </w:rPr>
        <w:t>投标</w:t>
      </w:r>
      <w:r>
        <w:rPr>
          <w:rFonts w:hint="eastAsia" w:ascii="Calibri" w:hAnsi="Calibri" w:eastAsia="宋体" w:cs="Times New Roman"/>
          <w:lang w:val="zh-CN"/>
        </w:rPr>
        <w:t>文件，将妥善保存并即时向</w:t>
      </w:r>
      <w:r>
        <w:rPr>
          <w:rFonts w:hint="eastAsia" w:ascii="Calibri" w:hAnsi="Calibri" w:eastAsia="宋体" w:cs="Times New Roman"/>
          <w:lang w:val="en-US" w:eastAsia="zh-CN"/>
        </w:rPr>
        <w:t>投标人</w:t>
      </w:r>
      <w:r>
        <w:rPr>
          <w:rFonts w:hint="eastAsia" w:ascii="Calibri" w:hAnsi="Calibri" w:eastAsia="宋体" w:cs="Times New Roman"/>
          <w:lang w:val="zh-CN"/>
        </w:rPr>
        <w:t>发出确认回执通知。在</w:t>
      </w:r>
      <w:r>
        <w:rPr>
          <w:rFonts w:hint="eastAsia" w:ascii="Calibri" w:hAnsi="Calibri" w:eastAsia="宋体" w:cs="Times New Roman"/>
          <w:lang w:val="en-US" w:eastAsia="zh-CN"/>
        </w:rPr>
        <w:t>投标</w:t>
      </w:r>
      <w:r>
        <w:rPr>
          <w:rFonts w:hint="eastAsia" w:ascii="Calibri" w:hAnsi="Calibri" w:eastAsia="宋体" w:cs="Times New Roman"/>
          <w:lang w:val="zh-CN"/>
        </w:rPr>
        <w:t>文件提交截止时间前，除</w:t>
      </w:r>
      <w:r>
        <w:rPr>
          <w:rFonts w:hint="eastAsia" w:ascii="Calibri" w:hAnsi="Calibri" w:eastAsia="宋体" w:cs="Times New Roman"/>
          <w:lang w:val="en-US" w:eastAsia="zh-CN"/>
        </w:rPr>
        <w:t>投标人</w:t>
      </w:r>
      <w:r>
        <w:rPr>
          <w:rFonts w:hint="eastAsia" w:ascii="Calibri" w:hAnsi="Calibri" w:eastAsia="宋体" w:cs="Times New Roman"/>
          <w:lang w:val="zh-CN"/>
        </w:rPr>
        <w:t>补充、修改或者撤回</w:t>
      </w:r>
      <w:r>
        <w:rPr>
          <w:rFonts w:hint="eastAsia" w:ascii="Calibri" w:hAnsi="Calibri" w:eastAsia="宋体" w:cs="Times New Roman"/>
          <w:lang w:val="en-US" w:eastAsia="zh-CN"/>
        </w:rPr>
        <w:t>投标</w:t>
      </w:r>
      <w:r>
        <w:rPr>
          <w:rFonts w:hint="eastAsia" w:ascii="Calibri" w:hAnsi="Calibri" w:eastAsia="宋体" w:cs="Times New Roman"/>
          <w:lang w:val="zh-CN"/>
        </w:rPr>
        <w:t>文件外，任何单位和个人不得解密或提取</w:t>
      </w:r>
      <w:r>
        <w:rPr>
          <w:rFonts w:hint="eastAsia" w:ascii="Calibri" w:hAnsi="Calibri" w:eastAsia="宋体" w:cs="Times New Roman"/>
          <w:lang w:val="en-US" w:eastAsia="zh-CN"/>
        </w:rPr>
        <w:t>投标</w:t>
      </w:r>
      <w:r>
        <w:rPr>
          <w:rFonts w:hint="eastAsia" w:ascii="Calibri" w:hAnsi="Calibri" w:eastAsia="宋体" w:cs="Times New Roman"/>
          <w:lang w:val="zh-CN"/>
        </w:rPr>
        <w:t>文件。</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en-US" w:eastAsia="zh-CN"/>
        </w:rPr>
        <w:t>4.2.6</w:t>
      </w:r>
      <w:r>
        <w:rPr>
          <w:rFonts w:hint="eastAsia" w:ascii="Calibri" w:hAnsi="Calibri" w:eastAsia="宋体" w:cs="Times New Roman"/>
          <w:lang w:val="zh-CN"/>
        </w:rPr>
        <w:t>投标文件递交截止时间后，政采云（电子交易平台）自动提取所有投标文件，各投标人须在提交</w:t>
      </w:r>
      <w:r>
        <w:rPr>
          <w:rFonts w:hint="eastAsia" w:ascii="Calibri" w:hAnsi="Calibri" w:eastAsia="宋体" w:cs="Times New Roman"/>
          <w:lang w:val="en-US" w:eastAsia="zh-CN"/>
        </w:rPr>
        <w:t>投标</w:t>
      </w:r>
      <w:r>
        <w:rPr>
          <w:rFonts w:hint="eastAsia" w:ascii="Calibri" w:hAnsi="Calibri" w:eastAsia="宋体" w:cs="Times New Roman"/>
          <w:lang w:val="zh-CN"/>
        </w:rPr>
        <w:t>文件截止后30分钟内对上传政采云的</w:t>
      </w:r>
      <w:r>
        <w:rPr>
          <w:rFonts w:hint="eastAsia" w:ascii="Calibri" w:hAnsi="Calibri" w:eastAsia="宋体" w:cs="Times New Roman"/>
          <w:lang w:val="en-US" w:eastAsia="zh-CN"/>
        </w:rPr>
        <w:t>投标</w:t>
      </w:r>
      <w:r>
        <w:rPr>
          <w:rFonts w:hint="eastAsia" w:ascii="Calibri" w:hAnsi="Calibri" w:eastAsia="宋体" w:cs="Times New Roman"/>
          <w:lang w:val="zh-CN"/>
        </w:rPr>
        <w:t>文件进行解密，所有投标人在规定的解密时限内解密完成；投标人超过解密时限的，系统默认自动放弃。</w:t>
      </w:r>
    </w:p>
    <w:p>
      <w:pPr>
        <w:spacing w:line="360" w:lineRule="auto"/>
        <w:ind w:firstLine="420" w:firstLineChars="200"/>
        <w:rPr>
          <w:rFonts w:hint="eastAsia"/>
          <w:lang w:val="zh-CN"/>
        </w:rPr>
      </w:pPr>
      <w:r>
        <w:rPr>
          <w:rFonts w:hint="eastAsia" w:ascii="Calibri" w:hAnsi="Calibri" w:eastAsia="宋体" w:cs="Times New Roman"/>
          <w:lang w:val="en-US" w:eastAsia="zh-CN"/>
        </w:rPr>
        <w:t>4.2.7</w:t>
      </w:r>
      <w:r>
        <w:rPr>
          <w:rFonts w:hint="eastAsia" w:ascii="Calibri" w:hAnsi="Calibri" w:eastAsia="宋体" w:cs="Times New Roman"/>
          <w:lang w:val="zh-CN"/>
        </w:rPr>
        <w:t>在投标人提交了电子备份投标</w:t>
      </w:r>
      <w:r>
        <w:rPr>
          <w:rFonts w:hint="eastAsia" w:ascii="Calibri" w:hAnsi="Calibri" w:eastAsia="宋体" w:cs="Times New Roman"/>
          <w:lang w:val="en-US" w:eastAsia="zh-CN"/>
        </w:rPr>
        <w:t>投标</w:t>
      </w:r>
      <w:r>
        <w:rPr>
          <w:rFonts w:hint="eastAsia" w:ascii="Calibri" w:hAnsi="Calibri" w:eastAsia="宋体" w:cs="Times New Roman"/>
          <w:lang w:val="zh-CN"/>
        </w:rPr>
        <w:t>文件后，如通过政采云平台上传递交的电子加密</w:t>
      </w:r>
      <w:r>
        <w:rPr>
          <w:rFonts w:hint="eastAsia" w:ascii="Calibri" w:hAnsi="Calibri" w:eastAsia="宋体" w:cs="Times New Roman"/>
          <w:lang w:val="en-US" w:eastAsia="zh-CN"/>
        </w:rPr>
        <w:t>投标</w:t>
      </w:r>
      <w:r>
        <w:rPr>
          <w:rFonts w:hint="eastAsia" w:ascii="Calibri" w:hAnsi="Calibri" w:eastAsia="宋体" w:cs="Times New Roman"/>
          <w:lang w:val="zh-CN"/>
        </w:rPr>
        <w:t>文件无法按时解密且无法通过政采云“异常处理”端口处理的视为投标文件撤回，所造成的后果由投标人自行承担。</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zh-CN"/>
        </w:rPr>
        <w:t>4.2.</w:t>
      </w:r>
      <w:r>
        <w:rPr>
          <w:rFonts w:hint="eastAsia" w:ascii="Calibri" w:hAnsi="Calibri" w:eastAsia="宋体" w:cs="Times New Roman"/>
          <w:lang w:val="en-US" w:eastAsia="zh-CN"/>
        </w:rPr>
        <w:t>8</w:t>
      </w:r>
      <w:r>
        <w:rPr>
          <w:rFonts w:hint="eastAsia" w:ascii="Calibri" w:hAnsi="Calibri" w:eastAsia="宋体" w:cs="Times New Roman"/>
          <w:lang w:val="zh-CN"/>
        </w:rPr>
        <w:t xml:space="preserve"> 采购机构不可视情况延长提交响应文件的截止时间。</w:t>
      </w:r>
    </w:p>
    <w:p>
      <w:pPr>
        <w:spacing w:line="360" w:lineRule="auto"/>
        <w:ind w:firstLine="420" w:firstLineChars="200"/>
      </w:pPr>
      <w:r>
        <w:rPr>
          <w:rFonts w:hint="eastAsia" w:ascii="Calibri" w:hAnsi="Calibri" w:eastAsia="宋体" w:cs="Times New Roman"/>
          <w:lang w:val="zh-CN"/>
        </w:rPr>
        <w:t>4.2.</w:t>
      </w:r>
      <w:r>
        <w:rPr>
          <w:rFonts w:hint="eastAsia" w:ascii="Calibri" w:hAnsi="Calibri" w:eastAsia="宋体" w:cs="Times New Roman"/>
          <w:lang w:val="en-US" w:eastAsia="zh-CN"/>
        </w:rPr>
        <w:t>9</w:t>
      </w:r>
      <w:r>
        <w:rPr>
          <w:rFonts w:hint="eastAsia" w:ascii="Calibri" w:hAnsi="Calibri" w:eastAsia="宋体" w:cs="Times New Roman"/>
          <w:lang w:val="zh-CN"/>
        </w:rPr>
        <w:t xml:space="preserve"> 逾期送达的或者未送达指定地点的投标文件，招标人不予受理。</w:t>
      </w:r>
    </w:p>
    <w:p>
      <w:pPr>
        <w:keepNext/>
        <w:keepLines/>
        <w:spacing w:line="360" w:lineRule="auto"/>
        <w:outlineLvl w:val="2"/>
        <w:rPr>
          <w:rFonts w:ascii="Calibri" w:hAnsi="Calibri" w:eastAsia="黑体"/>
          <w:b/>
          <w:bCs/>
          <w:sz w:val="32"/>
          <w:szCs w:val="32"/>
          <w:lang w:val="zh-CN"/>
        </w:rPr>
      </w:pPr>
      <w:bookmarkStart w:id="142" w:name="_Toc20664429"/>
      <w:bookmarkStart w:id="143" w:name="_Toc407135105"/>
      <w:bookmarkStart w:id="144" w:name="_Toc16783825"/>
      <w:bookmarkStart w:id="145" w:name="_Toc15547248"/>
      <w:bookmarkStart w:id="146" w:name="_Toc389065172"/>
      <w:r>
        <w:rPr>
          <w:rFonts w:ascii="Calibri" w:hAnsi="Calibri" w:eastAsia="黑体"/>
          <w:b/>
          <w:bCs/>
          <w:sz w:val="32"/>
          <w:szCs w:val="32"/>
          <w:lang w:val="zh-CN"/>
        </w:rPr>
        <w:t>4.</w:t>
      </w:r>
      <w:r>
        <w:rPr>
          <w:rFonts w:hint="eastAsia" w:ascii="Calibri" w:hAnsi="Calibri" w:eastAsia="黑体"/>
          <w:b/>
          <w:bCs/>
          <w:sz w:val="32"/>
          <w:szCs w:val="32"/>
        </w:rPr>
        <w:t>3</w:t>
      </w:r>
      <w:r>
        <w:rPr>
          <w:rFonts w:ascii="Calibri" w:hAnsi="Calibri" w:eastAsia="黑体"/>
          <w:b/>
          <w:bCs/>
          <w:sz w:val="32"/>
          <w:szCs w:val="32"/>
          <w:lang w:val="zh-CN"/>
        </w:rPr>
        <w:t xml:space="preserve"> </w:t>
      </w:r>
      <w:r>
        <w:rPr>
          <w:rFonts w:hint="eastAsia" w:ascii="Calibri" w:hAnsi="Calibri" w:eastAsia="黑体" w:cs="黑体"/>
          <w:b/>
          <w:bCs/>
          <w:sz w:val="32"/>
          <w:szCs w:val="32"/>
          <w:lang w:val="zh-CN"/>
        </w:rPr>
        <w:t>投标文件的修改与撤回</w:t>
      </w:r>
      <w:bookmarkEnd w:id="142"/>
      <w:bookmarkEnd w:id="143"/>
      <w:bookmarkEnd w:id="144"/>
      <w:bookmarkEnd w:id="145"/>
      <w:bookmarkEnd w:id="146"/>
    </w:p>
    <w:p>
      <w:pPr>
        <w:spacing w:line="360" w:lineRule="auto"/>
        <w:ind w:firstLine="420" w:firstLineChars="200"/>
        <w:rPr>
          <w:rFonts w:hint="eastAsia"/>
          <w:lang w:val="zh-CN"/>
        </w:rPr>
      </w:pPr>
      <w:r>
        <w:rPr>
          <w:rFonts w:hint="eastAsia" w:ascii="Calibri" w:hAnsi="Calibri" w:eastAsia="宋体" w:cs="Times New Roman"/>
          <w:lang w:val="zh-CN"/>
        </w:rPr>
        <w:t>4.3.1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zh-CN"/>
        </w:rPr>
        <w:t>4.3.2“政采云”平台收到投标文件，将妥善保存并即时向投标人发出确认回执通知。在投标截止时间前，除投标人补充、修改或者撤回投标文件外，任何单位和个人不得解密或提取投标文件。。</w:t>
      </w:r>
    </w:p>
    <w:p>
      <w:pPr>
        <w:spacing w:line="360" w:lineRule="auto"/>
        <w:ind w:firstLine="420" w:firstLineChars="200"/>
      </w:pPr>
      <w:r>
        <w:rPr>
          <w:rFonts w:hint="eastAsia" w:ascii="Calibri" w:hAnsi="Calibri" w:eastAsia="宋体" w:cs="Times New Roman"/>
          <w:lang w:val="zh-CN"/>
        </w:rPr>
        <w:t>4.3.3在投标截止时间止提交电子版投标文件的投标人不足3家时，电子版投标文件由代理机构在“政采云”平台操作退回，除此之外</w:t>
      </w:r>
      <w:r>
        <w:rPr>
          <w:rFonts w:hint="eastAsia" w:ascii="Calibri" w:hAnsi="Calibri" w:eastAsia="宋体" w:cs="Times New Roman"/>
          <w:lang w:val="en-US" w:eastAsia="zh-CN"/>
        </w:rPr>
        <w:t>招标</w:t>
      </w:r>
      <w:r>
        <w:rPr>
          <w:rFonts w:hint="eastAsia" w:ascii="Calibri" w:hAnsi="Calibri" w:eastAsia="宋体" w:cs="Times New Roman"/>
          <w:lang w:val="zh-CN"/>
        </w:rPr>
        <w:t>人和</w:t>
      </w:r>
      <w:r>
        <w:rPr>
          <w:rFonts w:hint="eastAsia" w:ascii="Calibri" w:hAnsi="Calibri" w:eastAsia="宋体" w:cs="Times New Roman"/>
          <w:lang w:val="en-US" w:eastAsia="zh-CN"/>
        </w:rPr>
        <w:t>招标</w:t>
      </w:r>
      <w:r>
        <w:rPr>
          <w:rFonts w:hint="eastAsia" w:ascii="Calibri" w:hAnsi="Calibri" w:eastAsia="宋体" w:cs="Times New Roman"/>
          <w:lang w:val="zh-CN"/>
        </w:rPr>
        <w:t>代理机构对已提交的投标文件概不退回。</w:t>
      </w:r>
    </w:p>
    <w:p>
      <w:pPr>
        <w:pStyle w:val="4"/>
      </w:pPr>
      <w:bookmarkStart w:id="147" w:name="_Toc407135107"/>
      <w:bookmarkStart w:id="148" w:name="_Toc389065173"/>
      <w:bookmarkStart w:id="149" w:name="_Toc10076"/>
      <w:r>
        <w:t xml:space="preserve">5 </w:t>
      </w:r>
      <w:r>
        <w:rPr>
          <w:rFonts w:hint="eastAsia" w:cs="黑体"/>
        </w:rPr>
        <w:t>开标</w:t>
      </w:r>
      <w:bookmarkEnd w:id="147"/>
      <w:bookmarkEnd w:id="148"/>
      <w:bookmarkEnd w:id="149"/>
    </w:p>
    <w:p>
      <w:pPr>
        <w:pStyle w:val="5"/>
      </w:pPr>
      <w:bookmarkStart w:id="150" w:name="_Toc389065174"/>
      <w:bookmarkStart w:id="151" w:name="_Toc407135108"/>
      <w:bookmarkStart w:id="152" w:name="_Toc25571"/>
      <w:r>
        <w:t xml:space="preserve">5.1 </w:t>
      </w:r>
      <w:r>
        <w:rPr>
          <w:rFonts w:hint="eastAsia" w:cs="黑体"/>
        </w:rPr>
        <w:t>开标时间和地点</w:t>
      </w:r>
      <w:bookmarkEnd w:id="150"/>
      <w:bookmarkEnd w:id="151"/>
      <w:bookmarkEnd w:id="152"/>
    </w:p>
    <w:p>
      <w:pPr>
        <w:spacing w:line="360" w:lineRule="auto"/>
        <w:ind w:firstLine="420" w:firstLineChars="200"/>
        <w:rPr>
          <w:rFonts w:hint="eastAsia" w:eastAsia="宋体" w:cs="宋体"/>
          <w:lang w:eastAsia="zh-CN"/>
        </w:rPr>
      </w:pPr>
      <w:r>
        <w:rPr>
          <w:rFonts w:hint="eastAsia" w:cs="宋体"/>
        </w:rPr>
        <w:t>开标时间及地点详见“投标人须知前附表”</w:t>
      </w:r>
      <w:r>
        <w:rPr>
          <w:rFonts w:hint="eastAsia" w:cs="宋体"/>
          <w:lang w:eastAsia="zh-CN"/>
        </w:rPr>
        <w:t>。</w:t>
      </w:r>
    </w:p>
    <w:p>
      <w:pPr>
        <w:spacing w:line="360" w:lineRule="auto"/>
        <w:ind w:firstLine="420" w:firstLineChars="200"/>
        <w:rPr>
          <w:rFonts w:hint="eastAsia" w:cs="宋体"/>
        </w:rPr>
      </w:pPr>
      <w:r>
        <w:rPr>
          <w:rFonts w:hint="eastAsia" w:cs="宋体"/>
        </w:rPr>
        <w:t xml:space="preserve"> 如投标人成功解密投标文件，但未在“政采云”电子开标大厅参加开标的，视同认可开标过程和结果，由此产生的后果由投标人自行负责。 投标人不足 3 家的，不得开标。</w:t>
      </w:r>
    </w:p>
    <w:p>
      <w:pPr>
        <w:spacing w:line="360" w:lineRule="auto"/>
        <w:ind w:firstLine="420" w:firstLineChars="200"/>
      </w:pPr>
      <w:r>
        <w:rPr>
          <w:rFonts w:hint="eastAsia" w:cs="宋体"/>
        </w:rPr>
        <w:t>开标会由招标人或其委托的招标代理机构主持。</w:t>
      </w:r>
    </w:p>
    <w:p>
      <w:pPr>
        <w:pStyle w:val="5"/>
      </w:pPr>
      <w:bookmarkStart w:id="153" w:name="_Toc389065175"/>
      <w:bookmarkStart w:id="154" w:name="_Toc407135109"/>
      <w:bookmarkStart w:id="155" w:name="_Toc27047"/>
      <w:r>
        <w:t xml:space="preserve">5.2 </w:t>
      </w:r>
      <w:r>
        <w:rPr>
          <w:rFonts w:hint="eastAsia" w:cs="黑体"/>
        </w:rPr>
        <w:t>开标程序</w:t>
      </w:r>
      <w:bookmarkEnd w:id="153"/>
      <w:bookmarkEnd w:id="154"/>
      <w:bookmarkEnd w:id="155"/>
    </w:p>
    <w:p>
      <w:pPr>
        <w:spacing w:line="360" w:lineRule="auto"/>
        <w:rPr>
          <w:rFonts w:hint="eastAsia" w:cs="宋体"/>
        </w:rPr>
      </w:pPr>
      <w:bookmarkStart w:id="156" w:name="_Toc389065176"/>
      <w:r>
        <w:rPr>
          <w:rFonts w:hint="eastAsia" w:cs="宋体"/>
        </w:rPr>
        <w:t>5.2.1开标形式：</w:t>
      </w:r>
    </w:p>
    <w:p>
      <w:pPr>
        <w:spacing w:line="360" w:lineRule="auto"/>
        <w:ind w:firstLine="420" w:firstLineChars="200"/>
        <w:rPr>
          <w:rFonts w:hint="eastAsia" w:cs="宋体"/>
        </w:rPr>
      </w:pPr>
      <w:r>
        <w:rPr>
          <w:rFonts w:hint="eastAsia" w:cs="宋体"/>
        </w:rPr>
        <w:t>（1）开标的准备工作由</w:t>
      </w:r>
      <w:r>
        <w:rPr>
          <w:rFonts w:hint="eastAsia" w:cs="宋体"/>
          <w:lang w:eastAsia="zh-CN"/>
        </w:rPr>
        <w:t>招标代理机构</w:t>
      </w:r>
      <w:r>
        <w:rPr>
          <w:rFonts w:hint="eastAsia" w:cs="宋体"/>
        </w:rPr>
        <w:t>负责落实，</w:t>
      </w:r>
      <w:r>
        <w:rPr>
          <w:rFonts w:hint="eastAsia" w:cs="宋体"/>
          <w:lang w:eastAsia="zh-CN"/>
        </w:rPr>
        <w:t>招标代理机构</w:t>
      </w:r>
      <w:r>
        <w:rPr>
          <w:rFonts w:hint="eastAsia" w:cs="宋体"/>
        </w:rPr>
        <w:t>必须基于“政采云”平台选取评审专家，如</w:t>
      </w:r>
      <w:r>
        <w:rPr>
          <w:rFonts w:hint="eastAsia" w:cs="宋体"/>
          <w:lang w:eastAsia="zh-CN"/>
        </w:rPr>
        <w:t>招标代理机构</w:t>
      </w:r>
      <w:r>
        <w:rPr>
          <w:rFonts w:hint="eastAsia" w:cs="宋体"/>
        </w:rPr>
        <w:t>未按规定选取专家的，视为本次开评标无效，应当重新采购；</w:t>
      </w:r>
    </w:p>
    <w:p>
      <w:pPr>
        <w:spacing w:line="360" w:lineRule="auto"/>
        <w:ind w:firstLine="420" w:firstLineChars="200"/>
        <w:rPr>
          <w:rFonts w:hint="eastAsia" w:cs="宋体"/>
        </w:rPr>
      </w:pPr>
      <w:r>
        <w:rPr>
          <w:rFonts w:hint="eastAsia" w:cs="宋体"/>
        </w:rPr>
        <w:t>（2）</w:t>
      </w:r>
      <w:r>
        <w:rPr>
          <w:rFonts w:hint="eastAsia" w:cs="宋体"/>
          <w:lang w:eastAsia="zh-CN"/>
        </w:rPr>
        <w:t>招标代理机构</w:t>
      </w:r>
      <w:r>
        <w:rPr>
          <w:rFonts w:hint="eastAsia" w:cs="宋体"/>
        </w:rPr>
        <w:t>将按照招标文件规定的时间通过“政采云”平台组织线上开标活动、开启投标文件，所有</w:t>
      </w:r>
      <w:r>
        <w:rPr>
          <w:rFonts w:hint="eastAsia" w:cs="宋体"/>
          <w:lang w:eastAsia="zh-CN"/>
        </w:rPr>
        <w:t>投标人</w:t>
      </w:r>
      <w:r>
        <w:rPr>
          <w:rFonts w:hint="eastAsia" w:cs="宋体"/>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r>
        <w:rPr>
          <w:rFonts w:hint="eastAsia" w:cs="宋体"/>
        </w:rPr>
        <w:cr/>
      </w:r>
      <w:r>
        <w:rPr>
          <w:rFonts w:hint="eastAsia" w:cs="宋体"/>
        </w:rPr>
        <w:t>5.2.2开标程序：</w:t>
      </w:r>
    </w:p>
    <w:p>
      <w:pPr>
        <w:spacing w:line="360" w:lineRule="auto"/>
        <w:ind w:firstLine="420" w:firstLineChars="200"/>
        <w:rPr>
          <w:rFonts w:hint="eastAsia" w:cs="宋体"/>
        </w:rPr>
      </w:pPr>
      <w:r>
        <w:rPr>
          <w:rFonts w:hint="eastAsia" w:cs="宋体"/>
          <w:lang w:val="en-US" w:eastAsia="zh-CN"/>
        </w:rPr>
        <w:t>按标段1分标→2分标→3分标→……→21分标的顺序。</w:t>
      </w:r>
    </w:p>
    <w:p>
      <w:pPr>
        <w:numPr>
          <w:ilvl w:val="0"/>
          <w:numId w:val="1"/>
        </w:numPr>
        <w:spacing w:line="360" w:lineRule="auto"/>
        <w:ind w:firstLine="422" w:firstLineChars="200"/>
        <w:rPr>
          <w:rFonts w:hint="eastAsia" w:cs="宋体"/>
        </w:rPr>
      </w:pPr>
      <w:r>
        <w:rPr>
          <w:rFonts w:hint="eastAsia" w:cs="宋体"/>
          <w:b/>
          <w:bCs/>
        </w:rPr>
        <w:t>解密电子投标文件</w:t>
      </w:r>
      <w:r>
        <w:rPr>
          <w:rFonts w:hint="eastAsia" w:cs="宋体"/>
          <w:b/>
          <w:bCs/>
          <w:lang w:eastAsia="zh-CN"/>
        </w:rPr>
        <w:t>。</w:t>
      </w:r>
      <w:r>
        <w:rPr>
          <w:rFonts w:hint="eastAsia" w:cs="宋体"/>
        </w:rPr>
        <w:t>“政采云”平台按开标时间自动提取所有投标文件。</w:t>
      </w:r>
      <w:r>
        <w:rPr>
          <w:rFonts w:hint="eastAsia" w:cs="宋体"/>
          <w:lang w:eastAsia="zh-CN"/>
        </w:rPr>
        <w:t>招标代理机构</w:t>
      </w:r>
      <w:r>
        <w:rPr>
          <w:rFonts w:hint="eastAsia" w:cs="宋体"/>
        </w:rPr>
        <w:t>依托“政采云”平台向各投标人发出电子加密投标文件【开始解密】通知，由投标人按招标文件规定的时间内自行进行投标文件解密。投标人的法定代表人或其委托代理人</w:t>
      </w:r>
      <w:r>
        <w:rPr>
          <w:rFonts w:hint="eastAsia" w:cs="宋体"/>
          <w:b/>
          <w:bCs/>
        </w:rPr>
        <w:t>须携带加密时所用的 CA 锁准时登录到“政采云”平台电子开标大厅签到并对电子投标文件解密</w:t>
      </w:r>
      <w:r>
        <w:rPr>
          <w:rFonts w:hint="eastAsia" w:cs="宋体"/>
        </w:rPr>
        <w:t>。开标后 5 分钟投标人还未进行解密的，代理机构要通知投标人。通知后，投标文件仍未按时解密，或者投标人没预留联系方式或预留联系方式无效，导致代理机构无法联系到投标人进行解密的，</w:t>
      </w:r>
      <w:r>
        <w:rPr>
          <w:rFonts w:hint="eastAsia" w:cs="宋体"/>
          <w:b/>
          <w:bCs/>
        </w:rPr>
        <w:t>均视为无效投标</w:t>
      </w:r>
      <w:r>
        <w:rPr>
          <w:rFonts w:hint="eastAsia" w:cs="宋体"/>
        </w:rPr>
        <w:t>。</w:t>
      </w:r>
    </w:p>
    <w:p>
      <w:pPr>
        <w:spacing w:line="360" w:lineRule="auto"/>
        <w:ind w:firstLine="420" w:firstLineChars="200"/>
        <w:rPr>
          <w:rFonts w:hint="eastAsia" w:cs="宋体"/>
          <w:highlight w:val="none"/>
        </w:rPr>
      </w:pPr>
      <w:r>
        <w:rPr>
          <w:rFonts w:hint="eastAsia" w:cs="宋体"/>
          <w:highlight w:val="none"/>
        </w:rPr>
        <w:t>（解密异常情况处理：详见本章 6.3.3 电子交易活动的中止。）</w:t>
      </w:r>
    </w:p>
    <w:p>
      <w:pPr>
        <w:spacing w:line="360" w:lineRule="auto"/>
        <w:ind w:firstLine="422" w:firstLineChars="200"/>
        <w:rPr>
          <w:rFonts w:hint="eastAsia" w:ascii="Times New Roman" w:hAnsi="Times New Roman" w:eastAsia="宋体" w:cs="宋体"/>
        </w:rPr>
      </w:pPr>
      <w:r>
        <w:rPr>
          <w:rFonts w:hint="eastAsia" w:ascii="Times New Roman" w:hAnsi="Times New Roman" w:eastAsia="宋体" w:cs="宋体"/>
          <w:b/>
          <w:bCs/>
        </w:rPr>
        <w:t>（2）电子唱标</w:t>
      </w:r>
      <w:r>
        <w:rPr>
          <w:rFonts w:hint="eastAsia" w:ascii="Times New Roman" w:hAnsi="Times New Roman" w:eastAsia="宋体" w:cs="宋体"/>
        </w:rPr>
        <w:t>。投标文件解密结束，各投标</w:t>
      </w:r>
      <w:r>
        <w:rPr>
          <w:rFonts w:hint="eastAsia" w:ascii="Times New Roman" w:hAnsi="Times New Roman" w:eastAsia="宋体" w:cs="宋体"/>
          <w:lang w:eastAsia="zh-CN"/>
        </w:rPr>
        <w:t>投标人</w:t>
      </w:r>
      <w:r>
        <w:rPr>
          <w:rFonts w:hint="eastAsia" w:ascii="Times New Roman" w:hAnsi="Times New Roman" w:eastAsia="宋体" w:cs="宋体"/>
        </w:rPr>
        <w:t>报价均在“政采云”平台远程不见面开标大厅展</w:t>
      </w:r>
    </w:p>
    <w:p>
      <w:pPr>
        <w:spacing w:line="360" w:lineRule="auto"/>
        <w:ind w:firstLine="420" w:firstLineChars="200"/>
        <w:rPr>
          <w:rFonts w:hint="eastAsia" w:ascii="Times New Roman" w:hAnsi="Times New Roman" w:eastAsia="宋体" w:cs="宋体"/>
        </w:rPr>
      </w:pPr>
      <w:r>
        <w:rPr>
          <w:rFonts w:hint="eastAsia" w:ascii="Times New Roman" w:hAnsi="Times New Roman" w:eastAsia="宋体" w:cs="宋体"/>
        </w:rPr>
        <w:t>示；</w:t>
      </w:r>
    </w:p>
    <w:p>
      <w:pPr>
        <w:spacing w:line="360" w:lineRule="auto"/>
        <w:ind w:firstLine="420" w:firstLineChars="200"/>
        <w:rPr>
          <w:rFonts w:hint="eastAsia" w:cs="宋体"/>
        </w:rPr>
      </w:pPr>
      <w:r>
        <w:rPr>
          <w:rFonts w:hint="eastAsia" w:cs="宋体"/>
        </w:rPr>
        <w:t>（3）开标过程由</w:t>
      </w:r>
      <w:r>
        <w:rPr>
          <w:rFonts w:hint="eastAsia" w:cs="宋体"/>
          <w:lang w:eastAsia="zh-CN"/>
        </w:rPr>
        <w:t>招标代理机构</w:t>
      </w:r>
      <w:r>
        <w:rPr>
          <w:rFonts w:hint="eastAsia" w:cs="宋体"/>
        </w:rPr>
        <w:t>如实记录，并电子留痕，由参加电子开标的各投标人代表对电子开标记录在开标记录公布后 15 分钟内进行当场校核及勘误，并线上确认，未确认的视同认可开标结果</w:t>
      </w:r>
      <w:r>
        <w:rPr>
          <w:rFonts w:hint="eastAsia" w:cs="宋体"/>
          <w:b/>
          <w:bCs/>
          <w:lang w:eastAsia="zh-CN"/>
        </w:rPr>
        <w:t>（如有）</w:t>
      </w:r>
      <w:r>
        <w:rPr>
          <w:rFonts w:hint="eastAsia" w:cs="宋体"/>
        </w:rPr>
        <w:t>。</w:t>
      </w:r>
    </w:p>
    <w:p>
      <w:pPr>
        <w:spacing w:line="360" w:lineRule="auto"/>
        <w:ind w:firstLine="420" w:firstLineChars="200"/>
        <w:rPr>
          <w:rFonts w:hint="eastAsia" w:cs="宋体"/>
        </w:rPr>
      </w:pPr>
      <w:r>
        <w:rPr>
          <w:rFonts w:hint="eastAsia" w:cs="宋体"/>
        </w:rPr>
        <w:t>（4）投标人代表对开标过程和开标记录有疑义，以及认为</w:t>
      </w:r>
      <w:r>
        <w:rPr>
          <w:rFonts w:hint="eastAsia" w:cs="宋体"/>
          <w:lang w:eastAsia="zh-CN"/>
        </w:rPr>
        <w:t>招标人</w:t>
      </w:r>
      <w:r>
        <w:rPr>
          <w:rFonts w:hint="eastAsia" w:cs="宋体"/>
        </w:rPr>
        <w:t>、</w:t>
      </w:r>
      <w:r>
        <w:rPr>
          <w:rFonts w:hint="eastAsia" w:cs="宋体"/>
          <w:lang w:eastAsia="zh-CN"/>
        </w:rPr>
        <w:t>招标代理机构</w:t>
      </w:r>
      <w:r>
        <w:rPr>
          <w:rFonts w:hint="eastAsia" w:cs="宋体"/>
        </w:rPr>
        <w:t>相关工作人员有需要回避的情形的，应当场提出在线询问或者回避申请。</w:t>
      </w:r>
      <w:r>
        <w:rPr>
          <w:rFonts w:hint="eastAsia" w:cs="宋体"/>
          <w:lang w:eastAsia="zh-CN"/>
        </w:rPr>
        <w:t>招标人</w:t>
      </w:r>
      <w:r>
        <w:rPr>
          <w:rFonts w:hint="eastAsia" w:cs="宋体"/>
        </w:rPr>
        <w:t>、</w:t>
      </w:r>
      <w:r>
        <w:rPr>
          <w:rFonts w:hint="eastAsia" w:cs="宋体"/>
          <w:lang w:eastAsia="zh-CN"/>
        </w:rPr>
        <w:t>招标代理机构</w:t>
      </w:r>
      <w:r>
        <w:rPr>
          <w:rFonts w:hint="eastAsia" w:cs="宋体"/>
        </w:rPr>
        <w:t>对投标人代表提出的询问或者回避申请应当及时处理。</w:t>
      </w:r>
    </w:p>
    <w:p>
      <w:pPr>
        <w:spacing w:line="360" w:lineRule="auto"/>
        <w:ind w:firstLine="420" w:firstLineChars="200"/>
        <w:rPr>
          <w:rFonts w:hint="eastAsia" w:cs="宋体"/>
        </w:rPr>
      </w:pPr>
      <w:r>
        <w:rPr>
          <w:rFonts w:hint="eastAsia" w:cs="宋体"/>
        </w:rPr>
        <w:t>（5）开标结束。</w:t>
      </w:r>
    </w:p>
    <w:p>
      <w:pPr>
        <w:spacing w:line="360" w:lineRule="auto"/>
        <w:ind w:firstLine="422" w:firstLineChars="200"/>
        <w:rPr>
          <w:rFonts w:hint="eastAsia" w:cs="宋体"/>
          <w:b/>
          <w:bCs/>
        </w:rPr>
      </w:pPr>
      <w:r>
        <w:rPr>
          <w:rFonts w:hint="eastAsia" w:cs="宋体"/>
          <w:b/>
          <w:bCs/>
        </w:rPr>
        <w:t xml:space="preserve">特别说明：如遇“政采云”平台电子化开标或评审程序调整的，按调整后执行。 </w:t>
      </w:r>
    </w:p>
    <w:bookmarkEnd w:id="156"/>
    <w:p>
      <w:pPr>
        <w:pStyle w:val="4"/>
      </w:pPr>
      <w:bookmarkStart w:id="157" w:name="_Toc16323"/>
      <w:bookmarkStart w:id="158" w:name="_Toc389065177"/>
      <w:bookmarkStart w:id="159" w:name="_Toc407135112"/>
      <w:r>
        <w:t xml:space="preserve">6 </w:t>
      </w:r>
      <w:r>
        <w:rPr>
          <w:rFonts w:hint="eastAsia" w:cs="黑体"/>
        </w:rPr>
        <w:t>评标</w:t>
      </w:r>
      <w:bookmarkEnd w:id="157"/>
      <w:bookmarkEnd w:id="158"/>
      <w:bookmarkEnd w:id="159"/>
    </w:p>
    <w:p>
      <w:pPr>
        <w:pStyle w:val="5"/>
      </w:pPr>
      <w:bookmarkStart w:id="160" w:name="_Toc407135113"/>
      <w:bookmarkStart w:id="161" w:name="_Toc31461"/>
      <w:bookmarkStart w:id="162" w:name="_Toc389065178"/>
      <w:r>
        <w:t xml:space="preserve">6.1 </w:t>
      </w:r>
      <w:r>
        <w:rPr>
          <w:rFonts w:hint="eastAsia" w:cs="黑体"/>
        </w:rPr>
        <w:t>评标委员会</w:t>
      </w:r>
      <w:bookmarkEnd w:id="160"/>
      <w:bookmarkEnd w:id="161"/>
      <w:bookmarkEnd w:id="162"/>
    </w:p>
    <w:p>
      <w:pPr>
        <w:spacing w:line="360" w:lineRule="auto"/>
        <w:ind w:firstLine="420" w:firstLineChars="200"/>
      </w:pPr>
      <w:r>
        <w:t xml:space="preserve">6.1.1 </w:t>
      </w:r>
      <w:r>
        <w:rPr>
          <w:rFonts w:hint="eastAsia" w:cs="宋体"/>
        </w:rPr>
        <w:t>评标由招标人依法组建的评标委员会负责。评标委员会成员人数以及技术、经济等方面专家的确定方式见</w:t>
      </w:r>
      <w:r>
        <w:t>“</w:t>
      </w:r>
      <w:r>
        <w:rPr>
          <w:rFonts w:hint="eastAsia" w:cs="宋体"/>
        </w:rPr>
        <w:t>投标人须知前附表</w:t>
      </w:r>
      <w:r>
        <w:t>”</w:t>
      </w:r>
      <w:r>
        <w:rPr>
          <w:rFonts w:hint="eastAsia" w:cs="宋体"/>
        </w:rPr>
        <w:t>。截标前，招标人应就评委会组成情况通过</w:t>
      </w:r>
      <w:r>
        <w:rPr>
          <w:rFonts w:hint="eastAsia" w:cs="宋体"/>
          <w:lang w:val="en-US" w:eastAsia="zh-CN"/>
        </w:rPr>
        <w:t>广西政采云</w:t>
      </w:r>
      <w:r>
        <w:rPr>
          <w:rFonts w:hint="eastAsia" w:cs="宋体"/>
        </w:rPr>
        <w:t>系统</w:t>
      </w:r>
      <w:r>
        <w:rPr>
          <w:rFonts w:hint="eastAsia" w:cs="宋体"/>
          <w:lang w:val="en-US" w:eastAsia="zh-CN"/>
        </w:rPr>
        <w:t>随机抽取</w:t>
      </w:r>
      <w:r>
        <w:rPr>
          <w:rFonts w:hint="eastAsia" w:cs="宋体"/>
        </w:rPr>
        <w:t>。</w:t>
      </w:r>
    </w:p>
    <w:p>
      <w:pPr>
        <w:spacing w:line="360" w:lineRule="auto"/>
        <w:ind w:firstLine="420" w:firstLineChars="200"/>
      </w:pPr>
      <w:r>
        <w:t xml:space="preserve">6.1.2 </w:t>
      </w:r>
      <w:r>
        <w:rPr>
          <w:rFonts w:hint="eastAsia" w:cs="宋体"/>
        </w:rPr>
        <w:t>评标委员会成员有下列情形之一的，应当回避：</w:t>
      </w:r>
      <w:bookmarkStart w:id="163" w:name="_Toc389065179"/>
    </w:p>
    <w:p>
      <w:pPr>
        <w:spacing w:line="360" w:lineRule="auto"/>
        <w:ind w:firstLine="420" w:firstLineChars="200"/>
      </w:pPr>
      <w:r>
        <w:rPr>
          <w:rFonts w:hint="eastAsia" w:hAnsi="宋体" w:cs="宋体"/>
        </w:rPr>
        <w:t>（</w:t>
      </w:r>
      <w:r>
        <w:rPr>
          <w:rFonts w:hAnsi="宋体"/>
        </w:rPr>
        <w:t>1</w:t>
      </w:r>
      <w:r>
        <w:rPr>
          <w:rFonts w:hint="eastAsia" w:hAnsi="宋体" w:cs="宋体"/>
        </w:rPr>
        <w:t>）</w:t>
      </w:r>
      <w:r>
        <w:rPr>
          <w:rFonts w:hint="eastAsia" w:ascii="宋体" w:hAnsi="宋体" w:cs="宋体"/>
          <w:shd w:val="clear" w:color="auto" w:fill="FFFFFF"/>
        </w:rPr>
        <w:t>投标人或者投标人主要负责人的近亲属</w:t>
      </w:r>
      <w:r>
        <w:rPr>
          <w:rFonts w:hint="eastAsia" w:hAnsi="宋体" w:cs="宋体"/>
        </w:rPr>
        <w:t>；</w:t>
      </w:r>
    </w:p>
    <w:p>
      <w:pPr>
        <w:spacing w:line="360" w:lineRule="auto"/>
        <w:ind w:firstLine="420" w:firstLineChars="200"/>
      </w:pPr>
      <w:r>
        <w:rPr>
          <w:rFonts w:hint="eastAsia" w:hAnsi="宋体" w:cs="宋体"/>
        </w:rPr>
        <w:t>（</w:t>
      </w:r>
      <w:r>
        <w:rPr>
          <w:rFonts w:hAnsi="宋体"/>
        </w:rPr>
        <w:t>2</w:t>
      </w:r>
      <w:r>
        <w:rPr>
          <w:rFonts w:hint="eastAsia" w:hAnsi="宋体" w:cs="宋体"/>
        </w:rPr>
        <w:t>）</w:t>
      </w:r>
      <w:r>
        <w:rPr>
          <w:rFonts w:hint="eastAsia" w:ascii="宋体" w:hAnsi="宋体" w:cs="宋体"/>
          <w:shd w:val="clear" w:color="auto" w:fill="FFFFFF"/>
        </w:rPr>
        <w:t>招标项目主管部门或者招标投标行政监督部门的工作人员</w:t>
      </w:r>
      <w:r>
        <w:rPr>
          <w:rFonts w:hint="eastAsia" w:hAnsi="宋体" w:cs="宋体"/>
        </w:rPr>
        <w:t>；</w:t>
      </w:r>
    </w:p>
    <w:p>
      <w:pPr>
        <w:spacing w:line="360" w:lineRule="auto"/>
        <w:ind w:firstLine="420" w:firstLineChars="200"/>
      </w:pPr>
      <w:r>
        <w:rPr>
          <w:rFonts w:hint="eastAsia" w:hAnsi="宋体" w:cs="宋体"/>
        </w:rPr>
        <w:t>（</w:t>
      </w:r>
      <w:r>
        <w:rPr>
          <w:rFonts w:hAnsi="宋体"/>
        </w:rPr>
        <w:t>3</w:t>
      </w:r>
      <w:r>
        <w:rPr>
          <w:rFonts w:hint="eastAsia" w:hAnsi="宋体" w:cs="宋体"/>
        </w:rPr>
        <w:t>）</w:t>
      </w:r>
      <w:r>
        <w:rPr>
          <w:rFonts w:hint="eastAsia" w:ascii="宋体" w:hAnsi="宋体" w:cs="宋体"/>
          <w:shd w:val="clear" w:color="auto" w:fill="FFFFFF"/>
        </w:rPr>
        <w:t>与投标人有经济利益关系，可能影响对投标公正评审的人员</w:t>
      </w:r>
      <w:r>
        <w:rPr>
          <w:rFonts w:hint="eastAsia" w:hAnsi="宋体" w:cs="宋体"/>
        </w:rPr>
        <w:t>；</w:t>
      </w:r>
    </w:p>
    <w:p>
      <w:pPr>
        <w:spacing w:line="360" w:lineRule="auto"/>
        <w:ind w:firstLine="420" w:firstLineChars="200"/>
        <w:rPr>
          <w:rFonts w:hint="eastAsia" w:ascii="宋体" w:hAnsi="宋体" w:cs="宋体"/>
          <w:shd w:val="clear" w:color="auto" w:fill="FFFFFF"/>
        </w:rPr>
      </w:pPr>
      <w:r>
        <w:rPr>
          <w:rFonts w:hint="eastAsia" w:hAnsi="宋体" w:cs="宋体"/>
        </w:rPr>
        <w:t>（</w:t>
      </w:r>
      <w:r>
        <w:rPr>
          <w:rFonts w:hint="eastAsia" w:hAnsi="宋体"/>
        </w:rPr>
        <w:t>4</w:t>
      </w:r>
      <w:r>
        <w:rPr>
          <w:rFonts w:hint="eastAsia" w:hAnsi="宋体" w:cs="宋体"/>
        </w:rPr>
        <w:t>）</w:t>
      </w:r>
      <w:r>
        <w:rPr>
          <w:rFonts w:hint="eastAsia" w:ascii="宋体" w:hAnsi="宋体" w:cs="宋体"/>
          <w:shd w:val="clear" w:color="auto" w:fill="FFFFFF"/>
        </w:rPr>
        <w:t>与投标人有其他利害关系的人员。</w:t>
      </w:r>
    </w:p>
    <w:p>
      <w:pPr>
        <w:spacing w:line="360" w:lineRule="auto"/>
        <w:ind w:firstLine="420" w:firstLineChars="200"/>
        <w:rPr>
          <w:rFonts w:hint="eastAsia" w:cs="宋体"/>
        </w:rPr>
      </w:pPr>
      <w:r>
        <w:t>6.1.</w:t>
      </w:r>
      <w:r>
        <w:rPr>
          <w:rFonts w:hint="eastAsia"/>
        </w:rPr>
        <w:t>3</w:t>
      </w:r>
      <w:r>
        <w:t xml:space="preserve"> </w:t>
      </w:r>
      <w:r>
        <w:rPr>
          <w:rFonts w:hint="eastAsia" w:cs="宋体"/>
        </w:rPr>
        <w:t>有下列情形之一的专家不能参与评标活动，应主动退出：</w:t>
      </w:r>
    </w:p>
    <w:p>
      <w:pPr>
        <w:spacing w:line="360" w:lineRule="auto"/>
        <w:ind w:firstLine="420" w:firstLineChars="200"/>
        <w:rPr>
          <w:rFonts w:hint="eastAsia" w:hAnsi="宋体" w:cs="宋体"/>
        </w:rPr>
      </w:pPr>
      <w:r>
        <w:rPr>
          <w:rFonts w:hint="eastAsia" w:hAnsi="宋体" w:cs="宋体"/>
        </w:rPr>
        <w:t>（1）曾在招标投标活动中从事违法行为而受过行政处罚或者刑事处罚的人员；</w:t>
      </w:r>
    </w:p>
    <w:p>
      <w:pPr>
        <w:spacing w:line="360" w:lineRule="auto"/>
        <w:ind w:firstLine="420" w:firstLineChars="200"/>
        <w:rPr>
          <w:rFonts w:hint="eastAsia" w:hAnsi="宋体" w:cs="宋体"/>
        </w:rPr>
      </w:pPr>
      <w:r>
        <w:rPr>
          <w:rFonts w:hint="eastAsia" w:hAnsi="宋体" w:cs="宋体"/>
        </w:rPr>
        <w:t>（2）评标时期在“建筑市场监管与诚信信息一体化平台”被列为建筑市场主体“黑名单”的人员；</w:t>
      </w:r>
    </w:p>
    <w:p>
      <w:pPr>
        <w:spacing w:line="360" w:lineRule="auto"/>
        <w:ind w:firstLine="420" w:firstLineChars="200"/>
        <w:rPr>
          <w:rFonts w:hint="eastAsia" w:hAnsi="宋体" w:cs="宋体"/>
        </w:rPr>
      </w:pPr>
      <w:r>
        <w:rPr>
          <w:rFonts w:hint="eastAsia" w:hAnsi="宋体" w:cs="宋体"/>
        </w:rPr>
        <w:t>（3）评标时期在</w:t>
      </w:r>
      <w:r>
        <w:rPr>
          <w:rFonts w:hint="eastAsia" w:hAnsi="宋体" w:cs="宋体"/>
          <w:lang w:val="en-US" w:eastAsia="zh-CN"/>
        </w:rPr>
        <w:t>未被“信用中国”网站(www.creditchina.gov.cn)、中国政府采购网(www.ccgp.gov.cn)等渠道列入失信被执行人、重大税收违法案件当事人名单、政府采购严重违法失信行为记录名单。</w:t>
      </w:r>
    </w:p>
    <w:p>
      <w:pPr>
        <w:pStyle w:val="5"/>
      </w:pPr>
      <w:bookmarkStart w:id="164" w:name="_Toc407135114"/>
      <w:bookmarkStart w:id="165" w:name="_Toc30225"/>
      <w:r>
        <w:t xml:space="preserve">6.2 </w:t>
      </w:r>
      <w:r>
        <w:rPr>
          <w:rFonts w:hint="eastAsia" w:cs="黑体"/>
        </w:rPr>
        <w:t>评标原则</w:t>
      </w:r>
      <w:bookmarkEnd w:id="163"/>
      <w:bookmarkEnd w:id="164"/>
      <w:bookmarkEnd w:id="165"/>
    </w:p>
    <w:p>
      <w:pPr>
        <w:spacing w:line="360" w:lineRule="auto"/>
        <w:ind w:firstLine="420" w:firstLineChars="200"/>
        <w:rPr>
          <w:rFonts w:hint="eastAsia" w:ascii="Times New Roman" w:hAnsi="宋体" w:eastAsia="宋体" w:cs="宋体"/>
        </w:rPr>
      </w:pPr>
      <w:r>
        <w:rPr>
          <w:rFonts w:hint="eastAsia" w:ascii="Times New Roman" w:hAnsi="宋体" w:eastAsia="宋体" w:cs="宋体"/>
        </w:rPr>
        <w:t>6.2.1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Times New Roman" w:hAnsi="宋体" w:eastAsia="宋体" w:cs="宋体"/>
        </w:rPr>
      </w:pPr>
      <w:r>
        <w:rPr>
          <w:rFonts w:hint="eastAsia" w:ascii="Times New Roman" w:hAnsi="宋体" w:eastAsia="宋体" w:cs="宋体"/>
        </w:rPr>
        <w:t>6.2.2评委表决。在评标过程中出现法律法规和招标文件均没有明确规定的情形时，由评标委员会现场协商解决，协商不一致的，由全体评委投票表决，以得票率二分之一以上专家的意见为准并由</w:t>
      </w:r>
      <w:r>
        <w:rPr>
          <w:rFonts w:hint="eastAsia" w:ascii="Times New Roman" w:hAnsi="宋体" w:eastAsia="宋体" w:cs="宋体"/>
          <w:lang w:eastAsia="zh-CN"/>
        </w:rPr>
        <w:t>招标代理机构</w:t>
      </w:r>
      <w:r>
        <w:rPr>
          <w:rFonts w:hint="eastAsia" w:ascii="Times New Roman" w:hAnsi="宋体" w:eastAsia="宋体" w:cs="宋体"/>
        </w:rPr>
        <w:t>作记录。</w:t>
      </w:r>
      <w:bookmarkStart w:id="166" w:name="_28.3评标方法。本项目将按须知前附表规定的评标办法进行评标，具体评标"/>
      <w:bookmarkEnd w:id="166"/>
    </w:p>
    <w:p>
      <w:pPr>
        <w:spacing w:line="360" w:lineRule="auto"/>
        <w:ind w:firstLine="420" w:firstLineChars="200"/>
        <w:rPr>
          <w:rFonts w:hint="eastAsia" w:ascii="Times New Roman" w:hAnsi="宋体" w:eastAsia="宋体" w:cs="宋体"/>
        </w:rPr>
      </w:pPr>
      <w:r>
        <w:rPr>
          <w:rFonts w:hint="eastAsia" w:ascii="Times New Roman" w:hAnsi="宋体" w:eastAsia="宋体" w:cs="宋体"/>
        </w:rPr>
        <w:t>6.2.3评标的保密。</w:t>
      </w:r>
      <w:r>
        <w:rPr>
          <w:rFonts w:hint="eastAsia" w:ascii="Times New Roman" w:hAnsi="宋体" w:eastAsia="宋体" w:cs="宋体"/>
          <w:lang w:eastAsia="zh-CN"/>
        </w:rPr>
        <w:t>招标人</w:t>
      </w:r>
      <w:r>
        <w:rPr>
          <w:rFonts w:hint="eastAsia" w:ascii="Times New Roman" w:hAnsi="宋体" w:eastAsia="宋体" w:cs="宋体"/>
        </w:rPr>
        <w:t>、</w:t>
      </w:r>
      <w:r>
        <w:rPr>
          <w:rFonts w:hint="eastAsia" w:ascii="Times New Roman" w:hAnsi="宋体" w:eastAsia="宋体" w:cs="宋体"/>
          <w:lang w:eastAsia="zh-CN"/>
        </w:rPr>
        <w:t>招标代理机构</w:t>
      </w:r>
      <w:r>
        <w:rPr>
          <w:rFonts w:hint="eastAsia" w:ascii="Times New Roman" w:hAnsi="宋体" w:eastAsia="宋体" w:cs="宋体"/>
        </w:rPr>
        <w:t>应当采取必要措施，保证评标在严格保密（封闭式评标）的情况下进行。除</w:t>
      </w:r>
      <w:r>
        <w:rPr>
          <w:rFonts w:hint="eastAsia" w:ascii="Times New Roman" w:hAnsi="宋体" w:eastAsia="宋体" w:cs="宋体"/>
          <w:lang w:eastAsia="zh-CN"/>
        </w:rPr>
        <w:t>招标人</w:t>
      </w:r>
      <w:r>
        <w:rPr>
          <w:rFonts w:hint="eastAsia" w:ascii="Times New Roman" w:hAnsi="宋体" w:eastAsia="宋体" w:cs="宋体"/>
        </w:rPr>
        <w:t>代表、评标现场组织人员外，</w:t>
      </w:r>
      <w:r>
        <w:rPr>
          <w:rFonts w:hint="eastAsia" w:ascii="Times New Roman" w:hAnsi="宋体" w:eastAsia="宋体" w:cs="宋体"/>
          <w:lang w:eastAsia="zh-CN"/>
        </w:rPr>
        <w:t>招标人</w:t>
      </w:r>
      <w:r>
        <w:rPr>
          <w:rFonts w:hint="eastAsia" w:ascii="Times New Roman" w:hAnsi="宋体" w:eastAsia="宋体" w:cs="宋体"/>
        </w:rPr>
        <w:t>的其他工作人员以及与评标工作无关的人员不得进入评标现场。有关人员对评标情况以及在评标过程中获悉的国家秘密、商业秘密负有保密责任。</w:t>
      </w:r>
    </w:p>
    <w:p>
      <w:pPr>
        <w:spacing w:line="360" w:lineRule="auto"/>
        <w:ind w:firstLine="420" w:firstLineChars="200"/>
      </w:pPr>
      <w:r>
        <w:rPr>
          <w:rFonts w:hint="eastAsia" w:ascii="Times New Roman" w:hAnsi="宋体" w:eastAsia="宋体" w:cs="宋体"/>
        </w:rPr>
        <w:t>6.2.4评标过程的监控。本项目电子评标过程实行网上留痕、全程录音、录像监控，投标人在评标过程中所进行的试图影响评标结果的不公正活动，可能导致其投标按无效处理。</w:t>
      </w:r>
    </w:p>
    <w:p>
      <w:pPr>
        <w:pStyle w:val="5"/>
      </w:pPr>
      <w:bookmarkStart w:id="167" w:name="_Toc389065180"/>
      <w:bookmarkStart w:id="168" w:name="_Toc407135115"/>
      <w:bookmarkStart w:id="169" w:name="_Toc4100"/>
      <w:r>
        <w:t xml:space="preserve">6.3 </w:t>
      </w:r>
      <w:r>
        <w:rPr>
          <w:rFonts w:hint="eastAsia" w:cs="黑体"/>
        </w:rPr>
        <w:t>评标</w:t>
      </w:r>
      <w:bookmarkEnd w:id="167"/>
      <w:r>
        <w:rPr>
          <w:rFonts w:hint="eastAsia" w:cs="黑体"/>
        </w:rPr>
        <w:t>方式</w:t>
      </w:r>
      <w:bookmarkEnd w:id="168"/>
      <w:bookmarkEnd w:id="169"/>
    </w:p>
    <w:p>
      <w:pPr>
        <w:spacing w:line="360" w:lineRule="auto"/>
        <w:ind w:firstLine="420" w:firstLineChars="200"/>
        <w:rPr>
          <w:rFonts w:hint="eastAsia" w:cs="宋体"/>
        </w:rPr>
      </w:pPr>
      <w:r>
        <w:rPr>
          <w:rFonts w:hint="eastAsia" w:cs="宋体"/>
        </w:rPr>
        <w:t>6.3.1本项目的评标方法详见“投标人须知前附表”。</w:t>
      </w:r>
    </w:p>
    <w:p>
      <w:pPr>
        <w:spacing w:line="360" w:lineRule="auto"/>
        <w:ind w:firstLine="420" w:firstLineChars="200"/>
        <w:rPr>
          <w:rFonts w:hint="eastAsia" w:cs="宋体"/>
        </w:rPr>
      </w:pPr>
      <w:r>
        <w:rPr>
          <w:rFonts w:hint="eastAsia" w:cs="宋体"/>
        </w:rPr>
        <w:t>6.3.2评标委员会按照“第四章 评标方法和评标标准”规定的方法、评审因素、标准和程序对投标文件进行评审。</w:t>
      </w:r>
    </w:p>
    <w:p>
      <w:pPr>
        <w:spacing w:line="360" w:lineRule="auto"/>
        <w:ind w:firstLine="420" w:firstLineChars="200"/>
        <w:rPr>
          <w:rFonts w:hint="eastAsia" w:cs="宋体"/>
        </w:rPr>
      </w:pPr>
      <w:r>
        <w:rPr>
          <w:rFonts w:hint="eastAsia" w:cs="宋体"/>
        </w:rPr>
        <w:t>6.3.3电子交易活动的中止。采购过程中出现以下情形，导致电子交易平台无法正常运行，或者无法保证电子交易的公平、公正和安全时，采购机构可中止电子交易活动：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cs="宋体"/>
        </w:rPr>
      </w:pPr>
      <w:r>
        <w:rPr>
          <w:rFonts w:hint="eastAsia" w:cs="宋体"/>
        </w:rPr>
        <w:t xml:space="preserve">（1）电子交易平台发生故障而无法登录访问的； </w:t>
      </w:r>
    </w:p>
    <w:p>
      <w:pPr>
        <w:spacing w:line="360" w:lineRule="auto"/>
        <w:ind w:firstLine="420" w:firstLineChars="200"/>
        <w:rPr>
          <w:rFonts w:hint="eastAsia" w:cs="宋体"/>
        </w:rPr>
      </w:pPr>
      <w:r>
        <w:rPr>
          <w:rFonts w:hint="eastAsia" w:cs="宋体"/>
        </w:rPr>
        <w:t>（2）电子交易平台应用或数据库出现错误，不能进行正常操作的；</w:t>
      </w:r>
    </w:p>
    <w:p>
      <w:pPr>
        <w:spacing w:line="360" w:lineRule="auto"/>
        <w:ind w:firstLine="420" w:firstLineChars="200"/>
        <w:rPr>
          <w:rFonts w:hint="eastAsia" w:cs="宋体"/>
        </w:rPr>
      </w:pPr>
      <w:r>
        <w:rPr>
          <w:rFonts w:hint="eastAsia" w:cs="宋体"/>
        </w:rPr>
        <w:t>（3）电子交易平台发现严重安全漏洞，有潜在泄密危险的；</w:t>
      </w:r>
    </w:p>
    <w:p>
      <w:pPr>
        <w:spacing w:line="360" w:lineRule="auto"/>
        <w:ind w:firstLine="420" w:firstLineChars="200"/>
        <w:rPr>
          <w:rFonts w:hint="eastAsia" w:cs="宋体"/>
        </w:rPr>
      </w:pPr>
      <w:r>
        <w:rPr>
          <w:rFonts w:hint="eastAsia" w:cs="宋体"/>
        </w:rPr>
        <w:t xml:space="preserve">（4）病毒发作导致不能进行正常操作的； </w:t>
      </w:r>
    </w:p>
    <w:p>
      <w:pPr>
        <w:spacing w:line="360" w:lineRule="auto"/>
        <w:ind w:firstLine="420" w:firstLineChars="200"/>
        <w:rPr>
          <w:rFonts w:hint="eastAsia" w:cs="宋体"/>
        </w:rPr>
      </w:pPr>
      <w:r>
        <w:rPr>
          <w:rFonts w:hint="eastAsia" w:cs="宋体"/>
        </w:rPr>
        <w:t>（4）其他无法保证电子交易的公平、公正和安全的情况。</w:t>
      </w:r>
    </w:p>
    <w:p>
      <w:pPr>
        <w:spacing w:line="360" w:lineRule="auto"/>
        <w:ind w:firstLine="420" w:firstLineChars="200"/>
        <w:rPr>
          <w:rFonts w:hint="eastAsia" w:cs="宋体"/>
        </w:rPr>
      </w:pPr>
      <w:r>
        <w:rPr>
          <w:rFonts w:hint="eastAsia" w:cs="宋体"/>
        </w:rPr>
        <w:t>6.3.4出现以上情形，不影响采购公平、公正性的，采购组织机构可以待上述情形消除后继续组织电子交易活动；影响或可能影响采购公平、公正性的，经</w:t>
      </w:r>
      <w:r>
        <w:rPr>
          <w:rFonts w:hint="eastAsia" w:cs="宋体"/>
          <w:lang w:eastAsia="zh-CN"/>
        </w:rPr>
        <w:t>招标代理机构</w:t>
      </w:r>
      <w:r>
        <w:rPr>
          <w:rFonts w:hint="eastAsia" w:cs="宋体"/>
        </w:rPr>
        <w:t>确认后，应当重新采购。</w:t>
      </w:r>
      <w:r>
        <w:rPr>
          <w:rFonts w:hint="eastAsia" w:cs="宋体"/>
          <w:lang w:eastAsia="zh-CN"/>
        </w:rPr>
        <w:t>招标代理机构</w:t>
      </w:r>
      <w:r>
        <w:rPr>
          <w:rFonts w:hint="eastAsia" w:cs="宋体"/>
        </w:rPr>
        <w:t>必须对原有的资料及信息作出妥善保密处理，并报财政部门备案。</w:t>
      </w:r>
    </w:p>
    <w:p>
      <w:pPr>
        <w:pStyle w:val="5"/>
      </w:pPr>
      <w:bookmarkStart w:id="170" w:name="_Toc11314"/>
      <w:bookmarkStart w:id="171" w:name="_Toc389065181"/>
      <w:bookmarkStart w:id="172" w:name="_Toc407135116"/>
      <w:r>
        <w:t xml:space="preserve">6.4 </w:t>
      </w:r>
      <w:r>
        <w:rPr>
          <w:rFonts w:hint="eastAsia" w:cs="黑体"/>
        </w:rPr>
        <w:t>移交评标资料</w:t>
      </w:r>
      <w:bookmarkEnd w:id="170"/>
      <w:bookmarkEnd w:id="171"/>
      <w:bookmarkEnd w:id="172"/>
    </w:p>
    <w:p>
      <w:pPr>
        <w:spacing w:line="360" w:lineRule="auto"/>
        <w:ind w:firstLine="420" w:firstLineChars="200"/>
      </w:pPr>
      <w:r>
        <w:rPr>
          <w:rFonts w:ascii="Calibri" w:hAnsi="Calibri"/>
        </w:rPr>
        <w:t>评标委员会完成评标后，立即向招标人提交书面评标报告和中标候选人名单</w:t>
      </w:r>
      <w:r>
        <w:rPr>
          <w:rFonts w:hint="eastAsia" w:ascii="Calibri" w:hAnsi="Calibri"/>
        </w:rPr>
        <w:t>（授权评标委员会确定中标人时为中标人名单）</w:t>
      </w:r>
      <w:r>
        <w:rPr>
          <w:rFonts w:ascii="Calibri" w:hAnsi="Calibri"/>
        </w:rPr>
        <w:t>，并同时移交所有评标</w:t>
      </w:r>
      <w:r>
        <w:rPr>
          <w:rFonts w:hint="eastAsia" w:ascii="Calibri" w:hAnsi="Calibri"/>
        </w:rPr>
        <w:t>涉及</w:t>
      </w:r>
      <w:r>
        <w:rPr>
          <w:rFonts w:ascii="Calibri" w:hAnsi="Calibri"/>
        </w:rPr>
        <w:t>资料。</w:t>
      </w:r>
    </w:p>
    <w:p>
      <w:pPr>
        <w:pStyle w:val="5"/>
      </w:pPr>
      <w:bookmarkStart w:id="173" w:name="_Toc407135117"/>
      <w:bookmarkStart w:id="174" w:name="_Toc389065182"/>
      <w:bookmarkStart w:id="175" w:name="_Toc13380"/>
      <w:r>
        <w:t xml:space="preserve">6.5 </w:t>
      </w:r>
      <w:r>
        <w:rPr>
          <w:rFonts w:hint="eastAsia" w:cs="黑体"/>
        </w:rPr>
        <w:t>评标资料封存和启封</w:t>
      </w:r>
      <w:bookmarkEnd w:id="173"/>
      <w:bookmarkEnd w:id="174"/>
      <w:bookmarkEnd w:id="175"/>
    </w:p>
    <w:p>
      <w:pPr>
        <w:spacing w:line="360" w:lineRule="auto"/>
        <w:ind w:firstLine="420" w:firstLineChars="200"/>
      </w:pPr>
      <w:r>
        <w:t xml:space="preserve">6.5.1 </w:t>
      </w:r>
      <w:r>
        <w:rPr>
          <w:rFonts w:hint="eastAsia" w:cs="宋体"/>
        </w:rPr>
        <w:t>评标结束至中标通知书发放时，招标人按“投标人须知前附表”规定的封存方式封存评标资料。</w:t>
      </w:r>
    </w:p>
    <w:p>
      <w:pPr>
        <w:spacing w:line="360" w:lineRule="auto"/>
        <w:ind w:firstLine="420" w:firstLineChars="200"/>
      </w:pPr>
      <w:r>
        <w:t xml:space="preserve">6.5.2 </w:t>
      </w:r>
      <w:r>
        <w:rPr>
          <w:rFonts w:hint="eastAsia" w:cs="宋体"/>
        </w:rPr>
        <w:t>如在封存期间处理招标投标利害当事人提出异议或者投诉时需要启封评标资料的，应按当地</w:t>
      </w:r>
      <w:r>
        <w:rPr>
          <w:rFonts w:hint="eastAsia"/>
          <w:lang w:eastAsia="zh-CN"/>
        </w:rPr>
        <w:t>财政监督部门</w:t>
      </w:r>
      <w:r>
        <w:rPr>
          <w:rFonts w:hint="eastAsia" w:cs="宋体"/>
        </w:rPr>
        <w:t>规定的程序启封。</w:t>
      </w:r>
    </w:p>
    <w:p>
      <w:pPr>
        <w:pStyle w:val="5"/>
        <w:rPr>
          <w:rFonts w:hint="eastAsia" w:eastAsia="黑体"/>
          <w:lang w:eastAsia="zh-CN"/>
        </w:rPr>
      </w:pPr>
      <w:bookmarkStart w:id="176" w:name="_Toc389065183"/>
      <w:bookmarkStart w:id="177" w:name="_Toc407135118"/>
      <w:bookmarkStart w:id="178" w:name="_Toc30251"/>
      <w:r>
        <w:t xml:space="preserve">6.6 </w:t>
      </w:r>
      <w:r>
        <w:rPr>
          <w:rFonts w:hint="eastAsia" w:cs="黑体"/>
        </w:rPr>
        <w:t>中标</w:t>
      </w:r>
      <w:bookmarkEnd w:id="176"/>
      <w:bookmarkEnd w:id="177"/>
      <w:r>
        <w:rPr>
          <w:rFonts w:hint="eastAsia" w:cs="黑体"/>
          <w:lang w:val="en-US" w:eastAsia="zh-CN"/>
        </w:rPr>
        <w:t>公告</w:t>
      </w:r>
      <w:bookmarkEnd w:id="178"/>
    </w:p>
    <w:p>
      <w:pPr>
        <w:spacing w:line="360" w:lineRule="auto"/>
        <w:ind w:firstLine="420" w:firstLineChars="200"/>
        <w:rPr>
          <w:rFonts w:hint="eastAsia"/>
        </w:rPr>
      </w:pPr>
      <w:r>
        <w:rPr>
          <w:rFonts w:hint="eastAsia"/>
        </w:rPr>
        <w:t>6.6.1</w:t>
      </w:r>
      <w:r>
        <w:rPr>
          <w:rFonts w:hint="eastAsia"/>
          <w:lang w:eastAsia="zh-CN"/>
        </w:rPr>
        <w:t>招标代理机构</w:t>
      </w:r>
      <w:r>
        <w:rPr>
          <w:rFonts w:hint="eastAsia"/>
        </w:rPr>
        <w:t>在评标结束之日起2个工作日内将评标报告送</w:t>
      </w:r>
      <w:r>
        <w:rPr>
          <w:rFonts w:hint="eastAsia"/>
          <w:lang w:eastAsia="zh-CN"/>
        </w:rPr>
        <w:t>招标人</w:t>
      </w:r>
      <w:r>
        <w:rPr>
          <w:rFonts w:hint="eastAsia"/>
        </w:rPr>
        <w:t>，</w:t>
      </w:r>
      <w:r>
        <w:rPr>
          <w:rFonts w:hint="eastAsia"/>
          <w:lang w:eastAsia="zh-CN"/>
        </w:rPr>
        <w:t>招标人</w:t>
      </w:r>
      <w:r>
        <w:rPr>
          <w:rFonts w:hint="eastAsia"/>
        </w:rPr>
        <w:t>在收到评标报告之日起5个工作日内，在评标报告确定的中标候选人名单中按顺序确定中标人。中标候选人并列的，按照“投标人须知前附表”规定的方式确定中标人。</w:t>
      </w:r>
    </w:p>
    <w:p>
      <w:pPr>
        <w:spacing w:line="360" w:lineRule="auto"/>
        <w:ind w:firstLine="420" w:firstLineChars="200"/>
        <w:rPr>
          <w:rFonts w:hint="eastAsia"/>
        </w:rPr>
      </w:pPr>
      <w:r>
        <w:rPr>
          <w:rFonts w:hint="eastAsia"/>
          <w:lang w:val="en-US" w:eastAsia="zh-CN"/>
        </w:rPr>
        <w:t>6.6.2</w:t>
      </w:r>
      <w:r>
        <w:rPr>
          <w:rFonts w:hint="eastAsia"/>
          <w:lang w:eastAsia="zh-CN"/>
        </w:rPr>
        <w:t>招标人</w:t>
      </w:r>
      <w:r>
        <w:rPr>
          <w:rFonts w:hint="eastAsia"/>
        </w:rPr>
        <w:t>也可以事先授权评标委员会直接确定中标人。</w:t>
      </w:r>
    </w:p>
    <w:p>
      <w:pPr>
        <w:spacing w:line="360" w:lineRule="auto"/>
        <w:ind w:firstLine="420" w:firstLineChars="200"/>
        <w:rPr>
          <w:rFonts w:hint="eastAsia"/>
        </w:rPr>
      </w:pPr>
      <w:r>
        <w:rPr>
          <w:rFonts w:hint="eastAsia"/>
          <w:lang w:val="en-US" w:eastAsia="zh-CN"/>
        </w:rPr>
        <w:t>6.6.3</w:t>
      </w:r>
      <w:r>
        <w:rPr>
          <w:rFonts w:hint="eastAsia"/>
          <w:lang w:eastAsia="zh-CN"/>
        </w:rPr>
        <w:t>招标人</w:t>
      </w:r>
      <w:r>
        <w:rPr>
          <w:rFonts w:hint="eastAsia"/>
        </w:rPr>
        <w:t>在收到评标报告5个工作日内未按评标报告推荐的中标候选人顺序确定中标人，又不能说明合法理由的，视同按评标报告推荐的顺序确定排名第一的中标候选人为中标人。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hint="eastAsia"/>
        </w:rPr>
      </w:pPr>
      <w:r>
        <w:rPr>
          <w:rFonts w:hint="eastAsia"/>
          <w:lang w:val="en-US" w:eastAsia="zh-CN"/>
        </w:rPr>
        <w:t>6.6.4</w:t>
      </w:r>
      <w:r>
        <w:rPr>
          <w:rFonts w:hint="eastAsia"/>
        </w:rPr>
        <w:t>中标人确定后，于中标人确定之日起2个工作日内，中标结果将在招标公告发布媒体上公告。</w:t>
      </w:r>
      <w:r>
        <w:rPr>
          <w:rFonts w:hint="eastAsia"/>
          <w:lang w:eastAsia="zh-CN"/>
        </w:rPr>
        <w:t>招标人</w:t>
      </w:r>
      <w:r>
        <w:rPr>
          <w:rFonts w:hint="eastAsia"/>
        </w:rPr>
        <w:t>或采购代理发出中标通知书前，应当对中标人信用进行查询，对列入失信被执行人、重大税收违法案件当事人名单、政府采购严重违法失信行为记录名单及其他不符合《中华人民共和国政府采购法》第二十二条规定条件的</w:t>
      </w:r>
      <w:r>
        <w:rPr>
          <w:rFonts w:hint="eastAsia"/>
          <w:lang w:eastAsia="zh-CN"/>
        </w:rPr>
        <w:t>投标人</w:t>
      </w:r>
      <w:r>
        <w:rPr>
          <w:rFonts w:hint="eastAsia"/>
        </w:rPr>
        <w:t>，取消其中标资格，并确定排名第二的中标候选人为中标人。</w:t>
      </w:r>
    </w:p>
    <w:p>
      <w:pPr>
        <w:spacing w:line="360" w:lineRule="auto"/>
        <w:ind w:firstLine="420" w:firstLineChars="200"/>
        <w:rPr>
          <w:rFonts w:hint="eastAsia"/>
        </w:rPr>
      </w:pPr>
      <w:r>
        <w:rPr>
          <w:rFonts w:hint="eastAsia"/>
          <w:lang w:val="en-US" w:eastAsia="zh-CN"/>
        </w:rPr>
        <w:t>6.6.5</w:t>
      </w:r>
      <w:r>
        <w:rPr>
          <w:rFonts w:hint="eastAsia"/>
        </w:rPr>
        <w:t>排名第二的中标候选人因前款规定的同样原因被取消中标资格的，</w:t>
      </w:r>
      <w:r>
        <w:rPr>
          <w:rFonts w:hint="eastAsia"/>
          <w:lang w:eastAsia="zh-CN"/>
        </w:rPr>
        <w:t>招标人</w:t>
      </w:r>
      <w:r>
        <w:rPr>
          <w:rFonts w:hint="eastAsia"/>
        </w:rPr>
        <w:t>可以确定排名第三的中标候选人为中标人，以此类推。</w:t>
      </w:r>
    </w:p>
    <w:p>
      <w:pPr>
        <w:spacing w:line="360" w:lineRule="auto"/>
        <w:ind w:firstLine="420" w:firstLineChars="200"/>
        <w:rPr>
          <w:rFonts w:hint="eastAsia"/>
        </w:rPr>
      </w:pPr>
      <w:r>
        <w:rPr>
          <w:rFonts w:hint="eastAsia"/>
        </w:rPr>
        <w:t>以上信息查询记录及相关证据与采购文件一并保存。</w:t>
      </w:r>
    </w:p>
    <w:p>
      <w:pPr>
        <w:spacing w:line="360" w:lineRule="auto"/>
        <w:ind w:firstLine="420" w:firstLineChars="200"/>
        <w:rPr>
          <w:rFonts w:hint="eastAsia"/>
        </w:rPr>
      </w:pPr>
      <w:r>
        <w:rPr>
          <w:rFonts w:hint="eastAsia"/>
        </w:rPr>
        <w:t>中小企业在政府采购活动过程中，请根据自己的真实情况出具《中小企业声明函》。依法享受中小企业优惠政策的，</w:t>
      </w:r>
      <w:r>
        <w:rPr>
          <w:rFonts w:hint="eastAsia"/>
          <w:lang w:eastAsia="zh-CN"/>
        </w:rPr>
        <w:t>招标人</w:t>
      </w:r>
      <w:r>
        <w:rPr>
          <w:rFonts w:hint="eastAsia"/>
        </w:rPr>
        <w:t>或</w:t>
      </w:r>
      <w:r>
        <w:rPr>
          <w:rFonts w:hint="eastAsia"/>
          <w:lang w:eastAsia="zh-CN"/>
        </w:rPr>
        <w:t>招标代理机构</w:t>
      </w:r>
      <w:r>
        <w:rPr>
          <w:rFonts w:hint="eastAsia"/>
        </w:rPr>
        <w:t>在公告中标结果时，同时公告其《中小企业声明函》，接受社会监督。</w:t>
      </w:r>
    </w:p>
    <w:p>
      <w:pPr>
        <w:pStyle w:val="5"/>
      </w:pPr>
      <w:bookmarkStart w:id="179" w:name="_Toc4684"/>
      <w:bookmarkStart w:id="180" w:name="_Toc465114777"/>
      <w:r>
        <w:t>6.7</w:t>
      </w:r>
      <w:r>
        <w:rPr>
          <w:rFonts w:hint="eastAsia" w:cs="黑体"/>
        </w:rPr>
        <w:t>履约能力审查</w:t>
      </w:r>
      <w:bookmarkEnd w:id="179"/>
      <w:bookmarkEnd w:id="180"/>
    </w:p>
    <w:p>
      <w:pPr>
        <w:spacing w:line="360" w:lineRule="auto"/>
        <w:ind w:firstLine="420" w:firstLineChars="200"/>
      </w:pPr>
      <w:r>
        <w:rPr>
          <w:rFonts w:hint="eastAsia"/>
        </w:rPr>
        <w:t>在中标通知书发出前，如果中标候选人的经营、财务状况发生较大变化或存在“投标人须知前附表”规定的情形，可能造成不能履行合同、无法按照招标文件要求提交履约保证金等情形，不符合中标条件的，应在中标公示期及时书面告知招标人。</w:t>
      </w:r>
    </w:p>
    <w:p>
      <w:pPr>
        <w:spacing w:line="360" w:lineRule="auto"/>
        <w:ind w:firstLine="420" w:firstLineChars="200"/>
      </w:pPr>
      <w:r>
        <w:rPr>
          <w:rFonts w:hint="eastAsia"/>
        </w:rPr>
        <w:t>如招标人认为中标候选人的经营、财务状况发生较大变化、存在违法行为或者“投标人须知前附表”规定的情形，可能影响其履约能力的，应当在中标通知书发出前由原评标委员会按照招标文件规定的标准和方法审查确认。</w:t>
      </w:r>
    </w:p>
    <w:p>
      <w:pPr>
        <w:pStyle w:val="4"/>
      </w:pPr>
      <w:bookmarkStart w:id="181" w:name="_Toc407135119"/>
      <w:bookmarkStart w:id="182" w:name="_Toc2011"/>
      <w:bookmarkStart w:id="183" w:name="_Toc389065184"/>
      <w:r>
        <w:t xml:space="preserve">7 </w:t>
      </w:r>
      <w:r>
        <w:rPr>
          <w:rFonts w:hint="eastAsia" w:cs="黑体"/>
        </w:rPr>
        <w:t>合同授予</w:t>
      </w:r>
      <w:bookmarkEnd w:id="181"/>
      <w:bookmarkEnd w:id="182"/>
      <w:bookmarkEnd w:id="183"/>
    </w:p>
    <w:p>
      <w:pPr>
        <w:pStyle w:val="5"/>
      </w:pPr>
      <w:bookmarkStart w:id="184" w:name="_Toc407135120"/>
      <w:bookmarkStart w:id="185" w:name="_Toc15116"/>
      <w:bookmarkStart w:id="186" w:name="_Toc389065185"/>
      <w:r>
        <w:t xml:space="preserve">7.1 </w:t>
      </w:r>
      <w:r>
        <w:rPr>
          <w:rFonts w:hint="eastAsia" w:cs="黑体"/>
        </w:rPr>
        <w:t>定标方式</w:t>
      </w:r>
      <w:bookmarkEnd w:id="184"/>
      <w:bookmarkEnd w:id="185"/>
      <w:bookmarkEnd w:id="186"/>
    </w:p>
    <w:p>
      <w:pPr>
        <w:spacing w:line="360" w:lineRule="auto"/>
        <w:ind w:firstLine="420" w:firstLineChars="200"/>
      </w:pPr>
      <w:r>
        <w:rPr>
          <w:rFonts w:hint="eastAsia" w:cs="宋体"/>
        </w:rPr>
        <w:t>按照招标文件规定的定标办法确定中标人，向中标人发出中标通知书，同时，按规定的格式发出中标公告，将中标结果通知未中标的投标人。</w:t>
      </w:r>
    </w:p>
    <w:p>
      <w:pPr>
        <w:pStyle w:val="5"/>
      </w:pPr>
      <w:bookmarkStart w:id="187" w:name="_Toc389065186"/>
      <w:bookmarkStart w:id="188" w:name="_Toc407135121"/>
      <w:bookmarkStart w:id="189" w:name="_Toc20687"/>
      <w:r>
        <w:t xml:space="preserve">7.2 </w:t>
      </w:r>
      <w:r>
        <w:rPr>
          <w:rFonts w:hint="eastAsia" w:cs="黑体"/>
        </w:rPr>
        <w:t>中标通知</w:t>
      </w:r>
      <w:bookmarkEnd w:id="187"/>
      <w:r>
        <w:rPr>
          <w:rFonts w:hint="eastAsia" w:cs="黑体"/>
        </w:rPr>
        <w:t>及中标公告</w:t>
      </w:r>
      <w:bookmarkEnd w:id="188"/>
      <w:bookmarkEnd w:id="189"/>
    </w:p>
    <w:p>
      <w:pPr>
        <w:spacing w:line="360" w:lineRule="auto"/>
        <w:ind w:firstLine="420" w:firstLineChars="200"/>
        <w:rPr>
          <w:rFonts w:hint="eastAsia"/>
        </w:rPr>
      </w:pPr>
      <w:r>
        <w:rPr>
          <w:rFonts w:hint="eastAsia"/>
        </w:rPr>
        <w:t>在发布中标公告的同时，</w:t>
      </w:r>
      <w:r>
        <w:rPr>
          <w:rFonts w:hint="eastAsia"/>
          <w:lang w:val="en-US" w:eastAsia="zh-CN"/>
        </w:rPr>
        <w:t>招标</w:t>
      </w:r>
      <w:r>
        <w:rPr>
          <w:rFonts w:hint="eastAsia"/>
        </w:rPr>
        <w:t>代理机构向中标人发出中标通知书。对未通过资格审查的投标人，应当告知其未通过的原因；采用综合评分办法评审的，还应当告知未中标人本人的评审得分与排序。</w:t>
      </w:r>
    </w:p>
    <w:p>
      <w:pPr>
        <w:pStyle w:val="5"/>
      </w:pPr>
      <w:bookmarkStart w:id="190" w:name="_Toc389065187"/>
      <w:bookmarkStart w:id="191" w:name="_Toc407135122"/>
      <w:bookmarkStart w:id="192" w:name="_Toc179"/>
      <w:r>
        <w:t xml:space="preserve">7.3 </w:t>
      </w:r>
      <w:r>
        <w:rPr>
          <w:rFonts w:hint="eastAsia" w:cs="黑体"/>
        </w:rPr>
        <w:t>履约</w:t>
      </w:r>
      <w:bookmarkEnd w:id="190"/>
      <w:r>
        <w:rPr>
          <w:rFonts w:hint="eastAsia" w:cs="黑体"/>
        </w:rPr>
        <w:t>保证金</w:t>
      </w:r>
      <w:bookmarkEnd w:id="191"/>
      <w:r>
        <w:rPr>
          <w:rFonts w:hint="eastAsia" w:cs="黑体"/>
        </w:rPr>
        <w:t>、农民工工资保障金</w:t>
      </w:r>
      <w:bookmarkEnd w:id="192"/>
    </w:p>
    <w:p>
      <w:pPr>
        <w:spacing w:line="360" w:lineRule="auto"/>
        <w:ind w:firstLine="420" w:firstLineChars="200"/>
        <w:rPr>
          <w:rFonts w:hint="eastAsia"/>
        </w:rPr>
      </w:pPr>
      <w:r>
        <w:t>7.3.1</w:t>
      </w:r>
      <w:r>
        <w:rPr>
          <w:rFonts w:hint="eastAsia"/>
        </w:rPr>
        <w:t>履约保证金</w:t>
      </w:r>
    </w:p>
    <w:p>
      <w:pPr>
        <w:spacing w:line="360" w:lineRule="auto"/>
        <w:ind w:firstLine="420" w:firstLineChars="200"/>
      </w:pPr>
      <w:r>
        <w:rPr>
          <w:rFonts w:hint="eastAsia"/>
        </w:rPr>
        <w:t>（1）</w:t>
      </w:r>
      <w:r>
        <w:t>在签订合同前，中标人应按“投标人须知前附表”规定的金额、担保形式和</w:t>
      </w:r>
      <w:r>
        <w:rPr>
          <w:rFonts w:hint="eastAsia"/>
        </w:rPr>
        <w:t>招标文件</w:t>
      </w:r>
      <w:r>
        <w:t>第四章“合同条款及格式”规定的履约担保格式向</w:t>
      </w:r>
      <w:r>
        <w:rPr>
          <w:rFonts w:hint="eastAsia"/>
        </w:rPr>
        <w:t>招标人</w:t>
      </w:r>
      <w:r>
        <w:t>提交履约</w:t>
      </w:r>
      <w:r>
        <w:rPr>
          <w:rFonts w:hint="eastAsia"/>
        </w:rPr>
        <w:t>保证金</w:t>
      </w:r>
      <w:r>
        <w:t>。联合体中标的，其履约</w:t>
      </w:r>
      <w:r>
        <w:rPr>
          <w:rFonts w:hint="eastAsia"/>
        </w:rPr>
        <w:t>保证金</w:t>
      </w:r>
      <w:r>
        <w:t>由牵头人递交，并应符合“投标人须知前附表”规定的金额、担保形式和</w:t>
      </w:r>
      <w:r>
        <w:rPr>
          <w:rFonts w:hint="eastAsia"/>
        </w:rPr>
        <w:t>招标文件</w:t>
      </w:r>
      <w:r>
        <w:rPr>
          <w:highlight w:val="none"/>
        </w:rPr>
        <w:t>第四章“合同条款及</w:t>
      </w:r>
      <w:r>
        <w:t>格式”规定的履约担保格式要求。</w:t>
      </w:r>
    </w:p>
    <w:p>
      <w:pPr>
        <w:spacing w:line="360" w:lineRule="auto"/>
        <w:ind w:firstLine="420" w:firstLineChars="200"/>
      </w:pPr>
      <w:r>
        <w:rPr>
          <w:rFonts w:hint="eastAsia"/>
        </w:rPr>
        <w:t>（2）</w:t>
      </w:r>
      <w:r>
        <w:t>中标人不能按本章第7.3.1项要求提交履约</w:t>
      </w:r>
      <w:r>
        <w:rPr>
          <w:rFonts w:hint="eastAsia"/>
        </w:rPr>
        <w:t>保证金</w:t>
      </w:r>
      <w:r>
        <w:t>的，视为放弃中标，其投标保证金不予退还，给</w:t>
      </w:r>
      <w:r>
        <w:rPr>
          <w:rFonts w:hint="eastAsia"/>
        </w:rPr>
        <w:t>招标人</w:t>
      </w:r>
      <w:r>
        <w:t>造成的损失超过投标保证金数额的，中标人还应当对超过部分予以赔偿。</w:t>
      </w:r>
    </w:p>
    <w:p>
      <w:pPr>
        <w:spacing w:line="360" w:lineRule="auto"/>
        <w:ind w:firstLine="420" w:firstLineChars="200"/>
      </w:pPr>
      <w:bookmarkStart w:id="193" w:name="_Toc87858725"/>
      <w:r>
        <w:rPr>
          <w:rFonts w:hint="eastAsia"/>
        </w:rPr>
        <w:t>7.3.2农民工工资保障金：见</w:t>
      </w:r>
      <w:r>
        <w:t>“投标人须知前附表”</w:t>
      </w:r>
      <w:r>
        <w:rPr>
          <w:rFonts w:hint="eastAsia"/>
        </w:rPr>
        <w:t>。</w:t>
      </w:r>
      <w:bookmarkEnd w:id="193"/>
    </w:p>
    <w:p>
      <w:pPr>
        <w:pStyle w:val="5"/>
      </w:pPr>
      <w:bookmarkStart w:id="194" w:name="_Toc24558"/>
      <w:bookmarkStart w:id="195" w:name="_Toc389065188"/>
      <w:bookmarkStart w:id="196" w:name="_Toc407135123"/>
      <w:r>
        <w:t xml:space="preserve">7.4 </w:t>
      </w:r>
      <w:r>
        <w:rPr>
          <w:rFonts w:hint="eastAsia" w:cs="黑体"/>
        </w:rPr>
        <w:t>签订合同</w:t>
      </w:r>
      <w:bookmarkEnd w:id="194"/>
      <w:bookmarkEnd w:id="195"/>
      <w:bookmarkEnd w:id="196"/>
    </w:p>
    <w:p>
      <w:pPr>
        <w:spacing w:line="360" w:lineRule="auto"/>
        <w:ind w:firstLine="420" w:firstLineChars="200"/>
      </w:pPr>
      <w:r>
        <w:t xml:space="preserve">7.4.1 </w:t>
      </w:r>
      <w:r>
        <w:rPr>
          <w:rFonts w:hint="eastAsia" w:cs="宋体"/>
        </w:rPr>
        <w:t>招标人和中标人应当在投标有效期内以及中标通知书发出之日起</w:t>
      </w:r>
      <w:r>
        <w:rPr>
          <w:rFonts w:hint="eastAsia"/>
          <w:lang w:val="en-US" w:eastAsia="zh-CN"/>
        </w:rPr>
        <w:t>25</w:t>
      </w:r>
      <w:r>
        <w:rPr>
          <w:rFonts w:hint="eastAsia" w:cs="宋体"/>
        </w:rPr>
        <w:t>天内，根据招标文件和中标人的投标文件订立书面合同。中标人无正当理由拒签合同的，招标人取消其中标资格，招标人有权没收其投标保证金；给招标人造成的损失超过投标保证金数额的，中标人还应当对超过部分予以赔偿。对依法必须招标的项目的中标人，由有关行政监督部门责令改正。</w:t>
      </w:r>
    </w:p>
    <w:p>
      <w:pPr>
        <w:spacing w:line="360" w:lineRule="auto"/>
        <w:ind w:firstLine="420" w:firstLineChars="200"/>
      </w:pPr>
      <w:r>
        <w:t xml:space="preserve">7.4.2 </w:t>
      </w:r>
      <w:r>
        <w:rPr>
          <w:rFonts w:hint="eastAsia" w:cs="宋体"/>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pPr>
        <w:spacing w:line="360" w:lineRule="auto"/>
        <w:ind w:firstLine="420" w:firstLineChars="200"/>
      </w:pPr>
      <w:r>
        <w:t xml:space="preserve">7.4.3 </w:t>
      </w:r>
      <w:r>
        <w:rPr>
          <w:rFonts w:hint="eastAsia" w:cs="宋体"/>
        </w:rPr>
        <w:t>发出中标通知书后，招标人无正当理由拒签合同的，由有关行政监督部门给予警告，责令改正。同时招标人向中标人退还投标保证金；给中标人造成损失的，还应当赔偿损失。</w:t>
      </w:r>
    </w:p>
    <w:p>
      <w:pPr>
        <w:pStyle w:val="4"/>
      </w:pPr>
      <w:bookmarkStart w:id="197" w:name="_Toc389065189"/>
      <w:bookmarkStart w:id="198" w:name="_Toc407135124"/>
      <w:bookmarkStart w:id="199" w:name="_Toc28218"/>
      <w:r>
        <w:t xml:space="preserve">8 </w:t>
      </w:r>
      <w:r>
        <w:rPr>
          <w:rFonts w:hint="eastAsia" w:cs="黑体"/>
        </w:rPr>
        <w:t>重新招标和不再招标</w:t>
      </w:r>
      <w:bookmarkEnd w:id="197"/>
      <w:bookmarkEnd w:id="198"/>
      <w:bookmarkEnd w:id="199"/>
    </w:p>
    <w:p>
      <w:pPr>
        <w:pStyle w:val="5"/>
      </w:pPr>
      <w:bookmarkStart w:id="200" w:name="_Toc5456"/>
      <w:bookmarkStart w:id="201" w:name="_Toc389065190"/>
      <w:bookmarkStart w:id="202" w:name="_Toc407135125"/>
      <w:r>
        <w:t xml:space="preserve">8.1 </w:t>
      </w:r>
      <w:r>
        <w:rPr>
          <w:rFonts w:hint="eastAsia" w:cs="黑体"/>
        </w:rPr>
        <w:t>重新招标</w:t>
      </w:r>
      <w:bookmarkEnd w:id="200"/>
      <w:bookmarkEnd w:id="201"/>
      <w:bookmarkEnd w:id="202"/>
    </w:p>
    <w:p>
      <w:pPr>
        <w:spacing w:line="360" w:lineRule="auto"/>
        <w:ind w:firstLine="420" w:firstLineChars="200"/>
      </w:pPr>
      <w:r>
        <w:rPr>
          <w:rFonts w:hint="eastAsia" w:cs="宋体"/>
        </w:rPr>
        <w:t>有下列情形之一的，招标人将重新招标：</w:t>
      </w:r>
    </w:p>
    <w:p>
      <w:pPr>
        <w:spacing w:line="360" w:lineRule="auto"/>
        <w:ind w:firstLine="420" w:firstLineChars="200"/>
      </w:pPr>
      <w:r>
        <w:rPr>
          <w:rFonts w:hint="eastAsia" w:cs="宋体"/>
        </w:rPr>
        <w:t>（</w:t>
      </w:r>
      <w:r>
        <w:t>1</w:t>
      </w:r>
      <w:r>
        <w:rPr>
          <w:rFonts w:hint="eastAsia" w:cs="宋体"/>
        </w:rPr>
        <w:t>）投标截止时，投标人少于</w:t>
      </w:r>
      <w:r>
        <w:t>3</w:t>
      </w:r>
      <w:r>
        <w:rPr>
          <w:rFonts w:hint="eastAsia" w:cs="宋体"/>
        </w:rPr>
        <w:t>个的；</w:t>
      </w:r>
    </w:p>
    <w:p>
      <w:pPr>
        <w:spacing w:line="360" w:lineRule="auto"/>
        <w:ind w:firstLine="420" w:firstLineChars="200"/>
      </w:pPr>
      <w:r>
        <w:rPr>
          <w:rFonts w:hint="eastAsia" w:cs="宋体"/>
        </w:rPr>
        <w:t>（</w:t>
      </w:r>
      <w:r>
        <w:t>2</w:t>
      </w:r>
      <w:r>
        <w:rPr>
          <w:rFonts w:hint="eastAsia" w:cs="宋体"/>
        </w:rPr>
        <w:t>）经评标委员会评审后</w:t>
      </w:r>
      <w:r>
        <w:rPr>
          <w:rFonts w:hint="eastAsia" w:ascii="宋体" w:hAnsi="宋体" w:cs="宋体"/>
          <w:shd w:val="clear" w:color="auto" w:fill="FFFFFF"/>
        </w:rPr>
        <w:t>，所有投标被否决或者部分投标被否决后，有效投标不足</w:t>
      </w:r>
      <w:r>
        <w:rPr>
          <w:rFonts w:ascii="宋体" w:hAnsi="宋体" w:cs="宋体"/>
          <w:shd w:val="clear" w:color="auto" w:fill="FFFFFF"/>
        </w:rPr>
        <w:t>3</w:t>
      </w:r>
      <w:r>
        <w:rPr>
          <w:rFonts w:hint="eastAsia" w:ascii="宋体" w:hAnsi="宋体" w:cs="宋体"/>
          <w:shd w:val="clear" w:color="auto" w:fill="FFFFFF"/>
        </w:rPr>
        <w:t>个，导致投标明显缺乏竞争</w:t>
      </w:r>
      <w:r>
        <w:rPr>
          <w:rFonts w:hint="eastAsia" w:cs="宋体"/>
        </w:rPr>
        <w:t>的；</w:t>
      </w:r>
    </w:p>
    <w:p>
      <w:pPr>
        <w:spacing w:line="360" w:lineRule="auto"/>
        <w:ind w:firstLine="420" w:firstLineChars="200"/>
      </w:pPr>
      <w:r>
        <w:rPr>
          <w:rFonts w:hint="eastAsia" w:cs="宋体"/>
        </w:rPr>
        <w:t>（</w:t>
      </w:r>
      <w:r>
        <w:t>3</w:t>
      </w:r>
      <w:r>
        <w:rPr>
          <w:rFonts w:hint="eastAsia" w:cs="宋体"/>
        </w:rPr>
        <w:t>）其他有关法规和文件规定的应当重新招标的情形。</w:t>
      </w:r>
    </w:p>
    <w:p>
      <w:pPr>
        <w:pStyle w:val="5"/>
      </w:pPr>
      <w:bookmarkStart w:id="203" w:name="_Toc407135126"/>
      <w:bookmarkStart w:id="204" w:name="_Toc26703"/>
      <w:bookmarkStart w:id="205" w:name="_Toc389065191"/>
      <w:r>
        <w:t xml:space="preserve">8.2 </w:t>
      </w:r>
      <w:r>
        <w:rPr>
          <w:rFonts w:hint="eastAsia" w:cs="黑体"/>
        </w:rPr>
        <w:t>不再招标</w:t>
      </w:r>
      <w:bookmarkEnd w:id="203"/>
      <w:bookmarkEnd w:id="204"/>
      <w:bookmarkEnd w:id="205"/>
    </w:p>
    <w:p>
      <w:pPr>
        <w:spacing w:line="360" w:lineRule="auto"/>
        <w:ind w:firstLine="420" w:firstLineChars="200"/>
      </w:pPr>
      <w:r>
        <w:rPr>
          <w:rFonts w:hint="eastAsia" w:cs="宋体"/>
        </w:rPr>
        <w:t>重新招标后投标人仍少于</w:t>
      </w:r>
      <w:r>
        <w:t>3</w:t>
      </w:r>
      <w:r>
        <w:rPr>
          <w:rFonts w:hint="eastAsia" w:cs="宋体"/>
        </w:rPr>
        <w:t>个的，属于必须审批或核准的工程建设项目，经原审批或核准部门批准后可不再进行招标。</w:t>
      </w:r>
      <w:bookmarkStart w:id="206" w:name="_Toc389065192"/>
    </w:p>
    <w:p>
      <w:pPr>
        <w:pStyle w:val="4"/>
      </w:pPr>
      <w:bookmarkStart w:id="207" w:name="_Toc407135127"/>
      <w:bookmarkStart w:id="208" w:name="_Toc7163"/>
      <w:r>
        <w:t xml:space="preserve">9 </w:t>
      </w:r>
      <w:r>
        <w:rPr>
          <w:rFonts w:hint="eastAsia" w:cs="黑体"/>
        </w:rPr>
        <w:t>纪律和监督</w:t>
      </w:r>
      <w:bookmarkEnd w:id="206"/>
      <w:bookmarkEnd w:id="207"/>
      <w:bookmarkEnd w:id="208"/>
    </w:p>
    <w:p>
      <w:pPr>
        <w:pStyle w:val="5"/>
      </w:pPr>
      <w:bookmarkStart w:id="209" w:name="_Toc407135128"/>
      <w:bookmarkStart w:id="210" w:name="_Toc10927"/>
      <w:bookmarkStart w:id="211" w:name="_Toc389065193"/>
      <w:r>
        <w:t xml:space="preserve">9.1 </w:t>
      </w:r>
      <w:r>
        <w:rPr>
          <w:rFonts w:hint="eastAsia" w:cs="黑体"/>
        </w:rPr>
        <w:t>对招标人或招标代理机构的纪律要求</w:t>
      </w:r>
      <w:bookmarkEnd w:id="209"/>
      <w:bookmarkEnd w:id="210"/>
      <w:bookmarkEnd w:id="211"/>
    </w:p>
    <w:p>
      <w:pPr>
        <w:spacing w:line="360" w:lineRule="auto"/>
        <w:ind w:firstLine="420" w:firstLineChars="200"/>
      </w:pPr>
      <w:r>
        <w:rPr>
          <w:rFonts w:hint="eastAsia" w:cs="宋体"/>
        </w:rPr>
        <w:t>招标人不得泄漏招标投标活动中应当保密的情况和资料，不得与投标人串通损害国家利益、社会公共利益或者他人合法权益。有下列情形之一的，属于招标人或招标代理机构与投标人串通投标：</w:t>
      </w:r>
    </w:p>
    <w:p>
      <w:pPr>
        <w:spacing w:line="360" w:lineRule="auto"/>
        <w:ind w:firstLine="420" w:firstLineChars="200"/>
        <w:rPr>
          <w:rFonts w:hint="eastAsia" w:cs="宋体"/>
        </w:rPr>
      </w:pPr>
      <w:r>
        <w:rPr>
          <w:rFonts w:hint="eastAsia" w:cs="宋体"/>
        </w:rPr>
        <w:t>（1）招标人在开标前开启《投标文件》并将有关信息泄露给其他投标人;</w:t>
      </w:r>
    </w:p>
    <w:p>
      <w:pPr>
        <w:spacing w:line="360" w:lineRule="auto"/>
        <w:ind w:firstLine="420" w:firstLineChars="200"/>
        <w:rPr>
          <w:rFonts w:hint="eastAsia" w:cs="宋体"/>
        </w:rPr>
      </w:pPr>
      <w:r>
        <w:rPr>
          <w:rFonts w:hint="eastAsia" w:cs="宋体"/>
        </w:rPr>
        <w:t>（2）招标人直接或者间接向投标人泄露标底、评标委员会成员等信息；</w:t>
      </w:r>
    </w:p>
    <w:p>
      <w:pPr>
        <w:spacing w:line="360" w:lineRule="auto"/>
        <w:ind w:firstLine="420" w:firstLineChars="200"/>
        <w:rPr>
          <w:rFonts w:hint="eastAsia" w:cs="宋体"/>
        </w:rPr>
      </w:pPr>
      <w:r>
        <w:rPr>
          <w:rFonts w:hint="eastAsia" w:cs="宋体"/>
        </w:rPr>
        <w:t>（3）招标人明示或者暗示投标人压低或者抬高投标报价；</w:t>
      </w:r>
    </w:p>
    <w:p>
      <w:pPr>
        <w:spacing w:line="360" w:lineRule="auto"/>
        <w:ind w:firstLine="420" w:firstLineChars="200"/>
        <w:rPr>
          <w:rFonts w:hint="eastAsia" w:cs="宋体"/>
        </w:rPr>
      </w:pPr>
      <w:r>
        <w:rPr>
          <w:rFonts w:hint="eastAsia" w:cs="宋体"/>
        </w:rPr>
        <w:t>（4）招标人授意投标人撤换、修改《投标文件》；</w:t>
      </w:r>
    </w:p>
    <w:p>
      <w:pPr>
        <w:spacing w:line="360" w:lineRule="auto"/>
        <w:ind w:firstLine="420" w:firstLineChars="200"/>
        <w:rPr>
          <w:rFonts w:hint="eastAsia" w:cs="宋体"/>
        </w:rPr>
      </w:pPr>
      <w:r>
        <w:rPr>
          <w:rFonts w:hint="eastAsia" w:cs="宋体"/>
        </w:rPr>
        <w:t>（5）招标人明示或者暗示投标人为特定投标人中标提供方便；</w:t>
      </w:r>
    </w:p>
    <w:p>
      <w:pPr>
        <w:spacing w:line="360" w:lineRule="auto"/>
        <w:ind w:firstLine="420" w:firstLineChars="200"/>
        <w:rPr>
          <w:rFonts w:hint="eastAsia"/>
          <w:kern w:val="0"/>
        </w:rPr>
      </w:pPr>
      <w:r>
        <w:rPr>
          <w:rFonts w:hint="eastAsia" w:cs="宋体"/>
        </w:rPr>
        <w:t>（6）招标人与投标人为谋求特定投标人中标而采取的其他串通行为。</w:t>
      </w:r>
    </w:p>
    <w:p>
      <w:pPr>
        <w:pStyle w:val="5"/>
      </w:pPr>
      <w:bookmarkStart w:id="212" w:name="_Toc407135129"/>
      <w:bookmarkStart w:id="213" w:name="_Toc12891"/>
      <w:r>
        <w:t xml:space="preserve">9.2 </w:t>
      </w:r>
      <w:r>
        <w:rPr>
          <w:rFonts w:hint="eastAsia" w:cs="黑体"/>
        </w:rPr>
        <w:t>对投标人的纪律要求</w:t>
      </w:r>
      <w:bookmarkEnd w:id="212"/>
      <w:bookmarkEnd w:id="213"/>
    </w:p>
    <w:p>
      <w:pPr>
        <w:spacing w:line="360" w:lineRule="auto"/>
        <w:ind w:firstLine="420" w:firstLineChars="200"/>
      </w:pPr>
      <w:r>
        <w:t>9.2.1</w:t>
      </w:r>
      <w:r>
        <w:rPr>
          <w:rFonts w:hint="eastAsia" w:cs="宋体"/>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pPr>
      <w:r>
        <w:rPr>
          <w:rFonts w:hint="eastAsia" w:cs="宋体"/>
        </w:rPr>
        <w:t>（</w:t>
      </w:r>
      <w:r>
        <w:t>1</w:t>
      </w:r>
      <w:r>
        <w:rPr>
          <w:rFonts w:hint="eastAsia" w:cs="宋体"/>
        </w:rPr>
        <w:t>）投标人之间协商投标报价等投标文件的实质性内容；</w:t>
      </w:r>
    </w:p>
    <w:p>
      <w:pPr>
        <w:spacing w:line="360" w:lineRule="auto"/>
        <w:ind w:firstLine="420" w:firstLineChars="200"/>
      </w:pPr>
      <w:r>
        <w:rPr>
          <w:rFonts w:hint="eastAsia" w:cs="宋体"/>
        </w:rPr>
        <w:t>（</w:t>
      </w:r>
      <w:r>
        <w:t>2</w:t>
      </w:r>
      <w:r>
        <w:rPr>
          <w:rFonts w:hint="eastAsia" w:cs="宋体"/>
        </w:rPr>
        <w:t>）投标人之间约定中标人；</w:t>
      </w:r>
    </w:p>
    <w:p>
      <w:pPr>
        <w:spacing w:line="360" w:lineRule="auto"/>
        <w:ind w:firstLine="420" w:firstLineChars="200"/>
      </w:pPr>
      <w:r>
        <w:rPr>
          <w:rFonts w:hint="eastAsia" w:cs="宋体"/>
        </w:rPr>
        <w:t>（</w:t>
      </w:r>
      <w:r>
        <w:t>3</w:t>
      </w:r>
      <w:r>
        <w:rPr>
          <w:rFonts w:hint="eastAsia" w:cs="宋体"/>
        </w:rPr>
        <w:t>）投标人之间约定部分投标人放弃投标或者中标；</w:t>
      </w:r>
    </w:p>
    <w:p>
      <w:pPr>
        <w:spacing w:line="360" w:lineRule="auto"/>
        <w:ind w:firstLine="420" w:firstLineChars="200"/>
      </w:pPr>
      <w:r>
        <w:rPr>
          <w:rFonts w:hint="eastAsia" w:cs="宋体"/>
        </w:rPr>
        <w:t>（</w:t>
      </w:r>
      <w:r>
        <w:t>4</w:t>
      </w:r>
      <w:r>
        <w:rPr>
          <w:rFonts w:hint="eastAsia" w:cs="宋体"/>
        </w:rPr>
        <w:t>）属于同一集团、协会、商会等组织成员的投标人按照该组织要求协同投标；</w:t>
      </w:r>
    </w:p>
    <w:p>
      <w:pPr>
        <w:spacing w:line="360" w:lineRule="auto"/>
        <w:ind w:firstLine="420" w:firstLineChars="200"/>
      </w:pPr>
      <w:r>
        <w:rPr>
          <w:rFonts w:hint="eastAsia" w:cs="宋体"/>
        </w:rPr>
        <w:t>（</w:t>
      </w:r>
      <w:r>
        <w:t>5</w:t>
      </w:r>
      <w:r>
        <w:rPr>
          <w:rFonts w:hint="eastAsia" w:cs="宋体"/>
        </w:rPr>
        <w:t>）投标人之间为谋取中标或者排斥特定投标人而采取的其他联合行动；</w:t>
      </w:r>
    </w:p>
    <w:p>
      <w:pPr>
        <w:spacing w:line="360" w:lineRule="auto"/>
        <w:ind w:firstLine="420" w:firstLineChars="200"/>
      </w:pPr>
      <w:r>
        <w:rPr>
          <w:rFonts w:hint="eastAsia" w:cs="宋体"/>
        </w:rPr>
        <w:t>（</w:t>
      </w:r>
      <w:r>
        <w:t>6</w:t>
      </w:r>
      <w:r>
        <w:rPr>
          <w:rFonts w:hint="eastAsia" w:cs="宋体"/>
        </w:rPr>
        <w:t>）不同投标人的投标文件由同一单位或者个人编制；</w:t>
      </w:r>
    </w:p>
    <w:p>
      <w:pPr>
        <w:spacing w:line="360" w:lineRule="auto"/>
        <w:ind w:firstLine="420" w:firstLineChars="200"/>
      </w:pPr>
      <w:r>
        <w:rPr>
          <w:rFonts w:hint="eastAsia" w:cs="宋体"/>
        </w:rPr>
        <w:t>（</w:t>
      </w:r>
      <w:r>
        <w:t>7</w:t>
      </w:r>
      <w:r>
        <w:rPr>
          <w:rFonts w:hint="eastAsia" w:cs="宋体"/>
        </w:rPr>
        <w:t>）不同投标人委托同一个人或注册在同一家企业的注册人员或同一家企业为其投标提供投标咨询、商务报价、技术咨询（招标工程本身要求采用专有技术的除外）等服务；</w:t>
      </w:r>
    </w:p>
    <w:p>
      <w:pPr>
        <w:spacing w:line="360" w:lineRule="auto"/>
        <w:ind w:firstLine="420" w:firstLineChars="200"/>
      </w:pPr>
      <w:r>
        <w:rPr>
          <w:rFonts w:hint="eastAsia" w:cs="宋体"/>
        </w:rPr>
        <w:t>（</w:t>
      </w:r>
      <w:r>
        <w:t>8</w:t>
      </w:r>
      <w:r>
        <w:rPr>
          <w:rFonts w:hint="eastAsia" w:cs="宋体"/>
        </w:rPr>
        <w:t>）不同投标人的投标文件载明的项目管理成员为同一人；</w:t>
      </w:r>
    </w:p>
    <w:p>
      <w:pPr>
        <w:spacing w:line="360" w:lineRule="auto"/>
        <w:ind w:firstLine="420" w:firstLineChars="200"/>
      </w:pPr>
      <w:r>
        <w:rPr>
          <w:rFonts w:hint="eastAsia" w:cs="宋体"/>
        </w:rPr>
        <w:t>（</w:t>
      </w:r>
      <w:r>
        <w:t>9</w:t>
      </w:r>
      <w:r>
        <w:rPr>
          <w:rFonts w:hint="eastAsia" w:cs="宋体"/>
        </w:rPr>
        <w:t>）不同投标人的技术文件经电子招标投标交易平台查重分析，内容异常一致（相似度达70%以上的）或者实质性相同的，或者投标报价呈规律性差异（不同投标人报价呈等差数列、不同投标人的投标报价的差额本身呈等差数列或者规律性的百分比等）；</w:t>
      </w:r>
    </w:p>
    <w:p>
      <w:pPr>
        <w:spacing w:line="360" w:lineRule="auto"/>
        <w:ind w:firstLine="420" w:firstLineChars="200"/>
      </w:pPr>
      <w:r>
        <w:rPr>
          <w:rFonts w:hint="eastAsia" w:cs="宋体"/>
        </w:rPr>
        <w:t>（</w:t>
      </w:r>
      <w:r>
        <w:t>10</w:t>
      </w:r>
      <w:r>
        <w:rPr>
          <w:rFonts w:hint="eastAsia" w:cs="宋体"/>
        </w:rPr>
        <w:t>）在资格审查或开标时不同投标人的投标资料（包括电子资料）相互混装；</w:t>
      </w:r>
    </w:p>
    <w:p>
      <w:pPr>
        <w:spacing w:line="360" w:lineRule="auto"/>
        <w:ind w:firstLine="420" w:firstLineChars="200"/>
      </w:pPr>
      <w:r>
        <w:rPr>
          <w:rFonts w:hint="eastAsia" w:cs="宋体"/>
        </w:rPr>
        <w:t>（</w:t>
      </w:r>
      <w:r>
        <w:t>11</w:t>
      </w:r>
      <w:r>
        <w:rPr>
          <w:rFonts w:hint="eastAsia" w:cs="宋体"/>
        </w:rPr>
        <w:t>）不同投标人的投标保证金从同一单位或者个人的账户转出；</w:t>
      </w:r>
    </w:p>
    <w:p>
      <w:pPr>
        <w:spacing w:line="360" w:lineRule="auto"/>
        <w:ind w:firstLine="420" w:firstLineChars="200"/>
        <w:rPr>
          <w:rFonts w:hint="eastAsia" w:cs="宋体"/>
        </w:rPr>
      </w:pPr>
      <w:r>
        <w:rPr>
          <w:rFonts w:hint="eastAsia" w:cs="宋体"/>
        </w:rPr>
        <w:t>（</w:t>
      </w:r>
      <w:r>
        <w:t>12</w:t>
      </w:r>
      <w:r>
        <w:rPr>
          <w:rFonts w:hint="eastAsia" w:cs="宋体"/>
        </w:rPr>
        <w:t>）不同投标人的投标文件由同一电脑编制、上传，或投标报价用同一个预算编制软件密码锁制作或出自同一电子文档；</w:t>
      </w:r>
    </w:p>
    <w:p>
      <w:pPr>
        <w:spacing w:line="360" w:lineRule="auto"/>
        <w:ind w:firstLine="420" w:firstLineChars="200"/>
        <w:rPr>
          <w:rFonts w:cs="宋体"/>
        </w:rPr>
      </w:pPr>
      <w:r>
        <w:rPr>
          <w:rFonts w:hint="eastAsia" w:cs="宋体"/>
        </w:rPr>
        <w:t>（13）不同投标人的投标文件上传的文件制作机器码一致的；</w:t>
      </w:r>
    </w:p>
    <w:p>
      <w:pPr>
        <w:spacing w:line="360" w:lineRule="auto"/>
        <w:ind w:firstLine="420" w:firstLineChars="200"/>
        <w:rPr>
          <w:rFonts w:hint="eastAsia" w:cs="宋体"/>
        </w:rPr>
      </w:pPr>
      <w:r>
        <w:rPr>
          <w:rFonts w:hint="eastAsia" w:cs="宋体"/>
        </w:rPr>
        <w:t>（14）由同一人或分别由几个有利害关系人携带两个以上（含两个）投标人的企业资料参与资格审查、领取招标资料，或代表两个以上（含两个）投标人参加招标答疑会、缴纳或退还投标保证金、开标；</w:t>
      </w:r>
    </w:p>
    <w:p>
      <w:pPr>
        <w:spacing w:line="360" w:lineRule="auto"/>
        <w:ind w:firstLine="420" w:firstLineChars="200"/>
        <w:rPr>
          <w:rFonts w:cs="宋体"/>
        </w:rPr>
      </w:pPr>
      <w:r>
        <w:rPr>
          <w:rFonts w:hint="eastAsia" w:cs="宋体"/>
        </w:rPr>
        <w:t>（15）不同投标人的法定代表人、委托代理人、项目负责人、项目总监等人员有在同一个单位缴纳社会保险；</w:t>
      </w:r>
    </w:p>
    <w:p>
      <w:pPr>
        <w:spacing w:line="360" w:lineRule="auto"/>
        <w:ind w:firstLine="420" w:firstLineChars="200"/>
        <w:rPr>
          <w:rFonts w:cs="宋体"/>
        </w:rPr>
      </w:pPr>
      <w:r>
        <w:rPr>
          <w:rFonts w:hint="eastAsia" w:cs="宋体"/>
        </w:rPr>
        <w:t>（16）投标人之间相互约定给予未中标的投标人费用补偿；</w:t>
      </w:r>
    </w:p>
    <w:p>
      <w:pPr>
        <w:spacing w:line="360" w:lineRule="auto"/>
        <w:rPr>
          <w:rFonts w:hint="eastAsia" w:cs="宋体"/>
        </w:rPr>
      </w:pPr>
      <w:r>
        <w:rPr>
          <w:rFonts w:hint="eastAsia" w:cs="宋体"/>
        </w:rPr>
        <w:t xml:space="preserve">    （17）不同投标人编制的投标文件存在两处以上错误一致。</w:t>
      </w:r>
    </w:p>
    <w:p>
      <w:pPr>
        <w:spacing w:line="360" w:lineRule="auto"/>
        <w:ind w:firstLine="420" w:firstLineChars="200"/>
        <w:rPr>
          <w:rFonts w:hint="eastAsia" w:cs="宋体"/>
        </w:rPr>
      </w:pPr>
      <w:r>
        <w:rPr>
          <w:rFonts w:cs="宋体"/>
        </w:rPr>
        <w:t>9.2.2</w:t>
      </w:r>
      <w:r>
        <w:rPr>
          <w:rFonts w:hint="eastAsia" w:cs="宋体"/>
        </w:rPr>
        <w:t xml:space="preserve">投标人有下列情形之一的，属于投标人弄虚作假：    </w:t>
      </w:r>
    </w:p>
    <w:p>
      <w:pPr>
        <w:spacing w:line="360" w:lineRule="auto"/>
        <w:ind w:firstLine="420" w:firstLineChars="200"/>
        <w:rPr>
          <w:rFonts w:hint="eastAsia" w:cs="宋体"/>
        </w:rPr>
      </w:pPr>
      <w:r>
        <w:rPr>
          <w:rFonts w:hint="eastAsia" w:cs="宋体"/>
        </w:rPr>
        <w:t>（1）使用虚假的业绩、荣誉、建设工程合同、财务状况、信用状况等；</w:t>
      </w:r>
    </w:p>
    <w:p>
      <w:pPr>
        <w:spacing w:line="360" w:lineRule="auto"/>
        <w:ind w:firstLine="420" w:firstLineChars="200"/>
        <w:rPr>
          <w:rFonts w:hint="eastAsia" w:cs="宋体"/>
        </w:rPr>
      </w:pPr>
      <w:r>
        <w:rPr>
          <w:rFonts w:hint="eastAsia" w:cs="宋体"/>
        </w:rPr>
        <w:t>（2）提供虚假的项目负责人或者主要技术人员简历、劳动关系证明、社保证明等；</w:t>
      </w:r>
    </w:p>
    <w:p>
      <w:pPr>
        <w:spacing w:line="360" w:lineRule="auto"/>
        <w:ind w:firstLine="420" w:firstLineChars="200"/>
        <w:rPr>
          <w:rFonts w:cs="宋体"/>
        </w:rPr>
      </w:pPr>
      <w:r>
        <w:rPr>
          <w:rFonts w:hint="eastAsia" w:cs="宋体"/>
        </w:rPr>
        <w:t>（3）其他弄虚作假的行为。</w:t>
      </w:r>
    </w:p>
    <w:p>
      <w:pPr>
        <w:spacing w:line="360" w:lineRule="auto"/>
        <w:ind w:firstLine="420" w:firstLineChars="200"/>
        <w:rPr>
          <w:rFonts w:hint="eastAsia" w:cs="宋体"/>
        </w:rPr>
      </w:pPr>
      <w:r>
        <w:rPr>
          <w:rFonts w:cs="宋体"/>
        </w:rPr>
        <w:t>9.2.3</w:t>
      </w:r>
      <w:r>
        <w:rPr>
          <w:rFonts w:hint="eastAsia" w:cs="宋体"/>
        </w:rPr>
        <w:t>投标人不得向招标人或评标委员会成员或其他有关人员索问评标过程的情况和材料。</w:t>
      </w:r>
    </w:p>
    <w:p>
      <w:pPr>
        <w:pStyle w:val="5"/>
      </w:pPr>
      <w:bookmarkStart w:id="214" w:name="_Toc11562"/>
      <w:bookmarkStart w:id="215" w:name="_Toc407135130"/>
      <w:bookmarkStart w:id="216" w:name="_Toc389065194"/>
      <w:r>
        <w:t xml:space="preserve">9.3 </w:t>
      </w:r>
      <w:r>
        <w:rPr>
          <w:rFonts w:hint="eastAsia" w:cs="黑体"/>
        </w:rPr>
        <w:t>对评标委员会成员的纪律要求</w:t>
      </w:r>
      <w:bookmarkEnd w:id="214"/>
      <w:bookmarkEnd w:id="215"/>
      <w:bookmarkEnd w:id="216"/>
    </w:p>
    <w:p>
      <w:pPr>
        <w:spacing w:line="360" w:lineRule="auto"/>
        <w:ind w:firstLine="420" w:firstLineChars="200"/>
      </w:pPr>
      <w:r>
        <w:rPr>
          <w:rFonts w:hint="eastAsia"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t>“</w:t>
      </w:r>
      <w:r>
        <w:rPr>
          <w:rFonts w:hint="eastAsia" w:cs="宋体"/>
        </w:rPr>
        <w:t>评标办法</w:t>
      </w:r>
      <w:r>
        <w:t>”</w:t>
      </w:r>
      <w:r>
        <w:rPr>
          <w:rFonts w:hint="eastAsia" w:cs="宋体"/>
        </w:rPr>
        <w:t>没有规定的评审因素和标准进行评标。</w:t>
      </w:r>
    </w:p>
    <w:p>
      <w:pPr>
        <w:pStyle w:val="5"/>
      </w:pPr>
      <w:bookmarkStart w:id="217" w:name="_Toc389065195"/>
      <w:bookmarkStart w:id="218" w:name="_Toc16308"/>
      <w:bookmarkStart w:id="219" w:name="_Toc407135131"/>
      <w:r>
        <w:t xml:space="preserve">9.4 </w:t>
      </w:r>
      <w:r>
        <w:rPr>
          <w:rFonts w:hint="eastAsia" w:cs="黑体"/>
        </w:rPr>
        <w:t>对与评标活动有关的工作人员的纪律要求</w:t>
      </w:r>
      <w:bookmarkEnd w:id="217"/>
      <w:bookmarkEnd w:id="218"/>
      <w:bookmarkEnd w:id="219"/>
    </w:p>
    <w:p>
      <w:pPr>
        <w:spacing w:line="360" w:lineRule="auto"/>
        <w:ind w:firstLine="420" w:firstLineChars="200"/>
      </w:pPr>
      <w:r>
        <w:rPr>
          <w:rFonts w:hint="eastAsia"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20" w:name="_Toc389065196"/>
    </w:p>
    <w:p>
      <w:pPr>
        <w:pStyle w:val="5"/>
      </w:pPr>
      <w:bookmarkStart w:id="221" w:name="_Toc407135132"/>
      <w:bookmarkStart w:id="222" w:name="_Toc5604"/>
      <w:r>
        <w:t xml:space="preserve">9.5 </w:t>
      </w:r>
      <w:r>
        <w:rPr>
          <w:rFonts w:hint="eastAsia" w:cs="黑体"/>
        </w:rPr>
        <w:t>投诉</w:t>
      </w:r>
      <w:bookmarkEnd w:id="220"/>
      <w:bookmarkEnd w:id="221"/>
      <w:bookmarkEnd w:id="222"/>
      <w:bookmarkStart w:id="223" w:name="_Toc389065197"/>
    </w:p>
    <w:p>
      <w:pPr>
        <w:spacing w:line="360" w:lineRule="auto"/>
        <w:ind w:firstLine="420" w:firstLineChars="200"/>
        <w:rPr>
          <w:rFonts w:hint="eastAsia" w:cs="宋体"/>
        </w:rPr>
      </w:pPr>
      <w:r>
        <w:rPr>
          <w:rFonts w:hint="eastAsia" w:cs="宋体"/>
          <w:lang w:val="en-US" w:eastAsia="zh-CN"/>
        </w:rPr>
        <w:t>9.5</w:t>
      </w:r>
      <w:r>
        <w:rPr>
          <w:rFonts w:hint="eastAsia" w:cs="宋体"/>
        </w:rPr>
        <w:t>.1</w:t>
      </w:r>
      <w:r>
        <w:rPr>
          <w:rFonts w:hint="eastAsia" w:cs="宋体"/>
          <w:lang w:val="en-US" w:eastAsia="zh-CN"/>
        </w:rPr>
        <w:t>投标人</w:t>
      </w:r>
      <w:r>
        <w:rPr>
          <w:rFonts w:hint="eastAsia" w:cs="宋体"/>
        </w:rPr>
        <w:t>对政府采购活动事项有疑问的，可以向</w:t>
      </w:r>
      <w:r>
        <w:rPr>
          <w:rFonts w:hint="eastAsia" w:cs="宋体"/>
          <w:lang w:eastAsia="zh-CN"/>
        </w:rPr>
        <w:t>招标人</w:t>
      </w:r>
      <w:r>
        <w:rPr>
          <w:rFonts w:hint="eastAsia" w:cs="宋体"/>
        </w:rPr>
        <w:t>、</w:t>
      </w:r>
      <w:r>
        <w:rPr>
          <w:rFonts w:hint="eastAsia" w:cs="宋体"/>
          <w:lang w:eastAsia="zh-CN"/>
        </w:rPr>
        <w:t>招标代理机构</w:t>
      </w:r>
      <w:r>
        <w:rPr>
          <w:rFonts w:hint="eastAsia" w:cs="宋体"/>
        </w:rPr>
        <w:t>构提出询问，</w:t>
      </w:r>
      <w:r>
        <w:rPr>
          <w:rFonts w:hint="eastAsia" w:cs="宋体"/>
          <w:lang w:eastAsia="zh-CN"/>
        </w:rPr>
        <w:t>招标人</w:t>
      </w:r>
      <w:r>
        <w:rPr>
          <w:rFonts w:hint="eastAsia" w:cs="宋体"/>
        </w:rPr>
        <w:t>或者</w:t>
      </w:r>
      <w:r>
        <w:rPr>
          <w:rFonts w:hint="eastAsia" w:cs="宋体"/>
          <w:lang w:eastAsia="zh-CN"/>
        </w:rPr>
        <w:t>招标代理机构</w:t>
      </w:r>
      <w:r>
        <w:rPr>
          <w:rFonts w:hint="eastAsia" w:cs="宋体"/>
        </w:rPr>
        <w:t>构应当在3个工作日内对</w:t>
      </w:r>
      <w:r>
        <w:rPr>
          <w:rFonts w:hint="eastAsia" w:cs="宋体"/>
          <w:lang w:eastAsia="zh-CN"/>
        </w:rPr>
        <w:t>投标人</w:t>
      </w:r>
      <w:r>
        <w:rPr>
          <w:rFonts w:hint="eastAsia" w:cs="宋体"/>
        </w:rPr>
        <w:t>依法提出的询问作出答复。</w:t>
      </w:r>
    </w:p>
    <w:p>
      <w:pPr>
        <w:spacing w:line="360" w:lineRule="auto"/>
        <w:ind w:firstLine="420" w:firstLineChars="200"/>
        <w:rPr>
          <w:rFonts w:hint="eastAsia" w:cs="宋体"/>
        </w:rPr>
      </w:pPr>
      <w:r>
        <w:rPr>
          <w:rFonts w:hint="eastAsia" w:cs="宋体"/>
          <w:lang w:val="en-US" w:eastAsia="zh-CN"/>
        </w:rPr>
        <w:t>9.5.</w:t>
      </w:r>
      <w:r>
        <w:rPr>
          <w:rFonts w:hint="eastAsia" w:cs="宋体"/>
        </w:rPr>
        <w:t>2</w:t>
      </w:r>
      <w:r>
        <w:rPr>
          <w:rFonts w:hint="eastAsia" w:cs="宋体"/>
          <w:lang w:val="en-US" w:eastAsia="zh-CN"/>
        </w:rPr>
        <w:t>投标人</w:t>
      </w:r>
      <w:r>
        <w:rPr>
          <w:rFonts w:hint="eastAsia" w:cs="宋体"/>
        </w:rPr>
        <w:t>认为</w:t>
      </w:r>
      <w:r>
        <w:rPr>
          <w:rFonts w:hint="eastAsia" w:cs="宋体"/>
          <w:lang w:eastAsia="zh-CN"/>
        </w:rPr>
        <w:t>竞争性磋商文件</w:t>
      </w:r>
      <w:r>
        <w:rPr>
          <w:rFonts w:hint="eastAsia" w:cs="宋体"/>
        </w:rPr>
        <w:t>、采购过程或成交结果使自己的合法权益受到损害的，应当在知道或者应知其权益受到损害之日起七个工作日内，以书面形式向</w:t>
      </w:r>
      <w:r>
        <w:rPr>
          <w:rFonts w:hint="eastAsia" w:cs="宋体"/>
          <w:lang w:eastAsia="zh-CN"/>
        </w:rPr>
        <w:t>招标人</w:t>
      </w:r>
      <w:r>
        <w:rPr>
          <w:rFonts w:hint="eastAsia" w:cs="宋体"/>
        </w:rPr>
        <w:t>、</w:t>
      </w:r>
      <w:r>
        <w:rPr>
          <w:rFonts w:hint="eastAsia" w:cs="宋体"/>
          <w:lang w:eastAsia="zh-CN"/>
        </w:rPr>
        <w:t>招标代理机构</w:t>
      </w:r>
      <w:r>
        <w:rPr>
          <w:rFonts w:hint="eastAsia" w:cs="宋体"/>
        </w:rPr>
        <w:t>构提出质疑，接收质疑函的方式、联系部门、联系电话和通讯地址等信息详见本须知前附表。具体质疑起算时间如下：</w:t>
      </w:r>
    </w:p>
    <w:p>
      <w:pPr>
        <w:spacing w:line="360" w:lineRule="auto"/>
        <w:ind w:firstLine="420" w:firstLineChars="200"/>
        <w:rPr>
          <w:rFonts w:hint="eastAsia" w:cs="宋体"/>
        </w:rPr>
      </w:pPr>
      <w:r>
        <w:rPr>
          <w:rFonts w:hint="eastAsia" w:cs="宋体"/>
        </w:rPr>
        <w:t>（1）对可以质疑的</w:t>
      </w:r>
      <w:r>
        <w:rPr>
          <w:rFonts w:hint="eastAsia" w:cs="宋体"/>
          <w:lang w:eastAsia="zh-CN"/>
        </w:rPr>
        <w:t>竞争性磋商文件</w:t>
      </w:r>
      <w:r>
        <w:rPr>
          <w:rFonts w:hint="eastAsia" w:cs="宋体"/>
        </w:rPr>
        <w:t>提出质疑的，为收到</w:t>
      </w:r>
      <w:r>
        <w:rPr>
          <w:rFonts w:hint="eastAsia" w:cs="宋体"/>
          <w:lang w:eastAsia="zh-CN"/>
        </w:rPr>
        <w:t>竞争性磋商文件</w:t>
      </w:r>
      <w:r>
        <w:rPr>
          <w:rFonts w:hint="eastAsia" w:cs="宋体"/>
        </w:rPr>
        <w:t>之日；</w:t>
      </w:r>
    </w:p>
    <w:p>
      <w:pPr>
        <w:spacing w:line="360" w:lineRule="auto"/>
        <w:ind w:firstLine="420" w:firstLineChars="200"/>
        <w:rPr>
          <w:rFonts w:hint="eastAsia" w:cs="宋体"/>
        </w:rPr>
      </w:pPr>
      <w:r>
        <w:rPr>
          <w:rFonts w:hint="eastAsia" w:cs="宋体"/>
        </w:rPr>
        <w:t>（2）对采购过程提出质疑的，为各采购程序环节结束之日；</w:t>
      </w:r>
    </w:p>
    <w:p>
      <w:pPr>
        <w:spacing w:line="360" w:lineRule="auto"/>
        <w:ind w:firstLine="420" w:firstLineChars="200"/>
        <w:rPr>
          <w:rFonts w:hint="eastAsia" w:cs="宋体"/>
        </w:rPr>
      </w:pPr>
      <w:r>
        <w:rPr>
          <w:rFonts w:hint="eastAsia" w:cs="宋体"/>
        </w:rPr>
        <w:t>（3）对成交结果提出质疑的，为成交结果公告期限届满之日。</w:t>
      </w:r>
    </w:p>
    <w:p>
      <w:pPr>
        <w:spacing w:line="360" w:lineRule="auto"/>
        <w:ind w:firstLine="420" w:firstLineChars="200"/>
        <w:rPr>
          <w:rFonts w:hint="eastAsia" w:cs="宋体"/>
        </w:rPr>
      </w:pPr>
      <w:r>
        <w:rPr>
          <w:rFonts w:hint="eastAsia" w:cs="宋体"/>
          <w:lang w:val="en-US" w:eastAsia="zh-CN"/>
        </w:rPr>
        <w:t>投标人</w:t>
      </w:r>
      <w:r>
        <w:rPr>
          <w:rFonts w:hint="eastAsia" w:cs="宋体"/>
        </w:rPr>
        <w:t>对</w:t>
      </w:r>
      <w:r>
        <w:rPr>
          <w:rFonts w:hint="eastAsia" w:cs="宋体"/>
          <w:lang w:eastAsia="zh-CN"/>
        </w:rPr>
        <w:t>招标人</w:t>
      </w:r>
      <w:r>
        <w:rPr>
          <w:rFonts w:hint="eastAsia" w:cs="宋体"/>
        </w:rPr>
        <w:t>或</w:t>
      </w:r>
      <w:r>
        <w:rPr>
          <w:rFonts w:hint="eastAsia" w:cs="宋体"/>
          <w:lang w:eastAsia="zh-CN"/>
        </w:rPr>
        <w:t>招标代理机构</w:t>
      </w:r>
      <w:r>
        <w:rPr>
          <w:rFonts w:hint="eastAsia" w:cs="宋体"/>
        </w:rPr>
        <w:t>构的质疑答复不满意或者</w:t>
      </w:r>
      <w:r>
        <w:rPr>
          <w:rFonts w:hint="eastAsia" w:cs="宋体"/>
          <w:lang w:eastAsia="zh-CN"/>
        </w:rPr>
        <w:t>招标人</w:t>
      </w:r>
      <w:r>
        <w:rPr>
          <w:rFonts w:hint="eastAsia" w:cs="宋体"/>
        </w:rPr>
        <w:t>或</w:t>
      </w:r>
      <w:r>
        <w:rPr>
          <w:rFonts w:hint="eastAsia" w:cs="宋体"/>
          <w:lang w:eastAsia="zh-CN"/>
        </w:rPr>
        <w:t>招标代理机构</w:t>
      </w:r>
      <w:r>
        <w:rPr>
          <w:rFonts w:hint="eastAsia" w:cs="宋体"/>
        </w:rPr>
        <w:t>构未在规定时间内作出答复的，可以在答复期满后十五个工作日内向同级采购监管部门投诉。</w:t>
      </w:r>
    </w:p>
    <w:p>
      <w:pPr>
        <w:spacing w:line="360" w:lineRule="auto"/>
        <w:ind w:firstLine="420" w:firstLineChars="200"/>
        <w:rPr>
          <w:rFonts w:hint="eastAsia" w:cs="宋体"/>
        </w:rPr>
      </w:pPr>
      <w:r>
        <w:rPr>
          <w:rFonts w:hint="eastAsia" w:cs="宋体"/>
          <w:lang w:val="en-US" w:eastAsia="zh-CN"/>
        </w:rPr>
        <w:t>9.5.</w:t>
      </w:r>
      <w:r>
        <w:rPr>
          <w:rFonts w:hint="eastAsia" w:cs="宋体"/>
        </w:rPr>
        <w:t>3</w:t>
      </w:r>
      <w:r>
        <w:rPr>
          <w:rFonts w:hint="eastAsia" w:cs="宋体"/>
          <w:lang w:val="en-US" w:eastAsia="zh-CN"/>
        </w:rPr>
        <w:t>投标人</w:t>
      </w:r>
      <w:r>
        <w:rPr>
          <w:rFonts w:hint="eastAsia" w:cs="宋体"/>
        </w:rPr>
        <w:t>提出的询问或者质疑超出</w:t>
      </w:r>
      <w:r>
        <w:rPr>
          <w:rFonts w:hint="eastAsia" w:cs="宋体"/>
          <w:lang w:eastAsia="zh-CN"/>
        </w:rPr>
        <w:t>招标人</w:t>
      </w:r>
      <w:r>
        <w:rPr>
          <w:rFonts w:hint="eastAsia" w:cs="宋体"/>
        </w:rPr>
        <w:t>对</w:t>
      </w:r>
      <w:r>
        <w:rPr>
          <w:rFonts w:hint="eastAsia" w:cs="宋体"/>
          <w:lang w:eastAsia="zh-CN"/>
        </w:rPr>
        <w:t>招标代理机构</w:t>
      </w:r>
      <w:r>
        <w:rPr>
          <w:rFonts w:hint="eastAsia" w:cs="宋体"/>
        </w:rPr>
        <w:t>构委托授权范围的，</w:t>
      </w:r>
      <w:r>
        <w:rPr>
          <w:rFonts w:hint="eastAsia" w:cs="宋体"/>
          <w:lang w:eastAsia="zh-CN"/>
        </w:rPr>
        <w:t>招标代理机构</w:t>
      </w:r>
      <w:r>
        <w:rPr>
          <w:rFonts w:hint="eastAsia" w:cs="宋体"/>
        </w:rPr>
        <w:t>构应当告知</w:t>
      </w:r>
      <w:r>
        <w:rPr>
          <w:rFonts w:hint="eastAsia" w:cs="宋体"/>
          <w:lang w:eastAsia="zh-CN"/>
        </w:rPr>
        <w:t>投标人</w:t>
      </w:r>
      <w:r>
        <w:rPr>
          <w:rFonts w:hint="eastAsia" w:cs="宋体"/>
        </w:rPr>
        <w:t>向</w:t>
      </w:r>
      <w:r>
        <w:rPr>
          <w:rFonts w:hint="eastAsia" w:cs="宋体"/>
          <w:lang w:eastAsia="zh-CN"/>
        </w:rPr>
        <w:t>招标人</w:t>
      </w:r>
      <w:r>
        <w:rPr>
          <w:rFonts w:hint="eastAsia" w:cs="宋体"/>
        </w:rPr>
        <w:t>提出。政府采购评审专家应当配合</w:t>
      </w:r>
      <w:r>
        <w:rPr>
          <w:rFonts w:hint="eastAsia" w:cs="宋体"/>
          <w:lang w:eastAsia="zh-CN"/>
        </w:rPr>
        <w:t>招标人</w:t>
      </w:r>
      <w:r>
        <w:rPr>
          <w:rFonts w:hint="eastAsia" w:cs="宋体"/>
        </w:rPr>
        <w:t>或者</w:t>
      </w:r>
      <w:r>
        <w:rPr>
          <w:rFonts w:hint="eastAsia" w:cs="宋体"/>
          <w:lang w:eastAsia="zh-CN"/>
        </w:rPr>
        <w:t>招标代理机构</w:t>
      </w:r>
      <w:r>
        <w:rPr>
          <w:rFonts w:hint="eastAsia" w:cs="宋体"/>
        </w:rPr>
        <w:t>构答复</w:t>
      </w:r>
      <w:r>
        <w:rPr>
          <w:rFonts w:hint="eastAsia" w:cs="宋体"/>
          <w:lang w:eastAsia="zh-CN"/>
        </w:rPr>
        <w:t>投标人</w:t>
      </w:r>
      <w:r>
        <w:rPr>
          <w:rFonts w:hint="eastAsia" w:cs="宋体"/>
        </w:rPr>
        <w:t>的询问和质疑。</w:t>
      </w:r>
    </w:p>
    <w:p>
      <w:pPr>
        <w:spacing w:line="360" w:lineRule="auto"/>
        <w:ind w:firstLine="420" w:firstLineChars="200"/>
        <w:rPr>
          <w:rFonts w:hint="eastAsia" w:cs="宋体"/>
        </w:rPr>
      </w:pPr>
      <w:r>
        <w:rPr>
          <w:rFonts w:hint="eastAsia" w:cs="宋体"/>
          <w:lang w:val="en-US" w:eastAsia="zh-CN"/>
        </w:rPr>
        <w:t>9.5.4</w:t>
      </w:r>
      <w:r>
        <w:rPr>
          <w:rFonts w:hint="eastAsia" w:cs="宋体"/>
        </w:rPr>
        <w:t>质疑、投诉应当采用书面形式，质疑函、投诉书均应明确阐述</w:t>
      </w:r>
      <w:r>
        <w:rPr>
          <w:rFonts w:hint="eastAsia" w:cs="宋体"/>
          <w:lang w:val="en-US" w:eastAsia="zh-CN"/>
        </w:rPr>
        <w:t>招标</w:t>
      </w:r>
      <w:r>
        <w:rPr>
          <w:rFonts w:hint="eastAsia" w:cs="宋体"/>
          <w:lang w:eastAsia="zh-CN"/>
        </w:rPr>
        <w:t>文件</w:t>
      </w:r>
      <w:r>
        <w:rPr>
          <w:rFonts w:hint="eastAsia" w:cs="宋体"/>
        </w:rPr>
        <w:t>、采购过程或成交结果中使自己合法权益受到损害的实质性内容，提供相关事实、法律依据和证据及其来源或线索，便于有关单位调查、答复和处理。</w:t>
      </w:r>
    </w:p>
    <w:p>
      <w:pPr>
        <w:spacing w:line="360" w:lineRule="auto"/>
        <w:ind w:firstLine="420" w:firstLineChars="200"/>
        <w:rPr>
          <w:rFonts w:hint="eastAsia" w:cs="宋体"/>
        </w:rPr>
      </w:pPr>
      <w:r>
        <w:rPr>
          <w:rFonts w:hint="eastAsia" w:cs="宋体"/>
          <w:lang w:eastAsia="zh-CN"/>
        </w:rPr>
        <w:t>投标人</w:t>
      </w:r>
      <w:r>
        <w:rPr>
          <w:rFonts w:hint="eastAsia" w:cs="宋体"/>
        </w:rPr>
        <w:t>提出质疑应当提交质疑函和必要的证明材料，针对同一采购程序环节的质疑必须在法定质疑期内一次性提出。质疑函应当包括下列内容：</w:t>
      </w:r>
    </w:p>
    <w:p>
      <w:pPr>
        <w:spacing w:line="360" w:lineRule="auto"/>
        <w:ind w:firstLine="420" w:firstLineChars="200"/>
        <w:rPr>
          <w:rFonts w:hint="eastAsia" w:cs="宋体"/>
        </w:rPr>
      </w:pPr>
      <w:r>
        <w:rPr>
          <w:rFonts w:hint="eastAsia" w:cs="宋体"/>
        </w:rPr>
        <w:t>（1）</w:t>
      </w:r>
      <w:r>
        <w:rPr>
          <w:rFonts w:hint="eastAsia" w:cs="宋体"/>
          <w:lang w:eastAsia="zh-CN"/>
        </w:rPr>
        <w:t>投标人</w:t>
      </w:r>
      <w:r>
        <w:rPr>
          <w:rFonts w:hint="eastAsia" w:cs="宋体"/>
        </w:rPr>
        <w:t>的姓名或者名称、地址、邮编、联系人及联系电话；</w:t>
      </w:r>
    </w:p>
    <w:p>
      <w:pPr>
        <w:spacing w:line="360" w:lineRule="auto"/>
        <w:ind w:firstLine="420" w:firstLineChars="200"/>
        <w:rPr>
          <w:rFonts w:hint="eastAsia" w:cs="宋体"/>
        </w:rPr>
      </w:pPr>
      <w:r>
        <w:rPr>
          <w:rFonts w:hint="eastAsia" w:cs="宋体"/>
        </w:rPr>
        <w:t>（2）质疑项目的名称、编号；</w:t>
      </w:r>
    </w:p>
    <w:p>
      <w:pPr>
        <w:spacing w:line="360" w:lineRule="auto"/>
        <w:ind w:firstLine="420" w:firstLineChars="200"/>
        <w:rPr>
          <w:rFonts w:hint="eastAsia" w:cs="宋体"/>
        </w:rPr>
      </w:pPr>
      <w:r>
        <w:rPr>
          <w:rFonts w:hint="eastAsia" w:cs="宋体"/>
        </w:rPr>
        <w:t>（3）具体、明确的质疑事项和与质疑事项相关的请求；</w:t>
      </w:r>
    </w:p>
    <w:p>
      <w:pPr>
        <w:spacing w:line="360" w:lineRule="auto"/>
        <w:ind w:firstLine="420" w:firstLineChars="200"/>
        <w:rPr>
          <w:rFonts w:hint="eastAsia" w:cs="宋体"/>
        </w:rPr>
      </w:pPr>
      <w:r>
        <w:rPr>
          <w:rFonts w:hint="eastAsia" w:cs="宋体"/>
        </w:rPr>
        <w:t>（4）事实依据；</w:t>
      </w:r>
    </w:p>
    <w:p>
      <w:pPr>
        <w:spacing w:line="360" w:lineRule="auto"/>
        <w:ind w:firstLine="420" w:firstLineChars="200"/>
        <w:rPr>
          <w:rFonts w:hint="eastAsia" w:cs="宋体"/>
        </w:rPr>
      </w:pPr>
      <w:r>
        <w:rPr>
          <w:rFonts w:hint="eastAsia" w:cs="宋体"/>
        </w:rPr>
        <w:t>（5）必要的法律依据；</w:t>
      </w:r>
    </w:p>
    <w:p>
      <w:pPr>
        <w:spacing w:line="360" w:lineRule="auto"/>
        <w:ind w:firstLine="420" w:firstLineChars="200"/>
        <w:rPr>
          <w:rFonts w:hint="eastAsia" w:cs="宋体"/>
        </w:rPr>
      </w:pPr>
      <w:r>
        <w:rPr>
          <w:rFonts w:hint="eastAsia" w:cs="宋体"/>
        </w:rPr>
        <w:t>（6）提出质疑的日期。</w:t>
      </w:r>
    </w:p>
    <w:p>
      <w:pPr>
        <w:spacing w:line="360" w:lineRule="auto"/>
        <w:ind w:firstLine="420" w:firstLineChars="200"/>
        <w:rPr>
          <w:rFonts w:hint="eastAsia" w:eastAsia="宋体" w:cs="宋体"/>
          <w:lang w:eastAsia="zh-CN"/>
        </w:rPr>
      </w:pPr>
      <w:r>
        <w:rPr>
          <w:rFonts w:hint="eastAsia" w:cs="宋体"/>
          <w:lang w:val="en-US" w:eastAsia="zh-CN"/>
        </w:rPr>
        <w:t>投标人</w:t>
      </w:r>
      <w:r>
        <w:rPr>
          <w:rFonts w:hint="eastAsia" w:cs="宋体"/>
        </w:rPr>
        <w:t>为自然人的，应当由本人签字；</w:t>
      </w:r>
      <w:r>
        <w:rPr>
          <w:rFonts w:hint="eastAsia" w:cs="宋体"/>
          <w:lang w:val="en-US" w:eastAsia="zh-CN"/>
        </w:rPr>
        <w:t>投标人</w:t>
      </w:r>
      <w:r>
        <w:rPr>
          <w:rFonts w:hint="eastAsia" w:cs="宋体"/>
        </w:rPr>
        <w:t>为法人或者其他组织的，应当由法定代表人、主要负责人，或者其委托代理人签字或者盖章，并加盖公章</w:t>
      </w:r>
      <w:r>
        <w:rPr>
          <w:rFonts w:hint="eastAsia" w:cs="宋体"/>
          <w:lang w:eastAsia="zh-CN"/>
        </w:rPr>
        <w:t>。</w:t>
      </w:r>
    </w:p>
    <w:p>
      <w:pPr>
        <w:spacing w:line="360" w:lineRule="auto"/>
        <w:ind w:firstLine="420" w:firstLineChars="200"/>
        <w:rPr>
          <w:rFonts w:hint="eastAsia" w:cs="宋体"/>
          <w:highlight w:val="yellow"/>
        </w:rPr>
      </w:pPr>
      <w:r>
        <w:rPr>
          <w:rFonts w:hint="eastAsia" w:cs="宋体"/>
          <w:lang w:val="en-US" w:eastAsia="zh-CN"/>
        </w:rPr>
        <w:t>9.5</w:t>
      </w:r>
      <w:r>
        <w:rPr>
          <w:rFonts w:hint="eastAsia" w:cs="宋体"/>
        </w:rPr>
        <w:t>.5投诉的权利。质疑</w:t>
      </w:r>
      <w:r>
        <w:rPr>
          <w:rFonts w:hint="eastAsia" w:cs="宋体"/>
          <w:lang w:val="en-US" w:eastAsia="zh-CN"/>
        </w:rPr>
        <w:t>投标人</w:t>
      </w:r>
      <w:r>
        <w:rPr>
          <w:rFonts w:hint="eastAsia" w:cs="宋体"/>
        </w:rPr>
        <w:t>对</w:t>
      </w:r>
      <w:r>
        <w:rPr>
          <w:rFonts w:hint="eastAsia" w:cs="宋体"/>
          <w:lang w:eastAsia="zh-CN"/>
        </w:rPr>
        <w:t>招标人</w:t>
      </w:r>
      <w:r>
        <w:rPr>
          <w:rFonts w:hint="eastAsia" w:cs="宋体"/>
        </w:rPr>
        <w:t>、</w:t>
      </w:r>
      <w:r>
        <w:rPr>
          <w:rFonts w:hint="eastAsia" w:cs="宋体"/>
          <w:lang w:eastAsia="zh-CN"/>
        </w:rPr>
        <w:t>招标代理机构</w:t>
      </w:r>
      <w:r>
        <w:rPr>
          <w:rFonts w:hint="eastAsia" w:cs="宋体"/>
        </w:rPr>
        <w:t>构的答复不满意，或者</w:t>
      </w:r>
      <w:r>
        <w:rPr>
          <w:rFonts w:hint="eastAsia" w:cs="宋体"/>
          <w:lang w:eastAsia="zh-CN"/>
        </w:rPr>
        <w:t>招标人</w:t>
      </w:r>
      <w:r>
        <w:rPr>
          <w:rFonts w:hint="eastAsia" w:cs="宋体"/>
        </w:rPr>
        <w:t>、</w:t>
      </w:r>
      <w:r>
        <w:rPr>
          <w:rFonts w:hint="eastAsia" w:cs="宋体"/>
          <w:lang w:eastAsia="zh-CN"/>
        </w:rPr>
        <w:t>招标代理机</w:t>
      </w:r>
      <w:r>
        <w:rPr>
          <w:rFonts w:hint="eastAsia" w:cs="宋体"/>
          <w:highlight w:val="none"/>
          <w:lang w:eastAsia="zh-CN"/>
        </w:rPr>
        <w:t>构</w:t>
      </w:r>
      <w:r>
        <w:rPr>
          <w:rFonts w:hint="eastAsia" w:cs="宋体"/>
          <w:highlight w:val="none"/>
        </w:rPr>
        <w:t>构未在规定时间内作出答复的，可以在答复期满后15个工作日内向《政府采购质疑和投诉办法》（财政部令第94号）第六条规定的财政部门提起投诉。</w:t>
      </w:r>
    </w:p>
    <w:p>
      <w:pPr>
        <w:pStyle w:val="4"/>
      </w:pPr>
      <w:bookmarkStart w:id="224" w:name="_Toc407135133"/>
      <w:bookmarkStart w:id="225" w:name="_Toc19094"/>
      <w:r>
        <w:t xml:space="preserve">10 </w:t>
      </w:r>
      <w:r>
        <w:rPr>
          <w:rFonts w:hint="eastAsia" w:cs="黑体"/>
        </w:rPr>
        <w:t>需要补充的其他内容</w:t>
      </w:r>
      <w:bookmarkEnd w:id="223"/>
      <w:bookmarkEnd w:id="224"/>
      <w:bookmarkEnd w:id="225"/>
    </w:p>
    <w:p>
      <w:pPr>
        <w:pStyle w:val="5"/>
      </w:pPr>
      <w:bookmarkStart w:id="226" w:name="_Toc31221"/>
      <w:bookmarkStart w:id="227" w:name="_Toc407135134"/>
      <w:r>
        <w:t xml:space="preserve">10.1 </w:t>
      </w:r>
      <w:r>
        <w:rPr>
          <w:rFonts w:hint="eastAsia" w:cs="黑体"/>
        </w:rPr>
        <w:t>词语定义</w:t>
      </w:r>
      <w:bookmarkEnd w:id="226"/>
      <w:bookmarkEnd w:id="227"/>
    </w:p>
    <w:p>
      <w:pPr>
        <w:spacing w:line="360" w:lineRule="auto"/>
        <w:ind w:firstLine="420" w:firstLineChars="200"/>
      </w:pPr>
      <w:r>
        <w:rPr>
          <w:rFonts w:hint="eastAsia" w:cs="宋体"/>
        </w:rPr>
        <w:t>见“投标人须知前附表”。</w:t>
      </w:r>
    </w:p>
    <w:p>
      <w:pPr>
        <w:pStyle w:val="5"/>
      </w:pPr>
      <w:bookmarkStart w:id="228" w:name="_Toc389065198"/>
      <w:bookmarkStart w:id="229" w:name="_Toc25625"/>
      <w:bookmarkStart w:id="230" w:name="_Toc407135135"/>
      <w:r>
        <w:t xml:space="preserve">10.2 </w:t>
      </w:r>
      <w:r>
        <w:rPr>
          <w:rFonts w:hint="eastAsia" w:cs="黑体"/>
        </w:rPr>
        <w:t>招标控制价</w:t>
      </w:r>
      <w:bookmarkEnd w:id="228"/>
      <w:bookmarkEnd w:id="229"/>
      <w:bookmarkEnd w:id="230"/>
    </w:p>
    <w:p>
      <w:pPr>
        <w:spacing w:line="360" w:lineRule="auto"/>
        <w:ind w:firstLine="420" w:firstLineChars="200"/>
      </w:pPr>
      <w:r>
        <w:rPr>
          <w:rFonts w:hint="eastAsia" w:cs="宋体"/>
        </w:rPr>
        <w:t>招标控制价设置要求见“投标人须知前附表”。</w:t>
      </w:r>
    </w:p>
    <w:p>
      <w:pPr>
        <w:spacing w:line="360" w:lineRule="auto"/>
        <w:ind w:firstLine="420" w:firstLineChars="200"/>
      </w:pPr>
      <w:r>
        <w:rPr>
          <w:rFonts w:hint="eastAsia" w:cs="宋体"/>
        </w:rPr>
        <w:t>招标人或受其委托具有相应资质的中介机构，按照国家和地区的相关规定及第五章的要求编制招标工程的招标控制价</w:t>
      </w:r>
      <w:r>
        <w:rPr>
          <w:rFonts w:hint="eastAsia" w:ascii="楷体_GB2312" w:eastAsia="楷体_GB2312" w:cs="楷体_GB2312"/>
        </w:rPr>
        <w:t>（招标控制价不应上浮或下调）</w:t>
      </w:r>
      <w:r>
        <w:rPr>
          <w:rFonts w:hint="eastAsia" w:cs="宋体"/>
        </w:rPr>
        <w:t>。</w:t>
      </w:r>
    </w:p>
    <w:p>
      <w:pPr>
        <w:spacing w:line="360" w:lineRule="auto"/>
        <w:ind w:firstLine="420" w:firstLineChars="200"/>
        <w:rPr>
          <w:rFonts w:hint="eastAsia" w:ascii="Times New Roman" w:hAnsi="Times New Roman" w:eastAsia="宋体" w:cs="宋体"/>
        </w:rPr>
      </w:pPr>
      <w:r>
        <w:rPr>
          <w:rFonts w:hint="eastAsia" w:ascii="Times New Roman" w:hAnsi="Times New Roman" w:eastAsia="宋体" w:cs="宋体"/>
        </w:rPr>
        <w:t>原则上招标控制价应于投标截止日前15日向所有投标人公布，最迟应当在截标时间7日前公布，并报送当地招投标监督管理部门备案。潜在投标人或者其他利害关系人对招标控制价有异议的，应当在投标截止时间5日前提出。招标人应当自收到异议之日起3日内作出答复。招标人需重新公布招标控制价的，其最终公布的时间到投标截止时间不足7天可能影响投标文件编制的，应顺延提交投标文件的截止时间。</w:t>
      </w:r>
    </w:p>
    <w:p>
      <w:pPr>
        <w:pStyle w:val="5"/>
        <w:rPr>
          <w:rFonts w:hint="eastAsia"/>
        </w:rPr>
      </w:pPr>
      <w:bookmarkStart w:id="231" w:name="_Toc28096"/>
      <w:r>
        <w:t xml:space="preserve">10.3 </w:t>
      </w:r>
      <w:r>
        <w:rPr>
          <w:rFonts w:hint="eastAsia" w:cs="黑体"/>
        </w:rPr>
        <w:t>技术标</w:t>
      </w:r>
      <w:r>
        <w:rPr>
          <w:rFonts w:cs="黑体"/>
        </w:rPr>
        <w:t>评审方式</w:t>
      </w:r>
      <w:bookmarkEnd w:id="231"/>
    </w:p>
    <w:p>
      <w:pPr>
        <w:spacing w:line="360" w:lineRule="auto"/>
        <w:ind w:firstLine="420" w:firstLineChars="200"/>
        <w:rPr>
          <w:rFonts w:hint="eastAsia"/>
        </w:rPr>
      </w:pPr>
      <w:r>
        <w:rPr>
          <w:rFonts w:hint="eastAsia" w:cs="宋体"/>
        </w:rPr>
        <w:t>见“投标人须知前附表”。</w:t>
      </w:r>
    </w:p>
    <w:p>
      <w:pPr>
        <w:pStyle w:val="5"/>
      </w:pPr>
      <w:bookmarkStart w:id="232" w:name="_Toc407135137"/>
      <w:bookmarkStart w:id="233" w:name="_Toc9473"/>
      <w:r>
        <w:t xml:space="preserve">10.4 </w:t>
      </w:r>
      <w:r>
        <w:rPr>
          <w:rFonts w:hint="eastAsia" w:cs="黑体"/>
        </w:rPr>
        <w:t>电子投标文件</w:t>
      </w:r>
      <w:bookmarkEnd w:id="232"/>
      <w:bookmarkEnd w:id="233"/>
    </w:p>
    <w:p>
      <w:pPr>
        <w:spacing w:line="360" w:lineRule="auto"/>
        <w:ind w:firstLine="420" w:firstLineChars="200"/>
      </w:pPr>
      <w:r>
        <w:rPr>
          <w:rFonts w:hint="eastAsia" w:cs="宋体"/>
        </w:rPr>
        <w:t>电子投标文件的具体内容要求见“投标人须知前附表”。</w:t>
      </w:r>
    </w:p>
    <w:p>
      <w:pPr>
        <w:pStyle w:val="5"/>
      </w:pPr>
      <w:bookmarkStart w:id="234" w:name="_Toc30542"/>
      <w:bookmarkStart w:id="235" w:name="_Toc407135138"/>
      <w:r>
        <w:t xml:space="preserve">10.5 </w:t>
      </w:r>
      <w:r>
        <w:rPr>
          <w:rFonts w:hint="eastAsia" w:cs="黑体"/>
        </w:rPr>
        <w:t>知识产权</w:t>
      </w:r>
      <w:bookmarkEnd w:id="234"/>
      <w:bookmarkEnd w:id="235"/>
    </w:p>
    <w:p>
      <w:pPr>
        <w:spacing w:line="360" w:lineRule="auto"/>
        <w:ind w:firstLine="420" w:firstLineChars="200"/>
      </w:pPr>
      <w:r>
        <w:rPr>
          <w:rFonts w:hint="eastAsia" w:cs="宋体"/>
        </w:rPr>
        <w:t>招标人对其知识产权的具体要求见“投标人须知前附表”。</w:t>
      </w:r>
    </w:p>
    <w:p>
      <w:pPr>
        <w:pStyle w:val="5"/>
      </w:pPr>
      <w:bookmarkStart w:id="236" w:name="_Toc407135139"/>
      <w:bookmarkStart w:id="237" w:name="_Toc31272"/>
      <w:r>
        <w:t xml:space="preserve">10.6 </w:t>
      </w:r>
      <w:r>
        <w:rPr>
          <w:rFonts w:hint="eastAsia" w:cs="黑体"/>
        </w:rPr>
        <w:t>重新招标的其他情形</w:t>
      </w:r>
      <w:bookmarkEnd w:id="236"/>
      <w:bookmarkEnd w:id="237"/>
    </w:p>
    <w:p>
      <w:pPr>
        <w:spacing w:line="360" w:lineRule="auto"/>
        <w:ind w:firstLine="420" w:firstLineChars="200"/>
      </w:pPr>
      <w:r>
        <w:rPr>
          <w:rFonts w:hint="eastAsia" w:cs="宋体"/>
        </w:rPr>
        <w:t>见“投标人须知前附表”。</w:t>
      </w:r>
    </w:p>
    <w:p>
      <w:pPr>
        <w:pStyle w:val="5"/>
      </w:pPr>
      <w:bookmarkStart w:id="238" w:name="_Toc7816"/>
      <w:bookmarkStart w:id="239" w:name="_Toc407135140"/>
      <w:r>
        <w:t xml:space="preserve">10.7 </w:t>
      </w:r>
      <w:r>
        <w:rPr>
          <w:rFonts w:hint="eastAsia" w:cs="黑体"/>
        </w:rPr>
        <w:t>同义词语</w:t>
      </w:r>
      <w:bookmarkEnd w:id="238"/>
      <w:bookmarkEnd w:id="239"/>
    </w:p>
    <w:p>
      <w:pPr>
        <w:spacing w:line="360" w:lineRule="auto"/>
        <w:ind w:firstLine="420" w:firstLineChars="200"/>
      </w:pPr>
      <w:r>
        <w:rPr>
          <w:rFonts w:hint="eastAsia" w:cs="宋体"/>
        </w:rPr>
        <w:t>见“投标人须知前附表”。</w:t>
      </w:r>
    </w:p>
    <w:p>
      <w:pPr>
        <w:pStyle w:val="5"/>
      </w:pPr>
      <w:bookmarkStart w:id="240" w:name="_Toc7183"/>
      <w:bookmarkStart w:id="241" w:name="_Toc407135141"/>
      <w:r>
        <w:t xml:space="preserve">10.8 </w:t>
      </w:r>
      <w:r>
        <w:rPr>
          <w:rFonts w:hint="eastAsia" w:cs="黑体"/>
        </w:rPr>
        <w:t>监督</w:t>
      </w:r>
      <w:bookmarkEnd w:id="240"/>
      <w:bookmarkEnd w:id="241"/>
    </w:p>
    <w:p>
      <w:pPr>
        <w:spacing w:line="360" w:lineRule="auto"/>
        <w:ind w:firstLine="420" w:firstLineChars="200"/>
      </w:pPr>
      <w:r>
        <w:rPr>
          <w:rFonts w:hint="eastAsia" w:cs="宋体"/>
        </w:rPr>
        <w:t>本项目招标的监督部门见“投标人须知前附表”。</w:t>
      </w:r>
    </w:p>
    <w:p>
      <w:pPr>
        <w:pStyle w:val="5"/>
      </w:pPr>
      <w:bookmarkStart w:id="242" w:name="_Toc407135142"/>
      <w:bookmarkStart w:id="243" w:name="_Toc20278"/>
      <w:r>
        <w:t xml:space="preserve">10.9 </w:t>
      </w:r>
      <w:r>
        <w:rPr>
          <w:rFonts w:hint="eastAsia" w:cs="黑体"/>
        </w:rPr>
        <w:t>解释权</w:t>
      </w:r>
      <w:bookmarkEnd w:id="242"/>
      <w:bookmarkEnd w:id="243"/>
    </w:p>
    <w:p>
      <w:pPr>
        <w:spacing w:line="360" w:lineRule="auto"/>
        <w:ind w:firstLine="420" w:firstLineChars="200"/>
      </w:pPr>
      <w:r>
        <w:rPr>
          <w:rFonts w:hint="eastAsia" w:cs="宋体"/>
        </w:rPr>
        <w:t>见“投标人须知前附表”。</w:t>
      </w:r>
    </w:p>
    <w:p>
      <w:pPr>
        <w:pStyle w:val="5"/>
      </w:pPr>
      <w:bookmarkStart w:id="244" w:name="_Toc12160"/>
      <w:bookmarkStart w:id="245" w:name="_Toc407135143"/>
      <w:r>
        <w:t xml:space="preserve">10.10 </w:t>
      </w:r>
      <w:r>
        <w:rPr>
          <w:rFonts w:hint="eastAsia" w:cs="黑体"/>
        </w:rPr>
        <w:t>招标人补充的其他内容</w:t>
      </w:r>
      <w:bookmarkEnd w:id="244"/>
      <w:bookmarkEnd w:id="245"/>
    </w:p>
    <w:p>
      <w:pPr>
        <w:widowControl/>
        <w:ind w:firstLine="420" w:firstLineChars="200"/>
        <w:jc w:val="left"/>
        <w:rPr>
          <w:rFonts w:hint="eastAsia" w:cs="宋体"/>
        </w:rPr>
      </w:pPr>
      <w:r>
        <w:rPr>
          <w:rFonts w:hint="eastAsia" w:cs="宋体"/>
        </w:rPr>
        <w:t>见“投标人须知前附表”。</w:t>
      </w:r>
    </w:p>
    <w:p>
      <w:pPr>
        <w:pStyle w:val="2"/>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pStyle w:val="2"/>
        <w:rPr>
          <w:rFonts w:hint="eastAsia"/>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pStyle w:val="3"/>
        <w:jc w:val="center"/>
      </w:pPr>
      <w:bookmarkStart w:id="246" w:name="_Toc407135168"/>
      <w:bookmarkStart w:id="247" w:name="_Toc389065238"/>
      <w:bookmarkStart w:id="248" w:name="_Toc2565"/>
      <w:bookmarkStart w:id="249" w:name="_Toc184635071"/>
      <w:r>
        <w:rPr>
          <w:rFonts w:hint="eastAsia" w:cs="黑体"/>
        </w:rPr>
        <w:t>第三章</w:t>
      </w:r>
      <w:r>
        <w:t xml:space="preserve">  </w:t>
      </w:r>
      <w:r>
        <w:rPr>
          <w:rFonts w:hint="eastAsia" w:cs="黑体"/>
        </w:rPr>
        <w:t>评标办法（综合评估法）</w:t>
      </w:r>
      <w:bookmarkEnd w:id="246"/>
      <w:bookmarkEnd w:id="247"/>
      <w:bookmarkEnd w:id="248"/>
    </w:p>
    <w:p>
      <w:pPr>
        <w:pStyle w:val="3"/>
        <w:jc w:val="center"/>
        <w:rPr>
          <w:rFonts w:hint="eastAsia" w:cs="黑体"/>
        </w:rPr>
      </w:pPr>
      <w:bookmarkStart w:id="250" w:name="_Toc389065239"/>
      <w:bookmarkStart w:id="251" w:name="_Toc407135169"/>
      <w:bookmarkStart w:id="252" w:name="_Toc19561"/>
      <w:r>
        <w:rPr>
          <w:rFonts w:hint="eastAsia" w:cs="黑体"/>
        </w:rPr>
        <w:t>评标办法前附表</w:t>
      </w:r>
      <w:bookmarkEnd w:id="250"/>
      <w:bookmarkEnd w:id="251"/>
      <w:bookmarkEnd w:id="252"/>
    </w:p>
    <w:tbl>
      <w:tblPr>
        <w:tblStyle w:val="39"/>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
        <w:gridCol w:w="1801"/>
        <w:gridCol w:w="922"/>
        <w:gridCol w:w="1307"/>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shd w:val="clear" w:color="auto" w:fill="E6E6E6"/>
            <w:noWrap w:val="0"/>
            <w:vAlign w:val="center"/>
          </w:tcPr>
          <w:p>
            <w:pPr>
              <w:pageBreakBefore w:val="0"/>
              <w:kinsoku/>
              <w:overflowPunct/>
              <w:topLinePunct w:val="0"/>
              <w:bidi w:val="0"/>
              <w:spacing w:line="440" w:lineRule="exact"/>
              <w:jc w:val="center"/>
              <w:rPr>
                <w:rFonts w:hint="eastAsia" w:ascii="宋体" w:hAnsi="宋体" w:eastAsia="宋体" w:cs="宋体"/>
                <w:b/>
                <w:bCs/>
                <w:szCs w:val="21"/>
              </w:rPr>
            </w:pPr>
            <w:r>
              <w:rPr>
                <w:rFonts w:hint="eastAsia" w:ascii="宋体" w:hAnsi="宋体" w:eastAsia="宋体" w:cs="宋体"/>
                <w:b/>
                <w:bCs/>
                <w:szCs w:val="21"/>
              </w:rPr>
              <w:t>条款号</w:t>
            </w:r>
          </w:p>
        </w:tc>
        <w:tc>
          <w:tcPr>
            <w:tcW w:w="4030" w:type="dxa"/>
            <w:gridSpan w:val="3"/>
            <w:shd w:val="clear" w:color="auto" w:fill="E6E6E6"/>
            <w:noWrap w:val="0"/>
            <w:vAlign w:val="center"/>
          </w:tcPr>
          <w:p>
            <w:pPr>
              <w:pageBreakBefore w:val="0"/>
              <w:kinsoku/>
              <w:overflowPunct/>
              <w:topLinePunct w:val="0"/>
              <w:bidi w:val="0"/>
              <w:spacing w:line="440" w:lineRule="exact"/>
              <w:jc w:val="center"/>
              <w:rPr>
                <w:rFonts w:hint="eastAsia" w:ascii="宋体" w:hAnsi="宋体" w:eastAsia="宋体" w:cs="宋体"/>
                <w:b/>
                <w:bCs/>
                <w:szCs w:val="21"/>
              </w:rPr>
            </w:pPr>
            <w:r>
              <w:rPr>
                <w:rFonts w:hint="eastAsia" w:ascii="宋体" w:hAnsi="宋体" w:eastAsia="宋体" w:cs="宋体"/>
                <w:b/>
                <w:bCs/>
                <w:szCs w:val="21"/>
              </w:rPr>
              <w:t>评审因素</w:t>
            </w:r>
          </w:p>
        </w:tc>
        <w:tc>
          <w:tcPr>
            <w:tcW w:w="5169" w:type="dxa"/>
            <w:shd w:val="clear" w:color="auto" w:fill="E6E6E6"/>
            <w:noWrap w:val="0"/>
            <w:vAlign w:val="top"/>
          </w:tcPr>
          <w:p>
            <w:pPr>
              <w:pageBreakBefore w:val="0"/>
              <w:kinsoku/>
              <w:overflowPunct/>
              <w:topLinePunct w:val="0"/>
              <w:bidi w:val="0"/>
              <w:spacing w:line="440" w:lineRule="exact"/>
              <w:jc w:val="center"/>
              <w:rPr>
                <w:rFonts w:hint="eastAsia" w:ascii="宋体" w:hAnsi="宋体" w:eastAsia="宋体" w:cs="宋体"/>
                <w:b/>
                <w:bCs/>
                <w:szCs w:val="21"/>
              </w:rPr>
            </w:pPr>
            <w:r>
              <w:rPr>
                <w:rFonts w:hint="eastAsia" w:ascii="宋体" w:hAnsi="宋体" w:eastAsia="宋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32" w:type="dxa"/>
            <w:gridSpan w:val="2"/>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2.1.1</w:t>
            </w:r>
          </w:p>
        </w:tc>
        <w:tc>
          <w:tcPr>
            <w:tcW w:w="1801" w:type="dxa"/>
            <w:vMerge w:val="restart"/>
            <w:noWrap w:val="0"/>
            <w:vAlign w:val="center"/>
          </w:tcPr>
          <w:p>
            <w:pPr>
              <w:spacing w:line="300" w:lineRule="exact"/>
              <w:jc w:val="center"/>
              <w:rPr>
                <w:rFonts w:ascii="宋体" w:hAnsi="宋体"/>
                <w:color w:val="auto"/>
                <w:szCs w:val="21"/>
              </w:rPr>
            </w:pPr>
            <w:r>
              <w:rPr>
                <w:rFonts w:hint="eastAsia" w:ascii="宋体" w:hAnsi="宋体"/>
                <w:color w:val="auto"/>
                <w:szCs w:val="21"/>
              </w:rPr>
              <w:t>资格</w:t>
            </w:r>
          </w:p>
          <w:p>
            <w:pPr>
              <w:spacing w:line="300" w:lineRule="exact"/>
              <w:jc w:val="center"/>
              <w:rPr>
                <w:rFonts w:ascii="宋体" w:hAnsi="宋体"/>
                <w:color w:val="auto"/>
                <w:szCs w:val="21"/>
              </w:rPr>
            </w:pPr>
            <w:r>
              <w:rPr>
                <w:rFonts w:hint="eastAsia" w:ascii="宋体" w:hAnsi="宋体"/>
                <w:color w:val="auto"/>
                <w:szCs w:val="21"/>
              </w:rPr>
              <w:t>评审标准</w:t>
            </w:r>
          </w:p>
          <w:p>
            <w:pPr>
              <w:spacing w:line="300" w:lineRule="exact"/>
              <w:jc w:val="center"/>
              <w:rPr>
                <w:rFonts w:hint="eastAsia" w:ascii="宋体" w:hAnsi="宋体"/>
                <w:color w:val="auto"/>
                <w:szCs w:val="21"/>
              </w:rPr>
            </w:pPr>
            <w:r>
              <w:rPr>
                <w:rFonts w:hint="eastAsia" w:ascii="宋体" w:hAnsi="宋体"/>
                <w:color w:val="auto"/>
                <w:szCs w:val="21"/>
              </w:rPr>
              <w:t>（</w:t>
            </w:r>
            <w:r>
              <w:rPr>
                <w:rFonts w:ascii="宋体" w:hAnsi="宋体"/>
                <w:color w:val="auto"/>
                <w:szCs w:val="21"/>
              </w:rPr>
              <w:t>合格制</w:t>
            </w:r>
            <w:r>
              <w:rPr>
                <w:rFonts w:hint="eastAsia" w:ascii="宋体" w:hAnsi="宋体"/>
                <w:color w:val="auto"/>
                <w:szCs w:val="21"/>
              </w:rPr>
              <w:t>）</w:t>
            </w:r>
          </w:p>
          <w:p>
            <w:pPr>
              <w:pageBreakBefore w:val="0"/>
              <w:kinsoku/>
              <w:overflowPunct/>
              <w:topLinePunct w:val="0"/>
              <w:bidi w:val="0"/>
              <w:spacing w:line="440" w:lineRule="exact"/>
              <w:jc w:val="center"/>
              <w:rPr>
                <w:rFonts w:hint="eastAsia" w:ascii="宋体" w:hAnsi="宋体" w:eastAsia="宋体" w:cs="宋体"/>
              </w:rPr>
            </w:pPr>
            <w:r>
              <w:rPr>
                <w:rFonts w:hint="eastAsia" w:ascii="宋体" w:hAnsi="宋体"/>
                <w:color w:val="auto"/>
                <w:szCs w:val="21"/>
              </w:rPr>
              <w:t>“政采云”平台已与“信用中国”和“中国政府采购网”平台做接口，诚信信息可直接在线查询</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b/>
                <w:color w:val="auto"/>
                <w:szCs w:val="21"/>
                <w:highlight w:val="none"/>
              </w:rPr>
              <w:t>合格标准：缺少任何一项或有任何一项不合格者，其资格审查不合格，视为无效投标处理。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2"/>
              <w:pageBreakBefore w:val="0"/>
              <w:tabs>
                <w:tab w:val="left" w:pos="523"/>
              </w:tabs>
              <w:kinsoku/>
              <w:overflowPunct/>
              <w:topLinePunct w:val="0"/>
              <w:bidi w:val="0"/>
              <w:spacing w:line="440" w:lineRule="exact"/>
              <w:ind w:firstLine="0"/>
              <w:rPr>
                <w:rFonts w:hint="eastAsia" w:ascii="宋体" w:hAnsi="宋体" w:eastAsia="宋体" w:cs="宋体"/>
                <w:szCs w:val="21"/>
              </w:rPr>
            </w:pPr>
            <w:r>
              <w:rPr>
                <w:rFonts w:hint="eastAsia" w:ascii="宋体" w:hAnsi="宋体" w:eastAsia="宋体" w:cs="宋体"/>
                <w:sz w:val="21"/>
                <w:szCs w:val="24"/>
                <w:lang w:val="en-US" w:eastAsia="zh-CN" w:bidi="ar-SA"/>
              </w:rPr>
              <w:t>（1）投标文件签署授权委托书；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2"/>
              <w:pageBreakBefore w:val="0"/>
              <w:tabs>
                <w:tab w:val="left" w:pos="533"/>
              </w:tabs>
              <w:kinsoku/>
              <w:overflowPunct/>
              <w:topLinePunct w:val="0"/>
              <w:bidi w:val="0"/>
              <w:spacing w:line="440" w:lineRule="exact"/>
              <w:ind w:firstLine="0"/>
              <w:rPr>
                <w:rFonts w:hint="eastAsia" w:ascii="宋体" w:hAnsi="宋体" w:eastAsia="宋体" w:cs="宋体"/>
                <w:szCs w:val="21"/>
              </w:rPr>
            </w:pPr>
            <w:r>
              <w:rPr>
                <w:rFonts w:hint="eastAsia" w:ascii="宋体" w:hAnsi="宋体" w:eastAsia="宋体" w:cs="宋体"/>
                <w:sz w:val="21"/>
                <w:szCs w:val="24"/>
                <w:lang w:val="en-US" w:eastAsia="zh-CN" w:bidi="ar-SA"/>
              </w:rPr>
              <w:t>（2）</w:t>
            </w:r>
            <w:r>
              <w:rPr>
                <w:rFonts w:hint="eastAsia" w:ascii="宋体" w:hAnsi="宋体" w:eastAsia="宋体" w:cs="宋体"/>
                <w:sz w:val="21"/>
                <w:szCs w:val="24"/>
                <w:lang w:val="en-US" w:eastAsia="zh-CN" w:bidi="ar-SA"/>
              </w:rPr>
              <w:tab/>
            </w:r>
            <w:r>
              <w:rPr>
                <w:rFonts w:hint="eastAsia" w:ascii="宋体" w:hAnsi="宋体" w:eastAsia="宋体" w:cs="宋体"/>
                <w:sz w:val="21"/>
                <w:szCs w:val="24"/>
                <w:lang w:val="en-US" w:eastAsia="zh-CN" w:bidi="ar-SA"/>
              </w:rPr>
              <w:t>投标人基本情况表；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ageBreakBefore w:val="0"/>
              <w:widowControl/>
              <w:kinsoku/>
              <w:overflowPunct/>
              <w:topLinePunct w:val="0"/>
              <w:bidi w:val="0"/>
              <w:spacing w:line="440" w:lineRule="exact"/>
              <w:rPr>
                <w:rFonts w:hint="eastAsia" w:ascii="宋体" w:hAnsi="宋体" w:eastAsia="宋体" w:cs="宋体"/>
                <w:szCs w:val="21"/>
              </w:rPr>
            </w:pPr>
            <w:r>
              <w:rPr>
                <w:rFonts w:hint="eastAsia" w:ascii="宋体" w:hAnsi="宋体" w:eastAsia="宋体" w:cs="宋体"/>
                <w:sz w:val="21"/>
                <w:szCs w:val="24"/>
                <w:lang w:val="en-US" w:eastAsia="zh-CN" w:bidi="ar-SA"/>
              </w:rPr>
              <w:t>（3）建设工程项目管理承诺书；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2"/>
              <w:pageBreakBefore w:val="0"/>
              <w:tabs>
                <w:tab w:val="left" w:pos="422"/>
              </w:tabs>
              <w:kinsoku/>
              <w:overflowPunct/>
              <w:topLinePunct w:val="0"/>
              <w:bidi w:val="0"/>
              <w:spacing w:line="440" w:lineRule="exact"/>
              <w:ind w:firstLine="0"/>
              <w:rPr>
                <w:rFonts w:hint="eastAsia" w:ascii="宋体" w:hAnsi="宋体" w:eastAsia="宋体" w:cs="宋体"/>
                <w:szCs w:val="21"/>
              </w:rPr>
            </w:pPr>
            <w:r>
              <w:rPr>
                <w:rFonts w:hint="eastAsia" w:ascii="宋体" w:hAnsi="宋体" w:eastAsia="宋体" w:cs="宋体"/>
                <w:sz w:val="21"/>
                <w:szCs w:val="24"/>
                <w:lang w:val="en-US" w:eastAsia="zh-CN" w:bidi="ar-SA"/>
              </w:rPr>
              <w:t>（4）拟派项目经理、项目施工专职安全员</w:t>
            </w:r>
            <w:r>
              <w:rPr>
                <w:rFonts w:hint="eastAsia" w:cs="宋体"/>
                <w:sz w:val="21"/>
                <w:szCs w:val="24"/>
                <w:lang w:val="en-US" w:eastAsia="zh-CN" w:bidi="ar-SA"/>
              </w:rPr>
              <w:t>等</w:t>
            </w:r>
            <w:r>
              <w:rPr>
                <w:rFonts w:hint="eastAsia" w:ascii="宋体" w:hAnsi="宋体" w:eastAsia="宋体" w:cs="宋体"/>
                <w:sz w:val="21"/>
                <w:szCs w:val="24"/>
                <w:lang w:val="en-US" w:eastAsia="zh-CN" w:bidi="ar-SA"/>
              </w:rPr>
              <w:t>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2"/>
              <w:pageBreakBefore w:val="0"/>
              <w:tabs>
                <w:tab w:val="left" w:pos="422"/>
              </w:tabs>
              <w:kinsoku/>
              <w:overflowPunct/>
              <w:topLinePunct w:val="0"/>
              <w:bidi w:val="0"/>
              <w:spacing w:line="440" w:lineRule="exact"/>
              <w:ind w:firstLine="0"/>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（5）供应商直接控股、管理关系信息表；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2"/>
              <w:pageBreakBefore w:val="0"/>
              <w:tabs>
                <w:tab w:val="left" w:pos="494"/>
              </w:tabs>
              <w:kinsoku/>
              <w:overflowPunct/>
              <w:topLinePunct w:val="0"/>
              <w:bidi w:val="0"/>
              <w:spacing w:line="440" w:lineRule="exact"/>
              <w:ind w:firstLine="0"/>
              <w:rPr>
                <w:rFonts w:hint="eastAsia" w:ascii="宋体" w:hAnsi="宋体" w:eastAsia="宋体" w:cs="宋体"/>
              </w:rPr>
            </w:pPr>
            <w:r>
              <w:rPr>
                <w:rFonts w:hint="eastAsia" w:ascii="宋体" w:hAnsi="宋体" w:eastAsia="宋体" w:cs="宋体"/>
                <w:sz w:val="21"/>
                <w:szCs w:val="24"/>
                <w:lang w:val="en-US" w:eastAsia="zh-CN" w:bidi="ar-SA"/>
              </w:rPr>
              <w:t>（</w:t>
            </w:r>
            <w:r>
              <w:rPr>
                <w:rFonts w:hint="eastAsia" w:eastAsia="宋体" w:cs="宋体"/>
                <w:sz w:val="21"/>
                <w:szCs w:val="24"/>
                <w:lang w:val="en-US" w:eastAsia="zh-CN" w:bidi="ar-SA"/>
              </w:rPr>
              <w:t>6</w:t>
            </w:r>
            <w:r>
              <w:rPr>
                <w:rFonts w:hint="eastAsia" w:ascii="宋体" w:hAnsi="宋体" w:eastAsia="宋体" w:cs="宋体"/>
                <w:sz w:val="21"/>
                <w:szCs w:val="24"/>
                <w:lang w:val="en-US" w:eastAsia="zh-CN" w:bidi="ar-SA"/>
              </w:rPr>
              <w:t>）小微企业</w:t>
            </w:r>
            <w:r>
              <w:rPr>
                <w:rFonts w:hint="eastAsia" w:cs="宋体"/>
                <w:sz w:val="21"/>
                <w:szCs w:val="24"/>
                <w:lang w:val="en-US" w:eastAsia="zh-CN" w:bidi="ar-SA"/>
              </w:rPr>
              <w:t>声明函</w:t>
            </w:r>
            <w:r>
              <w:rPr>
                <w:rFonts w:hint="eastAsia" w:ascii="宋体" w:hAnsi="宋体" w:eastAsia="宋体" w:cs="宋体"/>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2"/>
              <w:pageBreakBefore w:val="0"/>
              <w:kinsoku/>
              <w:overflowPunct/>
              <w:topLinePunct w:val="0"/>
              <w:bidi w:val="0"/>
              <w:spacing w:line="440" w:lineRule="exact"/>
              <w:ind w:firstLine="0"/>
              <w:rPr>
                <w:rFonts w:hint="eastAsia" w:ascii="宋体" w:hAnsi="宋体" w:eastAsia="宋体" w:cs="宋体"/>
                <w:sz w:val="21"/>
                <w:szCs w:val="24"/>
                <w:lang w:val="en-US" w:eastAsia="zh-CN" w:bidi="ar-SA"/>
              </w:rPr>
            </w:pPr>
            <w:r>
              <w:rPr>
                <w:rFonts w:hint="eastAsia" w:cs="宋体"/>
                <w:sz w:val="21"/>
                <w:szCs w:val="24"/>
                <w:lang w:val="en-US" w:eastAsia="zh-CN" w:bidi="ar-SA"/>
              </w:rPr>
              <w:t>（7）</w:t>
            </w:r>
            <w:r>
              <w:rPr>
                <w:rFonts w:hint="eastAsia" w:ascii="宋体" w:hAnsi="宋体" w:eastAsia="宋体" w:cs="宋体"/>
                <w:kern w:val="2"/>
                <w:sz w:val="21"/>
                <w:szCs w:val="21"/>
                <w:lang w:val="en-US" w:eastAsia="zh-CN" w:bidi="ar-SA"/>
              </w:rPr>
              <w:t>资格审查需要的其他材料</w:t>
            </w:r>
            <w:r>
              <w:rPr>
                <w:rFonts w:hint="eastAsia" w:cs="宋体"/>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2.1.2</w:t>
            </w:r>
          </w:p>
        </w:tc>
        <w:tc>
          <w:tcPr>
            <w:tcW w:w="1801" w:type="dxa"/>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符合性</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评审标准</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b/>
                <w:color w:val="auto"/>
                <w:szCs w:val="21"/>
              </w:rPr>
              <w:t>合格标准：缺少任何一项或有任何一项不合格者，其</w:t>
            </w:r>
            <w:r>
              <w:rPr>
                <w:rFonts w:hint="eastAsia" w:ascii="宋体" w:hAnsi="宋体"/>
                <w:b/>
                <w:color w:val="auto"/>
                <w:szCs w:val="21"/>
                <w:lang w:eastAsia="zh-CN"/>
              </w:rPr>
              <w:t>符合性</w:t>
            </w:r>
            <w:r>
              <w:rPr>
                <w:rFonts w:hint="eastAsia" w:ascii="宋体" w:hAnsi="宋体"/>
                <w:b/>
                <w:color w:val="auto"/>
                <w:szCs w:val="21"/>
              </w:rPr>
              <w:t>审查不合格，视为无效投标处理。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spacing w:line="300" w:lineRule="exact"/>
              <w:jc w:val="left"/>
              <w:rPr>
                <w:rFonts w:hint="eastAsia" w:ascii="宋体" w:hAnsi="宋体" w:eastAsia="宋体" w:cs="宋体"/>
                <w:szCs w:val="21"/>
              </w:rPr>
            </w:pPr>
            <w:r>
              <w:rPr>
                <w:rFonts w:ascii="宋体" w:hAnsi="宋体"/>
                <w:color w:val="auto"/>
                <w:szCs w:val="21"/>
              </w:rPr>
              <w:t>投标价格</w:t>
            </w:r>
          </w:p>
        </w:tc>
        <w:tc>
          <w:tcPr>
            <w:tcW w:w="5169" w:type="dxa"/>
            <w:noWrap w:val="0"/>
            <w:vAlign w:val="center"/>
          </w:tcPr>
          <w:p>
            <w:pPr>
              <w:spacing w:line="300" w:lineRule="exact"/>
              <w:jc w:val="left"/>
              <w:rPr>
                <w:rFonts w:hint="eastAsia" w:ascii="宋体" w:hAnsi="宋体" w:eastAsia="宋体" w:cs="宋体"/>
                <w:szCs w:val="21"/>
                <w:lang w:eastAsia="zh-CN"/>
              </w:rPr>
            </w:pPr>
            <w:r>
              <w:rPr>
                <w:rFonts w:hint="eastAsia" w:ascii="宋体" w:hAnsi="宋体" w:eastAsia="宋体" w:cs="宋体"/>
                <w:sz w:val="21"/>
                <w:szCs w:val="21"/>
                <w:lang w:val="en-US" w:eastAsia="zh-CN" w:bidi="ar-SA"/>
              </w:rPr>
              <w:t>低于（含等于）招标人公布的招标控制价且无本章附件B否决投标条件的相应情况。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报价唯一</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投标人名称</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与营业执照、资质证书、安全生产许可证一致</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投标函签字盖章</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lang w:eastAsia="zh-CN"/>
              </w:rPr>
            </w:pPr>
            <w:r>
              <w:rPr>
                <w:rFonts w:hint="eastAsia" w:ascii="宋体" w:hAnsi="宋体" w:eastAsia="宋体" w:cs="宋体"/>
              </w:rPr>
              <w:t>法定代表人或其委托代理人签字或盖章及加盖投标人单位电子公章</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投标文件格式</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lang w:eastAsia="zh-CN"/>
              </w:rPr>
            </w:pPr>
            <w:r>
              <w:rPr>
                <w:rFonts w:hint="eastAsia" w:ascii="宋体" w:hAnsi="宋体" w:eastAsia="宋体" w:cs="宋体"/>
                <w:szCs w:val="21"/>
              </w:rPr>
              <w:t>符合“投标文件格式”的要求</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投标内容</w:t>
            </w:r>
          </w:p>
        </w:tc>
        <w:tc>
          <w:tcPr>
            <w:tcW w:w="5169" w:type="dxa"/>
            <w:noWrap w:val="0"/>
            <w:vAlign w:val="top"/>
          </w:tcPr>
          <w:p>
            <w:pPr>
              <w:pStyle w:val="162"/>
              <w:pageBreakBefore w:val="0"/>
              <w:kinsoku/>
              <w:overflowPunct/>
              <w:topLinePunct w:val="0"/>
              <w:bidi w:val="0"/>
              <w:spacing w:line="440" w:lineRule="exact"/>
              <w:ind w:firstLine="0" w:firstLineChars="0"/>
              <w:jc w:val="left"/>
              <w:rPr>
                <w:rFonts w:hint="eastAsia" w:ascii="宋体" w:hAnsi="宋体" w:eastAsia="宋体" w:cs="宋体"/>
                <w:szCs w:val="21"/>
              </w:rPr>
            </w:pPr>
            <w:r>
              <w:rPr>
                <w:rFonts w:hint="eastAsia" w:ascii="宋体" w:hAnsi="宋体" w:eastAsia="宋体" w:cs="宋体"/>
                <w:sz w:val="21"/>
                <w:szCs w:val="21"/>
                <w:lang w:val="en-US" w:eastAsia="zh-CN" w:bidi="ar-SA"/>
              </w:rPr>
              <w:t>符合施工图纸所包含的全部内容，具体详见</w:t>
            </w:r>
            <w:r>
              <w:rPr>
                <w:rFonts w:hint="eastAsia" w:eastAsia="宋体" w:cs="宋体"/>
                <w:sz w:val="21"/>
                <w:szCs w:val="21"/>
                <w:lang w:val="en-US" w:eastAsia="zh-CN" w:bidi="ar-SA"/>
              </w:rPr>
              <w:t>招标</w:t>
            </w:r>
            <w:r>
              <w:rPr>
                <w:rFonts w:hint="eastAsia" w:ascii="宋体" w:hAnsi="宋体" w:eastAsia="宋体" w:cs="宋体"/>
                <w:sz w:val="21"/>
                <w:szCs w:val="21"/>
                <w:lang w:val="en-US" w:eastAsia="zh-CN" w:bidi="ar-SA"/>
              </w:rPr>
              <w:t>工程量清单</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工期</w:t>
            </w:r>
          </w:p>
        </w:tc>
        <w:tc>
          <w:tcPr>
            <w:tcW w:w="5169" w:type="dxa"/>
            <w:noWrap w:val="0"/>
            <w:vAlign w:val="top"/>
          </w:tcPr>
          <w:p>
            <w:pPr>
              <w:pStyle w:val="162"/>
              <w:pageBreakBefore w:val="0"/>
              <w:kinsoku/>
              <w:overflowPunct/>
              <w:topLinePunct w:val="0"/>
              <w:bidi w:val="0"/>
              <w:spacing w:line="440" w:lineRule="exact"/>
              <w:ind w:firstLine="0" w:firstLineChars="0"/>
              <w:jc w:val="left"/>
              <w:rPr>
                <w:rFonts w:hint="eastAsia" w:ascii="宋体" w:hAnsi="宋体" w:eastAsia="宋体" w:cs="宋体"/>
                <w:szCs w:val="21"/>
              </w:rPr>
            </w:pPr>
            <w:r>
              <w:rPr>
                <w:rFonts w:hint="eastAsia" w:ascii="宋体" w:hAnsi="宋体" w:eastAsia="宋体" w:cs="宋体"/>
                <w:sz w:val="21"/>
                <w:szCs w:val="21"/>
                <w:lang w:val="en-US" w:eastAsia="zh-CN" w:bidi="ar-SA"/>
              </w:rPr>
              <w:t>符合本项目工期规定</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工程质量</w:t>
            </w:r>
          </w:p>
        </w:tc>
        <w:tc>
          <w:tcPr>
            <w:tcW w:w="5169" w:type="dxa"/>
            <w:noWrap w:val="0"/>
            <w:vAlign w:val="top"/>
          </w:tcPr>
          <w:p>
            <w:pPr>
              <w:pStyle w:val="162"/>
              <w:pageBreakBefore w:val="0"/>
              <w:kinsoku/>
              <w:overflowPunct/>
              <w:topLinePunct w:val="0"/>
              <w:bidi w:val="0"/>
              <w:spacing w:line="440" w:lineRule="exact"/>
              <w:ind w:firstLine="0" w:firstLineChars="0"/>
              <w:jc w:val="left"/>
              <w:rPr>
                <w:rFonts w:hint="eastAsia" w:ascii="宋体" w:hAnsi="宋体" w:eastAsia="宋体" w:cs="宋体"/>
                <w:szCs w:val="21"/>
              </w:rPr>
            </w:pPr>
            <w:r>
              <w:rPr>
                <w:rFonts w:hint="eastAsia" w:ascii="宋体" w:hAnsi="宋体" w:eastAsia="宋体" w:cs="宋体"/>
                <w:sz w:val="21"/>
                <w:szCs w:val="21"/>
                <w:lang w:val="en-US" w:eastAsia="zh-CN" w:bidi="ar-SA"/>
              </w:rPr>
              <w:t>符合达到现行国家施工验收规范合格标准</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投标有效期</w:t>
            </w:r>
          </w:p>
        </w:tc>
        <w:tc>
          <w:tcPr>
            <w:tcW w:w="5169" w:type="dxa"/>
            <w:noWrap w:val="0"/>
            <w:vAlign w:val="top"/>
          </w:tcPr>
          <w:p>
            <w:pPr>
              <w:pStyle w:val="162"/>
              <w:pageBreakBefore w:val="0"/>
              <w:kinsoku/>
              <w:overflowPunct/>
              <w:topLinePunct w:val="0"/>
              <w:bidi w:val="0"/>
              <w:spacing w:line="440" w:lineRule="exact"/>
              <w:ind w:firstLine="0" w:firstLineChars="0"/>
              <w:jc w:val="left"/>
              <w:rPr>
                <w:rFonts w:hint="eastAsia" w:ascii="宋体" w:hAnsi="宋体" w:eastAsia="宋体" w:cs="宋体"/>
                <w:szCs w:val="21"/>
              </w:rPr>
            </w:pPr>
            <w:r>
              <w:rPr>
                <w:rFonts w:hint="eastAsia" w:ascii="宋体" w:hAnsi="宋体" w:eastAsia="宋体" w:cs="宋体"/>
                <w:sz w:val="21"/>
                <w:szCs w:val="21"/>
                <w:lang w:val="en-US" w:eastAsia="zh-CN" w:bidi="ar-SA"/>
              </w:rPr>
              <w:t>符合本项目投标有效期</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权利义务</w:t>
            </w:r>
          </w:p>
        </w:tc>
        <w:tc>
          <w:tcPr>
            <w:tcW w:w="5169" w:type="dxa"/>
            <w:noWrap w:val="0"/>
            <w:vAlign w:val="top"/>
          </w:tcPr>
          <w:p>
            <w:pPr>
              <w:pStyle w:val="162"/>
              <w:pageBreakBefore w:val="0"/>
              <w:kinsoku/>
              <w:overflowPunct/>
              <w:topLinePunct w:val="0"/>
              <w:bidi w:val="0"/>
              <w:spacing w:line="440" w:lineRule="exact"/>
              <w:ind w:firstLine="0" w:firstLineChars="0"/>
              <w:rPr>
                <w:rFonts w:hint="eastAsia" w:ascii="宋体" w:hAnsi="宋体" w:eastAsia="宋体" w:cs="宋体"/>
                <w:szCs w:val="21"/>
              </w:rPr>
            </w:pPr>
            <w:r>
              <w:rPr>
                <w:rFonts w:hint="eastAsia" w:ascii="宋体" w:hAnsi="宋体" w:eastAsia="宋体" w:cs="宋体"/>
                <w:sz w:val="21"/>
                <w:szCs w:val="21"/>
                <w:lang w:val="en-US" w:eastAsia="zh-CN" w:bidi="ar-SA"/>
              </w:rPr>
              <w:t>投标函附录中的相关承诺符合或优于本项目“合同条款及格式”的相关规定</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技术标准和要求</w:t>
            </w:r>
          </w:p>
        </w:tc>
        <w:tc>
          <w:tcPr>
            <w:tcW w:w="5169" w:type="dxa"/>
            <w:noWrap w:val="0"/>
            <w:vAlign w:val="top"/>
          </w:tcPr>
          <w:p>
            <w:pPr>
              <w:pStyle w:val="162"/>
              <w:pageBreakBefore w:val="0"/>
              <w:kinsoku/>
              <w:overflowPunct/>
              <w:topLinePunct w:val="0"/>
              <w:bidi w:val="0"/>
              <w:spacing w:line="440" w:lineRule="exact"/>
              <w:ind w:firstLine="0" w:firstLineChars="0"/>
              <w:rPr>
                <w:rFonts w:hint="eastAsia" w:ascii="宋体" w:hAnsi="宋体" w:eastAsia="宋体" w:cs="宋体"/>
                <w:szCs w:val="21"/>
              </w:rPr>
            </w:pPr>
            <w:r>
              <w:rPr>
                <w:rFonts w:hint="eastAsia" w:ascii="宋体" w:hAnsi="宋体" w:eastAsia="宋体" w:cs="宋体"/>
                <w:sz w:val="21"/>
                <w:szCs w:val="21"/>
                <w:lang w:val="en-US" w:eastAsia="zh-CN" w:bidi="ar-SA"/>
              </w:rPr>
              <w:t>符合本项目</w:t>
            </w:r>
            <w:r>
              <w:rPr>
                <w:rFonts w:hint="eastAsia" w:ascii="宋体" w:hAnsi="宋体" w:eastAsia="宋体" w:cs="宋体"/>
                <w:sz w:val="21"/>
                <w:szCs w:val="21"/>
                <w:lang w:val="zh-CN" w:eastAsia="zh-CN" w:bidi="ar-SA"/>
              </w:rPr>
              <w:t>“技术</w:t>
            </w:r>
            <w:r>
              <w:rPr>
                <w:rFonts w:hint="eastAsia" w:ascii="宋体" w:hAnsi="宋体" w:eastAsia="宋体" w:cs="宋体"/>
                <w:sz w:val="21"/>
                <w:szCs w:val="21"/>
                <w:lang w:val="en-US" w:eastAsia="zh-CN" w:bidi="ar-SA"/>
              </w:rPr>
              <w:t>标准和要求”规定，按国家行业和地方现行标准、规范和规程。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已标价工程量清单</w:t>
            </w:r>
          </w:p>
        </w:tc>
        <w:tc>
          <w:tcPr>
            <w:tcW w:w="5169" w:type="dxa"/>
            <w:noWrap w:val="0"/>
            <w:vAlign w:val="top"/>
          </w:tcPr>
          <w:p>
            <w:pPr>
              <w:pStyle w:val="162"/>
              <w:pageBreakBefore w:val="0"/>
              <w:kinsoku/>
              <w:overflowPunct/>
              <w:topLinePunct w:val="0"/>
              <w:bidi w:val="0"/>
              <w:spacing w:line="44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符合本项目</w:t>
            </w:r>
            <w:r>
              <w:rPr>
                <w:rFonts w:hint="eastAsia" w:ascii="宋体" w:hAnsi="宋体" w:eastAsia="宋体" w:cs="宋体"/>
                <w:sz w:val="21"/>
                <w:szCs w:val="21"/>
                <w:lang w:val="zh-CN" w:eastAsia="zh-CN" w:bidi="ar-SA"/>
              </w:rPr>
              <w:t>“工程</w:t>
            </w:r>
            <w:r>
              <w:rPr>
                <w:rFonts w:hint="eastAsia" w:ascii="宋体" w:hAnsi="宋体" w:eastAsia="宋体" w:cs="宋体"/>
                <w:sz w:val="21"/>
                <w:szCs w:val="21"/>
                <w:lang w:val="en-US" w:eastAsia="zh-CN" w:bidi="ar-SA"/>
              </w:rPr>
              <w:t>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2.2</w:t>
            </w:r>
          </w:p>
        </w:tc>
        <w:tc>
          <w:tcPr>
            <w:tcW w:w="1801"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详细评审</w:t>
            </w:r>
          </w:p>
        </w:tc>
        <w:tc>
          <w:tcPr>
            <w:tcW w:w="7398" w:type="dxa"/>
            <w:gridSpan w:val="3"/>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通过资格审查的合格投标人，只有通过了</w:t>
            </w:r>
            <w:r>
              <w:rPr>
                <w:rFonts w:hint="eastAsia" w:ascii="宋体" w:hAnsi="宋体" w:eastAsia="宋体" w:cs="宋体"/>
                <w:szCs w:val="21"/>
                <w:lang w:val="en-US" w:eastAsia="zh-CN"/>
              </w:rPr>
              <w:t>符合性</w:t>
            </w:r>
            <w:r>
              <w:rPr>
                <w:rFonts w:hint="eastAsia" w:ascii="宋体" w:hAnsi="宋体" w:eastAsia="宋体" w:cs="宋体"/>
                <w:szCs w:val="21"/>
              </w:rPr>
              <w:t>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2.2.1</w:t>
            </w:r>
          </w:p>
        </w:tc>
        <w:tc>
          <w:tcPr>
            <w:tcW w:w="1801"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分值构成</w:t>
            </w:r>
          </w:p>
        </w:tc>
        <w:tc>
          <w:tcPr>
            <w:tcW w:w="2229" w:type="dxa"/>
            <w:gridSpan w:val="2"/>
            <w:noWrap w:val="0"/>
            <w:vAlign w:val="center"/>
          </w:tcPr>
          <w:p>
            <w:pPr>
              <w:pageBreakBefore w:val="0"/>
              <w:kinsoku/>
              <w:overflowPunct/>
              <w:topLinePunct w:val="0"/>
              <w:bidi w:val="0"/>
              <w:spacing w:line="440" w:lineRule="exact"/>
              <w:ind w:firstLine="630" w:firstLineChars="300"/>
              <w:rPr>
                <w:rFonts w:hint="eastAsia" w:ascii="宋体" w:hAnsi="宋体" w:eastAsia="宋体" w:cs="宋体"/>
                <w:szCs w:val="21"/>
              </w:rPr>
            </w:pPr>
            <w:r>
              <w:rPr>
                <w:rFonts w:hint="eastAsia" w:ascii="宋体" w:hAnsi="宋体" w:eastAsia="宋体" w:cs="宋体"/>
                <w:szCs w:val="21"/>
              </w:rPr>
              <w:t>分值构成</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（总分100分）</w:t>
            </w:r>
          </w:p>
        </w:tc>
        <w:tc>
          <w:tcPr>
            <w:tcW w:w="5169" w:type="dxa"/>
            <w:noWrap w:val="0"/>
            <w:vAlign w:val="top"/>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技术标评审部分：</w:t>
            </w:r>
            <w:r>
              <w:rPr>
                <w:rFonts w:hint="eastAsia" w:ascii="宋体" w:hAnsi="宋体" w:cs="宋体"/>
                <w:szCs w:val="21"/>
                <w:u w:val="single"/>
                <w:lang w:val="en-US" w:eastAsia="zh-CN"/>
              </w:rPr>
              <w:t>7</w:t>
            </w:r>
            <w:r>
              <w:rPr>
                <w:rFonts w:hint="eastAsia" w:ascii="宋体" w:hAnsi="宋体" w:eastAsia="宋体" w:cs="宋体"/>
                <w:szCs w:val="21"/>
                <w:u w:val="single"/>
                <w:lang w:val="en-US" w:eastAsia="zh-CN"/>
              </w:rPr>
              <w:t>0</w:t>
            </w:r>
            <w:r>
              <w:rPr>
                <w:rFonts w:hint="eastAsia" w:ascii="宋体" w:hAnsi="宋体" w:eastAsia="宋体" w:cs="宋体"/>
                <w:szCs w:val="21"/>
              </w:rPr>
              <w:t>分</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商务标评审部分：</w:t>
            </w:r>
            <w:r>
              <w:rPr>
                <w:rFonts w:hint="eastAsia" w:ascii="宋体" w:hAnsi="宋体" w:cs="宋体"/>
                <w:szCs w:val="21"/>
                <w:u w:val="single"/>
                <w:lang w:val="en-US" w:eastAsia="zh-CN"/>
              </w:rPr>
              <w:t>3</w:t>
            </w:r>
            <w:r>
              <w:rPr>
                <w:rFonts w:hint="eastAsia" w:ascii="宋体" w:hAnsi="宋体" w:eastAsia="宋体" w:cs="宋体"/>
                <w:u w:val="single"/>
                <w:lang w:val="en-US" w:eastAsia="zh-CN"/>
              </w:rPr>
              <w:t>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2" w:type="dxa"/>
            <w:gridSpan w:val="2"/>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2.2.2（1）</w:t>
            </w:r>
          </w:p>
        </w:tc>
        <w:tc>
          <w:tcPr>
            <w:tcW w:w="1801" w:type="dxa"/>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技术标</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评分标准</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（满分</w:t>
            </w:r>
            <w:r>
              <w:rPr>
                <w:rFonts w:hint="eastAsia" w:ascii="宋体" w:hAnsi="宋体" w:cs="宋体"/>
                <w:szCs w:val="21"/>
                <w:lang w:val="en-US" w:eastAsia="zh-CN"/>
              </w:rPr>
              <w:t>7</w:t>
            </w:r>
            <w:r>
              <w:rPr>
                <w:rFonts w:hint="eastAsia" w:ascii="宋体" w:hAnsi="宋体" w:eastAsia="宋体" w:cs="宋体"/>
                <w:szCs w:val="21"/>
                <w:lang w:val="en-US" w:eastAsia="zh-CN"/>
              </w:rPr>
              <w:t>0</w:t>
            </w:r>
            <w:r>
              <w:rPr>
                <w:rFonts w:hint="eastAsia" w:ascii="宋体" w:hAnsi="宋体" w:eastAsia="宋体" w:cs="宋体"/>
                <w:szCs w:val="21"/>
              </w:rPr>
              <w:t>分）</w:t>
            </w:r>
          </w:p>
        </w:tc>
        <w:tc>
          <w:tcPr>
            <w:tcW w:w="7398" w:type="dxa"/>
            <w:gridSpan w:val="3"/>
            <w:noWrap w:val="0"/>
            <w:vAlign w:val="top"/>
          </w:tcPr>
          <w:p>
            <w:pPr>
              <w:pageBreakBefore w:val="0"/>
              <w:kinsoku/>
              <w:overflowPunct/>
              <w:topLinePunct w:val="0"/>
              <w:bidi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技术标得分=项目管理机构得分+施工组织设计得分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项目管理机构（</w:t>
            </w:r>
            <w:r>
              <w:rPr>
                <w:rFonts w:hint="eastAsia" w:ascii="宋体" w:hAnsi="宋体" w:eastAsia="宋体" w:cs="宋体"/>
                <w:szCs w:val="21"/>
                <w:lang w:val="en-US" w:eastAsia="zh-CN"/>
              </w:rPr>
              <w:t>10</w:t>
            </w:r>
            <w:r>
              <w:rPr>
                <w:rFonts w:hint="eastAsia" w:ascii="宋体" w:hAnsi="宋体" w:eastAsia="宋体" w:cs="宋体"/>
                <w:szCs w:val="21"/>
              </w:rPr>
              <w:t>分）</w:t>
            </w: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rPr>
              <w:t>项目经理任职资格与业绩、工作经历等（</w:t>
            </w:r>
            <w:r>
              <w:rPr>
                <w:rFonts w:hint="eastAsia" w:ascii="宋体" w:hAnsi="宋体" w:eastAsia="宋体" w:cs="宋体"/>
                <w:kern w:val="0"/>
                <w:szCs w:val="21"/>
                <w:lang w:val="en-US" w:eastAsia="zh-CN"/>
              </w:rPr>
              <w:t>3</w:t>
            </w:r>
            <w:r>
              <w:rPr>
                <w:rFonts w:hint="eastAsia" w:ascii="宋体" w:hAnsi="宋体" w:eastAsia="宋体" w:cs="宋体"/>
                <w:kern w:val="0"/>
                <w:szCs w:val="21"/>
              </w:rPr>
              <w:t>分）</w:t>
            </w:r>
          </w:p>
        </w:tc>
        <w:tc>
          <w:tcPr>
            <w:tcW w:w="5169" w:type="dxa"/>
            <w:noWrap w:val="0"/>
            <w:vAlign w:val="center"/>
          </w:tcPr>
          <w:p>
            <w:pPr>
              <w:pageBreakBefore w:val="0"/>
              <w:numPr>
                <w:ilvl w:val="0"/>
                <w:numId w:val="2"/>
              </w:numPr>
              <w:kinsoku/>
              <w:overflowPunct/>
              <w:topLinePunct w:val="0"/>
              <w:bidi w:val="0"/>
              <w:spacing w:line="440" w:lineRule="exact"/>
              <w:rPr>
                <w:rFonts w:hint="eastAsia"/>
              </w:rPr>
            </w:pPr>
            <w:r>
              <w:rPr>
                <w:rFonts w:hint="eastAsia" w:ascii="宋体" w:hAnsi="宋体" w:eastAsia="宋体" w:cs="宋体"/>
                <w:szCs w:val="21"/>
              </w:rPr>
              <w:t>项目经理注册资格：具备</w:t>
            </w:r>
            <w:r>
              <w:rPr>
                <w:rFonts w:hint="eastAsia" w:ascii="宋体" w:hAnsi="宋体" w:eastAsia="宋体" w:cs="宋体"/>
                <w:b/>
                <w:bCs/>
                <w:szCs w:val="21"/>
                <w:u w:val="single"/>
              </w:rPr>
              <w:t>水利水电工程</w:t>
            </w:r>
            <w:r>
              <w:rPr>
                <w:rFonts w:hint="eastAsia" w:ascii="宋体" w:hAnsi="宋体" w:cs="宋体"/>
                <w:b/>
                <w:bCs/>
                <w:color w:val="000000"/>
                <w:sz w:val="21"/>
                <w:szCs w:val="21"/>
                <w:highlight w:val="none"/>
                <w:u w:val="single"/>
                <w:lang w:eastAsia="zh-CN"/>
              </w:rPr>
              <w:t>或市政公用工程</w:t>
            </w:r>
            <w:r>
              <w:rPr>
                <w:rFonts w:hint="eastAsia" w:ascii="宋体" w:hAnsi="宋体" w:eastAsia="宋体" w:cs="宋体"/>
                <w:b/>
                <w:bCs/>
                <w:szCs w:val="21"/>
                <w:u w:val="single"/>
              </w:rPr>
              <w:t>专业贰级（含贰级）</w:t>
            </w:r>
            <w:r>
              <w:rPr>
                <w:rFonts w:hint="eastAsia" w:ascii="宋体" w:hAnsi="宋体" w:eastAsia="宋体" w:cs="宋体"/>
                <w:szCs w:val="21"/>
              </w:rPr>
              <w:t>以上注册建造师资格，</w:t>
            </w:r>
            <w:r>
              <w:rPr>
                <w:rFonts w:hint="eastAsia" w:ascii="宋体" w:hAnsi="宋体" w:eastAsia="宋体" w:cs="宋体"/>
                <w:szCs w:val="21"/>
                <w:lang w:eastAsia="zh-CN"/>
              </w:rPr>
              <w:t>持有有效的《安全生产考核合格证书（B证）》</w:t>
            </w:r>
            <w:r>
              <w:rPr>
                <w:rFonts w:hint="eastAsia" w:ascii="宋体" w:hAnsi="宋体" w:eastAsia="宋体" w:cs="宋体"/>
                <w:szCs w:val="21"/>
                <w:lang w:val="en-US" w:eastAsia="zh-CN"/>
              </w:rPr>
              <w:t>的，</w:t>
            </w:r>
            <w:r>
              <w:rPr>
                <w:rFonts w:hint="eastAsia" w:ascii="宋体" w:hAnsi="宋体" w:eastAsia="宋体" w:cs="宋体"/>
                <w:szCs w:val="21"/>
              </w:rPr>
              <w:t>得</w:t>
            </w:r>
            <w:r>
              <w:rPr>
                <w:rFonts w:hint="eastAsia" w:ascii="宋体" w:hAnsi="宋体" w:eastAsia="宋体" w:cs="宋体"/>
                <w:szCs w:val="21"/>
                <w:lang w:val="en-US" w:eastAsia="zh-CN"/>
              </w:rPr>
              <w:t>2</w:t>
            </w:r>
            <w:r>
              <w:rPr>
                <w:rFonts w:hint="eastAsia" w:ascii="宋体" w:hAnsi="宋体" w:eastAsia="宋体" w:cs="宋体"/>
                <w:szCs w:val="21"/>
              </w:rPr>
              <w:t>分。</w:t>
            </w:r>
          </w:p>
          <w:p>
            <w:pPr>
              <w:pageBreakBefore w:val="0"/>
              <w:widowControl/>
              <w:kinsoku/>
              <w:overflowPunct/>
              <w:topLinePunct w:val="0"/>
              <w:bidi w:val="0"/>
              <w:spacing w:line="440" w:lineRule="exact"/>
              <w:rPr>
                <w:rFonts w:hint="eastAsia" w:ascii="宋体" w:hAnsi="宋体" w:eastAsia="宋体" w:cs="宋体"/>
                <w:kern w:val="0"/>
                <w:szCs w:val="21"/>
              </w:rPr>
            </w:pPr>
            <w:r>
              <w:rPr>
                <w:rFonts w:hint="eastAsia" w:ascii="宋体" w:hAnsi="宋体" w:eastAsia="宋体" w:cs="宋体"/>
                <w:kern w:val="0"/>
                <w:szCs w:val="21"/>
              </w:rPr>
              <w:t>备注：拟派任项目经理必须与资格审查合格通过的项目经理在名称、专业、资格等级等方面一致。</w:t>
            </w:r>
          </w:p>
          <w:p>
            <w:pPr>
              <w:pageBreakBefore w:val="0"/>
              <w:widowControl/>
              <w:kinsoku/>
              <w:overflowPunct/>
              <w:topLinePunct w:val="0"/>
              <w:bidi w:val="0"/>
              <w:spacing w:line="440" w:lineRule="exact"/>
              <w:rPr>
                <w:rFonts w:hint="eastAsia"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初级</w:t>
            </w:r>
            <w:r>
              <w:rPr>
                <w:rFonts w:hint="eastAsia" w:ascii="宋体" w:hAnsi="宋体" w:eastAsia="宋体" w:cs="宋体"/>
                <w:kern w:val="0"/>
                <w:szCs w:val="21"/>
              </w:rPr>
              <w:t>职称</w:t>
            </w:r>
            <w:r>
              <w:rPr>
                <w:rFonts w:hint="eastAsia" w:ascii="宋体" w:hAnsi="宋体" w:eastAsia="宋体" w:cs="宋体"/>
                <w:kern w:val="0"/>
                <w:szCs w:val="21"/>
                <w:lang w:val="en-US" w:eastAsia="zh-CN"/>
              </w:rPr>
              <w:t>的，</w:t>
            </w:r>
            <w:r>
              <w:rPr>
                <w:rFonts w:hint="eastAsia" w:ascii="宋体" w:hAnsi="宋体" w:eastAsia="宋体" w:cs="宋体"/>
                <w:kern w:val="0"/>
                <w:szCs w:val="21"/>
              </w:rPr>
              <w:t>得</w:t>
            </w:r>
            <w:r>
              <w:rPr>
                <w:rFonts w:hint="eastAsia" w:ascii="宋体" w:hAnsi="宋体" w:eastAsia="宋体" w:cs="宋体"/>
                <w:kern w:val="0"/>
                <w:szCs w:val="21"/>
                <w:lang w:val="en-US" w:eastAsia="zh-CN"/>
              </w:rPr>
              <w:t>0.5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中级或以上职称的，</w:t>
            </w:r>
            <w:r>
              <w:rPr>
                <w:rFonts w:hint="eastAsia" w:ascii="宋体" w:hAnsi="宋体" w:eastAsia="宋体" w:cs="宋体"/>
                <w:kern w:val="0"/>
                <w:szCs w:val="21"/>
              </w:rPr>
              <w:t>得</w:t>
            </w:r>
            <w:r>
              <w:rPr>
                <w:rFonts w:hint="eastAsia" w:ascii="宋体" w:hAnsi="宋体" w:eastAsia="宋体" w:cs="宋体"/>
                <w:kern w:val="0"/>
                <w:szCs w:val="21"/>
                <w:lang w:val="en-US" w:eastAsia="zh-CN"/>
              </w:rPr>
              <w:t>1</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Cs w:val="21"/>
              </w:rPr>
            </w:pPr>
            <w:r>
              <w:rPr>
                <w:rFonts w:hint="eastAsia" w:ascii="宋体" w:hAnsi="宋体" w:eastAsia="宋体" w:cs="宋体"/>
                <w:b w:val="0"/>
                <w:bCs w:val="0"/>
                <w:color w:val="000000"/>
                <w:sz w:val="21"/>
                <w:szCs w:val="21"/>
                <w:highlight w:val="none"/>
                <w:shd w:val="clear" w:color="auto" w:fill="auto"/>
                <w:lang w:val="en-US" w:eastAsia="zh-CN"/>
              </w:rPr>
              <w:t>技术负责人</w:t>
            </w:r>
            <w:r>
              <w:rPr>
                <w:rFonts w:hint="eastAsia" w:ascii="宋体" w:hAnsi="宋体" w:eastAsia="宋体" w:cs="宋体"/>
                <w:kern w:val="0"/>
                <w:szCs w:val="21"/>
              </w:rPr>
              <w:t>业绩、工作经历等</w:t>
            </w:r>
            <w:r>
              <w:rPr>
                <w:rFonts w:hint="eastAsia" w:ascii="宋体" w:hAnsi="宋体" w:eastAsia="宋体" w:cs="宋体"/>
                <w:b w:val="0"/>
                <w:bCs w:val="0"/>
                <w:color w:val="000000"/>
                <w:sz w:val="21"/>
                <w:szCs w:val="21"/>
                <w:highlight w:val="none"/>
                <w:shd w:val="clear" w:color="auto" w:fill="auto"/>
                <w:lang w:val="en-US" w:eastAsia="zh-CN"/>
              </w:rPr>
              <w:t>（</w:t>
            </w:r>
            <w:r>
              <w:rPr>
                <w:rFonts w:hint="eastAsia" w:ascii="宋体" w:hAnsi="宋体" w:cs="宋体"/>
                <w:b w:val="0"/>
                <w:bCs w:val="0"/>
                <w:color w:val="000000"/>
                <w:sz w:val="21"/>
                <w:szCs w:val="21"/>
                <w:highlight w:val="none"/>
                <w:shd w:val="clear" w:color="auto" w:fill="auto"/>
                <w:lang w:val="en-US" w:eastAsia="zh-CN"/>
              </w:rPr>
              <w:t>2</w:t>
            </w:r>
            <w:r>
              <w:rPr>
                <w:rFonts w:hint="eastAsia" w:ascii="宋体" w:hAnsi="宋体" w:eastAsia="宋体" w:cs="宋体"/>
                <w:b w:val="0"/>
                <w:bCs w:val="0"/>
                <w:color w:val="000000"/>
                <w:sz w:val="21"/>
                <w:szCs w:val="21"/>
                <w:highlight w:val="none"/>
                <w:shd w:val="clear" w:color="auto" w:fill="auto"/>
                <w:lang w:val="en-US" w:eastAsia="zh-CN"/>
              </w:rPr>
              <w:t>分）</w:t>
            </w:r>
          </w:p>
        </w:tc>
        <w:tc>
          <w:tcPr>
            <w:tcW w:w="5169"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kern w:val="0"/>
                <w:szCs w:val="21"/>
              </w:rPr>
            </w:pPr>
            <w:r>
              <w:rPr>
                <w:rFonts w:hint="eastAsia" w:ascii="宋体" w:hAnsi="宋体" w:eastAsia="宋体" w:cs="宋体"/>
                <w:b w:val="0"/>
                <w:bCs w:val="0"/>
                <w:color w:val="000000"/>
                <w:sz w:val="21"/>
                <w:szCs w:val="21"/>
                <w:highlight w:val="none"/>
                <w:shd w:val="clear" w:color="auto" w:fill="auto"/>
                <w:lang w:val="en-US" w:eastAsia="zh-CN"/>
              </w:rPr>
              <w:t>持有中级或中级以上技术职称，专业是</w:t>
            </w:r>
            <w:r>
              <w:rPr>
                <w:rFonts w:hint="eastAsia" w:ascii="宋体" w:hAnsi="宋体" w:eastAsia="宋体" w:cs="宋体"/>
                <w:b/>
                <w:bCs/>
                <w:color w:val="000000"/>
                <w:sz w:val="21"/>
                <w:szCs w:val="21"/>
                <w:highlight w:val="none"/>
                <w:u w:val="single"/>
                <w:shd w:val="clear" w:color="auto" w:fill="auto"/>
                <w:lang w:val="en-US" w:eastAsia="zh-CN"/>
              </w:rPr>
              <w:t>水利水电工程</w:t>
            </w:r>
            <w:r>
              <w:rPr>
                <w:rFonts w:hint="eastAsia" w:ascii="宋体" w:hAnsi="宋体" w:cs="宋体"/>
                <w:b/>
                <w:bCs/>
                <w:color w:val="000000"/>
                <w:sz w:val="21"/>
                <w:szCs w:val="21"/>
                <w:highlight w:val="none"/>
                <w:u w:val="single"/>
                <w:lang w:eastAsia="zh-CN"/>
              </w:rPr>
              <w:t>或市政公用工程</w:t>
            </w:r>
            <w:r>
              <w:rPr>
                <w:rFonts w:hint="eastAsia" w:ascii="宋体" w:hAnsi="宋体" w:eastAsia="宋体" w:cs="宋体"/>
                <w:b/>
                <w:bCs/>
                <w:color w:val="000000"/>
                <w:sz w:val="21"/>
                <w:szCs w:val="21"/>
                <w:highlight w:val="none"/>
                <w:u w:val="single"/>
                <w:shd w:val="clear" w:color="auto" w:fill="auto"/>
                <w:lang w:val="en-US" w:eastAsia="zh-CN"/>
              </w:rPr>
              <w:t>类专业</w:t>
            </w:r>
            <w:r>
              <w:rPr>
                <w:rFonts w:hint="eastAsia" w:ascii="宋体" w:hAnsi="宋体" w:eastAsia="宋体" w:cs="宋体"/>
                <w:b w:val="0"/>
                <w:bCs w:val="0"/>
                <w:color w:val="000000"/>
                <w:sz w:val="21"/>
                <w:szCs w:val="21"/>
                <w:highlight w:val="none"/>
                <w:shd w:val="clear" w:color="auto" w:fill="auto"/>
                <w:lang w:val="en-US" w:eastAsia="zh-CN"/>
              </w:rPr>
              <w:t>（专业以技术职称证书所填写专业为准，如技术职称证书不填写专业的，则以毕业证书所填专业为准）。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top"/>
          </w:tcPr>
          <w:p>
            <w:pPr>
              <w:pageBreakBefore w:val="0"/>
              <w:kinsoku/>
              <w:overflowPunct/>
              <w:topLinePunct w:val="0"/>
              <w:bidi w:val="0"/>
              <w:spacing w:line="440" w:lineRule="exact"/>
              <w:jc w:val="center"/>
              <w:rPr>
                <w:rFonts w:hint="eastAsia" w:ascii="宋体" w:hAnsi="宋体" w:eastAsia="宋体" w:cs="宋体"/>
                <w:kern w:val="0"/>
                <w:szCs w:val="21"/>
              </w:rPr>
            </w:pPr>
          </w:p>
        </w:tc>
        <w:tc>
          <w:tcPr>
            <w:tcW w:w="1307" w:type="dxa"/>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kern w:val="0"/>
                <w:szCs w:val="21"/>
              </w:rPr>
              <w:t>其他主要人员（</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p>
        </w:tc>
        <w:tc>
          <w:tcPr>
            <w:tcW w:w="5169"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sz w:val="21"/>
                <w:szCs w:val="21"/>
                <w:highlight w:val="none"/>
                <w:shd w:val="clear" w:color="auto" w:fill="auto"/>
                <w:lang w:eastAsia="zh-CN"/>
              </w:rPr>
            </w:pPr>
            <w:r>
              <w:rPr>
                <w:rFonts w:hint="eastAsia" w:ascii="宋体" w:hAnsi="宋体" w:eastAsia="宋体" w:cs="宋体"/>
                <w:b w:val="0"/>
                <w:bCs w:val="0"/>
                <w:color w:val="000000"/>
                <w:sz w:val="21"/>
                <w:szCs w:val="21"/>
                <w:highlight w:val="none"/>
                <w:shd w:val="clear" w:color="auto" w:fill="auto"/>
                <w:lang w:val="en-US" w:eastAsia="zh-CN"/>
              </w:rPr>
              <w:t>基本要求：人员齐备、专业配套应与资格审查提供的人员配备相一致，且具备相关岗位证书，拟投入的项目管理人员符合国家及广西壮族自治区的规定：</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sz w:val="21"/>
                <w:szCs w:val="21"/>
                <w:highlight w:val="none"/>
                <w:shd w:val="clear" w:color="auto" w:fill="auto"/>
                <w:lang w:eastAsia="zh-CN"/>
              </w:rPr>
            </w:pPr>
            <w:r>
              <w:rPr>
                <w:rFonts w:hint="eastAsia" w:ascii="宋体" w:hAnsi="宋体" w:eastAsia="宋体" w:cs="宋体"/>
                <w:b w:val="0"/>
                <w:bCs w:val="0"/>
                <w:color w:val="000000"/>
                <w:sz w:val="21"/>
                <w:szCs w:val="21"/>
                <w:highlight w:val="none"/>
                <w:shd w:val="clear" w:color="auto" w:fill="auto"/>
                <w:lang w:val="en-US" w:eastAsia="zh-CN"/>
              </w:rPr>
              <w:t>①人员配备齐全，人员搭配合理，很好满足施工需要，得5分。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sz w:val="21"/>
                <w:szCs w:val="21"/>
                <w:highlight w:val="none"/>
                <w:shd w:val="clear" w:color="auto" w:fill="auto"/>
                <w:lang w:eastAsia="zh-CN"/>
              </w:rPr>
            </w:pPr>
            <w:r>
              <w:rPr>
                <w:rFonts w:hint="eastAsia" w:ascii="宋体" w:hAnsi="宋体" w:eastAsia="宋体" w:cs="宋体"/>
                <w:b w:val="0"/>
                <w:bCs w:val="0"/>
                <w:color w:val="000000"/>
                <w:sz w:val="21"/>
                <w:szCs w:val="21"/>
                <w:highlight w:val="none"/>
                <w:shd w:val="clear" w:color="auto" w:fill="auto"/>
                <w:lang w:eastAsia="zh-CN"/>
              </w:rPr>
              <w:t>②</w:t>
            </w:r>
            <w:r>
              <w:rPr>
                <w:rFonts w:hint="eastAsia" w:ascii="宋体" w:hAnsi="宋体" w:eastAsia="宋体" w:cs="宋体"/>
                <w:b w:val="0"/>
                <w:bCs w:val="0"/>
                <w:color w:val="000000"/>
                <w:sz w:val="21"/>
                <w:szCs w:val="21"/>
                <w:highlight w:val="none"/>
                <w:shd w:val="clear" w:color="auto" w:fill="auto"/>
                <w:lang w:val="en-US" w:eastAsia="zh-CN"/>
              </w:rPr>
              <w:t>人员配备比较齐全，人员搭配较合理，满足施工需要</w:t>
            </w:r>
            <w:r>
              <w:rPr>
                <w:rFonts w:hint="eastAsia" w:ascii="宋体" w:hAnsi="宋体" w:eastAsia="宋体" w:cs="宋体"/>
                <w:b w:val="0"/>
                <w:bCs w:val="0"/>
                <w:color w:val="000000"/>
                <w:sz w:val="21"/>
                <w:szCs w:val="21"/>
                <w:highlight w:val="none"/>
                <w:shd w:val="clear" w:color="auto" w:fill="auto"/>
                <w:lang w:eastAsia="zh-CN"/>
              </w:rPr>
              <w:t>，</w:t>
            </w:r>
            <w:r>
              <w:rPr>
                <w:rFonts w:hint="eastAsia" w:ascii="宋体" w:hAnsi="宋体" w:eastAsia="宋体" w:cs="宋体"/>
                <w:b w:val="0"/>
                <w:bCs w:val="0"/>
                <w:color w:val="000000"/>
                <w:sz w:val="21"/>
                <w:szCs w:val="21"/>
                <w:highlight w:val="none"/>
                <w:shd w:val="clear" w:color="auto" w:fill="auto"/>
                <w:lang w:val="en-US" w:eastAsia="zh-CN"/>
              </w:rPr>
              <w:t>得</w:t>
            </w:r>
            <w:r>
              <w:rPr>
                <w:rFonts w:hint="eastAsia" w:ascii="宋体" w:hAnsi="宋体" w:cs="宋体"/>
                <w:b w:val="0"/>
                <w:bCs w:val="0"/>
                <w:color w:val="000000"/>
                <w:sz w:val="21"/>
                <w:szCs w:val="21"/>
                <w:highlight w:val="none"/>
                <w:shd w:val="clear" w:color="auto" w:fill="auto"/>
                <w:lang w:val="en-US" w:eastAsia="zh-CN"/>
              </w:rPr>
              <w:t>4</w:t>
            </w:r>
            <w:r>
              <w:rPr>
                <w:rFonts w:hint="eastAsia" w:ascii="宋体" w:hAnsi="宋体" w:eastAsia="宋体" w:cs="宋体"/>
                <w:b w:val="0"/>
                <w:bCs w:val="0"/>
                <w:color w:val="000000"/>
                <w:sz w:val="21"/>
                <w:szCs w:val="21"/>
                <w:highlight w:val="none"/>
                <w:shd w:val="clear" w:color="auto" w:fill="auto"/>
                <w:lang w:val="en-US" w:eastAsia="zh-CN"/>
              </w:rPr>
              <w:t>分。</w:t>
            </w:r>
          </w:p>
          <w:p>
            <w:pPr>
              <w:pageBreakBefore w:val="0"/>
              <w:widowControl/>
              <w:kinsoku/>
              <w:overflowPunct/>
              <w:topLinePunct w:val="0"/>
              <w:bidi w:val="0"/>
              <w:spacing w:line="440" w:lineRule="exact"/>
              <w:rPr>
                <w:rFonts w:hint="eastAsia" w:ascii="宋体" w:hAnsi="宋体" w:eastAsia="宋体" w:cs="宋体"/>
                <w:kern w:val="0"/>
                <w:szCs w:val="21"/>
              </w:rPr>
            </w:pPr>
            <w:r>
              <w:rPr>
                <w:rFonts w:hint="eastAsia" w:ascii="宋体" w:hAnsi="宋体" w:eastAsia="宋体" w:cs="宋体"/>
                <w:b w:val="0"/>
                <w:bCs w:val="0"/>
                <w:color w:val="000000"/>
                <w:sz w:val="21"/>
                <w:szCs w:val="21"/>
                <w:highlight w:val="none"/>
                <w:shd w:val="clear" w:color="auto" w:fill="auto"/>
                <w:lang w:eastAsia="zh-CN"/>
              </w:rPr>
              <w:t>③</w:t>
            </w:r>
            <w:r>
              <w:rPr>
                <w:rFonts w:hint="eastAsia" w:ascii="宋体" w:hAnsi="宋体" w:eastAsia="宋体" w:cs="宋体"/>
                <w:b w:val="0"/>
                <w:bCs w:val="0"/>
                <w:color w:val="000000"/>
                <w:sz w:val="21"/>
                <w:szCs w:val="21"/>
                <w:highlight w:val="none"/>
                <w:shd w:val="clear" w:color="auto" w:fill="auto"/>
                <w:lang w:val="en-US" w:eastAsia="zh-CN"/>
              </w:rPr>
              <w:t>组织结构比较完善，人员基本齐全，基本满足施工需要</w:t>
            </w:r>
            <w:r>
              <w:rPr>
                <w:rFonts w:hint="eastAsia" w:ascii="宋体" w:hAnsi="宋体" w:eastAsia="宋体" w:cs="宋体"/>
                <w:b w:val="0"/>
                <w:bCs w:val="0"/>
                <w:color w:val="000000"/>
                <w:sz w:val="21"/>
                <w:szCs w:val="21"/>
                <w:highlight w:val="none"/>
                <w:shd w:val="clear" w:color="auto" w:fill="auto"/>
                <w:lang w:eastAsia="zh-CN"/>
              </w:rPr>
              <w:t>，</w:t>
            </w:r>
            <w:r>
              <w:rPr>
                <w:rFonts w:hint="eastAsia" w:ascii="宋体" w:hAnsi="宋体" w:eastAsia="宋体" w:cs="宋体"/>
                <w:b w:val="0"/>
                <w:bCs w:val="0"/>
                <w:color w:val="000000"/>
                <w:sz w:val="21"/>
                <w:szCs w:val="21"/>
                <w:highlight w:val="none"/>
                <w:shd w:val="clear" w:color="auto" w:fill="auto"/>
                <w:lang w:val="en-US" w:eastAsia="zh-CN"/>
              </w:rPr>
              <w:t>得</w:t>
            </w:r>
            <w:r>
              <w:rPr>
                <w:rFonts w:hint="eastAsia" w:ascii="宋体" w:hAnsi="宋体" w:cs="宋体"/>
                <w:b w:val="0"/>
                <w:bCs w:val="0"/>
                <w:color w:val="000000"/>
                <w:sz w:val="21"/>
                <w:szCs w:val="21"/>
                <w:highlight w:val="none"/>
                <w:shd w:val="clear" w:color="auto" w:fill="auto"/>
                <w:lang w:val="en-US" w:eastAsia="zh-CN"/>
              </w:rPr>
              <w:t>3</w:t>
            </w:r>
            <w:r>
              <w:rPr>
                <w:rFonts w:hint="eastAsia" w:ascii="宋体" w:hAnsi="宋体" w:eastAsia="宋体" w:cs="宋体"/>
                <w:b w:val="0"/>
                <w:bCs w:val="0"/>
                <w:color w:val="000000"/>
                <w:sz w:val="21"/>
                <w:szCs w:val="21"/>
                <w:highlight w:val="none"/>
                <w:shd w:val="clear" w:color="auto" w:fill="auto"/>
                <w:lang w:val="en-US" w:eastAsia="zh-CN"/>
              </w:rPr>
              <w:t>分。</w:t>
            </w:r>
          </w:p>
          <w:p>
            <w:pPr>
              <w:pageBreakBefore w:val="0"/>
              <w:widowControl/>
              <w:kinsoku/>
              <w:overflowPunct/>
              <w:topLinePunct w:val="0"/>
              <w:bidi w:val="0"/>
              <w:spacing w:line="440" w:lineRule="exact"/>
              <w:rPr>
                <w:rFonts w:hint="default" w:ascii="宋体" w:hAnsi="宋体" w:eastAsia="宋体" w:cs="宋体"/>
                <w:szCs w:val="21"/>
                <w:lang w:val="en-US" w:eastAsia="zh-CN"/>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 4 \* GB3 \* MERGEFORMAT </w:instrText>
            </w:r>
            <w:r>
              <w:rPr>
                <w:rFonts w:hint="eastAsia" w:ascii="宋体" w:hAnsi="宋体" w:eastAsia="宋体" w:cs="宋体"/>
                <w:kern w:val="0"/>
                <w:szCs w:val="21"/>
              </w:rPr>
              <w:fldChar w:fldCharType="separate"/>
            </w:r>
            <w:r>
              <w:t>④</w:t>
            </w:r>
            <w:r>
              <w:rPr>
                <w:rFonts w:hint="eastAsia" w:ascii="宋体" w:hAnsi="宋体" w:eastAsia="宋体" w:cs="宋体"/>
                <w:kern w:val="0"/>
                <w:szCs w:val="21"/>
              </w:rPr>
              <w:fldChar w:fldCharType="end"/>
            </w:r>
            <w:r>
              <w:rPr>
                <w:rFonts w:hint="eastAsia" w:ascii="宋体" w:hAnsi="宋体" w:eastAsia="宋体" w:cs="宋体"/>
                <w:kern w:val="0"/>
                <w:szCs w:val="21"/>
                <w:lang w:val="en-US" w:eastAsia="zh-CN"/>
              </w:rPr>
              <w:t>人员不齐全，不能满足施工需要</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施工组织设计（</w:t>
            </w:r>
            <w:r>
              <w:rPr>
                <w:rFonts w:hint="eastAsia" w:ascii="宋体" w:hAnsi="宋体" w:cs="宋体"/>
                <w:szCs w:val="21"/>
                <w:lang w:val="en-US" w:eastAsia="zh-CN"/>
              </w:rPr>
              <w:t>6</w:t>
            </w:r>
            <w:r>
              <w:rPr>
                <w:rFonts w:hint="eastAsia" w:ascii="宋体" w:hAnsi="宋体" w:eastAsia="宋体" w:cs="宋体"/>
                <w:szCs w:val="21"/>
                <w:lang w:val="en-US" w:eastAsia="zh-CN"/>
              </w:rPr>
              <w:t>0</w:t>
            </w:r>
            <w:r>
              <w:rPr>
                <w:rFonts w:hint="eastAsia" w:ascii="宋体" w:hAnsi="宋体" w:eastAsia="宋体" w:cs="宋体"/>
                <w:szCs w:val="21"/>
              </w:rPr>
              <w:t>分）</w:t>
            </w: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highlight w:val="none"/>
              </w:rPr>
            </w:pPr>
            <w:r>
              <w:rPr>
                <w:rFonts w:hint="eastAsia" w:ascii="宋体" w:hAnsi="宋体" w:eastAsia="宋体" w:cs="宋体"/>
                <w:szCs w:val="22"/>
                <w:highlight w:val="none"/>
                <w:lang w:val="en-US" w:eastAsia="zh-CN"/>
              </w:rPr>
              <w:t>1.</w:t>
            </w:r>
            <w:r>
              <w:rPr>
                <w:rFonts w:hint="eastAsia" w:ascii="宋体" w:hAnsi="宋体" w:eastAsia="宋体" w:cs="宋体"/>
                <w:szCs w:val="22"/>
                <w:highlight w:val="none"/>
              </w:rPr>
              <w:t>主要施工方法（</w:t>
            </w:r>
            <w:r>
              <w:rPr>
                <w:rFonts w:hint="eastAsia" w:ascii="宋体" w:hAnsi="宋体" w:cs="宋体"/>
                <w:szCs w:val="22"/>
                <w:highlight w:val="none"/>
                <w:lang w:val="en-US" w:eastAsia="zh-CN"/>
              </w:rPr>
              <w:t>6</w:t>
            </w:r>
            <w:r>
              <w:rPr>
                <w:rFonts w:hint="eastAsia" w:ascii="宋体" w:hAnsi="宋体" w:eastAsia="宋体" w:cs="宋体"/>
                <w:szCs w:val="22"/>
                <w:highlight w:val="none"/>
              </w:rPr>
              <w:t>.00分）</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 1 \* GB3 \* MERGEFORMAT </w:instrText>
            </w:r>
            <w:r>
              <w:rPr>
                <w:rFonts w:hint="eastAsia" w:ascii="宋体" w:hAnsi="宋体" w:eastAsia="宋体" w:cs="宋体"/>
                <w:szCs w:val="21"/>
                <w:highlight w:val="none"/>
                <w:lang w:val="en-US" w:eastAsia="zh-CN"/>
              </w:rPr>
              <w:fldChar w:fldCharType="separate"/>
            </w:r>
            <w:r>
              <w:t>①</w:t>
            </w:r>
            <w:r>
              <w:rPr>
                <w:rFonts w:hint="eastAsia" w:ascii="宋体" w:hAnsi="宋体" w:eastAsia="宋体" w:cs="宋体"/>
                <w:szCs w:val="21"/>
                <w:highlight w:val="none"/>
                <w:lang w:val="en-US" w:eastAsia="zh-CN"/>
              </w:rPr>
              <w:fldChar w:fldCharType="end"/>
            </w:r>
            <w:r>
              <w:rPr>
                <w:rFonts w:hint="eastAsia" w:ascii="宋体" w:hAnsi="宋体" w:cs="宋体"/>
                <w:szCs w:val="21"/>
              </w:rPr>
              <w:t>各主要分部施工方法符合项目实际，有详尽的施工技术方案，工艺先进、方法科</w:t>
            </w:r>
            <w:r>
              <w:rPr>
                <w:rFonts w:hint="eastAsia" w:ascii="宋体" w:hAnsi="宋体" w:cs="宋体"/>
                <w:kern w:val="0"/>
                <w:szCs w:val="21"/>
              </w:rPr>
              <w:t>学合理、可行，能指导具体施工并确保安全</w:t>
            </w:r>
            <w:r>
              <w:rPr>
                <w:rFonts w:hint="eastAsia" w:ascii="宋体" w:hAnsi="宋体" w:eastAsia="宋体" w:cs="宋体"/>
                <w:szCs w:val="21"/>
                <w:highlight w:val="none"/>
                <w:lang w:val="en-US" w:eastAsia="zh-CN"/>
              </w:rPr>
              <w:t>的，得</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分。</w:t>
            </w:r>
          </w:p>
          <w:p>
            <w:pPr>
              <w:pageBreakBefore w:val="0"/>
              <w:kinsoku/>
              <w:overflowPunct/>
              <w:topLinePunct w:val="0"/>
              <w:bidi w:val="0"/>
              <w:spacing w:line="44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 2 \* GB3 \* MERGEFORMAT </w:instrText>
            </w:r>
            <w:r>
              <w:rPr>
                <w:rFonts w:hint="eastAsia" w:ascii="宋体" w:hAnsi="宋体" w:eastAsia="宋体" w:cs="宋体"/>
                <w:szCs w:val="21"/>
                <w:highlight w:val="none"/>
                <w:lang w:val="en-US" w:eastAsia="zh-CN"/>
              </w:rPr>
              <w:fldChar w:fldCharType="separate"/>
            </w:r>
            <w:r>
              <w:t>②</w:t>
            </w:r>
            <w:r>
              <w:rPr>
                <w:rFonts w:hint="eastAsia" w:ascii="宋体" w:hAnsi="宋体" w:eastAsia="宋体" w:cs="宋体"/>
                <w:szCs w:val="21"/>
                <w:highlight w:val="none"/>
                <w:lang w:val="en-US" w:eastAsia="zh-CN"/>
              </w:rPr>
              <w:fldChar w:fldCharType="end"/>
            </w:r>
            <w:r>
              <w:rPr>
                <w:rFonts w:hint="eastAsia" w:ascii="宋体" w:hAnsi="宋体" w:cs="宋体"/>
                <w:szCs w:val="21"/>
              </w:rPr>
              <w:t>各主要分部施工方法符合项目实际，有较详尽的施工技术方案，工艺较先进、方法较科学合理、可行，能指导具体施工并确保安全</w:t>
            </w:r>
            <w:r>
              <w:rPr>
                <w:rFonts w:hint="eastAsia" w:ascii="宋体" w:hAnsi="宋体" w:eastAsia="宋体" w:cs="宋体"/>
                <w:szCs w:val="21"/>
                <w:highlight w:val="none"/>
                <w:lang w:val="en-US" w:eastAsia="zh-CN"/>
              </w:rPr>
              <w:t>的，得4</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p>
            <w:pPr>
              <w:pageBreakBefore w:val="0"/>
              <w:kinsoku/>
              <w:overflowPunct/>
              <w:topLinePunct w:val="0"/>
              <w:bidi w:val="0"/>
              <w:spacing w:line="44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 3 \* GB3 \* MERGEFORMAT </w:instrText>
            </w:r>
            <w:r>
              <w:rPr>
                <w:rFonts w:hint="eastAsia" w:ascii="宋体" w:hAnsi="宋体" w:eastAsia="宋体" w:cs="宋体"/>
                <w:szCs w:val="21"/>
                <w:highlight w:val="none"/>
                <w:lang w:val="en-US" w:eastAsia="zh-CN"/>
              </w:rPr>
              <w:fldChar w:fldCharType="separate"/>
            </w:r>
            <w:r>
              <w:t>③</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各主要分部施工方法符合项目实际，有施工技术方案，工艺及方法基本可行，基本能指导具体施工并确保安全的，得3分。</w:t>
            </w:r>
          </w:p>
          <w:p>
            <w:pPr>
              <w:pageBreakBefore w:val="0"/>
              <w:kinsoku/>
              <w:overflowPunct/>
              <w:topLinePunct w:val="0"/>
              <w:bidi w:val="0"/>
              <w:spacing w:line="44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 4 \* GB3 \* MERGEFORMAT </w:instrText>
            </w:r>
            <w:r>
              <w:rPr>
                <w:rFonts w:hint="eastAsia" w:ascii="宋体" w:hAnsi="宋体" w:eastAsia="宋体" w:cs="宋体"/>
                <w:szCs w:val="21"/>
                <w:highlight w:val="none"/>
                <w:lang w:val="en-US" w:eastAsia="zh-CN"/>
              </w:rPr>
              <w:fldChar w:fldCharType="separate"/>
            </w:r>
            <w:r>
              <w:t>④</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各主要分部施工方法不符合项目实际，无详尽的施工技术方案，不能指导具体施工并确保安全的， 得1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top"/>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rPr>
            </w:pPr>
            <w:r>
              <w:rPr>
                <w:rFonts w:hint="eastAsia" w:ascii="宋体" w:hAnsi="宋体" w:eastAsia="宋体" w:cs="宋体"/>
                <w:szCs w:val="22"/>
                <w:lang w:val="en-US" w:eastAsia="zh-CN"/>
              </w:rPr>
              <w:t>2.</w:t>
            </w:r>
            <w:r>
              <w:rPr>
                <w:rFonts w:hint="eastAsia" w:ascii="宋体" w:hAnsi="宋体" w:eastAsia="宋体" w:cs="宋体"/>
                <w:szCs w:val="22"/>
              </w:rPr>
              <w:t>拟投入的主要物资计划（</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 1 \* GB3 \* MERGEFORMAT </w:instrText>
            </w:r>
            <w:r>
              <w:rPr>
                <w:rFonts w:hint="eastAsia" w:ascii="宋体" w:hAnsi="宋体" w:eastAsia="宋体" w:cs="宋体"/>
                <w:szCs w:val="21"/>
                <w:lang w:val="en-US" w:eastAsia="zh-CN"/>
              </w:rPr>
              <w:fldChar w:fldCharType="separate"/>
            </w:r>
            <w:r>
              <w:t>①</w:t>
            </w:r>
            <w:r>
              <w:rPr>
                <w:rFonts w:hint="eastAsia" w:ascii="宋体" w:hAnsi="宋体" w:eastAsia="宋体" w:cs="宋体"/>
                <w:szCs w:val="21"/>
                <w:lang w:val="en-US" w:eastAsia="zh-CN"/>
              </w:rPr>
              <w:fldChar w:fldCharType="end"/>
            </w:r>
            <w:r>
              <w:rPr>
                <w:rFonts w:hint="eastAsia" w:ascii="宋体" w:hAnsi="宋体" w:eastAsia="宋体" w:cs="宋体"/>
                <w:szCs w:val="21"/>
                <w:lang w:val="en-US" w:eastAsia="zh-CN"/>
              </w:rPr>
              <w:t>投入的施工材料有详细的组织计划且计划周密，数量、选型配置、进场时间安排合理， 满足施工需要的，得</w:t>
            </w:r>
            <w:r>
              <w:rPr>
                <w:rFonts w:hint="eastAsia" w:ascii="宋体" w:hAnsi="宋体" w:cs="宋体"/>
                <w:szCs w:val="21"/>
                <w:lang w:val="en-US" w:eastAsia="zh-CN"/>
              </w:rPr>
              <w:t>6</w:t>
            </w:r>
            <w:r>
              <w:rPr>
                <w:rFonts w:hint="eastAsia" w:ascii="宋体" w:hAnsi="宋体" w:eastAsia="宋体" w:cs="宋体"/>
                <w:szCs w:val="21"/>
                <w:lang w:val="en-US" w:eastAsia="zh-CN"/>
              </w:rPr>
              <w:t>分。</w:t>
            </w:r>
          </w:p>
          <w:p>
            <w:pPr>
              <w:pageBreakBefore w:val="0"/>
              <w:kinsoku/>
              <w:overflowPunct/>
              <w:topLinePunct w:val="0"/>
              <w:bidi w:val="0"/>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 2 \* GB3 \* MERGEFORMAT </w:instrText>
            </w:r>
            <w:r>
              <w:rPr>
                <w:rFonts w:hint="eastAsia" w:ascii="宋体" w:hAnsi="宋体" w:eastAsia="宋体" w:cs="宋体"/>
                <w:szCs w:val="21"/>
                <w:lang w:val="en-US" w:eastAsia="zh-CN"/>
              </w:rPr>
              <w:fldChar w:fldCharType="separate"/>
            </w:r>
            <w:r>
              <w:t>②</w:t>
            </w:r>
            <w:r>
              <w:rPr>
                <w:rFonts w:hint="eastAsia" w:ascii="宋体" w:hAnsi="宋体" w:eastAsia="宋体" w:cs="宋体"/>
                <w:szCs w:val="21"/>
                <w:lang w:val="en-US" w:eastAsia="zh-CN"/>
              </w:rPr>
              <w:fldChar w:fldCharType="end"/>
            </w:r>
            <w:r>
              <w:rPr>
                <w:rFonts w:hint="eastAsia" w:ascii="宋体" w:hAnsi="宋体" w:eastAsia="宋体" w:cs="宋体"/>
                <w:szCs w:val="21"/>
                <w:lang w:val="en-US" w:eastAsia="zh-CN"/>
              </w:rPr>
              <w:t>投入的施工材料有组织计划且计划较好，数量、选型配置、进场时间安排合理，基本满足施工需要的，得4</w:t>
            </w:r>
            <w:r>
              <w:rPr>
                <w:rFonts w:hint="eastAsia" w:ascii="宋体" w:hAnsi="宋体" w:cs="宋体"/>
                <w:szCs w:val="21"/>
                <w:lang w:val="en-US" w:eastAsia="zh-CN"/>
              </w:rPr>
              <w:t>.5</w:t>
            </w:r>
            <w:r>
              <w:rPr>
                <w:rFonts w:hint="eastAsia" w:ascii="宋体" w:hAnsi="宋体" w:eastAsia="宋体" w:cs="宋体"/>
                <w:szCs w:val="21"/>
                <w:lang w:val="en-US" w:eastAsia="zh-CN"/>
              </w:rPr>
              <w:t>分。</w:t>
            </w:r>
          </w:p>
          <w:p>
            <w:pPr>
              <w:pageBreakBefore w:val="0"/>
              <w:kinsoku/>
              <w:overflowPunct/>
              <w:topLinePunct w:val="0"/>
              <w:bidi w:val="0"/>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 3 \* GB3 \* MERGEFORMAT </w:instrText>
            </w:r>
            <w:r>
              <w:rPr>
                <w:rFonts w:hint="eastAsia" w:ascii="宋体" w:hAnsi="宋体" w:eastAsia="宋体" w:cs="宋体"/>
                <w:szCs w:val="21"/>
                <w:lang w:val="en-US" w:eastAsia="zh-CN"/>
              </w:rPr>
              <w:fldChar w:fldCharType="separate"/>
            </w:r>
            <w:r>
              <w:t>③</w:t>
            </w:r>
            <w:r>
              <w:rPr>
                <w:rFonts w:hint="eastAsia" w:ascii="宋体" w:hAnsi="宋体" w:eastAsia="宋体" w:cs="宋体"/>
                <w:szCs w:val="21"/>
                <w:lang w:val="en-US" w:eastAsia="zh-CN"/>
              </w:rPr>
              <w:fldChar w:fldCharType="end"/>
            </w:r>
            <w:r>
              <w:rPr>
                <w:rFonts w:hint="eastAsia" w:ascii="宋体" w:hAnsi="宋体" w:eastAsia="宋体" w:cs="宋体"/>
                <w:szCs w:val="21"/>
                <w:lang w:val="en-US" w:eastAsia="zh-CN"/>
              </w:rPr>
              <w:t>投入的施工材料有组织计划且计划一般， 数量、选型配置、进场时间安排合理，基本满足施工需要的，得3分。</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 4 \* GB3 \* MERGEFORMAT </w:instrText>
            </w:r>
            <w:r>
              <w:rPr>
                <w:rFonts w:hint="eastAsia" w:ascii="宋体" w:hAnsi="宋体" w:eastAsia="宋体" w:cs="宋体"/>
                <w:szCs w:val="21"/>
                <w:lang w:val="en-US" w:eastAsia="zh-CN"/>
              </w:rPr>
              <w:fldChar w:fldCharType="separate"/>
            </w:r>
            <w:r>
              <w:t>④</w:t>
            </w:r>
            <w:r>
              <w:rPr>
                <w:rFonts w:hint="eastAsia" w:ascii="宋体" w:hAnsi="宋体" w:eastAsia="宋体" w:cs="宋体"/>
                <w:szCs w:val="21"/>
                <w:lang w:val="en-US" w:eastAsia="zh-CN"/>
              </w:rPr>
              <w:fldChar w:fldCharType="end"/>
            </w:r>
            <w:r>
              <w:rPr>
                <w:rFonts w:hint="eastAsia" w:ascii="宋体" w:hAnsi="宋体" w:eastAsia="宋体" w:cs="宋体"/>
                <w:szCs w:val="21"/>
                <w:lang w:val="en-US" w:eastAsia="zh-CN"/>
              </w:rPr>
              <w:t>投入的施工材料无详细的组织计划，数量、选型配置、进场时间安排不合理，不能满足施工需要的，得1</w:t>
            </w:r>
            <w:r>
              <w:rPr>
                <w:rFonts w:hint="eastAsia" w:ascii="宋体" w:hAnsi="宋体" w:cs="宋体"/>
                <w:szCs w:val="21"/>
                <w:lang w:val="en-US" w:eastAsia="zh-CN"/>
              </w:rPr>
              <w:t>.5</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top"/>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3.</w:t>
            </w:r>
            <w:r>
              <w:rPr>
                <w:rFonts w:hint="eastAsia" w:ascii="宋体" w:hAnsi="宋体" w:eastAsia="宋体" w:cs="宋体"/>
                <w:szCs w:val="22"/>
              </w:rPr>
              <w:t>拟投入的主要施工机械、设备计划（</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投入的施工机械、设备、机具有详细的组织计划且计划周密，设备数量、选型配置、进场时间安排合理，满足施工需要发的，得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投入的施工机械、设备、机具有组织计划且计划较好，设备数量、选型配置、进场时间安排合理，基本满足施工需要的，得4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投入的施工机械、设备、机具有组织计划且计划一般，设备数量、选型配置、进场时间安排合理，基本满足施工需要的，得3分。</w:t>
            </w:r>
          </w:p>
          <w:p>
            <w:pPr>
              <w:pageBreakBefore w:val="0"/>
              <w:kinsoku/>
              <w:overflowPunct/>
              <w:topLinePunct w:val="0"/>
              <w:bidi w:val="0"/>
              <w:spacing w:line="440" w:lineRule="exac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投入的施工机械、设备、机具无详细的组织计划，设备数量、选型配置、进场时间安排不合理，不能满足施工需要的，得1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4.</w:t>
            </w:r>
            <w:r>
              <w:rPr>
                <w:rFonts w:hint="eastAsia" w:ascii="宋体" w:hAnsi="宋体" w:eastAsia="宋体" w:cs="宋体"/>
                <w:szCs w:val="22"/>
              </w:rPr>
              <w:t>劳动力安排计划（</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各主要施工工序有详细周密的劳动力安排计划，有各工种劳动力安排计划，劳动力投入科学合理，满足施工需要的，得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各主要施工工序有劳动力安排计划，有各工种劳动力安排计划，劳动力投入合理，满足施工需要的，得4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各主要施工工序有劳动力安排计划，有各工种劳动力安排计划，劳动力投入基本合理，基本满足施工需要的，得3分。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各主要施工工序无劳动力安排计划，无各工种劳动力安排计划，劳动力投入不合理，不能 满足施工需要的，得1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5.</w:t>
            </w:r>
            <w:r>
              <w:rPr>
                <w:rFonts w:hint="eastAsia" w:ascii="宋体" w:hAnsi="宋体" w:eastAsia="宋体" w:cs="宋体"/>
                <w:szCs w:val="22"/>
              </w:rPr>
              <w:t>确保工程质量的技术组织措施（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szCs w:val="22"/>
                <w:lang w:val="en-US" w:eastAsia="zh-CN"/>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 1 \* GB3 \* MERGEFORMAT </w:instrText>
            </w:r>
            <w:r>
              <w:rPr>
                <w:rFonts w:hint="eastAsia" w:ascii="宋体" w:hAnsi="宋体" w:eastAsia="宋体" w:cs="宋体"/>
                <w:szCs w:val="22"/>
                <w:lang w:val="en-US" w:eastAsia="zh-CN"/>
              </w:rPr>
              <w:fldChar w:fldCharType="separate"/>
            </w:r>
            <w:r>
              <w:t>①</w:t>
            </w:r>
            <w:r>
              <w:rPr>
                <w:rFonts w:hint="eastAsia" w:ascii="宋体" w:hAnsi="宋体" w:eastAsia="宋体" w:cs="宋体"/>
                <w:szCs w:val="22"/>
                <w:lang w:val="en-US" w:eastAsia="zh-CN"/>
              </w:rPr>
              <w:fldChar w:fldCharType="end"/>
            </w:r>
            <w:r>
              <w:rPr>
                <w:rFonts w:hint="eastAsia" w:ascii="宋体" w:hAnsi="宋体" w:eastAsia="宋体" w:cs="宋体"/>
                <w:szCs w:val="22"/>
                <w:lang w:val="en-US" w:eastAsia="zh-CN"/>
              </w:rPr>
              <w:t>有专门的质量技术管理班子和制度，且人员配备合理，制度健全。主要工序质量技术保证措施和手段科学合理，自控体系完整，能有效保证技术质量，承诺的质量标准优于招标文件要求的，得</w:t>
            </w:r>
            <w:r>
              <w:rPr>
                <w:rFonts w:hint="eastAsia" w:ascii="宋体" w:hAnsi="宋体" w:cs="宋体"/>
                <w:szCs w:val="22"/>
                <w:lang w:val="en-US" w:eastAsia="zh-CN"/>
              </w:rPr>
              <w:t>6</w:t>
            </w:r>
            <w:r>
              <w:rPr>
                <w:rFonts w:hint="eastAsia" w:ascii="宋体" w:hAnsi="宋体" w:eastAsia="宋体" w:cs="宋体"/>
                <w:szCs w:val="22"/>
                <w:lang w:val="en-US" w:eastAsia="zh-CN"/>
              </w:rPr>
              <w:t>分。</w:t>
            </w:r>
          </w:p>
          <w:p>
            <w:pPr>
              <w:pageBreakBefore w:val="0"/>
              <w:kinsoku/>
              <w:overflowPunct/>
              <w:topLinePunct w:val="0"/>
              <w:bidi w:val="0"/>
              <w:spacing w:line="440" w:lineRule="exact"/>
              <w:jc w:val="left"/>
              <w:rPr>
                <w:rFonts w:hint="eastAsia" w:ascii="宋体" w:hAnsi="宋体" w:eastAsia="宋体" w:cs="宋体"/>
                <w:szCs w:val="22"/>
                <w:lang w:val="en-US" w:eastAsia="zh-CN"/>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 2 \* GB3 \* MERGEFORMAT </w:instrText>
            </w:r>
            <w:r>
              <w:rPr>
                <w:rFonts w:hint="eastAsia" w:ascii="宋体" w:hAnsi="宋体" w:eastAsia="宋体" w:cs="宋体"/>
                <w:szCs w:val="22"/>
                <w:lang w:val="en-US" w:eastAsia="zh-CN"/>
              </w:rPr>
              <w:fldChar w:fldCharType="separate"/>
            </w:r>
            <w:r>
              <w:t>②</w:t>
            </w:r>
            <w:r>
              <w:rPr>
                <w:rFonts w:hint="eastAsia" w:ascii="宋体" w:hAnsi="宋体" w:eastAsia="宋体" w:cs="宋体"/>
                <w:szCs w:val="22"/>
                <w:lang w:val="en-US" w:eastAsia="zh-CN"/>
              </w:rPr>
              <w:fldChar w:fldCharType="end"/>
            </w:r>
            <w:r>
              <w:rPr>
                <w:rFonts w:hint="eastAsia" w:ascii="宋体" w:hAnsi="宋体" w:eastAsia="宋体" w:cs="宋体"/>
                <w:szCs w:val="22"/>
                <w:lang w:val="en-US" w:eastAsia="zh-CN"/>
              </w:rPr>
              <w:t>有专门的质量技术管理班子和制度，且人员配备合理，制度健全。主要工序的质量技术保证措施和手段一般，自控体系较完整，基本保证技术质量，达到承诺的质量标准的，得4</w:t>
            </w:r>
            <w:r>
              <w:rPr>
                <w:rFonts w:hint="eastAsia" w:ascii="宋体" w:hAnsi="宋体" w:cs="宋体"/>
                <w:szCs w:val="22"/>
                <w:lang w:val="en-US" w:eastAsia="zh-CN"/>
              </w:rPr>
              <w:t>.5</w:t>
            </w:r>
            <w:r>
              <w:rPr>
                <w:rFonts w:hint="eastAsia" w:ascii="宋体" w:hAnsi="宋体" w:eastAsia="宋体" w:cs="宋体"/>
                <w:szCs w:val="22"/>
                <w:lang w:val="en-US" w:eastAsia="zh-CN"/>
              </w:rPr>
              <w:t>分。</w:t>
            </w:r>
          </w:p>
          <w:p>
            <w:pPr>
              <w:pageBreakBefore w:val="0"/>
              <w:kinsoku/>
              <w:overflowPunct/>
              <w:topLinePunct w:val="0"/>
              <w:bidi w:val="0"/>
              <w:spacing w:line="440" w:lineRule="exact"/>
              <w:jc w:val="left"/>
              <w:rPr>
                <w:rFonts w:hint="eastAsia" w:ascii="宋体" w:hAnsi="宋体" w:eastAsia="宋体" w:cs="宋体"/>
                <w:szCs w:val="22"/>
                <w:lang w:val="en-US" w:eastAsia="zh-CN"/>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 3 \* GB3 \* MERGEFORMAT </w:instrText>
            </w:r>
            <w:r>
              <w:rPr>
                <w:rFonts w:hint="eastAsia" w:ascii="宋体" w:hAnsi="宋体" w:eastAsia="宋体" w:cs="宋体"/>
                <w:szCs w:val="22"/>
                <w:lang w:val="en-US" w:eastAsia="zh-CN"/>
              </w:rPr>
              <w:fldChar w:fldCharType="separate"/>
            </w:r>
            <w:r>
              <w:t>③</w:t>
            </w:r>
            <w:r>
              <w:rPr>
                <w:rFonts w:hint="eastAsia" w:ascii="宋体" w:hAnsi="宋体" w:eastAsia="宋体" w:cs="宋体"/>
                <w:szCs w:val="22"/>
                <w:lang w:val="en-US" w:eastAsia="zh-CN"/>
              </w:rPr>
              <w:fldChar w:fldCharType="end"/>
            </w:r>
            <w:r>
              <w:rPr>
                <w:rFonts w:hint="eastAsia" w:ascii="宋体" w:hAnsi="宋体" w:eastAsia="宋体" w:cs="宋体"/>
                <w:szCs w:val="22"/>
                <w:lang w:val="en-US" w:eastAsia="zh-CN"/>
              </w:rPr>
              <w:t>有专门的质量技术管理班子和制度，且人员配备合理，制度健全。主要工序的质量技术保证措施和手段一般，自控体系一般，基本保证技术质量，达到承诺的质量标准的，得3分。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 4 \* GB3 \* MERGEFORMAT </w:instrText>
            </w:r>
            <w:r>
              <w:rPr>
                <w:rFonts w:hint="eastAsia" w:ascii="宋体" w:hAnsi="宋体" w:eastAsia="宋体" w:cs="宋体"/>
                <w:szCs w:val="22"/>
                <w:lang w:val="en-US" w:eastAsia="zh-CN"/>
              </w:rPr>
              <w:fldChar w:fldCharType="separate"/>
            </w:r>
            <w:r>
              <w:t>④</w:t>
            </w:r>
            <w:r>
              <w:rPr>
                <w:rFonts w:hint="eastAsia" w:ascii="宋体" w:hAnsi="宋体" w:eastAsia="宋体" w:cs="宋体"/>
                <w:szCs w:val="22"/>
                <w:lang w:val="en-US" w:eastAsia="zh-CN"/>
              </w:rPr>
              <w:fldChar w:fldCharType="end"/>
            </w:r>
            <w:r>
              <w:rPr>
                <w:rFonts w:hint="eastAsia" w:ascii="宋体" w:hAnsi="宋体" w:eastAsia="宋体" w:cs="宋体"/>
                <w:szCs w:val="22"/>
                <w:lang w:val="en-US" w:eastAsia="zh-CN"/>
              </w:rPr>
              <w:t>有专门的质量技术管理班子和制度，人员配备不合理，制度不健全。主要工序无质量技术保证措施和手段，自控体系不完整，不能有效保证技术质量，达不到承诺的质量标准的，得1</w:t>
            </w:r>
            <w:r>
              <w:rPr>
                <w:rFonts w:hint="eastAsia" w:ascii="宋体" w:hAnsi="宋体" w:cs="宋体"/>
                <w:szCs w:val="22"/>
                <w:lang w:val="en-US" w:eastAsia="zh-CN"/>
              </w:rPr>
              <w:t>.5</w:t>
            </w:r>
            <w:r>
              <w:rPr>
                <w:rFonts w:hint="eastAsia" w:ascii="宋体" w:hAnsi="宋体" w:eastAsia="宋体" w:cs="宋体"/>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6.</w:t>
            </w:r>
            <w:r>
              <w:rPr>
                <w:rFonts w:hint="eastAsia" w:ascii="宋体" w:hAnsi="宋体" w:eastAsia="宋体" w:cs="宋体"/>
                <w:szCs w:val="22"/>
              </w:rPr>
              <w:t>确保安全生产的技术组织措施（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有专门的安全管理人员和制度，且人员配备合理，制度健全，各道工序安全技术措施针 对性强，确保工程质量的技术组织措施符合实际且 满足有关安全技术标准要求。现场防火、应急救援、社会治安安全措施得力的，得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专门的安全管理人员和制度，且人员配备合理，制度健全，各道工序安全技术措施针对性一般，确保工程质量的技术组织措施符合实际且基本满足有关安全技术标准要求。现场防火、应急救援、社会治安安全措施较得力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专门的安全管理人员和制度，且人员配备合理，制度健全，各道工序安全技术措施针对性一般，确保工程质量的技术组织措施符合实际且基本满足有关安全技术标准要求。现场防火、应急救援、社会治安安全措施一般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有专门的安全管理人员和制度，人员配备不合理，制度不健全，各道工序安全技术措施针 无对性，不满足有关安全技术标准要求。现场防火、应急救援、社会治安安全措施不得力的，得1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7.</w:t>
            </w:r>
            <w:r>
              <w:rPr>
                <w:rFonts w:hint="eastAsia" w:ascii="宋体" w:hAnsi="宋体" w:eastAsia="宋体" w:cs="宋体"/>
                <w:szCs w:val="22"/>
              </w:rPr>
              <w:t>确保工期的技术组织措施（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在施工工艺、施工方法、材料选用、劳动力安排、技术等方面有保证工期的具体措施且措施得当。有控制工期的施工进度计划。有施工总进度表或施工网络图，各项计划图表编制完善，安排科学合理，符合本项目施工实际要求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在施工工艺、施工方法、材料选用、劳动力安排、技术等方面有较好的保证工期的具体措施且措施比较得当。有控制工期的施工进度计划。有施工总进度表或施工网络图，各项计划图表编制完善，安排基本科学合理，基本符合本项目施工实际要求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在施工工艺、施工方法、材料选用、劳动力安排、技术等方面有基本的保证工期的具体措施且措施基本得当。有控制工期的施工进度计划。有施工总进度表或施工网络图，各项计划图表编制基本合理，安排基本合理，基本符合本项目施工实际要求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在施工工艺、施工方法、材料选用、劳动力安排、技术等方面没有保证工期的具体措施且措施不当。没有控制工期的施工进度计划。没有施工总进度表或施工网络图，各项计划图表编制不完善，安排不科学合理，不符合本项目施工实际要求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8.</w:t>
            </w:r>
            <w:r>
              <w:rPr>
                <w:rFonts w:hint="eastAsia" w:ascii="宋体" w:hAnsi="宋体" w:eastAsia="宋体" w:cs="宋体"/>
                <w:szCs w:val="22"/>
              </w:rPr>
              <w:t>确保文明施工的技术组织措施（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针对本工程项目特点，有现场文明施工、环境保护措施，且措施内容应达到 《建筑施工安全生产检查标准》（JGJ59-2011） 合格标准并符合《广西壮族自治区建筑工程文明施工导则》要求。各项措施周全、具体、 有效。有具体实现现场文明施工目标的承诺的，得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针对本工程项目特点，有现场文明施工、环境保护措施，且措施内容应达到 《建筑施工安全生产检查标准》（JGJ59-2011） 合格标准并符合《广西壮族自治区建筑工程文明施工导则》要求。各项措施合理。有具体实现现场文明施工目标的承诺的，得4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针对本工程项目特点，有现场文明施工、环境保护措施，且措施内容应达到《建筑施工安全生产检查标准》（JGJ59-2011）合格标准并符 合《广西壮族自治区建筑工程文明施工导则》要求。各项措施一般。有具体实现现场文明施工目标的承诺的，得3分。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项目特点，应有现场文明施工、环境保护措施，且措施内容应达到《建筑施工安全生产检查标准》（JGJ59-2011）合格标准并符合《广西壮族自治区建筑工程文明施工导则》要求。各项措施不合理。无具体实现现场文明施工目标的承诺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9.</w:t>
            </w:r>
            <w:r>
              <w:rPr>
                <w:rFonts w:hint="eastAsia" w:ascii="宋体" w:hAnsi="宋体" w:eastAsia="宋体" w:cs="宋体"/>
                <w:szCs w:val="22"/>
              </w:rPr>
              <w:t>工程施工的重点和难点及保证措施（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针对本工程的特点，阐述本工程的重点和难点，解决重点和难点问题的方法科学合理的，得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针对本工程的特点，阐述本工程的重点和难点，解决重点和难点问题的方法基本合理的，得4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针对本工程的特点，阐述本工程的重点和难点，解决重点和难点问题的方法一般的，得3分。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针对本工程的特点，阐述本工程的重点和难点，解决重点和难点问题的方法不合理的，得1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10.</w:t>
            </w:r>
            <w:r>
              <w:rPr>
                <w:rFonts w:hint="eastAsia" w:ascii="宋体" w:hAnsi="宋体" w:eastAsia="宋体" w:cs="宋体"/>
                <w:szCs w:val="22"/>
              </w:rPr>
              <w:t>施工总平面布置图（</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有施工总平面布置图，安排科学合理，符合本项目施工实际要求的，得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有施工总平面布置图，安排合理，基本符合本项目施工实际要求的，得4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有施工总平面布置图，安排基本合理，基本符合本项目施工实际要求的，得3分。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无施工总平面布置图，安排不合理，不符合本项目施工实际要求的，得1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2"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2.2.2（</w:t>
            </w:r>
            <w:r>
              <w:rPr>
                <w:rFonts w:hint="eastAsia" w:ascii="宋体" w:hAnsi="宋体" w:eastAsia="宋体" w:cs="宋体"/>
                <w:szCs w:val="21"/>
                <w:lang w:val="en-US" w:eastAsia="zh-CN"/>
              </w:rPr>
              <w:t>2</w:t>
            </w:r>
            <w:r>
              <w:rPr>
                <w:rFonts w:hint="eastAsia" w:ascii="宋体" w:hAnsi="宋体" w:eastAsia="宋体" w:cs="宋体"/>
                <w:szCs w:val="21"/>
              </w:rPr>
              <w:t>）</w:t>
            </w:r>
          </w:p>
        </w:tc>
        <w:tc>
          <w:tcPr>
            <w:tcW w:w="1801"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商务标</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评分标准</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（满分</w:t>
            </w:r>
            <w:r>
              <w:rPr>
                <w:rFonts w:hint="eastAsia" w:ascii="宋体" w:hAnsi="宋体" w:cs="宋体"/>
                <w:szCs w:val="21"/>
                <w:lang w:val="en-US" w:eastAsia="zh-CN"/>
              </w:rPr>
              <w:t>3</w:t>
            </w:r>
            <w:r>
              <w:rPr>
                <w:rFonts w:hint="eastAsia" w:ascii="宋体" w:hAnsi="宋体" w:eastAsia="宋体" w:cs="宋体"/>
                <w:szCs w:val="21"/>
              </w:rPr>
              <w:t>0分）</w:t>
            </w:r>
          </w:p>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1.本项目属于专门面向</w:t>
            </w:r>
            <w:r>
              <w:rPr>
                <w:rFonts w:hint="eastAsia" w:ascii="宋体" w:hAnsi="宋体" w:cs="宋体"/>
                <w:szCs w:val="21"/>
                <w:lang w:eastAsia="zh-CN"/>
              </w:rPr>
              <w:t>小微</w:t>
            </w:r>
            <w:r>
              <w:rPr>
                <w:rFonts w:hint="eastAsia" w:ascii="宋体" w:hAnsi="宋体" w:eastAsia="宋体" w:cs="宋体"/>
                <w:szCs w:val="21"/>
              </w:rPr>
              <w:t>企业采购的项目或者采购包，不再执行价格评审优惠的扶持政策。</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以进入比较与评价环节的最低的评审价为基准价，基准价得分为</w:t>
            </w:r>
            <w:r>
              <w:rPr>
                <w:rFonts w:hint="eastAsia" w:ascii="宋体" w:hAnsi="宋体" w:cs="宋体"/>
                <w:szCs w:val="21"/>
                <w:lang w:val="en-US" w:eastAsia="zh-CN"/>
              </w:rPr>
              <w:t>3</w:t>
            </w:r>
            <w:r>
              <w:rPr>
                <w:rFonts w:hint="eastAsia" w:ascii="宋体" w:hAnsi="宋体" w:eastAsia="宋体" w:cs="宋体"/>
                <w:szCs w:val="21"/>
                <w:lang w:val="en-US" w:eastAsia="zh-CN"/>
              </w:rPr>
              <w:t>0</w:t>
            </w:r>
            <w:r>
              <w:rPr>
                <w:rFonts w:hint="eastAsia" w:ascii="宋体" w:hAnsi="宋体" w:eastAsia="宋体" w:cs="宋体"/>
                <w:szCs w:val="21"/>
              </w:rPr>
              <w:t>分。</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价格分计算公式：</w:t>
            </w:r>
          </w:p>
          <w:p>
            <w:pPr>
              <w:pageBreakBefore w:val="0"/>
              <w:kinsoku/>
              <w:overflowPunct/>
              <w:topLinePunct w:val="0"/>
              <w:bidi w:val="0"/>
              <w:spacing w:line="440" w:lineRule="exact"/>
              <w:ind w:firstLine="210" w:firstLineChars="100"/>
              <w:rPr>
                <w:rFonts w:hint="eastAsia" w:ascii="宋体" w:hAnsi="宋体" w:eastAsia="宋体" w:cs="宋体"/>
                <w:szCs w:val="21"/>
              </w:rPr>
            </w:pPr>
            <w:r>
              <w:rPr>
                <w:rFonts w:hint="eastAsia" w:ascii="宋体" w:hAnsi="宋体" w:eastAsia="宋体" w:cs="宋体"/>
                <w:szCs w:val="21"/>
              </w:rPr>
              <w:t>报价得分=</w:t>
            </w:r>
            <w:r>
              <w:rPr>
                <w:rFonts w:hint="eastAsia" w:ascii="宋体" w:hAnsi="宋体" w:cs="宋体"/>
                <w:szCs w:val="21"/>
                <w:lang w:eastAsia="zh-CN"/>
              </w:rPr>
              <w:t>（</w:t>
            </w:r>
            <w:r>
              <w:rPr>
                <w:rFonts w:hint="eastAsia" w:ascii="宋体" w:hAnsi="宋体" w:eastAsia="宋体" w:cs="宋体"/>
                <w:szCs w:val="21"/>
              </w:rPr>
              <w:t>基准价</w:t>
            </w:r>
            <w:r>
              <w:rPr>
                <w:rFonts w:hint="eastAsia" w:ascii="宋体" w:hAnsi="宋体" w:cs="宋体"/>
                <w:szCs w:val="21"/>
                <w:lang w:val="en-US" w:eastAsia="zh-CN"/>
              </w:rPr>
              <w:t>/某供应商报价</w:t>
            </w:r>
            <w:r>
              <w:rPr>
                <w:rFonts w:hint="eastAsia" w:ascii="宋体" w:hAnsi="宋体" w:cs="宋体"/>
                <w:szCs w:val="21"/>
                <w:lang w:eastAsia="zh-CN"/>
              </w:rPr>
              <w:t>）</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lang w:val="en-US" w:eastAsia="zh-CN"/>
              </w:rPr>
              <w:t>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733" w:type="dxa"/>
            <w:gridSpan w:val="3"/>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投标人汇总得分</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22"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3</w:t>
            </w:r>
          </w:p>
        </w:tc>
        <w:tc>
          <w:tcPr>
            <w:tcW w:w="1811"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评标程序</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922"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3.1.2</w:t>
            </w:r>
          </w:p>
        </w:tc>
        <w:tc>
          <w:tcPr>
            <w:tcW w:w="1811"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否决投标条件</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详见本章附件B：否决投标条件</w:t>
            </w:r>
          </w:p>
        </w:tc>
      </w:tr>
    </w:tbl>
    <w:p>
      <w:pPr>
        <w:keepNext w:val="0"/>
        <w:keepLines w:val="0"/>
        <w:pageBreakBefore w:val="0"/>
        <w:widowControl w:val="0"/>
        <w:kinsoku/>
        <w:wordWrap/>
        <w:overflowPunct/>
        <w:topLinePunct w:val="0"/>
        <w:autoSpaceDE/>
        <w:autoSpaceDN/>
        <w:bidi w:val="0"/>
        <w:adjustRightInd/>
        <w:snapToGrid/>
        <w:spacing w:line="400" w:lineRule="exact"/>
        <w:ind w:left="42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类似工程相关证明材料包括：已完成的类似工程应附经建设行政主管部门或其认定的鉴证机构备案的中标通知书或合同协议书（或合同备案表）、工程接收证书（工程竣工验收证书）的复印件；在建类似工程应附中标通知书或经监督部门备案的合同协议书（或合同备案表）。</w:t>
      </w:r>
    </w:p>
    <w:p>
      <w:pPr>
        <w:keepNext w:val="0"/>
        <w:keepLines w:val="0"/>
        <w:pageBreakBefore w:val="0"/>
        <w:widowControl w:val="0"/>
        <w:kinsoku/>
        <w:wordWrap/>
        <w:overflowPunct/>
        <w:topLinePunct w:val="0"/>
        <w:autoSpaceDE/>
        <w:autoSpaceDN/>
        <w:bidi w:val="0"/>
        <w:adjustRightInd/>
        <w:snapToGrid/>
        <w:spacing w:line="400" w:lineRule="exact"/>
        <w:ind w:left="42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keepNext w:val="0"/>
        <w:keepLines w:val="0"/>
        <w:pageBreakBefore w:val="0"/>
        <w:widowControl w:val="0"/>
        <w:kinsoku/>
        <w:wordWrap/>
        <w:overflowPunct/>
        <w:topLinePunct w:val="0"/>
        <w:autoSpaceDE/>
        <w:autoSpaceDN/>
        <w:bidi w:val="0"/>
        <w:adjustRightInd/>
        <w:snapToGrid/>
        <w:spacing w:line="400" w:lineRule="exact"/>
        <w:ind w:left="420"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评标顺序：</w:t>
      </w:r>
      <w:r>
        <w:rPr>
          <w:rFonts w:hint="eastAsia" w:ascii="宋体" w:hAnsi="宋体" w:cs="宋体"/>
          <w:color w:val="000000"/>
          <w:sz w:val="21"/>
          <w:szCs w:val="21"/>
          <w:highlight w:val="none"/>
          <w:u w:val="single"/>
          <w:lang w:val="en-US" w:eastAsia="zh-CN"/>
        </w:rPr>
        <w:t>按标段1分标→2分标→3分标→……→21分标</w:t>
      </w:r>
      <w:r>
        <w:rPr>
          <w:rFonts w:hint="eastAsia" w:ascii="宋体" w:hAnsi="宋体" w:cs="宋体"/>
          <w:color w:val="000000"/>
          <w:sz w:val="21"/>
          <w:szCs w:val="21"/>
          <w:highlight w:val="none"/>
          <w:lang w:val="en-US" w:eastAsia="zh-CN"/>
        </w:rPr>
        <w:t>的顺序</w:t>
      </w:r>
      <w:r>
        <w:rPr>
          <w:rFonts w:hint="eastAsia" w:ascii="宋体" w:hAnsi="宋体" w:eastAsia="宋体" w:cs="宋体"/>
          <w:color w:val="000000"/>
          <w:sz w:val="21"/>
          <w:szCs w:val="21"/>
          <w:highlight w:val="none"/>
          <w:lang w:eastAsia="zh-CN"/>
        </w:rPr>
        <w:t>。</w:t>
      </w:r>
    </w:p>
    <w:p>
      <w:pPr>
        <w:pStyle w:val="161"/>
        <w:rPr>
          <w:rFonts w:hint="eastAsia" w:ascii="宋体" w:hAnsi="宋体" w:eastAsia="宋体" w:cs="宋体"/>
          <w:color w:val="000000"/>
          <w:sz w:val="21"/>
          <w:szCs w:val="21"/>
          <w:highlight w:val="none"/>
          <w:lang w:eastAsia="zh-CN"/>
        </w:rPr>
      </w:pPr>
    </w:p>
    <w:p>
      <w:pPr>
        <w:pStyle w:val="161"/>
        <w:rPr>
          <w:rFonts w:hint="eastAsia" w:ascii="宋体" w:hAnsi="宋体" w:eastAsia="宋体" w:cs="宋体"/>
          <w:color w:val="000000"/>
          <w:sz w:val="21"/>
          <w:szCs w:val="21"/>
          <w:highlight w:val="none"/>
          <w:lang w:eastAsia="zh-CN"/>
        </w:rPr>
      </w:pPr>
    </w:p>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pPr>
        <w:pStyle w:val="161"/>
        <w:jc w:val="center"/>
        <w:rPr>
          <w:rFonts w:hint="eastAsia" w:ascii="宋体" w:hAnsi="宋体" w:eastAsia="宋体" w:cs="宋体"/>
          <w:color w:val="000000"/>
          <w:sz w:val="28"/>
          <w:szCs w:val="28"/>
          <w:highlight w:val="none"/>
          <w:lang w:eastAsia="zh-CN"/>
        </w:rPr>
      </w:pPr>
      <w:r>
        <w:rPr>
          <w:rFonts w:hint="eastAsia" w:ascii="宋体" w:hAnsi="宋体" w:eastAsia="宋体" w:cs="宋体"/>
          <w:b/>
          <w:bCs/>
          <w:color w:val="000000"/>
          <w:sz w:val="28"/>
          <w:szCs w:val="28"/>
        </w:rPr>
        <w:t>中小微企业划型标准</w:t>
      </w:r>
    </w:p>
    <w:tbl>
      <w:tblPr>
        <w:tblStyle w:val="39"/>
        <w:tblW w:w="9855" w:type="dxa"/>
        <w:tblInd w:w="-210" w:type="dxa"/>
        <w:tblLayout w:type="fixed"/>
        <w:tblCellMar>
          <w:top w:w="0" w:type="dxa"/>
          <w:left w:w="108" w:type="dxa"/>
          <w:bottom w:w="0" w:type="dxa"/>
          <w:right w:w="108" w:type="dxa"/>
        </w:tblCellMar>
      </w:tblPr>
      <w:tblGrid>
        <w:gridCol w:w="2311"/>
        <w:gridCol w:w="1675"/>
        <w:gridCol w:w="1064"/>
        <w:gridCol w:w="2084"/>
        <w:gridCol w:w="1700"/>
        <w:gridCol w:w="1021"/>
      </w:tblGrid>
      <w:tr>
        <w:tblPrEx>
          <w:tblCellMar>
            <w:top w:w="0" w:type="dxa"/>
            <w:left w:w="108" w:type="dxa"/>
            <w:bottom w:w="0" w:type="dxa"/>
            <w:right w:w="108" w:type="dxa"/>
          </w:tblCellMar>
        </w:tblPrEx>
        <w:trPr>
          <w:trHeight w:val="483"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行业名称</w:t>
            </w:r>
          </w:p>
        </w:tc>
        <w:tc>
          <w:tcPr>
            <w:tcW w:w="16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指标名称</w:t>
            </w: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计量单位</w:t>
            </w:r>
          </w:p>
        </w:tc>
        <w:tc>
          <w:tcPr>
            <w:tcW w:w="20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中型</w:t>
            </w:r>
          </w:p>
        </w:tc>
        <w:tc>
          <w:tcPr>
            <w:tcW w:w="17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小型</w:t>
            </w:r>
          </w:p>
        </w:tc>
        <w:tc>
          <w:tcPr>
            <w:tcW w:w="102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微型</w:t>
            </w:r>
          </w:p>
        </w:tc>
      </w:tr>
      <w:tr>
        <w:tblPrEx>
          <w:tblCellMar>
            <w:top w:w="0" w:type="dxa"/>
            <w:left w:w="108" w:type="dxa"/>
            <w:bottom w:w="0" w:type="dxa"/>
            <w:right w:w="108" w:type="dxa"/>
          </w:tblCellMar>
        </w:tblPrEx>
        <w:trPr>
          <w:trHeight w:val="368" w:hRule="atLeast"/>
        </w:trPr>
        <w:tc>
          <w:tcPr>
            <w:tcW w:w="23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农、林、牧、渔</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tblPrEx>
          <w:tblCellMar>
            <w:top w:w="0" w:type="dxa"/>
            <w:left w:w="108" w:type="dxa"/>
            <w:bottom w:w="0" w:type="dxa"/>
            <w:right w:w="108" w:type="dxa"/>
          </w:tblCellMar>
        </w:tblPrEx>
        <w:trPr>
          <w:trHeight w:val="359"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tblPrEx>
          <w:tblCellMar>
            <w:top w:w="0" w:type="dxa"/>
            <w:left w:w="108" w:type="dxa"/>
            <w:bottom w:w="0" w:type="dxa"/>
            <w:right w:w="108" w:type="dxa"/>
          </w:tblCellMar>
        </w:tblPrEx>
        <w:trPr>
          <w:trHeight w:val="360"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tblPrEx>
          <w:tblCellMar>
            <w:top w:w="0" w:type="dxa"/>
            <w:left w:w="108" w:type="dxa"/>
            <w:bottom w:w="0" w:type="dxa"/>
            <w:right w:w="108" w:type="dxa"/>
          </w:tblCellMar>
        </w:tblPrEx>
        <w:trPr>
          <w:trHeight w:val="351"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建筑业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Z＜300</w:t>
            </w:r>
          </w:p>
        </w:tc>
      </w:tr>
      <w:tr>
        <w:tblPrEx>
          <w:tblCellMar>
            <w:top w:w="0" w:type="dxa"/>
            <w:left w:w="108" w:type="dxa"/>
            <w:bottom w:w="0" w:type="dxa"/>
            <w:right w:w="108" w:type="dxa"/>
          </w:tblCellMar>
        </w:tblPrEx>
        <w:trPr>
          <w:trHeight w:val="368"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批发业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X＜5</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Y＜1000</w:t>
            </w:r>
          </w:p>
        </w:tc>
      </w:tr>
      <w:tr>
        <w:tblPrEx>
          <w:tblCellMar>
            <w:top w:w="0" w:type="dxa"/>
            <w:left w:w="108" w:type="dxa"/>
            <w:bottom w:w="0" w:type="dxa"/>
            <w:right w:w="108" w:type="dxa"/>
          </w:tblCellMar>
        </w:tblPrEx>
        <w:trPr>
          <w:trHeight w:val="376"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零售业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403"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76"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交通运输业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tblPrEx>
          <w:tblCellMar>
            <w:top w:w="0" w:type="dxa"/>
            <w:left w:w="108" w:type="dxa"/>
            <w:bottom w:w="0" w:type="dxa"/>
            <w:right w:w="108" w:type="dxa"/>
          </w:tblCellMar>
        </w:tblPrEx>
        <w:trPr>
          <w:trHeight w:val="350"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w:t>
            </w:r>
          </w:p>
        </w:tc>
      </w:tr>
      <w:tr>
        <w:tblPrEx>
          <w:tblCellMar>
            <w:top w:w="0" w:type="dxa"/>
            <w:left w:w="108" w:type="dxa"/>
            <w:bottom w:w="0" w:type="dxa"/>
            <w:right w:w="108" w:type="dxa"/>
          </w:tblCellMar>
        </w:tblPrEx>
        <w:trPr>
          <w:trHeight w:val="376"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仓储业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tblPrEx>
          <w:tblCellMar>
            <w:top w:w="0" w:type="dxa"/>
            <w:left w:w="108" w:type="dxa"/>
            <w:bottom w:w="0" w:type="dxa"/>
            <w:right w:w="108" w:type="dxa"/>
          </w:tblCellMar>
        </w:tblPrEx>
        <w:trPr>
          <w:trHeight w:val="359"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50"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邮政业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68"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住宿业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50"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42"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餐饮业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33"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42"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信息传输业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41"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33"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软件和信息技术服务业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33"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tblPrEx>
          <w:tblCellMar>
            <w:top w:w="0" w:type="dxa"/>
            <w:left w:w="108" w:type="dxa"/>
            <w:bottom w:w="0" w:type="dxa"/>
            <w:right w:w="108" w:type="dxa"/>
          </w:tblCellMar>
        </w:tblPrEx>
        <w:trPr>
          <w:trHeight w:val="324"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房地产开发经营</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2000≤Y＜5000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Y＜2000</w:t>
            </w:r>
          </w:p>
        </w:tc>
      </w:tr>
      <w:tr>
        <w:tblPrEx>
          <w:tblCellMar>
            <w:top w:w="0" w:type="dxa"/>
            <w:left w:w="108" w:type="dxa"/>
            <w:bottom w:w="0" w:type="dxa"/>
            <w:right w:w="108" w:type="dxa"/>
          </w:tblCellMar>
        </w:tblPrEx>
        <w:trPr>
          <w:trHeight w:val="350"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物业管理</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tblPrEx>
          <w:tblCellMar>
            <w:top w:w="0" w:type="dxa"/>
            <w:left w:w="108" w:type="dxa"/>
            <w:bottom w:w="0" w:type="dxa"/>
            <w:right w:w="108" w:type="dxa"/>
          </w:tblCellMar>
        </w:tblPrEx>
        <w:trPr>
          <w:trHeight w:val="376"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Y＜500</w:t>
            </w:r>
          </w:p>
        </w:tc>
      </w:tr>
      <w:tr>
        <w:tblPrEx>
          <w:tblCellMar>
            <w:top w:w="0" w:type="dxa"/>
            <w:left w:w="108" w:type="dxa"/>
            <w:bottom w:w="0" w:type="dxa"/>
            <w:right w:w="108" w:type="dxa"/>
          </w:tblCellMar>
        </w:tblPrEx>
        <w:trPr>
          <w:trHeight w:val="359"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租赁和商务服务业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431" w:hRule="atLeast"/>
        </w:trPr>
        <w:tc>
          <w:tcPr>
            <w:tcW w:w="23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其他未列明行业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pPr>
        <w:pStyle w:val="16"/>
        <w:pageBreakBefore w:val="0"/>
        <w:topLinePunct w:val="0"/>
        <w:bidi w:val="0"/>
        <w:spacing w:line="440" w:lineRule="exact"/>
        <w:rPr>
          <w:rFonts w:hint="eastAsia" w:ascii="宋体" w:hAnsi="宋体" w:eastAsia="宋体" w:cs="宋体"/>
          <w:color w:val="000000"/>
          <w:sz w:val="21"/>
          <w:szCs w:val="21"/>
        </w:rPr>
      </w:pPr>
      <w:r>
        <w:rPr>
          <w:rFonts w:hint="eastAsia" w:ascii="宋体" w:hAnsi="宋体" w:eastAsia="宋体" w:cs="宋体"/>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161"/>
        <w:rPr>
          <w:rFonts w:hint="eastAsia" w:ascii="宋体" w:hAnsi="宋体" w:eastAsia="宋体" w:cs="宋体"/>
          <w:color w:val="000000"/>
          <w:sz w:val="21"/>
          <w:szCs w:val="21"/>
          <w:highlight w:val="none"/>
          <w:lang w:eastAsia="zh-CN"/>
        </w:rPr>
      </w:pPr>
    </w:p>
    <w:p>
      <w:pPr>
        <w:pStyle w:val="161"/>
        <w:rPr>
          <w:rFonts w:hint="eastAsia" w:ascii="宋体" w:hAnsi="宋体" w:eastAsia="宋体" w:cs="宋体"/>
          <w:color w:val="000000"/>
          <w:sz w:val="21"/>
          <w:szCs w:val="21"/>
          <w:highlight w:val="none"/>
          <w:lang w:eastAsia="zh-CN"/>
        </w:rPr>
      </w:pPr>
    </w:p>
    <w:p>
      <w:pPr>
        <w:pStyle w:val="161"/>
        <w:rPr>
          <w:rFonts w:hint="eastAsia" w:ascii="宋体" w:hAnsi="宋体" w:eastAsia="宋体" w:cs="宋体"/>
          <w:color w:val="000000"/>
          <w:sz w:val="21"/>
          <w:szCs w:val="21"/>
          <w:highlight w:val="none"/>
          <w:lang w:eastAsia="zh-CN"/>
        </w:rPr>
      </w:pPr>
    </w:p>
    <w:p>
      <w:pPr>
        <w:pStyle w:val="161"/>
        <w:rPr>
          <w:rFonts w:hint="eastAsia" w:ascii="宋体" w:hAnsi="宋体" w:eastAsia="宋体" w:cs="宋体"/>
          <w:color w:val="000000"/>
          <w:sz w:val="21"/>
          <w:szCs w:val="21"/>
          <w:highlight w:val="none"/>
          <w:lang w:eastAsia="zh-CN"/>
        </w:rPr>
      </w:pPr>
    </w:p>
    <w:p>
      <w:pPr>
        <w:pStyle w:val="161"/>
        <w:rPr>
          <w:rFonts w:hint="eastAsia" w:ascii="宋体" w:hAnsi="宋体" w:eastAsia="宋体" w:cs="宋体"/>
          <w:color w:val="000000"/>
          <w:sz w:val="21"/>
          <w:szCs w:val="21"/>
          <w:highlight w:val="none"/>
          <w:lang w:eastAsia="zh-CN"/>
        </w:rPr>
      </w:pPr>
    </w:p>
    <w:p>
      <w:pPr>
        <w:pStyle w:val="3"/>
        <w:jc w:val="center"/>
      </w:pPr>
      <w:bookmarkStart w:id="253" w:name="_Toc407135170"/>
      <w:bookmarkStart w:id="254" w:name="_Toc389065240"/>
      <w:bookmarkStart w:id="255" w:name="_Toc10985"/>
      <w:r>
        <w:rPr>
          <w:rFonts w:hint="eastAsia" w:cs="黑体"/>
        </w:rPr>
        <w:t>评标办法（综合评估法）正文部分</w:t>
      </w:r>
      <w:bookmarkEnd w:id="253"/>
      <w:bookmarkEnd w:id="254"/>
      <w:bookmarkEnd w:id="255"/>
    </w:p>
    <w:p/>
    <w:p>
      <w:pPr>
        <w:pStyle w:val="4"/>
      </w:pPr>
      <w:bookmarkStart w:id="256" w:name="_Toc184635093"/>
      <w:bookmarkStart w:id="257" w:name="_Toc18067"/>
      <w:bookmarkStart w:id="258" w:name="_Toc407135171"/>
      <w:bookmarkStart w:id="259" w:name="_Toc389065241"/>
      <w:r>
        <w:t xml:space="preserve">1 </w:t>
      </w:r>
      <w:r>
        <w:rPr>
          <w:rFonts w:hint="eastAsia" w:cs="黑体"/>
        </w:rPr>
        <w:t>评标方法</w:t>
      </w:r>
      <w:bookmarkEnd w:id="256"/>
      <w:bookmarkEnd w:id="257"/>
      <w:bookmarkEnd w:id="258"/>
      <w:bookmarkEnd w:id="259"/>
    </w:p>
    <w:p>
      <w:pPr>
        <w:spacing w:line="360" w:lineRule="auto"/>
        <w:ind w:firstLine="420" w:firstLineChars="200"/>
      </w:pPr>
      <w:r>
        <w:rPr>
          <w:rFonts w:hint="eastAsia" w:cs="宋体"/>
        </w:rPr>
        <w:t>本次评标采用综合评估法。评标委员会对满足招标文件实质性要求的投标文件，按照本章</w:t>
      </w:r>
      <w:r>
        <w:t>“</w:t>
      </w:r>
      <w:r>
        <w:rPr>
          <w:rFonts w:hint="eastAsia" w:cs="宋体"/>
        </w:rPr>
        <w:t>评标办法前附表</w:t>
      </w:r>
      <w:r>
        <w:t>”</w:t>
      </w:r>
      <w:r>
        <w:rPr>
          <w:rFonts w:hint="eastAsia" w:cs="宋体"/>
        </w:rPr>
        <w:t>第</w:t>
      </w:r>
      <w:r>
        <w:t>2.1</w:t>
      </w:r>
      <w:r>
        <w:rPr>
          <w:rFonts w:hint="eastAsia" w:cs="宋体"/>
        </w:rPr>
        <w:t>、</w:t>
      </w:r>
      <w:r>
        <w:t>2.2</w:t>
      </w:r>
      <w:r>
        <w:rPr>
          <w:rFonts w:hint="eastAsia" w:cs="宋体"/>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4"/>
      </w:pPr>
      <w:bookmarkStart w:id="260" w:name="_Toc407135172"/>
      <w:bookmarkStart w:id="261" w:name="_Toc5507"/>
      <w:bookmarkStart w:id="262" w:name="_Toc184635094"/>
      <w:bookmarkStart w:id="263" w:name="_Toc389065242"/>
      <w:r>
        <w:t xml:space="preserve">2 </w:t>
      </w:r>
      <w:r>
        <w:rPr>
          <w:rFonts w:hint="eastAsia" w:cs="黑体"/>
        </w:rPr>
        <w:t>评审标准</w:t>
      </w:r>
      <w:bookmarkEnd w:id="260"/>
      <w:bookmarkEnd w:id="261"/>
      <w:bookmarkEnd w:id="262"/>
      <w:bookmarkEnd w:id="263"/>
    </w:p>
    <w:p>
      <w:pPr>
        <w:pStyle w:val="5"/>
        <w:ind w:firstLine="420"/>
      </w:pPr>
      <w:bookmarkStart w:id="264" w:name="_Toc11417"/>
      <w:bookmarkStart w:id="265" w:name="_Toc389065243"/>
      <w:bookmarkStart w:id="266" w:name="_Toc407135173"/>
      <w:r>
        <w:t xml:space="preserve">2.1 </w:t>
      </w:r>
      <w:r>
        <w:rPr>
          <w:rFonts w:hint="eastAsia" w:cs="黑体"/>
        </w:rPr>
        <w:t>初步评审标准</w:t>
      </w:r>
      <w:bookmarkEnd w:id="264"/>
      <w:bookmarkEnd w:id="265"/>
      <w:bookmarkEnd w:id="266"/>
    </w:p>
    <w:p>
      <w:pPr>
        <w:spacing w:line="360" w:lineRule="auto"/>
        <w:ind w:firstLine="420" w:firstLineChars="200"/>
        <w:rPr>
          <w:rFonts w:hint="eastAsia" w:cs="宋体"/>
        </w:rPr>
      </w:pPr>
      <w:r>
        <w:t xml:space="preserve">2.1.1 </w:t>
      </w:r>
      <w:r>
        <w:rPr>
          <w:rFonts w:hint="eastAsia" w:cs="宋体"/>
        </w:rPr>
        <w:t>资格评审标准：见</w:t>
      </w:r>
      <w:r>
        <w:t>“</w:t>
      </w:r>
      <w:r>
        <w:rPr>
          <w:rFonts w:hint="eastAsia" w:cs="宋体"/>
        </w:rPr>
        <w:t>评标办法前附表</w:t>
      </w:r>
      <w:r>
        <w:t>”</w:t>
      </w:r>
      <w:r>
        <w:rPr>
          <w:rFonts w:hint="eastAsia" w:cs="宋体"/>
        </w:rPr>
        <w:t>。</w:t>
      </w:r>
    </w:p>
    <w:p>
      <w:pPr>
        <w:spacing w:line="360" w:lineRule="auto"/>
        <w:ind w:firstLine="420" w:firstLineChars="200"/>
      </w:pPr>
      <w:r>
        <w:t xml:space="preserve">2.1.2 </w:t>
      </w:r>
      <w:r>
        <w:rPr>
          <w:rFonts w:hint="eastAsia" w:cs="宋体"/>
        </w:rPr>
        <w:t>形式评审标准：见</w:t>
      </w:r>
      <w:r>
        <w:t>“</w:t>
      </w:r>
      <w:r>
        <w:rPr>
          <w:rFonts w:hint="eastAsia" w:cs="宋体"/>
        </w:rPr>
        <w:t>评标办法前附表</w:t>
      </w:r>
      <w:r>
        <w:t>”</w:t>
      </w:r>
      <w:r>
        <w:rPr>
          <w:rFonts w:hint="eastAsia" w:cs="宋体"/>
        </w:rPr>
        <w:t>。</w:t>
      </w:r>
    </w:p>
    <w:p>
      <w:pPr>
        <w:spacing w:line="360" w:lineRule="auto"/>
        <w:ind w:firstLine="420" w:firstLineChars="200"/>
      </w:pPr>
      <w:r>
        <w:t xml:space="preserve">2.1.3 </w:t>
      </w:r>
      <w:r>
        <w:rPr>
          <w:rFonts w:hint="eastAsia" w:cs="宋体"/>
        </w:rPr>
        <w:t>响应性评审标准：见</w:t>
      </w:r>
      <w:r>
        <w:t>“</w:t>
      </w:r>
      <w:r>
        <w:rPr>
          <w:rFonts w:hint="eastAsia" w:cs="宋体"/>
        </w:rPr>
        <w:t>评标办法前附表</w:t>
      </w:r>
      <w:r>
        <w:t>”</w:t>
      </w:r>
      <w:r>
        <w:rPr>
          <w:rFonts w:hint="eastAsia" w:cs="宋体"/>
        </w:rPr>
        <w:t>。</w:t>
      </w:r>
      <w:bookmarkStart w:id="267" w:name="_Toc389065244"/>
      <w:bookmarkStart w:id="268" w:name="_Toc389065245"/>
      <w:bookmarkStart w:id="269" w:name="_Toc184635095"/>
    </w:p>
    <w:p>
      <w:pPr>
        <w:pStyle w:val="5"/>
        <w:ind w:firstLine="420"/>
      </w:pPr>
      <w:bookmarkStart w:id="270" w:name="_Toc407135174"/>
      <w:bookmarkStart w:id="271" w:name="_Toc24219"/>
      <w:r>
        <w:t xml:space="preserve">2.2 </w:t>
      </w:r>
      <w:r>
        <w:rPr>
          <w:rFonts w:hint="eastAsia" w:cs="黑体"/>
        </w:rPr>
        <w:t>详细评审标准</w:t>
      </w:r>
      <w:bookmarkEnd w:id="267"/>
      <w:bookmarkEnd w:id="270"/>
      <w:bookmarkEnd w:id="271"/>
    </w:p>
    <w:p>
      <w:pPr>
        <w:spacing w:line="360" w:lineRule="auto"/>
        <w:ind w:firstLine="420" w:firstLineChars="200"/>
      </w:pPr>
      <w:r>
        <w:t xml:space="preserve">2.2.1 </w:t>
      </w:r>
      <w:r>
        <w:rPr>
          <w:rFonts w:hint="eastAsia" w:cs="宋体"/>
        </w:rPr>
        <w:t>分值构成：见</w:t>
      </w:r>
      <w:r>
        <w:t>“</w:t>
      </w:r>
      <w:r>
        <w:rPr>
          <w:rFonts w:hint="eastAsia" w:cs="宋体"/>
        </w:rPr>
        <w:t>评标办法前附表</w:t>
      </w:r>
      <w:r>
        <w:t>”</w:t>
      </w:r>
      <w:r>
        <w:rPr>
          <w:rFonts w:hint="eastAsia" w:cs="宋体"/>
        </w:rPr>
        <w:t>。</w:t>
      </w:r>
    </w:p>
    <w:p>
      <w:pPr>
        <w:spacing w:line="360" w:lineRule="auto"/>
        <w:ind w:firstLine="420" w:firstLineChars="200"/>
      </w:pPr>
      <w:r>
        <w:t xml:space="preserve">2.2.2 </w:t>
      </w:r>
      <w:r>
        <w:rPr>
          <w:rFonts w:hint="eastAsia" w:cs="宋体"/>
        </w:rPr>
        <w:t>评分标准</w:t>
      </w:r>
    </w:p>
    <w:p>
      <w:pPr>
        <w:spacing w:line="360" w:lineRule="auto"/>
        <w:ind w:firstLine="420" w:firstLineChars="200"/>
      </w:pPr>
      <w:r>
        <w:rPr>
          <w:rFonts w:hint="eastAsia" w:cs="宋体"/>
        </w:rPr>
        <w:t>（</w:t>
      </w:r>
      <w:r>
        <w:t>1</w:t>
      </w:r>
      <w:r>
        <w:rPr>
          <w:rFonts w:hint="eastAsia" w:cs="宋体"/>
        </w:rPr>
        <w:t>）技术标评分标准：见</w:t>
      </w:r>
      <w:r>
        <w:t>“</w:t>
      </w:r>
      <w:r>
        <w:rPr>
          <w:rFonts w:hint="eastAsia" w:cs="宋体"/>
        </w:rPr>
        <w:t>评标办法前附表</w:t>
      </w:r>
      <w:r>
        <w:t>”</w:t>
      </w:r>
      <w:r>
        <w:rPr>
          <w:rFonts w:hint="eastAsia" w:cs="宋体"/>
        </w:rPr>
        <w:t>。</w:t>
      </w:r>
    </w:p>
    <w:p>
      <w:pPr>
        <w:spacing w:line="360" w:lineRule="auto"/>
        <w:ind w:firstLine="420" w:firstLineChars="200"/>
      </w:pPr>
      <w:r>
        <w:rPr>
          <w:rFonts w:hint="eastAsia" w:cs="宋体"/>
        </w:rPr>
        <w:t>（</w:t>
      </w:r>
      <w:r>
        <w:t>2</w:t>
      </w:r>
      <w:r>
        <w:rPr>
          <w:rFonts w:hint="eastAsia" w:cs="宋体"/>
        </w:rPr>
        <w:t>）评标基准价计算方法：见</w:t>
      </w:r>
      <w:r>
        <w:t>“</w:t>
      </w:r>
      <w:r>
        <w:rPr>
          <w:rFonts w:hint="eastAsia" w:cs="宋体"/>
        </w:rPr>
        <w:t>评标办法前附表</w:t>
      </w:r>
      <w:r>
        <w:t>”</w:t>
      </w:r>
      <w:r>
        <w:rPr>
          <w:rFonts w:hint="eastAsia" w:cs="宋体"/>
        </w:rPr>
        <w:t>。</w:t>
      </w:r>
    </w:p>
    <w:p>
      <w:pPr>
        <w:spacing w:line="360" w:lineRule="auto"/>
        <w:ind w:firstLine="420" w:firstLineChars="200"/>
      </w:pPr>
      <w:r>
        <w:rPr>
          <w:rFonts w:hint="eastAsia" w:cs="宋体"/>
        </w:rPr>
        <w:t>（</w:t>
      </w:r>
      <w:r>
        <w:t>3</w:t>
      </w:r>
      <w:r>
        <w:rPr>
          <w:rFonts w:hint="eastAsia" w:cs="宋体"/>
        </w:rPr>
        <w:t>）</w:t>
      </w:r>
      <w:bookmarkStart w:id="272" w:name="_Hlk16009383"/>
      <w:r>
        <w:rPr>
          <w:rFonts w:hint="eastAsia" w:cs="宋体"/>
          <w:lang w:val="en-US" w:eastAsia="zh-CN"/>
        </w:rPr>
        <w:t>商务</w:t>
      </w:r>
      <w:r>
        <w:rPr>
          <w:rFonts w:hint="eastAsia" w:cs="宋体"/>
        </w:rPr>
        <w:t>分</w:t>
      </w:r>
      <w:bookmarkEnd w:id="272"/>
      <w:r>
        <w:rPr>
          <w:rFonts w:hint="eastAsia" w:cs="宋体"/>
        </w:rPr>
        <w:t>评分标准：见</w:t>
      </w:r>
      <w:r>
        <w:t>“</w:t>
      </w:r>
      <w:r>
        <w:rPr>
          <w:rFonts w:hint="eastAsia" w:cs="宋体"/>
        </w:rPr>
        <w:t>评标办法前附表</w:t>
      </w:r>
      <w:r>
        <w:t>”</w:t>
      </w:r>
      <w:r>
        <w:rPr>
          <w:rFonts w:hint="eastAsia" w:cs="宋体"/>
        </w:rPr>
        <w:t>。</w:t>
      </w:r>
    </w:p>
    <w:p>
      <w:pPr>
        <w:pStyle w:val="4"/>
        <w:rPr>
          <w:rFonts w:cs="黑体"/>
        </w:rPr>
      </w:pPr>
      <w:bookmarkStart w:id="273" w:name="_Toc407135175"/>
      <w:bookmarkStart w:id="274" w:name="_Toc6649"/>
      <w:r>
        <w:t xml:space="preserve">3 </w:t>
      </w:r>
      <w:r>
        <w:rPr>
          <w:rFonts w:hint="eastAsia" w:cs="黑体"/>
        </w:rPr>
        <w:t>评标程序</w:t>
      </w:r>
      <w:bookmarkEnd w:id="268"/>
      <w:bookmarkEnd w:id="269"/>
      <w:bookmarkEnd w:id="273"/>
      <w:bookmarkEnd w:id="274"/>
    </w:p>
    <w:p>
      <w:pPr>
        <w:pStyle w:val="5"/>
        <w:ind w:firstLine="420"/>
      </w:pPr>
      <w:bookmarkStart w:id="275" w:name="_Toc389065246"/>
      <w:bookmarkStart w:id="276" w:name="_Toc3619"/>
      <w:bookmarkStart w:id="277" w:name="_Toc407135176"/>
      <w:r>
        <w:t xml:space="preserve">3.1 </w:t>
      </w:r>
      <w:r>
        <w:rPr>
          <w:rFonts w:hint="eastAsia" w:cs="黑体"/>
        </w:rPr>
        <w:t>初步评审</w:t>
      </w:r>
      <w:bookmarkEnd w:id="275"/>
      <w:bookmarkEnd w:id="276"/>
      <w:bookmarkEnd w:id="277"/>
    </w:p>
    <w:p>
      <w:pPr>
        <w:spacing w:line="360" w:lineRule="auto"/>
        <w:ind w:firstLine="420" w:firstLineChars="200"/>
      </w:pPr>
      <w:r>
        <w:t xml:space="preserve">3.1.1 </w:t>
      </w:r>
      <w:r>
        <w:rPr>
          <w:rFonts w:hint="eastAsia" w:cs="宋体"/>
        </w:rPr>
        <w:t>评标委员会依据本章第</w:t>
      </w:r>
      <w:r>
        <w:t>2.1</w:t>
      </w:r>
      <w:r>
        <w:rPr>
          <w:rFonts w:hint="eastAsia" w:cs="宋体"/>
        </w:rPr>
        <w:t>款规定的标准对投标文件进行初步评审。有一项不符合评审标准的，作否决投标处理。</w:t>
      </w:r>
    </w:p>
    <w:p>
      <w:pPr>
        <w:spacing w:line="360" w:lineRule="auto"/>
        <w:ind w:firstLine="420" w:firstLineChars="200"/>
      </w:pPr>
      <w:r>
        <w:t xml:space="preserve">3.1.2 </w:t>
      </w:r>
      <w:r>
        <w:rPr>
          <w:rFonts w:hint="eastAsia" w:cs="宋体"/>
        </w:rPr>
        <w:t>投标人有以下情形之一的，其投标作否决投标处理：</w:t>
      </w:r>
    </w:p>
    <w:p>
      <w:pPr>
        <w:spacing w:line="360" w:lineRule="auto"/>
        <w:ind w:firstLine="420" w:firstLineChars="200"/>
      </w:pPr>
      <w:r>
        <w:rPr>
          <w:rFonts w:hint="eastAsia" w:cs="宋体"/>
        </w:rPr>
        <w:t>（</w:t>
      </w:r>
      <w:r>
        <w:t>1</w:t>
      </w:r>
      <w:r>
        <w:rPr>
          <w:rFonts w:hint="eastAsia" w:cs="宋体"/>
        </w:rPr>
        <w:t>）第二章</w:t>
      </w:r>
      <w:r>
        <w:t>“</w:t>
      </w:r>
      <w:r>
        <w:rPr>
          <w:rFonts w:hint="eastAsia" w:cs="宋体"/>
        </w:rPr>
        <w:t>投标人须知</w:t>
      </w:r>
      <w:r>
        <w:t>”</w:t>
      </w:r>
      <w:r>
        <w:rPr>
          <w:rFonts w:hint="eastAsia" w:cs="宋体"/>
        </w:rPr>
        <w:t>第</w:t>
      </w:r>
      <w:r>
        <w:t xml:space="preserve">1.4.3 </w:t>
      </w:r>
      <w:r>
        <w:rPr>
          <w:rFonts w:hint="eastAsia" w:cs="宋体"/>
        </w:rPr>
        <w:t>项规定的任何一种情形的：</w:t>
      </w:r>
    </w:p>
    <w:p>
      <w:pPr>
        <w:spacing w:line="360" w:lineRule="auto"/>
        <w:ind w:firstLine="420" w:firstLineChars="200"/>
      </w:pPr>
      <w:r>
        <w:rPr>
          <w:rFonts w:hint="eastAsia" w:cs="宋体"/>
        </w:rPr>
        <w:t>（</w:t>
      </w:r>
      <w:r>
        <w:t>2</w:t>
      </w:r>
      <w:r>
        <w:rPr>
          <w:rFonts w:hint="eastAsia" w:cs="宋体"/>
        </w:rPr>
        <w:t>）串通投标或弄虚作假或有其他违法行为的；</w:t>
      </w:r>
    </w:p>
    <w:p>
      <w:pPr>
        <w:spacing w:line="360" w:lineRule="auto"/>
        <w:ind w:firstLine="420" w:firstLineChars="200"/>
      </w:pPr>
      <w:r>
        <w:rPr>
          <w:rFonts w:hint="eastAsia" w:cs="宋体"/>
        </w:rPr>
        <w:t>（</w:t>
      </w:r>
      <w:r>
        <w:t>3</w:t>
      </w:r>
      <w:r>
        <w:rPr>
          <w:rFonts w:hint="eastAsia" w:cs="宋体"/>
        </w:rPr>
        <w:t>）不按评标委员会要求澄清、说明或补正的。</w:t>
      </w:r>
    </w:p>
    <w:p>
      <w:pPr>
        <w:spacing w:line="360" w:lineRule="auto"/>
        <w:ind w:firstLine="420" w:firstLineChars="200"/>
      </w:pPr>
      <w:bookmarkStart w:id="278" w:name="_Toc389065247"/>
      <w:r>
        <w:t xml:space="preserve">3.1.3 </w:t>
      </w:r>
      <w:r>
        <w:rPr>
          <w:rFonts w:hint="eastAsia" w:cs="宋体"/>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pPr>
      <w:r>
        <w:rPr>
          <w:rFonts w:hint="eastAsia" w:cs="宋体"/>
        </w:rPr>
        <w:t>（</w:t>
      </w:r>
      <w:r>
        <w:t>1</w:t>
      </w:r>
      <w:r>
        <w:rPr>
          <w:rFonts w:hint="eastAsia" w:cs="宋体"/>
        </w:rPr>
        <w:t>）投标文件中的大写金额与小写金额不一致的，以大写金额为准；</w:t>
      </w:r>
    </w:p>
    <w:p>
      <w:pPr>
        <w:spacing w:line="360" w:lineRule="auto"/>
        <w:ind w:firstLine="420" w:firstLineChars="200"/>
      </w:pPr>
      <w:r>
        <w:rPr>
          <w:rFonts w:hint="eastAsia" w:cs="宋体"/>
        </w:rPr>
        <w:t>（</w:t>
      </w:r>
      <w:r>
        <w:t>2</w:t>
      </w:r>
      <w:r>
        <w:rPr>
          <w:rFonts w:hint="eastAsia" w:cs="宋体"/>
        </w:rPr>
        <w:t>）总价金额与依据单价计算出的结果不一致的，以单价金额为准修正总价，但单价金额小数点有明显错误的除外。</w:t>
      </w:r>
    </w:p>
    <w:p>
      <w:pPr>
        <w:pStyle w:val="5"/>
        <w:ind w:firstLine="420"/>
      </w:pPr>
      <w:bookmarkStart w:id="279" w:name="_Toc407135177"/>
      <w:bookmarkStart w:id="280" w:name="_Toc12167"/>
      <w:r>
        <w:t xml:space="preserve">3.2 </w:t>
      </w:r>
      <w:r>
        <w:rPr>
          <w:rFonts w:hint="eastAsia" w:cs="黑体"/>
        </w:rPr>
        <w:t>详细评审</w:t>
      </w:r>
      <w:bookmarkEnd w:id="278"/>
      <w:bookmarkEnd w:id="279"/>
      <w:bookmarkEnd w:id="280"/>
    </w:p>
    <w:p>
      <w:pPr>
        <w:spacing w:line="360" w:lineRule="auto"/>
        <w:ind w:firstLine="420" w:firstLineChars="200"/>
      </w:pPr>
      <w:r>
        <w:t xml:space="preserve">3.2.1 </w:t>
      </w:r>
      <w:r>
        <w:rPr>
          <w:rFonts w:hint="eastAsia" w:cs="宋体"/>
        </w:rPr>
        <w:t>评标委员会按照本章</w:t>
      </w:r>
      <w:r>
        <w:t>“</w:t>
      </w:r>
      <w:r>
        <w:rPr>
          <w:rFonts w:hint="eastAsia" w:cs="宋体"/>
        </w:rPr>
        <w:t>评标办法前附表</w:t>
      </w:r>
      <w:r>
        <w:t>”</w:t>
      </w:r>
      <w:r>
        <w:rPr>
          <w:rFonts w:hint="eastAsia" w:cs="宋体"/>
        </w:rPr>
        <w:t>第</w:t>
      </w:r>
      <w:r>
        <w:t>2.2</w:t>
      </w:r>
      <w:r>
        <w:rPr>
          <w:rFonts w:hint="eastAsia" w:cs="宋体"/>
        </w:rPr>
        <w:t>款规定的量化因素和分值进行打分，并计算出综合评估得分。</w:t>
      </w:r>
    </w:p>
    <w:p>
      <w:pPr>
        <w:spacing w:line="360" w:lineRule="auto"/>
        <w:ind w:firstLine="420" w:firstLineChars="200"/>
      </w:pPr>
      <w:r>
        <w:t xml:space="preserve">3.2.2 </w:t>
      </w:r>
      <w:r>
        <w:rPr>
          <w:rFonts w:hint="eastAsia"/>
        </w:rPr>
        <w:t>所</w:t>
      </w:r>
      <w:r>
        <w:t>有过程</w:t>
      </w:r>
      <w:r>
        <w:rPr>
          <w:rFonts w:hint="eastAsia" w:cs="宋体"/>
        </w:rPr>
        <w:t>评分分值计算保留小数点后四位，投标人汇总得分保留小数点后两位，小数点后第三位</w:t>
      </w:r>
      <w:r>
        <w:t>“</w:t>
      </w:r>
      <w:r>
        <w:rPr>
          <w:rFonts w:hint="eastAsia" w:cs="宋体"/>
        </w:rPr>
        <w:t>四舍五入</w:t>
      </w:r>
      <w:r>
        <w:t>”</w:t>
      </w:r>
      <w:r>
        <w:rPr>
          <w:rFonts w:hint="eastAsia" w:cs="宋体"/>
        </w:rPr>
        <w:t>。</w:t>
      </w:r>
    </w:p>
    <w:p>
      <w:pPr>
        <w:spacing w:line="360" w:lineRule="auto"/>
        <w:ind w:firstLine="420" w:firstLineChars="200"/>
      </w:pPr>
      <w:r>
        <w:t xml:space="preserve">3.2.3 </w:t>
      </w:r>
      <w:r>
        <w:rPr>
          <w:rFonts w:hint="eastAsia" w:cs="宋体"/>
        </w:rPr>
        <w:t>投标人汇总得分（满分</w:t>
      </w:r>
      <w:r>
        <w:t>100</w:t>
      </w:r>
      <w:r>
        <w:rPr>
          <w:rFonts w:hint="eastAsia" w:cs="宋体"/>
        </w:rPr>
        <w:t>分）</w:t>
      </w:r>
      <w:r>
        <w:t>=</w:t>
      </w:r>
      <w:r>
        <w:rPr>
          <w:rFonts w:hint="eastAsia" w:cs="宋体"/>
        </w:rPr>
        <w:t>技术标得分+商务标得分。</w:t>
      </w:r>
    </w:p>
    <w:p>
      <w:pPr>
        <w:pStyle w:val="5"/>
        <w:ind w:firstLine="420"/>
      </w:pPr>
      <w:bookmarkStart w:id="281" w:name="_Toc407135178"/>
      <w:bookmarkStart w:id="282" w:name="_Toc389065248"/>
      <w:bookmarkStart w:id="283" w:name="_Toc16291"/>
      <w:r>
        <w:t xml:space="preserve">3.3 </w:t>
      </w:r>
      <w:r>
        <w:rPr>
          <w:rFonts w:hint="eastAsia" w:cs="黑体"/>
        </w:rPr>
        <w:t>投标文件的澄清和补正</w:t>
      </w:r>
      <w:bookmarkEnd w:id="281"/>
      <w:bookmarkEnd w:id="282"/>
      <w:bookmarkEnd w:id="283"/>
    </w:p>
    <w:p>
      <w:pPr>
        <w:spacing w:line="360" w:lineRule="auto"/>
        <w:ind w:firstLine="420" w:firstLineChars="200"/>
      </w:pPr>
      <w:r>
        <w:t xml:space="preserve">3.3.1 </w:t>
      </w:r>
      <w:r>
        <w:rPr>
          <w:rFonts w:hint="eastAsia" w:cs="宋体"/>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pPr>
      <w:r>
        <w:t xml:space="preserve">3.3.2 </w:t>
      </w:r>
      <w:r>
        <w:rPr>
          <w:rFonts w:hint="eastAsia" w:cs="宋体"/>
        </w:rPr>
        <w:t>澄清、说明和补正不得改变投标文件的实质性内容（算术性错误修正的除外）。投标人的书面澄清、说明和补正属于投标文件的组成部分。</w:t>
      </w:r>
    </w:p>
    <w:p>
      <w:pPr>
        <w:spacing w:line="360" w:lineRule="auto"/>
        <w:ind w:firstLine="420" w:firstLineChars="200"/>
      </w:pPr>
      <w:r>
        <w:t xml:space="preserve">3.3.3 </w:t>
      </w:r>
      <w:r>
        <w:rPr>
          <w:rFonts w:hint="eastAsia" w:cs="宋体"/>
        </w:rPr>
        <w:t>评标委员会对投标人提交的澄清、说明或补正有疑问的，可以要求投标人进一步澄清、说明或补正，直至满足评标委员会的要求。</w:t>
      </w:r>
    </w:p>
    <w:p>
      <w:pPr>
        <w:spacing w:line="360" w:lineRule="auto"/>
        <w:ind w:firstLine="420" w:firstLineChars="200"/>
      </w:pPr>
      <w:r>
        <w:t xml:space="preserve">3.3.4 </w:t>
      </w:r>
      <w:r>
        <w:rPr>
          <w:rFonts w:hint="eastAsia" w:cs="宋体"/>
        </w:rPr>
        <w:t>对投标文件进行澄清、说明和补正时来往的书面材料传递，必须由交易中心的工作人员进行。</w:t>
      </w:r>
    </w:p>
    <w:p>
      <w:pPr>
        <w:pStyle w:val="5"/>
        <w:ind w:firstLine="420"/>
      </w:pPr>
      <w:bookmarkStart w:id="284" w:name="_Toc10408"/>
      <w:bookmarkStart w:id="285" w:name="_Toc389065249"/>
      <w:bookmarkStart w:id="286" w:name="_Toc407135179"/>
      <w:r>
        <w:t xml:space="preserve">3.4 </w:t>
      </w:r>
      <w:r>
        <w:rPr>
          <w:rFonts w:hint="eastAsia" w:cs="黑体"/>
        </w:rPr>
        <w:t>评标结果</w:t>
      </w:r>
      <w:bookmarkEnd w:id="284"/>
      <w:bookmarkEnd w:id="285"/>
      <w:bookmarkEnd w:id="286"/>
    </w:p>
    <w:p>
      <w:pPr>
        <w:spacing w:line="360" w:lineRule="auto"/>
        <w:ind w:firstLine="420" w:firstLineChars="200"/>
      </w:pPr>
      <w:r>
        <w:t xml:space="preserve">3.4.1 </w:t>
      </w:r>
      <w:r>
        <w:rPr>
          <w:rFonts w:hint="eastAsia" w:cs="宋体"/>
        </w:rPr>
        <w:t>除第二章</w:t>
      </w:r>
      <w:r>
        <w:t>“</w:t>
      </w:r>
      <w:r>
        <w:rPr>
          <w:rFonts w:hint="eastAsia" w:cs="宋体"/>
        </w:rPr>
        <w:t>投标人须知前附表</w:t>
      </w:r>
      <w:r>
        <w:t>”</w:t>
      </w:r>
      <w:r>
        <w:rPr>
          <w:rFonts w:hint="eastAsia" w:cs="宋体"/>
        </w:rPr>
        <w:t>授权直接确定中标人外，评标委员会按照本章规定的顺序推荐中标候选人。</w:t>
      </w:r>
    </w:p>
    <w:p>
      <w:pPr>
        <w:spacing w:line="360" w:lineRule="auto"/>
        <w:ind w:firstLine="420" w:firstLineChars="200"/>
      </w:pPr>
      <w:r>
        <w:t xml:space="preserve">3.4.2 </w:t>
      </w:r>
      <w:r>
        <w:rPr>
          <w:rFonts w:hint="eastAsia" w:cs="宋体"/>
        </w:rPr>
        <w:t>评标委员会完成评标后，由应当向招标人提交书面评标报告。</w:t>
      </w:r>
    </w:p>
    <w:p>
      <w:pPr>
        <w:spacing w:line="360" w:lineRule="auto"/>
        <w:ind w:firstLine="424" w:firstLineChars="202"/>
      </w:pPr>
      <w:r>
        <w:t xml:space="preserve">3.4.3 </w:t>
      </w:r>
      <w:r>
        <w:rPr>
          <w:rFonts w:hint="eastAsia" w:cs="宋体"/>
        </w:rPr>
        <w:t>评标委员会应将评标过程中使用的文件、表格以及其他材料即时归还招标人。招标人应当按照“投标人须知前附表”规定的封存方式封存评标资料。</w:t>
      </w:r>
    </w:p>
    <w:p>
      <w:pPr>
        <w:spacing w:line="360" w:lineRule="auto"/>
        <w:sectPr>
          <w:footerReference r:id="rId4" w:type="default"/>
          <w:pgSz w:w="11905" w:h="16838"/>
          <w:pgMar w:top="1440" w:right="1157" w:bottom="1270" w:left="1287" w:header="851" w:footer="850" w:gutter="0"/>
          <w:cols w:space="720" w:num="1"/>
          <w:rtlGutter w:val="0"/>
          <w:docGrid w:linePitch="312" w:charSpace="0"/>
        </w:sectPr>
      </w:pPr>
    </w:p>
    <w:p>
      <w:pPr>
        <w:pStyle w:val="3"/>
        <w:jc w:val="center"/>
      </w:pPr>
      <w:bookmarkStart w:id="287" w:name="_Toc389065250"/>
      <w:bookmarkStart w:id="288" w:name="_Toc32511"/>
      <w:bookmarkStart w:id="289" w:name="_Toc407135180"/>
      <w:r>
        <w:rPr>
          <w:rFonts w:hint="eastAsia" w:cs="黑体"/>
        </w:rPr>
        <w:t>附件</w:t>
      </w:r>
      <w:r>
        <w:t>A</w:t>
      </w:r>
      <w:bookmarkEnd w:id="287"/>
      <w:r>
        <w:t xml:space="preserve">  </w:t>
      </w:r>
      <w:r>
        <w:rPr>
          <w:rFonts w:hint="eastAsia" w:cs="黑体"/>
        </w:rPr>
        <w:t>评标详细程序</w:t>
      </w:r>
      <w:bookmarkEnd w:id="288"/>
      <w:bookmarkEnd w:id="289"/>
      <w:bookmarkStart w:id="290" w:name="_Toc389065251"/>
    </w:p>
    <w:p>
      <w:pPr>
        <w:pStyle w:val="4"/>
      </w:pPr>
      <w:bookmarkStart w:id="291" w:name="_Toc28534"/>
      <w:bookmarkStart w:id="292" w:name="_Toc407135181"/>
      <w:r>
        <w:t xml:space="preserve">A0 </w:t>
      </w:r>
      <w:r>
        <w:rPr>
          <w:rFonts w:hint="eastAsia" w:cs="黑体"/>
        </w:rPr>
        <w:t>总</w:t>
      </w:r>
      <w:r>
        <w:t xml:space="preserve">  </w:t>
      </w:r>
      <w:r>
        <w:rPr>
          <w:rFonts w:hint="eastAsia" w:cs="黑体"/>
        </w:rPr>
        <w:t>则</w:t>
      </w:r>
      <w:bookmarkEnd w:id="290"/>
      <w:bookmarkEnd w:id="291"/>
      <w:bookmarkEnd w:id="292"/>
    </w:p>
    <w:p>
      <w:pPr>
        <w:spacing w:line="360" w:lineRule="auto"/>
        <w:ind w:firstLine="420" w:firstLineChars="200"/>
        <w:outlineLvl w:val="0"/>
        <w:rPr>
          <w:b/>
          <w:bCs/>
        </w:rPr>
      </w:pPr>
      <w:bookmarkStart w:id="293" w:name="_Toc389065252"/>
      <w:r>
        <w:rPr>
          <w:rFonts w:hint="eastAsia" w:cs="宋体"/>
        </w:rPr>
        <w:t>本附件是本章</w:t>
      </w:r>
      <w:r>
        <w:t>“</w:t>
      </w:r>
      <w:r>
        <w:rPr>
          <w:rFonts w:hint="eastAsia" w:cs="宋体"/>
        </w:rPr>
        <w:t>评标办法</w:t>
      </w:r>
      <w:r>
        <w:t>”</w:t>
      </w:r>
      <w:r>
        <w:rPr>
          <w:rFonts w:hint="eastAsia" w:cs="宋体"/>
        </w:rPr>
        <w:t>的组成部分，是对本章第</w:t>
      </w:r>
      <w:r>
        <w:t>3</w:t>
      </w:r>
      <w:r>
        <w:rPr>
          <w:rFonts w:hint="eastAsia" w:cs="宋体"/>
        </w:rPr>
        <w:t>条所规定的评标程序的进一步细化，评标委员会应当按照本附件所规定的详细程序开展并完成评标工作。</w:t>
      </w:r>
      <w:bookmarkEnd w:id="293"/>
    </w:p>
    <w:p>
      <w:pPr>
        <w:pStyle w:val="4"/>
      </w:pPr>
      <w:bookmarkStart w:id="294" w:name="_Toc407135182"/>
      <w:bookmarkStart w:id="295" w:name="_Toc389065253"/>
      <w:bookmarkStart w:id="296" w:name="_Toc3208"/>
      <w:r>
        <w:t xml:space="preserve">A1 </w:t>
      </w:r>
      <w:r>
        <w:rPr>
          <w:rFonts w:hint="eastAsia" w:cs="黑体"/>
        </w:rPr>
        <w:t>基本程序</w:t>
      </w:r>
      <w:bookmarkEnd w:id="294"/>
      <w:bookmarkEnd w:id="295"/>
      <w:bookmarkEnd w:id="296"/>
    </w:p>
    <w:p>
      <w:pPr>
        <w:spacing w:line="360" w:lineRule="auto"/>
        <w:ind w:firstLine="420" w:firstLineChars="200"/>
      </w:pPr>
      <w:r>
        <w:rPr>
          <w:rFonts w:hint="eastAsia" w:cs="宋体"/>
        </w:rPr>
        <w:t>评标活动将按以下五个步骤进行：</w:t>
      </w:r>
    </w:p>
    <w:p>
      <w:pPr>
        <w:spacing w:line="360" w:lineRule="auto"/>
        <w:ind w:firstLine="420" w:firstLineChars="200"/>
      </w:pPr>
      <w:r>
        <w:rPr>
          <w:rFonts w:hint="eastAsia" w:cs="宋体"/>
        </w:rPr>
        <w:t>（</w:t>
      </w:r>
      <w:r>
        <w:t>1</w:t>
      </w:r>
      <w:r>
        <w:rPr>
          <w:rFonts w:hint="eastAsia" w:cs="宋体"/>
        </w:rPr>
        <w:t>）评标准备；</w:t>
      </w:r>
    </w:p>
    <w:p>
      <w:pPr>
        <w:spacing w:line="360" w:lineRule="auto"/>
        <w:ind w:firstLine="420" w:firstLineChars="200"/>
      </w:pPr>
      <w:r>
        <w:rPr>
          <w:rFonts w:hint="eastAsia" w:cs="宋体"/>
        </w:rPr>
        <w:t>（</w:t>
      </w:r>
      <w:r>
        <w:t>2</w:t>
      </w:r>
      <w:r>
        <w:rPr>
          <w:rFonts w:hint="eastAsia" w:cs="宋体"/>
        </w:rPr>
        <w:t>）初步评审；</w:t>
      </w:r>
    </w:p>
    <w:p>
      <w:pPr>
        <w:spacing w:line="360" w:lineRule="auto"/>
        <w:ind w:firstLine="420" w:firstLineChars="200"/>
      </w:pPr>
      <w:r>
        <w:rPr>
          <w:rFonts w:hint="eastAsia" w:cs="宋体"/>
        </w:rPr>
        <w:t>（</w:t>
      </w:r>
      <w:r>
        <w:t>3</w:t>
      </w:r>
      <w:r>
        <w:rPr>
          <w:rFonts w:hint="eastAsia" w:cs="宋体"/>
        </w:rPr>
        <w:t>）详细评审；</w:t>
      </w:r>
    </w:p>
    <w:p>
      <w:pPr>
        <w:spacing w:line="360" w:lineRule="auto"/>
        <w:ind w:firstLine="420" w:firstLineChars="200"/>
      </w:pPr>
      <w:r>
        <w:rPr>
          <w:rFonts w:hint="eastAsia" w:cs="宋体"/>
        </w:rPr>
        <w:t>（</w:t>
      </w:r>
      <w:r>
        <w:t>4</w:t>
      </w:r>
      <w:r>
        <w:rPr>
          <w:rFonts w:hint="eastAsia" w:cs="宋体"/>
        </w:rPr>
        <w:t>）澄清、说明或补正；</w:t>
      </w:r>
    </w:p>
    <w:p>
      <w:pPr>
        <w:spacing w:line="360" w:lineRule="auto"/>
        <w:ind w:firstLine="420" w:firstLineChars="200"/>
        <w:rPr>
          <w:b/>
          <w:bCs/>
        </w:rPr>
      </w:pPr>
      <w:r>
        <w:rPr>
          <w:rFonts w:hint="eastAsia" w:cs="宋体"/>
        </w:rPr>
        <w:t>（</w:t>
      </w:r>
      <w:r>
        <w:t>5</w:t>
      </w:r>
      <w:r>
        <w:rPr>
          <w:rFonts w:hint="eastAsia" w:cs="宋体"/>
        </w:rPr>
        <w:t>）推荐中标候选人或者直接确定中标人及提交评标报告。</w:t>
      </w:r>
    </w:p>
    <w:p>
      <w:pPr>
        <w:pStyle w:val="4"/>
      </w:pPr>
      <w:bookmarkStart w:id="297" w:name="_Toc407135183"/>
      <w:bookmarkStart w:id="298" w:name="_Toc20252"/>
      <w:r>
        <w:t xml:space="preserve">A2 </w:t>
      </w:r>
      <w:r>
        <w:rPr>
          <w:rFonts w:hint="eastAsia" w:cs="黑体"/>
        </w:rPr>
        <w:t>评标准备</w:t>
      </w:r>
      <w:bookmarkEnd w:id="297"/>
      <w:bookmarkEnd w:id="298"/>
    </w:p>
    <w:p>
      <w:pPr>
        <w:spacing w:line="360" w:lineRule="auto"/>
        <w:ind w:firstLine="420" w:firstLineChars="200"/>
        <w:outlineLvl w:val="0"/>
      </w:pPr>
      <w:r>
        <w:t xml:space="preserve">A2.1 </w:t>
      </w:r>
      <w:r>
        <w:rPr>
          <w:rFonts w:hint="eastAsia" w:cs="宋体"/>
        </w:rPr>
        <w:t>评标委员会成员签到</w:t>
      </w:r>
    </w:p>
    <w:p>
      <w:pPr>
        <w:spacing w:line="360" w:lineRule="auto"/>
        <w:ind w:firstLine="420" w:firstLineChars="200"/>
      </w:pPr>
      <w:r>
        <w:rPr>
          <w:rFonts w:hint="eastAsia" w:cs="宋体"/>
        </w:rPr>
        <w:t>评标委员会成员到达评标现场时应在签到表上签到以证明其出席。</w:t>
      </w:r>
    </w:p>
    <w:p>
      <w:pPr>
        <w:spacing w:line="360" w:lineRule="auto"/>
        <w:ind w:firstLine="420" w:firstLineChars="200"/>
      </w:pPr>
      <w:r>
        <w:t xml:space="preserve">A2.2 </w:t>
      </w:r>
      <w:r>
        <w:rPr>
          <w:rFonts w:hint="eastAsia" w:cs="宋体"/>
        </w:rPr>
        <w:t>评标委员会的组建和分工</w:t>
      </w:r>
    </w:p>
    <w:p>
      <w:pPr>
        <w:spacing w:line="360" w:lineRule="auto"/>
        <w:ind w:firstLine="420" w:firstLineChars="200"/>
      </w:pPr>
      <w:r>
        <w:rPr>
          <w:rFonts w:hint="eastAsia" w:cs="宋体"/>
        </w:rPr>
        <w:t>评标委员会应按照投标人须知前附表第</w:t>
      </w:r>
      <w:r>
        <w:t>6.1</w:t>
      </w:r>
      <w:r>
        <w:rPr>
          <w:rFonts w:hint="eastAsia" w:cs="宋体"/>
        </w:rPr>
        <w:t>条的规定组建。首先通过电子评标系统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pPr>
      <w:r>
        <w:rPr>
          <w:rFonts w:hint="eastAsia" w:cs="宋体"/>
        </w:rPr>
        <w:t>在本附件的表述中，当评委划分为技术类、经济类时，除标明由技术类或经济类评委实施评审外，其余由评标委员会全体委员进行。</w:t>
      </w:r>
    </w:p>
    <w:p>
      <w:pPr>
        <w:spacing w:line="360" w:lineRule="auto"/>
        <w:ind w:firstLine="420" w:firstLineChars="200"/>
        <w:outlineLvl w:val="0"/>
      </w:pPr>
      <w:r>
        <w:t xml:space="preserve">A2.3 </w:t>
      </w:r>
      <w:r>
        <w:rPr>
          <w:rFonts w:hint="eastAsia" w:cs="宋体"/>
        </w:rPr>
        <w:t>熟悉文件资料</w:t>
      </w:r>
    </w:p>
    <w:p>
      <w:pPr>
        <w:spacing w:line="360" w:lineRule="auto"/>
        <w:ind w:firstLine="420" w:firstLineChars="200"/>
      </w:pPr>
      <w:r>
        <w:t xml:space="preserve">A2.3.1 </w:t>
      </w:r>
      <w:r>
        <w:rPr>
          <w:rFonts w:hint="eastAsia" w:cs="宋体"/>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b/>
          <w:bCs/>
        </w:rPr>
      </w:pPr>
      <w:r>
        <w:t xml:space="preserve">A2.3.2 </w:t>
      </w:r>
      <w:r>
        <w:rPr>
          <w:rFonts w:hint="eastAsia" w:cs="宋体"/>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4"/>
      </w:pPr>
      <w:bookmarkStart w:id="299" w:name="_Toc407135184"/>
      <w:bookmarkStart w:id="300" w:name="_Toc19060"/>
      <w:r>
        <w:t xml:space="preserve">A3 </w:t>
      </w:r>
      <w:r>
        <w:rPr>
          <w:rFonts w:hint="eastAsia" w:cs="黑体"/>
        </w:rPr>
        <w:t>初步评审</w:t>
      </w:r>
      <w:bookmarkEnd w:id="299"/>
      <w:bookmarkEnd w:id="300"/>
    </w:p>
    <w:p>
      <w:pPr>
        <w:spacing w:line="360" w:lineRule="auto"/>
        <w:ind w:firstLine="420" w:firstLineChars="200"/>
        <w:outlineLvl w:val="0"/>
        <w:rPr>
          <w:spacing w:val="-2"/>
        </w:rPr>
      </w:pPr>
      <w:r>
        <w:t xml:space="preserve">A3.1 </w:t>
      </w:r>
      <w:r>
        <w:rPr>
          <w:rFonts w:hint="eastAsia" w:cs="宋体"/>
        </w:rPr>
        <w:t>资格评审</w:t>
      </w:r>
    </w:p>
    <w:p>
      <w:pPr>
        <w:spacing w:line="360" w:lineRule="auto"/>
        <w:ind w:firstLine="412" w:firstLineChars="200"/>
      </w:pPr>
      <w:r>
        <w:rPr>
          <w:rFonts w:hint="eastAsia" w:cs="宋体"/>
          <w:spacing w:val="-2"/>
        </w:rPr>
        <w:t>评标委员会根据</w:t>
      </w:r>
      <w:r>
        <w:rPr>
          <w:spacing w:val="-2"/>
        </w:rPr>
        <w:t>“</w:t>
      </w:r>
      <w:r>
        <w:rPr>
          <w:rFonts w:hint="eastAsia" w:cs="宋体"/>
          <w:spacing w:val="-2"/>
        </w:rPr>
        <w:t>评标办法前附表</w:t>
      </w:r>
      <w:r>
        <w:rPr>
          <w:spacing w:val="-2"/>
        </w:rPr>
        <w:t>”</w:t>
      </w:r>
      <w:r>
        <w:rPr>
          <w:rFonts w:hint="eastAsia" w:cs="宋体"/>
          <w:spacing w:val="-2"/>
        </w:rPr>
        <w:t>中规定的评审因素和评审标准，对投标人的投标文件进行资格评审。</w:t>
      </w:r>
    </w:p>
    <w:p>
      <w:pPr>
        <w:spacing w:line="360" w:lineRule="auto"/>
        <w:ind w:firstLine="420" w:firstLineChars="200"/>
        <w:rPr>
          <w:spacing w:val="-2"/>
        </w:rPr>
      </w:pPr>
      <w:r>
        <w:t>A3.2</w:t>
      </w:r>
      <w:r>
        <w:rPr>
          <w:rFonts w:hint="eastAsia" w:cs="宋体"/>
        </w:rPr>
        <w:t>形式评审</w:t>
      </w:r>
    </w:p>
    <w:p>
      <w:pPr>
        <w:spacing w:line="360" w:lineRule="auto"/>
        <w:ind w:firstLine="412" w:firstLineChars="200"/>
      </w:pPr>
      <w:r>
        <w:rPr>
          <w:rFonts w:hint="eastAsia" w:cs="宋体"/>
          <w:spacing w:val="-2"/>
        </w:rPr>
        <w:t>评标委员会根据</w:t>
      </w:r>
      <w:r>
        <w:rPr>
          <w:spacing w:val="-2"/>
        </w:rPr>
        <w:t>“</w:t>
      </w:r>
      <w:r>
        <w:rPr>
          <w:rFonts w:hint="eastAsia" w:cs="宋体"/>
          <w:spacing w:val="-2"/>
        </w:rPr>
        <w:t>评标办法前附表</w:t>
      </w:r>
      <w:r>
        <w:rPr>
          <w:spacing w:val="-2"/>
        </w:rPr>
        <w:t>”</w:t>
      </w:r>
      <w:r>
        <w:rPr>
          <w:rFonts w:hint="eastAsia" w:cs="宋体"/>
          <w:spacing w:val="-2"/>
        </w:rPr>
        <w:t>中规定的评审因素和评审标准，对投标人的投标文件进行形式评审。</w:t>
      </w:r>
    </w:p>
    <w:p>
      <w:pPr>
        <w:spacing w:line="360" w:lineRule="auto"/>
        <w:ind w:firstLine="420" w:firstLineChars="200"/>
      </w:pPr>
      <w:r>
        <w:t xml:space="preserve">A3.3 </w:t>
      </w:r>
      <w:r>
        <w:rPr>
          <w:rFonts w:hint="eastAsia" w:cs="宋体"/>
        </w:rPr>
        <w:t>响应性评审</w:t>
      </w:r>
    </w:p>
    <w:p>
      <w:pPr>
        <w:spacing w:line="360" w:lineRule="auto"/>
        <w:ind w:firstLine="420" w:firstLineChars="200"/>
      </w:pPr>
      <w:r>
        <w:t xml:space="preserve">A3.3.1 </w:t>
      </w:r>
      <w:r>
        <w:rPr>
          <w:rFonts w:hint="eastAsia" w:cs="宋体"/>
        </w:rPr>
        <w:t>评标委员会根据</w:t>
      </w:r>
      <w:r>
        <w:t>“</w:t>
      </w:r>
      <w:r>
        <w:rPr>
          <w:rFonts w:hint="eastAsia" w:cs="宋体"/>
        </w:rPr>
        <w:t>评标办法前附表</w:t>
      </w:r>
      <w:r>
        <w:t>”</w:t>
      </w:r>
      <w:r>
        <w:rPr>
          <w:rFonts w:hint="eastAsia" w:cs="宋体"/>
        </w:rPr>
        <w:t>中规定的评审因素和评审标准，对投标人的投标文件进行响应性评审。</w:t>
      </w:r>
    </w:p>
    <w:p>
      <w:pPr>
        <w:spacing w:line="360" w:lineRule="auto"/>
        <w:ind w:firstLine="420" w:firstLineChars="200"/>
      </w:pPr>
      <w:r>
        <w:t xml:space="preserve">A3.3.2 </w:t>
      </w:r>
      <w:r>
        <w:rPr>
          <w:rFonts w:hint="eastAsia" w:cs="宋体"/>
        </w:rPr>
        <w:t>投标人投标总价不得超出（不含等于）招标人公布的招标控制价，凡投标人的投标总价超出招标控制价的，该投标人的投标文件不能通过响应性评审。</w:t>
      </w:r>
    </w:p>
    <w:p>
      <w:pPr>
        <w:spacing w:line="360" w:lineRule="auto"/>
        <w:ind w:firstLine="420" w:firstLineChars="200"/>
      </w:pPr>
      <w:r>
        <w:t xml:space="preserve">A3.4 </w:t>
      </w:r>
      <w:r>
        <w:rPr>
          <w:rFonts w:hint="eastAsia" w:cs="宋体"/>
        </w:rPr>
        <w:t>判断投标是否为否决投标</w:t>
      </w:r>
    </w:p>
    <w:p>
      <w:pPr>
        <w:spacing w:line="360" w:lineRule="auto"/>
        <w:ind w:firstLine="420" w:firstLineChars="200"/>
      </w:pPr>
      <w:r>
        <w:t xml:space="preserve">A3.4.1 </w:t>
      </w:r>
      <w:r>
        <w:rPr>
          <w:rFonts w:hint="eastAsia" w:cs="宋体"/>
        </w:rPr>
        <w:t>判断投标人的投标是否为否决投标的全部条件（包括本章第</w:t>
      </w:r>
      <w:r>
        <w:t>3.1.2</w:t>
      </w:r>
      <w:r>
        <w:rPr>
          <w:rFonts w:hint="eastAsia" w:cs="宋体"/>
        </w:rPr>
        <w:t>项中规定的条件），在本章附件</w:t>
      </w:r>
      <w:r>
        <w:t>B</w:t>
      </w:r>
      <w:r>
        <w:rPr>
          <w:rFonts w:hint="eastAsia" w:cs="宋体"/>
        </w:rPr>
        <w:t>中集中列示。</w:t>
      </w:r>
    </w:p>
    <w:p>
      <w:pPr>
        <w:spacing w:line="360" w:lineRule="auto"/>
        <w:ind w:firstLine="420" w:firstLineChars="200"/>
      </w:pPr>
      <w:r>
        <w:t xml:space="preserve">A3.4.2 </w:t>
      </w:r>
      <w:r>
        <w:rPr>
          <w:rFonts w:hint="eastAsia" w:cs="宋体"/>
        </w:rPr>
        <w:t>本章附件</w:t>
      </w:r>
      <w:r>
        <w:t>B</w:t>
      </w:r>
      <w:r>
        <w:rPr>
          <w:rFonts w:hint="eastAsia" w:cs="宋体"/>
        </w:rPr>
        <w:t>集中列示的否决投标条件不应与第二章</w:t>
      </w:r>
      <w:r>
        <w:t>“</w:t>
      </w:r>
      <w:r>
        <w:rPr>
          <w:rFonts w:hint="eastAsia" w:cs="宋体"/>
        </w:rPr>
        <w:t>投标人须知</w:t>
      </w:r>
      <w:r>
        <w:t>”</w:t>
      </w:r>
      <w:r>
        <w:rPr>
          <w:rFonts w:hint="eastAsia" w:cs="宋体"/>
        </w:rPr>
        <w:t>和本章正文部分包括的否决投标条件抵触，如果出现相互矛盾的情况，以第二章</w:t>
      </w:r>
      <w:r>
        <w:t>“</w:t>
      </w:r>
      <w:r>
        <w:rPr>
          <w:rFonts w:hint="eastAsia" w:cs="宋体"/>
        </w:rPr>
        <w:t>投标人须知</w:t>
      </w:r>
      <w:r>
        <w:t>”</w:t>
      </w:r>
      <w:r>
        <w:rPr>
          <w:rFonts w:hint="eastAsia" w:cs="宋体"/>
        </w:rPr>
        <w:t>和本章正文部分的规定为准。</w:t>
      </w:r>
    </w:p>
    <w:p>
      <w:pPr>
        <w:spacing w:line="360" w:lineRule="auto"/>
        <w:ind w:firstLine="420" w:firstLineChars="200"/>
      </w:pPr>
      <w:r>
        <w:t xml:space="preserve">A3.4.3 </w:t>
      </w:r>
      <w:r>
        <w:rPr>
          <w:rFonts w:hint="eastAsia" w:cs="宋体"/>
        </w:rPr>
        <w:t>评标委员会在评标过程中，依据本章附件</w:t>
      </w:r>
      <w:r>
        <w:t>B</w:t>
      </w:r>
      <w:r>
        <w:rPr>
          <w:rFonts w:hint="eastAsia" w:cs="宋体"/>
        </w:rPr>
        <w:t>中规定的否决投标条件判断投标人的投标是否为否决投标。</w:t>
      </w:r>
    </w:p>
    <w:p>
      <w:pPr>
        <w:spacing w:line="360" w:lineRule="auto"/>
        <w:ind w:firstLine="420" w:firstLineChars="200"/>
        <w:outlineLvl w:val="0"/>
      </w:pPr>
      <w:r>
        <w:t xml:space="preserve">A3.5 </w:t>
      </w:r>
      <w:r>
        <w:rPr>
          <w:rFonts w:hint="eastAsia" w:cs="宋体"/>
        </w:rPr>
        <w:t>澄清、说明或补正</w:t>
      </w:r>
    </w:p>
    <w:p>
      <w:pPr>
        <w:spacing w:line="360" w:lineRule="auto"/>
        <w:ind w:firstLine="420" w:firstLineChars="200"/>
      </w:pPr>
      <w:r>
        <w:rPr>
          <w:rFonts w:hint="eastAsia" w:cs="宋体"/>
        </w:rPr>
        <w:t>在初步评审过程中，评标委员会应当就投标文件中不明确的内容要求投标人进行澄清、说明或者补正。投标人应当根据问题澄清通知要求，以书面形式予以澄清、说明或者补正。澄清、说明或补正根据本章第</w:t>
      </w:r>
      <w:r>
        <w:t>3.3</w:t>
      </w:r>
      <w:r>
        <w:rPr>
          <w:rFonts w:hint="eastAsia" w:cs="宋体"/>
        </w:rPr>
        <w:t>款的规定进行。</w:t>
      </w:r>
    </w:p>
    <w:p>
      <w:pPr>
        <w:pStyle w:val="4"/>
      </w:pPr>
      <w:bookmarkStart w:id="301" w:name="_Toc7648"/>
      <w:bookmarkStart w:id="302" w:name="_Toc407135185"/>
      <w:r>
        <w:t xml:space="preserve">A4 </w:t>
      </w:r>
      <w:r>
        <w:rPr>
          <w:rFonts w:hint="eastAsia" w:cs="黑体"/>
        </w:rPr>
        <w:t>详细评审</w:t>
      </w:r>
      <w:bookmarkEnd w:id="301"/>
      <w:bookmarkEnd w:id="302"/>
    </w:p>
    <w:p>
      <w:pPr>
        <w:spacing w:line="360" w:lineRule="auto"/>
        <w:ind w:firstLine="420" w:firstLineChars="200"/>
      </w:pPr>
      <w:r>
        <w:rPr>
          <w:rFonts w:hint="eastAsia" w:cs="宋体"/>
        </w:rPr>
        <w:t>只有通过了初步评审、被判定为合格的投标方可进入详细评审。</w:t>
      </w:r>
    </w:p>
    <w:p>
      <w:pPr>
        <w:spacing w:line="360" w:lineRule="auto"/>
        <w:ind w:firstLine="420" w:firstLineChars="200"/>
      </w:pPr>
      <w:r>
        <w:t xml:space="preserve">A4.1 </w:t>
      </w:r>
      <w:r>
        <w:rPr>
          <w:rFonts w:hint="eastAsia" w:cs="宋体"/>
        </w:rPr>
        <w:t>对投标文件进行基础性数据分析和整理工作（清标）</w:t>
      </w:r>
    </w:p>
    <w:p>
      <w:pPr>
        <w:spacing w:line="360" w:lineRule="auto"/>
        <w:ind w:firstLine="420" w:firstLineChars="200"/>
        <w:rPr>
          <w:rFonts w:eastAsia="楷体_GB2312"/>
        </w:rPr>
      </w:pPr>
      <w:r>
        <w:rPr>
          <w:rFonts w:hint="eastAsia" w:eastAsia="楷体_GB2312" w:cs="楷体_GB2312"/>
        </w:rPr>
        <w:t>【备注：根据项目情况进行设置】</w:t>
      </w:r>
    </w:p>
    <w:p>
      <w:pPr>
        <w:spacing w:line="360" w:lineRule="auto"/>
        <w:ind w:firstLine="420" w:firstLineChars="200"/>
      </w:pPr>
      <w:r>
        <w:t xml:space="preserve">A4.2 </w:t>
      </w:r>
      <w:r>
        <w:rPr>
          <w:rFonts w:hint="eastAsia" w:cs="宋体"/>
        </w:rPr>
        <w:t>算术错误修正</w:t>
      </w:r>
    </w:p>
    <w:p>
      <w:pPr>
        <w:spacing w:line="360" w:lineRule="auto"/>
        <w:ind w:firstLine="420" w:firstLineChars="200"/>
      </w:pPr>
      <w:r>
        <w:rPr>
          <w:rFonts w:hint="eastAsia" w:cs="宋体"/>
        </w:rPr>
        <w:t>评标委员会</w:t>
      </w:r>
      <w:r>
        <w:rPr>
          <w:rFonts w:hint="eastAsia" w:cs="宋体"/>
          <w:spacing w:val="-2"/>
        </w:rPr>
        <w:t>经济组评委</w:t>
      </w:r>
      <w:r>
        <w:rPr>
          <w:rFonts w:hint="eastAsia" w:cs="宋体"/>
        </w:rPr>
        <w:t>依据本章中规定的相关原则对投标报价中存在的算术错误进行修正，并根据算术错误修正结果计算评标基准价。</w:t>
      </w:r>
    </w:p>
    <w:p>
      <w:pPr>
        <w:spacing w:line="360" w:lineRule="auto"/>
        <w:ind w:firstLine="420" w:firstLineChars="200"/>
      </w:pPr>
      <w:r>
        <w:t xml:space="preserve">A4.3 </w:t>
      </w:r>
      <w:r>
        <w:rPr>
          <w:rFonts w:hint="eastAsia" w:cs="宋体"/>
        </w:rPr>
        <w:t>详细评审的程序</w:t>
      </w:r>
    </w:p>
    <w:p>
      <w:pPr>
        <w:spacing w:line="360" w:lineRule="auto"/>
        <w:ind w:firstLine="420" w:firstLineChars="200"/>
      </w:pPr>
      <w:r>
        <w:t xml:space="preserve">A4.3.1 </w:t>
      </w:r>
      <w:r>
        <w:rPr>
          <w:rFonts w:hint="eastAsia" w:cs="宋体"/>
        </w:rPr>
        <w:t>评标委员会按照本章第</w:t>
      </w:r>
      <w:r>
        <w:t>3.2</w:t>
      </w:r>
      <w:r>
        <w:rPr>
          <w:rFonts w:hint="eastAsia" w:cs="宋体"/>
        </w:rPr>
        <w:t>款中规定的程序进行详细评审：</w:t>
      </w:r>
    </w:p>
    <w:p>
      <w:pPr>
        <w:spacing w:line="360" w:lineRule="auto"/>
        <w:ind w:firstLine="420" w:firstLineChars="200"/>
      </w:pPr>
      <w:r>
        <w:rPr>
          <w:rFonts w:hint="eastAsia" w:cs="宋体"/>
        </w:rPr>
        <w:t>（</w:t>
      </w:r>
      <w:r>
        <w:t>1</w:t>
      </w:r>
      <w:r>
        <w:rPr>
          <w:rFonts w:hint="eastAsia" w:cs="宋体"/>
        </w:rPr>
        <w:t>）技术标评审和评分；</w:t>
      </w:r>
    </w:p>
    <w:p>
      <w:pPr>
        <w:spacing w:line="360" w:lineRule="auto"/>
        <w:ind w:firstLine="420" w:firstLineChars="200"/>
      </w:pPr>
      <w:r>
        <w:rPr>
          <w:rFonts w:hint="eastAsia" w:cs="宋体"/>
        </w:rPr>
        <w:t>（</w:t>
      </w:r>
      <w:r>
        <w:t>2</w:t>
      </w:r>
      <w:r>
        <w:rPr>
          <w:rFonts w:hint="eastAsia" w:cs="宋体"/>
        </w:rPr>
        <w:t>）商务标评审和评分；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w:t>
      </w:r>
      <w:r>
        <w:rPr>
          <w:rFonts w:hint="eastAsia"/>
          <w:lang w:val="en-US" w:eastAsia="zh-CN"/>
        </w:rPr>
        <w:t>3</w:t>
      </w:r>
      <w:r>
        <w:rPr>
          <w:rFonts w:hint="eastAsia" w:cs="宋体"/>
        </w:rPr>
        <w:t>）汇总评分结果。</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A4.4 </w:t>
      </w:r>
      <w:r>
        <w:rPr>
          <w:rFonts w:hint="eastAsia" w:cs="宋体"/>
        </w:rPr>
        <w:t>技术标评审和评分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按照</w:t>
      </w:r>
      <w:r>
        <w:t>“</w:t>
      </w:r>
      <w:r>
        <w:rPr>
          <w:rFonts w:hint="eastAsia" w:cs="宋体"/>
        </w:rPr>
        <w:t>评标办法前附表</w:t>
      </w:r>
      <w:r>
        <w:t>”</w:t>
      </w:r>
      <w:r>
        <w:rPr>
          <w:rFonts w:hint="eastAsia" w:cs="宋体"/>
        </w:rPr>
        <w:t>中规定的分值设定、各项评分因素、评分标准，由</w:t>
      </w:r>
      <w:r>
        <w:rPr>
          <w:rFonts w:hint="eastAsia" w:cs="宋体"/>
          <w:spacing w:val="-2"/>
        </w:rPr>
        <w:t>评标委员会的技术组评委</w:t>
      </w:r>
      <w:r>
        <w:rPr>
          <w:rFonts w:hint="eastAsia" w:cs="宋体"/>
        </w:rPr>
        <w:t>进行评审和评分。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A4.5 </w:t>
      </w:r>
      <w:r>
        <w:rPr>
          <w:rFonts w:hint="eastAsia"/>
          <w:lang w:val="en-US" w:eastAsia="zh-CN"/>
        </w:rPr>
        <w:t>商务</w:t>
      </w:r>
      <w:r>
        <w:rPr>
          <w:rFonts w:hint="eastAsia" w:cs="宋体"/>
        </w:rPr>
        <w:t>分评审和评分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A4.5.1</w:t>
      </w:r>
      <w:r>
        <w:rPr>
          <w:rFonts w:hint="eastAsia" w:cs="宋体"/>
          <w:spacing w:val="-2"/>
        </w:rPr>
        <w:t>评标委员会的经济组评委</w:t>
      </w:r>
      <w:r>
        <w:rPr>
          <w:rFonts w:hint="eastAsia" w:cs="宋体"/>
        </w:rPr>
        <w:t>按照</w:t>
      </w:r>
      <w:r>
        <w:t>“</w:t>
      </w:r>
      <w:r>
        <w:rPr>
          <w:rFonts w:hint="eastAsia" w:cs="宋体"/>
        </w:rPr>
        <w:t>评标办法前附表</w:t>
      </w:r>
      <w:r>
        <w:t>”</w:t>
      </w:r>
      <w:r>
        <w:rPr>
          <w:rFonts w:hint="eastAsia" w:cs="宋体"/>
        </w:rPr>
        <w:t>中规定的方法计算</w:t>
      </w:r>
      <w:r>
        <w:t>“</w:t>
      </w:r>
      <w:r>
        <w:rPr>
          <w:rFonts w:hint="eastAsia" w:cs="宋体"/>
        </w:rPr>
        <w:t>评标基准价</w:t>
      </w:r>
      <w:r>
        <w:t>”</w:t>
      </w:r>
      <w:r>
        <w:rPr>
          <w:rFonts w:hint="eastAsia" w:cs="宋体"/>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A4.5.2</w:t>
      </w:r>
      <w:r>
        <w:rPr>
          <w:rFonts w:hint="eastAsia" w:cs="宋体"/>
          <w:spacing w:val="-2"/>
        </w:rPr>
        <w:t>评标委员会的经济组评委</w:t>
      </w:r>
      <w:r>
        <w:rPr>
          <w:rFonts w:hint="eastAsia" w:cs="宋体"/>
        </w:rPr>
        <w:t>按照</w:t>
      </w:r>
      <w:r>
        <w:t>“</w:t>
      </w:r>
      <w:r>
        <w:rPr>
          <w:rFonts w:hint="eastAsia" w:cs="宋体"/>
        </w:rPr>
        <w:t>评标办法前附表</w:t>
      </w:r>
      <w:r>
        <w:t>”</w:t>
      </w:r>
      <w:r>
        <w:rPr>
          <w:rFonts w:hint="eastAsia" w:cs="宋体"/>
        </w:rPr>
        <w:t>中规定的方法，计算各个已通过了初步评审和技术标评审的</w:t>
      </w:r>
      <w:r>
        <w:rPr>
          <w:rFonts w:hint="eastAsia" w:cs="宋体"/>
          <w:lang w:val="en-US" w:eastAsia="zh-CN"/>
        </w:rPr>
        <w:t>商务</w:t>
      </w:r>
      <w:r>
        <w:rPr>
          <w:rFonts w:hint="eastAsia" w:cs="宋体"/>
        </w:rPr>
        <w:t>分得分。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w:t>
      </w:r>
      <w:r>
        <w:rPr>
          <w:rFonts w:hint="eastAsia"/>
          <w:lang w:val="en-US" w:eastAsia="zh-CN"/>
        </w:rPr>
        <w:t>6</w:t>
      </w:r>
      <w:r>
        <w:rPr>
          <w:rFonts w:hint="eastAsia" w:cs="宋体"/>
        </w:rPr>
        <w:t>判断投标报价是否低于成本</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由评标委员会的经济组评委认定投标人是否以低于成本竞标。</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w:t>
      </w:r>
      <w:r>
        <w:rPr>
          <w:rFonts w:hint="eastAsia"/>
          <w:lang w:val="en-US" w:eastAsia="zh-CN"/>
        </w:rPr>
        <w:t>7</w:t>
      </w:r>
      <w:r>
        <w:rPr>
          <w:rFonts w:hint="eastAsia" w:cs="宋体"/>
        </w:rPr>
        <w:t>澄清、说明或补正</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在评审过程中，评标委员会应当就投标文件中不明确的内容要求投标人进行澄清、说明或者补正。投标人对此以书面形式予以澄清、说明或者补正。澄清、说明或补正根据本章第</w:t>
      </w:r>
      <w:r>
        <w:t>3.3</w:t>
      </w:r>
      <w:r>
        <w:rPr>
          <w:rFonts w:hint="eastAsia" w:cs="宋体"/>
        </w:rPr>
        <w:t>款的规定执行。</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w:t>
      </w:r>
      <w:r>
        <w:rPr>
          <w:rFonts w:hint="eastAsia"/>
          <w:lang w:val="en-US" w:eastAsia="zh-CN"/>
        </w:rPr>
        <w:t>8</w:t>
      </w:r>
      <w:r>
        <w:t xml:space="preserve"> </w:t>
      </w:r>
      <w:r>
        <w:rPr>
          <w:rFonts w:hint="eastAsia" w:cs="宋体"/>
        </w:rPr>
        <w:t>汇总评分结果</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cs="宋体"/>
        </w:rPr>
      </w:pPr>
      <w:r>
        <w:rPr>
          <w:rFonts w:hint="eastAsia" w:cs="宋体"/>
        </w:rPr>
        <w:t>详细评审工作全部结束后，汇总评标委员会各成员的详细评审评分结果，并按照详细评审最终得分由高至低的次序对投标人进行排序。</w:t>
      </w:r>
    </w:p>
    <w:p>
      <w:pPr>
        <w:pStyle w:val="4"/>
        <w:pageBreakBefore w:val="0"/>
        <w:widowControl w:val="0"/>
        <w:kinsoku/>
        <w:wordWrap/>
        <w:overflowPunct/>
        <w:topLinePunct w:val="0"/>
        <w:autoSpaceDE/>
        <w:autoSpaceDN/>
        <w:bidi w:val="0"/>
        <w:adjustRightInd/>
        <w:snapToGrid/>
        <w:spacing w:line="360" w:lineRule="auto"/>
        <w:textAlignment w:val="auto"/>
      </w:pPr>
      <w:bookmarkStart w:id="303" w:name="_Toc407135186"/>
      <w:bookmarkStart w:id="304" w:name="_Toc26415"/>
      <w:r>
        <w:t xml:space="preserve">A5 </w:t>
      </w:r>
      <w:r>
        <w:rPr>
          <w:rFonts w:hint="eastAsia" w:cs="黑体"/>
        </w:rPr>
        <w:t>推荐中标候选人或者直接确定中标人</w:t>
      </w:r>
      <w:bookmarkEnd w:id="303"/>
      <w:bookmarkEnd w:id="304"/>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outlineLvl w:val="0"/>
      </w:pPr>
      <w:r>
        <w:t xml:space="preserve">A5.1 </w:t>
      </w:r>
      <w:r>
        <w:rPr>
          <w:rFonts w:hint="eastAsia" w:cs="宋体"/>
        </w:rPr>
        <w:t>推荐中标候选人</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A5.1.1 </w:t>
      </w:r>
      <w:r>
        <w:rPr>
          <w:rFonts w:hint="eastAsia" w:cs="宋体"/>
        </w:rPr>
        <w:t>除第二章</w:t>
      </w:r>
      <w:r>
        <w:t>“</w:t>
      </w:r>
      <w:r>
        <w:rPr>
          <w:rFonts w:hint="eastAsia" w:cs="宋体"/>
        </w:rPr>
        <w:t>投标人须知</w:t>
      </w:r>
      <w:r>
        <w:t>”</w:t>
      </w:r>
      <w:r>
        <w:rPr>
          <w:rFonts w:hint="eastAsia" w:cs="宋体"/>
        </w:rPr>
        <w:t>前附表第</w:t>
      </w:r>
      <w:r>
        <w:t>7.1</w:t>
      </w:r>
      <w:r>
        <w:rPr>
          <w:rFonts w:hint="eastAsia" w:cs="宋体"/>
        </w:rPr>
        <w:t>款授权直接确定中标人外，评标委员会在推荐中标候选人时，应遵照以下原则：</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1</w:t>
      </w:r>
      <w:r>
        <w:rPr>
          <w:rFonts w:hint="eastAsia" w:cs="宋体"/>
        </w:rPr>
        <w:t>）评标委员会按照最终得分由高至低的次序排列，并根据第二章</w:t>
      </w:r>
      <w:r>
        <w:t>“</w:t>
      </w:r>
      <w:r>
        <w:rPr>
          <w:rFonts w:hint="eastAsia" w:cs="宋体"/>
        </w:rPr>
        <w:t>投标人须知</w:t>
      </w:r>
      <w:r>
        <w:t>”</w:t>
      </w:r>
      <w:r>
        <w:rPr>
          <w:rFonts w:hint="eastAsia" w:cs="宋体"/>
        </w:rPr>
        <w:t>前附表第</w:t>
      </w:r>
      <w:r>
        <w:t>7.1</w:t>
      </w:r>
      <w:r>
        <w:rPr>
          <w:rFonts w:hint="eastAsia" w:cs="宋体"/>
        </w:rPr>
        <w:t>款规定及本章的规定推荐中标候选人。</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2</w:t>
      </w:r>
      <w:r>
        <w:rPr>
          <w:rFonts w:hint="eastAsia" w:cs="宋体"/>
        </w:rPr>
        <w:t>）如果评标委员会根据本章的规定作否决投标处理后，有效投标不足三个，且少于第二章</w:t>
      </w:r>
      <w:r>
        <w:t>“</w:t>
      </w:r>
      <w:r>
        <w:rPr>
          <w:rFonts w:hint="eastAsia" w:cs="宋体"/>
        </w:rPr>
        <w:t>投标人须知</w:t>
      </w:r>
      <w:r>
        <w:t>”</w:t>
      </w:r>
      <w:r>
        <w:rPr>
          <w:rFonts w:hint="eastAsia" w:cs="宋体"/>
        </w:rPr>
        <w:t>前附表第</w:t>
      </w:r>
      <w:r>
        <w:t>7.1</w:t>
      </w:r>
      <w:r>
        <w:rPr>
          <w:rFonts w:hint="eastAsia" w:cs="宋体"/>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A5.1.2 </w:t>
      </w:r>
      <w:r>
        <w:rPr>
          <w:rFonts w:hint="eastAsia" w:cs="宋体"/>
        </w:rPr>
        <w:t>投标截止时间前递交投标文件的投标人数量少于三个或者所有投标被否决的，招标人应当依法重新招标。</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A5.2 </w:t>
      </w:r>
      <w:r>
        <w:rPr>
          <w:rFonts w:hint="eastAsia" w:cs="宋体"/>
        </w:rPr>
        <w:t>直接确定中标人</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第二章</w:t>
      </w:r>
      <w:r>
        <w:t>“</w:t>
      </w:r>
      <w:r>
        <w:rPr>
          <w:rFonts w:hint="eastAsia" w:cs="宋体"/>
        </w:rPr>
        <w:t>投标人须知</w:t>
      </w:r>
      <w:r>
        <w:t>”</w:t>
      </w:r>
      <w:r>
        <w:rPr>
          <w:rFonts w:hint="eastAsia" w:cs="宋体"/>
        </w:rPr>
        <w:t>前附表授权评标委员会直接确定中标人的，评标委员会按照最终得分由高至低的次序排列，按照本章的规定直接确定中标人。</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A5.3 </w:t>
      </w:r>
      <w:r>
        <w:rPr>
          <w:rFonts w:hint="eastAsia" w:cs="宋体"/>
        </w:rPr>
        <w:t>编制评标报告</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评标委员会向招标人提交评标报告。评标报告应当由全体评标委员会成员加盖个人电子印章，并于评标结束时抄送有关行政监督部门。评标报告应当包括但不限于以下内容：</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1</w:t>
      </w:r>
      <w:r>
        <w:rPr>
          <w:rFonts w:hint="eastAsia" w:cs="宋体"/>
        </w:rPr>
        <w:t>）基本情况和数据表；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2</w:t>
      </w:r>
      <w:r>
        <w:rPr>
          <w:rFonts w:hint="eastAsia" w:cs="宋体"/>
        </w:rPr>
        <w:t>）评标委员会成员名单；</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3</w:t>
      </w:r>
      <w:r>
        <w:rPr>
          <w:rFonts w:hint="eastAsia" w:cs="宋体"/>
        </w:rPr>
        <w:t>）开标记录；</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4</w:t>
      </w:r>
      <w:r>
        <w:rPr>
          <w:rFonts w:hint="eastAsia" w:cs="宋体"/>
        </w:rPr>
        <w:t>）符合要求的投标一览表；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5</w:t>
      </w:r>
      <w:r>
        <w:rPr>
          <w:rFonts w:hint="eastAsia" w:cs="宋体"/>
        </w:rPr>
        <w:t>）否决投标情况说明；</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6</w:t>
      </w:r>
      <w:r>
        <w:rPr>
          <w:rFonts w:hint="eastAsia" w:cs="宋体"/>
        </w:rPr>
        <w:t>）评标标准、评标方法或者评标因素一览表；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7</w:t>
      </w:r>
      <w:r>
        <w:rPr>
          <w:rFonts w:hint="eastAsia" w:cs="宋体"/>
        </w:rPr>
        <w:t>）经评审的价格一览表（包括评标委员会在评标过程中所形成的所有记载评标结果、结论的表格、说明、记录等文件）；</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8</w:t>
      </w:r>
      <w:r>
        <w:rPr>
          <w:rFonts w:hint="eastAsia" w:cs="宋体"/>
        </w:rPr>
        <w:t>）经评审的投标人排序；</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9</w:t>
      </w:r>
      <w:r>
        <w:rPr>
          <w:rFonts w:hint="eastAsia" w:cs="宋体"/>
        </w:rPr>
        <w:t>）推荐的中标候选人名单（如果第二章</w:t>
      </w:r>
      <w:r>
        <w:t>“</w:t>
      </w:r>
      <w:r>
        <w:rPr>
          <w:rFonts w:hint="eastAsia" w:cs="宋体"/>
        </w:rPr>
        <w:t>投标人须知</w:t>
      </w:r>
      <w:r>
        <w:t>”</w:t>
      </w:r>
      <w:r>
        <w:rPr>
          <w:rFonts w:hint="eastAsia" w:cs="宋体"/>
        </w:rPr>
        <w:t>前附表授权评标委员会直接确定中标人，则为</w:t>
      </w:r>
      <w:r>
        <w:t>“</w:t>
      </w:r>
      <w:r>
        <w:rPr>
          <w:rFonts w:hint="eastAsia" w:cs="宋体"/>
        </w:rPr>
        <w:t>确定的中标人</w:t>
      </w:r>
      <w:r>
        <w:t>”</w:t>
      </w:r>
      <w:r>
        <w:rPr>
          <w:rFonts w:hint="eastAsia" w:cs="宋体"/>
        </w:rPr>
        <w:t>）与签订合同前要处理的事宜；</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b/>
          <w:bCs/>
        </w:rPr>
      </w:pPr>
      <w:r>
        <w:rPr>
          <w:rFonts w:hint="eastAsia" w:cs="宋体"/>
        </w:rPr>
        <w:t>（</w:t>
      </w:r>
      <w:r>
        <w:t>10</w:t>
      </w:r>
      <w:r>
        <w:rPr>
          <w:rFonts w:hint="eastAsia" w:cs="宋体"/>
        </w:rPr>
        <w:t>）澄清、说明、补正事项纪要。</w:t>
      </w:r>
    </w:p>
    <w:p>
      <w:pPr>
        <w:pStyle w:val="4"/>
        <w:pageBreakBefore w:val="0"/>
        <w:widowControl w:val="0"/>
        <w:kinsoku/>
        <w:wordWrap/>
        <w:overflowPunct/>
        <w:topLinePunct w:val="0"/>
        <w:autoSpaceDE/>
        <w:autoSpaceDN/>
        <w:bidi w:val="0"/>
        <w:adjustRightInd/>
        <w:snapToGrid/>
        <w:spacing w:line="360" w:lineRule="auto"/>
        <w:textAlignment w:val="auto"/>
      </w:pPr>
      <w:bookmarkStart w:id="305" w:name="_Toc17594"/>
      <w:bookmarkStart w:id="306" w:name="_Toc407135187"/>
      <w:r>
        <w:t xml:space="preserve">A6 </w:t>
      </w:r>
      <w:r>
        <w:rPr>
          <w:rFonts w:hint="eastAsia" w:cs="黑体"/>
        </w:rPr>
        <w:t>特殊情况的处置程序</w:t>
      </w:r>
      <w:bookmarkEnd w:id="305"/>
      <w:bookmarkEnd w:id="306"/>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A6.1 </w:t>
      </w:r>
      <w:r>
        <w:rPr>
          <w:rFonts w:hint="eastAsia" w:cs="宋体"/>
        </w:rPr>
        <w:t>关于评标活动暂停</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A6.1.1 </w:t>
      </w:r>
      <w:r>
        <w:rPr>
          <w:rFonts w:hint="eastAsia" w:cs="宋体"/>
        </w:rPr>
        <w:t>评标委员会应当执行连续评标的原则，按评标办法中规定的程序、内容、方法、标准完成全部评标工作。只有发生不可抗力导致评标工作无法继续时，评标活动方可暂停。</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A6.1.2 </w:t>
      </w:r>
      <w:r>
        <w:rPr>
          <w:rFonts w:hint="eastAsia" w:cs="宋体"/>
        </w:rPr>
        <w:t>发生评标暂停情况时，评标委员会应当封存全部投标文件和评标记录，待不可抗力的影响结束且具备继续评标的条件时，由原评标委员会继续评标。</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pPr>
      <w:r>
        <w:t xml:space="preserve">A6.2 </w:t>
      </w:r>
      <w:r>
        <w:rPr>
          <w:rFonts w:hint="eastAsia" w:cs="宋体"/>
        </w:rPr>
        <w:t>关于评标中途更换评委</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A6.2.1 </w:t>
      </w:r>
      <w:r>
        <w:rPr>
          <w:rFonts w:hint="eastAsia" w:cs="宋体"/>
        </w:rPr>
        <w:t>除非发生下列情况之一，评标委员会成员不得在评标中途更换：</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w:t>
      </w:r>
      <w:r>
        <w:t>1</w:t>
      </w:r>
      <w:r>
        <w:rPr>
          <w:rFonts w:hint="eastAsia" w:cs="宋体"/>
        </w:rPr>
        <w:t>）因不可抗拒的客观原因，不能到场或需在评标中途退出评标活动。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2</w:t>
      </w:r>
      <w:r>
        <w:rPr>
          <w:rFonts w:hint="eastAsia" w:cs="宋体"/>
        </w:rPr>
        <w:t>）根据法律法规规定，某个或某几个评标委员会成员需要回避。</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A6.2.2 </w:t>
      </w:r>
      <w:r>
        <w:rPr>
          <w:rFonts w:hint="eastAsia" w:cs="宋体"/>
        </w:rPr>
        <w:t>退出评标的评标委员会成员，其已完成的评标行为无效。由招标人根据本招标文件规定的评标委员会成员生产方式另行确定替代者进行评标。</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A6.3 </w:t>
      </w:r>
      <w:r>
        <w:rPr>
          <w:rFonts w:hint="eastAsia" w:cs="宋体"/>
        </w:rPr>
        <w:t>记名投票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b/>
          <w:bCs/>
        </w:rPr>
      </w:pPr>
      <w:r>
        <w:rPr>
          <w:rFonts w:hint="eastAsia" w:cs="宋体"/>
        </w:rPr>
        <w:t>需评标委员会就某项定性的评审结论做出表决的，由评标委员会全体成员按照少数服从多数的原则，以记名投票方式表决。</w:t>
      </w:r>
    </w:p>
    <w:p>
      <w:pPr>
        <w:pStyle w:val="4"/>
        <w:pageBreakBefore w:val="0"/>
        <w:widowControl w:val="0"/>
        <w:kinsoku/>
        <w:wordWrap/>
        <w:overflowPunct/>
        <w:topLinePunct w:val="0"/>
        <w:autoSpaceDE/>
        <w:autoSpaceDN/>
        <w:bidi w:val="0"/>
        <w:adjustRightInd/>
        <w:snapToGrid/>
        <w:spacing w:line="360" w:lineRule="auto"/>
        <w:textAlignment w:val="auto"/>
      </w:pPr>
      <w:bookmarkStart w:id="307" w:name="_Toc13094"/>
      <w:bookmarkStart w:id="308" w:name="_Toc407135188"/>
      <w:r>
        <w:t xml:space="preserve">A7 </w:t>
      </w:r>
      <w:r>
        <w:rPr>
          <w:rFonts w:hint="eastAsia" w:cs="黑体"/>
        </w:rPr>
        <w:t>补充条款</w:t>
      </w:r>
      <w:bookmarkEnd w:id="307"/>
      <w:bookmarkEnd w:id="308"/>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cs="宋体"/>
        </w:rPr>
      </w:pPr>
      <w:r>
        <w:rPr>
          <w:rFonts w:hint="eastAsia" w:cs="宋体"/>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
        <w:jc w:val="center"/>
        <w:rPr>
          <w:b w:val="0"/>
          <w:bCs w:val="0"/>
          <w:sz w:val="28"/>
          <w:szCs w:val="28"/>
        </w:rPr>
      </w:pPr>
      <w:bookmarkStart w:id="309" w:name="_Toc407135189"/>
      <w:bookmarkStart w:id="310" w:name="_Toc30825"/>
      <w:r>
        <w:rPr>
          <w:rFonts w:hint="eastAsia" w:cs="黑体"/>
        </w:rPr>
        <w:t>附件</w:t>
      </w:r>
      <w:r>
        <w:t xml:space="preserve">B  </w:t>
      </w:r>
      <w:r>
        <w:rPr>
          <w:rFonts w:hint="eastAsia" w:cs="黑体"/>
        </w:rPr>
        <w:t>否决投标条件</w:t>
      </w:r>
      <w:bookmarkEnd w:id="309"/>
      <w:bookmarkEnd w:id="310"/>
    </w:p>
    <w:p>
      <w:pPr>
        <w:pStyle w:val="4"/>
        <w:rPr>
          <w:color w:val="000000"/>
        </w:rPr>
      </w:pPr>
      <w:bookmarkStart w:id="311" w:name="_Toc407135166"/>
      <w:bookmarkStart w:id="312" w:name="_Toc12609321"/>
      <w:bookmarkStart w:id="313" w:name="_Toc17916"/>
      <w:bookmarkStart w:id="314" w:name="_Toc389065231"/>
      <w:r>
        <w:rPr>
          <w:color w:val="000000"/>
        </w:rPr>
        <w:t xml:space="preserve">B0 </w:t>
      </w:r>
      <w:r>
        <w:rPr>
          <w:rFonts w:hint="eastAsia" w:cs="黑体"/>
          <w:color w:val="000000"/>
        </w:rPr>
        <w:t>总</w:t>
      </w:r>
      <w:r>
        <w:rPr>
          <w:color w:val="000000"/>
        </w:rPr>
        <w:t xml:space="preserve">  </w:t>
      </w:r>
      <w:r>
        <w:rPr>
          <w:rFonts w:hint="eastAsia" w:cs="黑体"/>
          <w:color w:val="000000"/>
        </w:rPr>
        <w:t>则</w:t>
      </w:r>
      <w:bookmarkEnd w:id="311"/>
      <w:bookmarkEnd w:id="312"/>
      <w:bookmarkEnd w:id="313"/>
    </w:p>
    <w:p>
      <w:pPr>
        <w:spacing w:line="360" w:lineRule="auto"/>
        <w:ind w:firstLine="420" w:firstLineChars="200"/>
        <w:rPr>
          <w:color w:val="000000"/>
        </w:rPr>
      </w:pPr>
      <w:r>
        <w:rPr>
          <w:rFonts w:hint="eastAsia" w:cs="宋体"/>
          <w:color w:val="000000"/>
        </w:rPr>
        <w:t>本附件所集中列示的否决投标条件，是本章</w:t>
      </w:r>
      <w:r>
        <w:rPr>
          <w:color w:val="000000"/>
        </w:rPr>
        <w:t>“</w:t>
      </w:r>
      <w:r>
        <w:rPr>
          <w:rFonts w:hint="eastAsia" w:cs="宋体"/>
          <w:color w:val="000000"/>
        </w:rPr>
        <w:t>评标办法</w:t>
      </w:r>
      <w:r>
        <w:rPr>
          <w:color w:val="000000"/>
        </w:rPr>
        <w:t>”</w:t>
      </w:r>
      <w:r>
        <w:rPr>
          <w:rFonts w:hint="eastAsia" w:cs="宋体"/>
          <w:color w:val="000000"/>
        </w:rPr>
        <w:t>的组成部分，是对第二章</w:t>
      </w:r>
      <w:r>
        <w:rPr>
          <w:color w:val="000000"/>
        </w:rPr>
        <w:t>“</w:t>
      </w:r>
      <w:r>
        <w:rPr>
          <w:rFonts w:hint="eastAsia" w:cs="宋体"/>
          <w:color w:val="000000"/>
        </w:rPr>
        <w:t>投标人须知</w:t>
      </w:r>
      <w:r>
        <w:rPr>
          <w:color w:val="000000"/>
        </w:rPr>
        <w:t>”</w:t>
      </w:r>
      <w:r>
        <w:rPr>
          <w:rFonts w:hint="eastAsia" w:cs="宋体"/>
          <w:color w:val="000000"/>
        </w:rPr>
        <w:t>和本章正文部分所规定的否决投标条件的总结和补充，如果出现相互矛盾的情况，以第二章</w:t>
      </w:r>
      <w:r>
        <w:rPr>
          <w:color w:val="000000"/>
        </w:rPr>
        <w:t>“</w:t>
      </w:r>
      <w:r>
        <w:rPr>
          <w:rFonts w:hint="eastAsia" w:cs="宋体"/>
          <w:color w:val="000000"/>
        </w:rPr>
        <w:t>投标人须知</w:t>
      </w:r>
      <w:r>
        <w:rPr>
          <w:color w:val="000000"/>
        </w:rPr>
        <w:t>”</w:t>
      </w:r>
      <w:r>
        <w:rPr>
          <w:rFonts w:hint="eastAsia" w:cs="宋体"/>
          <w:color w:val="000000"/>
        </w:rPr>
        <w:t>和本章正文部分的规定为准。</w:t>
      </w:r>
    </w:p>
    <w:p>
      <w:pPr>
        <w:pStyle w:val="4"/>
        <w:rPr>
          <w:color w:val="000000"/>
        </w:rPr>
      </w:pPr>
      <w:bookmarkStart w:id="315" w:name="_Toc22625"/>
      <w:bookmarkStart w:id="316" w:name="_Toc12609322"/>
      <w:bookmarkStart w:id="317" w:name="_Toc407135167"/>
      <w:r>
        <w:rPr>
          <w:color w:val="000000"/>
        </w:rPr>
        <w:t xml:space="preserve">B1 </w:t>
      </w:r>
      <w:r>
        <w:rPr>
          <w:rFonts w:hint="eastAsia" w:cs="黑体"/>
          <w:color w:val="000000"/>
        </w:rPr>
        <w:t>否决投标条件</w:t>
      </w:r>
      <w:bookmarkEnd w:id="315"/>
      <w:bookmarkEnd w:id="316"/>
      <w:bookmarkEnd w:id="317"/>
    </w:p>
    <w:p>
      <w:pPr>
        <w:spacing w:line="360" w:lineRule="auto"/>
        <w:ind w:firstLine="420" w:firstLineChars="200"/>
        <w:rPr>
          <w:color w:val="000000"/>
        </w:rPr>
      </w:pPr>
      <w:r>
        <w:rPr>
          <w:rFonts w:hint="eastAsia" w:cs="宋体"/>
          <w:color w:val="000000"/>
        </w:rPr>
        <w:t>投标人或其投标文件有下列情形之一的，其投标作否决投标处理：</w:t>
      </w:r>
    </w:p>
    <w:p>
      <w:pPr>
        <w:spacing w:line="360" w:lineRule="auto"/>
        <w:ind w:firstLine="420" w:firstLineChars="200"/>
        <w:rPr>
          <w:color w:val="000000"/>
        </w:rPr>
      </w:pPr>
      <w:r>
        <w:rPr>
          <w:color w:val="000000"/>
        </w:rPr>
        <w:t xml:space="preserve">B1.1 </w:t>
      </w:r>
      <w:r>
        <w:rPr>
          <w:rFonts w:hint="eastAsia" w:cs="宋体"/>
          <w:color w:val="000000"/>
        </w:rPr>
        <w:t>有第二章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1.4.3</w:t>
      </w:r>
      <w:r>
        <w:rPr>
          <w:rFonts w:hint="eastAsia"/>
          <w:color w:val="000000"/>
        </w:rPr>
        <w:t>、1.4.4</w:t>
      </w:r>
      <w:r>
        <w:rPr>
          <w:rFonts w:hint="eastAsia" w:cs="宋体"/>
          <w:color w:val="000000"/>
        </w:rPr>
        <w:t>项规定的任何一种情形的；</w:t>
      </w:r>
    </w:p>
    <w:p>
      <w:pPr>
        <w:spacing w:line="360" w:lineRule="auto"/>
        <w:ind w:firstLine="420" w:firstLineChars="200"/>
        <w:rPr>
          <w:color w:val="000000"/>
        </w:rPr>
      </w:pPr>
      <w:r>
        <w:rPr>
          <w:color w:val="000000"/>
        </w:rPr>
        <w:t xml:space="preserve">B1.2 </w:t>
      </w:r>
      <w:r>
        <w:rPr>
          <w:rFonts w:hint="eastAsia" w:cs="宋体"/>
          <w:color w:val="000000"/>
        </w:rPr>
        <w:t>有串通投标或弄虚作假或有其他违法行为的；</w:t>
      </w:r>
    </w:p>
    <w:p>
      <w:pPr>
        <w:spacing w:line="360" w:lineRule="auto"/>
        <w:ind w:firstLine="420" w:firstLineChars="200"/>
        <w:rPr>
          <w:color w:val="000000"/>
        </w:rPr>
      </w:pPr>
      <w:r>
        <w:rPr>
          <w:color w:val="000000"/>
        </w:rPr>
        <w:t xml:space="preserve">B1.3 </w:t>
      </w:r>
      <w:r>
        <w:rPr>
          <w:rFonts w:hint="eastAsia" w:cs="宋体"/>
          <w:color w:val="000000"/>
        </w:rPr>
        <w:t>不按评标委员会要求澄清、说明或补正的；</w:t>
      </w:r>
    </w:p>
    <w:p>
      <w:pPr>
        <w:spacing w:line="360" w:lineRule="auto"/>
        <w:ind w:firstLine="420" w:firstLineChars="200"/>
        <w:rPr>
          <w:color w:val="000000"/>
        </w:rPr>
      </w:pPr>
      <w:r>
        <w:rPr>
          <w:color w:val="000000"/>
        </w:rPr>
        <w:t xml:space="preserve">B1.4 </w:t>
      </w:r>
      <w:r>
        <w:rPr>
          <w:rFonts w:hint="eastAsia" w:cs="宋体"/>
          <w:color w:val="000000"/>
        </w:rPr>
        <w:t>在资格评审、形式评审、响应性评审中，评标委员会认定投标人的投标文件不符合</w:t>
      </w:r>
      <w:r>
        <w:rPr>
          <w:color w:val="000000"/>
        </w:rPr>
        <w:t>“</w:t>
      </w:r>
      <w:r>
        <w:rPr>
          <w:rFonts w:hint="eastAsia" w:cs="宋体"/>
          <w:color w:val="000000"/>
        </w:rPr>
        <w:t>评标办法前附表</w:t>
      </w:r>
      <w:r>
        <w:rPr>
          <w:color w:val="000000"/>
        </w:rPr>
        <w:t>”</w:t>
      </w:r>
      <w:r>
        <w:rPr>
          <w:rFonts w:hint="eastAsia" w:cs="宋体"/>
          <w:color w:val="000000"/>
        </w:rPr>
        <w:t>中规定的任何一项评审标准的【备注：如资格审查采用有限数量制时，资格审查的评审内容按打分制给予对应分值，无相关证明材料的给予</w:t>
      </w:r>
      <w:r>
        <w:rPr>
          <w:color w:val="000000"/>
        </w:rPr>
        <w:t>0</w:t>
      </w:r>
      <w:r>
        <w:rPr>
          <w:rFonts w:hint="eastAsia" w:cs="宋体"/>
          <w:color w:val="000000"/>
        </w:rPr>
        <w:t>分，但不做否决投标处理。】；</w:t>
      </w:r>
    </w:p>
    <w:p>
      <w:pPr>
        <w:spacing w:line="360" w:lineRule="auto"/>
        <w:ind w:firstLine="420" w:firstLineChars="200"/>
        <w:rPr>
          <w:color w:val="000000"/>
        </w:rPr>
      </w:pPr>
      <w:r>
        <w:rPr>
          <w:color w:val="000000"/>
        </w:rPr>
        <w:t xml:space="preserve">B1.5 </w:t>
      </w:r>
      <w:r>
        <w:rPr>
          <w:rFonts w:hint="eastAsia" w:cs="宋体"/>
          <w:color w:val="000000"/>
        </w:rPr>
        <w:t>在技术标评审中，评标委员会认定投标人的投标未能通过此项评审的；</w:t>
      </w:r>
    </w:p>
    <w:p>
      <w:pPr>
        <w:spacing w:line="360" w:lineRule="auto"/>
        <w:ind w:firstLine="420" w:firstLineChars="200"/>
        <w:rPr>
          <w:color w:val="000000"/>
        </w:rPr>
      </w:pPr>
      <w:r>
        <w:rPr>
          <w:color w:val="000000"/>
        </w:rPr>
        <w:t xml:space="preserve">B1.6 </w:t>
      </w:r>
      <w:r>
        <w:rPr>
          <w:rFonts w:hint="eastAsia" w:cs="宋体"/>
          <w:color w:val="000000"/>
        </w:rPr>
        <w:t>不按第二章投标须知前附表第</w:t>
      </w:r>
      <w:r>
        <w:rPr>
          <w:color w:val="000000"/>
        </w:rPr>
        <w:t>3.1.1</w:t>
      </w:r>
      <w:r>
        <w:rPr>
          <w:rFonts w:hint="eastAsia" w:cs="宋体"/>
          <w:color w:val="000000"/>
        </w:rPr>
        <w:t>条内容提供资料的；</w:t>
      </w:r>
    </w:p>
    <w:p>
      <w:pPr>
        <w:spacing w:line="360" w:lineRule="auto"/>
        <w:ind w:firstLine="420" w:firstLineChars="200"/>
        <w:rPr>
          <w:color w:val="000000"/>
        </w:rPr>
      </w:pPr>
      <w:r>
        <w:rPr>
          <w:color w:val="000000"/>
        </w:rPr>
        <w:t xml:space="preserve">B1.7 </w:t>
      </w:r>
      <w:r>
        <w:rPr>
          <w:rFonts w:hint="eastAsia" w:cs="宋体"/>
          <w:color w:val="000000"/>
        </w:rPr>
        <w:t>没有在招标文件规定的电子投标文件相关位置加盖投标人法人单位及法定代表人电子印章的；</w:t>
      </w:r>
    </w:p>
    <w:p>
      <w:pPr>
        <w:spacing w:line="360" w:lineRule="auto"/>
        <w:ind w:firstLine="420" w:firstLineChars="200"/>
        <w:rPr>
          <w:color w:val="000000"/>
        </w:rPr>
      </w:pPr>
      <w:r>
        <w:rPr>
          <w:color w:val="000000"/>
        </w:rPr>
        <w:t xml:space="preserve">B1.8 </w:t>
      </w:r>
      <w:r>
        <w:rPr>
          <w:rFonts w:hint="eastAsia" w:cs="宋体"/>
          <w:color w:val="000000"/>
        </w:rPr>
        <w:t>投标文件的关键内容字迹模糊、辨认不清的；</w:t>
      </w:r>
    </w:p>
    <w:p>
      <w:pPr>
        <w:spacing w:line="360" w:lineRule="auto"/>
        <w:ind w:firstLine="420" w:firstLineChars="200"/>
        <w:rPr>
          <w:color w:val="000000"/>
        </w:rPr>
      </w:pPr>
      <w:r>
        <w:rPr>
          <w:color w:val="000000"/>
        </w:rPr>
        <w:t>B1.9</w:t>
      </w:r>
      <w:r>
        <w:rPr>
          <w:rFonts w:hint="eastAsia" w:cs="宋体"/>
          <w:color w:val="000000"/>
        </w:rPr>
        <w:t>投标人不接受评标委员会按第三章</w:t>
      </w:r>
      <w:r>
        <w:rPr>
          <w:color w:val="000000"/>
        </w:rPr>
        <w:t>“</w:t>
      </w:r>
      <w:r>
        <w:rPr>
          <w:rFonts w:hint="eastAsia" w:cs="宋体"/>
          <w:color w:val="000000"/>
        </w:rPr>
        <w:t>评标办法</w:t>
      </w:r>
      <w:r>
        <w:rPr>
          <w:color w:val="000000"/>
        </w:rPr>
        <w:t>”</w:t>
      </w:r>
      <w:r>
        <w:rPr>
          <w:rFonts w:hint="eastAsia" w:cs="宋体"/>
          <w:color w:val="000000"/>
        </w:rPr>
        <w:t>第</w:t>
      </w:r>
      <w:r>
        <w:rPr>
          <w:color w:val="000000"/>
        </w:rPr>
        <w:t>3.1.3</w:t>
      </w:r>
      <w:r>
        <w:rPr>
          <w:rFonts w:hint="eastAsia" w:cs="宋体"/>
          <w:color w:val="000000"/>
        </w:rPr>
        <w:t>条的原则对投标报价进行修正的；</w:t>
      </w:r>
    </w:p>
    <w:p>
      <w:pPr>
        <w:spacing w:line="360" w:lineRule="auto"/>
        <w:ind w:firstLine="420" w:firstLineChars="200"/>
        <w:rPr>
          <w:color w:val="000000"/>
        </w:rPr>
      </w:pPr>
      <w:r>
        <w:rPr>
          <w:color w:val="000000"/>
        </w:rPr>
        <w:t xml:space="preserve">B1.10 </w:t>
      </w:r>
      <w:r>
        <w:rPr>
          <w:rFonts w:hint="eastAsia" w:cs="宋体"/>
          <w:color w:val="000000"/>
        </w:rPr>
        <w:t>投标人不具备独立法人资格或作为独立法人资格但就本工程提交一个以上的投标文件的；</w:t>
      </w:r>
    </w:p>
    <w:p>
      <w:pPr>
        <w:spacing w:line="360" w:lineRule="auto"/>
        <w:ind w:firstLine="420" w:firstLineChars="200"/>
        <w:rPr>
          <w:color w:val="000000"/>
        </w:rPr>
      </w:pPr>
      <w:r>
        <w:rPr>
          <w:color w:val="000000"/>
        </w:rPr>
        <w:t>B1.11</w:t>
      </w:r>
      <w:bookmarkStart w:id="318" w:name="_Hlk15999624"/>
      <w:r>
        <w:rPr>
          <w:rFonts w:hint="eastAsia" w:cs="宋体"/>
          <w:color w:val="000000"/>
        </w:rPr>
        <w:t>在单价合同工程中投标人采用总价优惠或以总价百分比优惠的方式进行投标报价的；</w:t>
      </w:r>
      <w:bookmarkEnd w:id="318"/>
    </w:p>
    <w:p>
      <w:pPr>
        <w:spacing w:line="360" w:lineRule="auto"/>
        <w:ind w:firstLine="420" w:firstLineChars="200"/>
        <w:rPr>
          <w:color w:val="000000"/>
        </w:rPr>
      </w:pPr>
      <w:r>
        <w:rPr>
          <w:color w:val="000000"/>
        </w:rPr>
        <w:t xml:space="preserve">B1.12 </w:t>
      </w:r>
      <w:r>
        <w:rPr>
          <w:rFonts w:hint="eastAsia" w:cs="宋体"/>
          <w:color w:val="000000"/>
        </w:rPr>
        <w:t>安全文明施工费和规费、增值税不按我区费用定额及造价管理相关文件规定报价的；</w:t>
      </w:r>
    </w:p>
    <w:p>
      <w:pPr>
        <w:spacing w:line="360" w:lineRule="auto"/>
        <w:ind w:firstLine="420" w:firstLineChars="200"/>
        <w:rPr>
          <w:color w:val="000000"/>
        </w:rPr>
      </w:pPr>
      <w:r>
        <w:rPr>
          <w:color w:val="000000"/>
        </w:rPr>
        <w:t xml:space="preserve">B1.13 </w:t>
      </w:r>
      <w:r>
        <w:rPr>
          <w:rFonts w:hint="eastAsia" w:cs="宋体"/>
          <w:color w:val="000000"/>
        </w:rPr>
        <w:t>投标人已标价工程量清单的项目编码（12位）、计量单位、工程量任何一处与招标工程量清单不一致的；</w:t>
      </w:r>
    </w:p>
    <w:p>
      <w:pPr>
        <w:spacing w:line="360" w:lineRule="auto"/>
        <w:ind w:firstLine="420" w:firstLineChars="200"/>
        <w:rPr>
          <w:color w:val="000000"/>
        </w:rPr>
      </w:pPr>
      <w:r>
        <w:rPr>
          <w:color w:val="000000"/>
        </w:rPr>
        <w:t xml:space="preserve">B1.14 </w:t>
      </w:r>
      <w:r>
        <w:rPr>
          <w:rFonts w:hint="eastAsia" w:cs="宋体"/>
          <w:color w:val="000000"/>
        </w:rPr>
        <w:t>投标人已标价工程量清单的项目名称或项目特征与招标工程量清单不一致，评标委员会要求澄清、说明或补正，但投标人拒绝澄清、说明或补正的；</w:t>
      </w:r>
    </w:p>
    <w:p>
      <w:pPr>
        <w:spacing w:line="360" w:lineRule="auto"/>
        <w:ind w:firstLine="420" w:firstLineChars="200"/>
        <w:rPr>
          <w:color w:val="000000"/>
        </w:rPr>
      </w:pPr>
      <w:r>
        <w:rPr>
          <w:color w:val="000000"/>
        </w:rPr>
        <w:t xml:space="preserve">B1.15 </w:t>
      </w:r>
      <w:r>
        <w:rPr>
          <w:rFonts w:hint="eastAsia" w:cs="宋体"/>
          <w:color w:val="000000"/>
        </w:rPr>
        <w:t>投标函中的报价与已标价的工程量清单汇总表不一致的；</w:t>
      </w:r>
    </w:p>
    <w:p>
      <w:pPr>
        <w:spacing w:line="360" w:lineRule="auto"/>
        <w:ind w:firstLine="420" w:firstLineChars="200"/>
        <w:rPr>
          <w:color w:val="000000"/>
        </w:rPr>
      </w:pPr>
      <w:r>
        <w:rPr>
          <w:color w:val="000000"/>
        </w:rPr>
        <w:t xml:space="preserve">B1.16 </w:t>
      </w:r>
      <w:r>
        <w:rPr>
          <w:rFonts w:hint="eastAsia" w:cs="宋体"/>
          <w:color w:val="000000"/>
        </w:rPr>
        <w:t>设有暂估价、暂列金额的，投标时未按招标人工程量清单给出的暂估价总价、暂列金额总价计入投标总报价中的；</w:t>
      </w:r>
    </w:p>
    <w:p>
      <w:pPr>
        <w:spacing w:line="360" w:lineRule="auto"/>
        <w:ind w:firstLine="420" w:firstLineChars="200"/>
        <w:rPr>
          <w:rFonts w:cs="宋体"/>
          <w:color w:val="000000"/>
        </w:rPr>
      </w:pPr>
      <w:r>
        <w:rPr>
          <w:color w:val="000000"/>
        </w:rPr>
        <w:t>B1.17</w:t>
      </w:r>
      <w:r>
        <w:rPr>
          <w:rFonts w:hint="eastAsia" w:cs="宋体"/>
          <w:color w:val="000000"/>
        </w:rPr>
        <w:t>投标文件实质上没有响应招标文件的要求的(包括</w:t>
      </w:r>
      <w:r>
        <w:rPr>
          <w:rFonts w:cs="宋体"/>
          <w:color w:val="000000"/>
        </w:rPr>
        <w:t>：质量要求、工期、技术标准和要求、合同</w:t>
      </w:r>
      <w:r>
        <w:rPr>
          <w:rFonts w:hint="eastAsia" w:cs="宋体"/>
          <w:color w:val="000000"/>
        </w:rPr>
        <w:t>价款</w:t>
      </w:r>
      <w:r>
        <w:rPr>
          <w:rFonts w:cs="宋体"/>
          <w:color w:val="000000"/>
        </w:rPr>
        <w:t>主要条款、投标有效期等</w:t>
      </w:r>
      <w:r>
        <w:rPr>
          <w:rFonts w:hint="eastAsia" w:cs="宋体"/>
          <w:color w:val="000000"/>
        </w:rPr>
        <w:t>)；</w:t>
      </w:r>
    </w:p>
    <w:bookmarkEnd w:id="314"/>
    <w:p>
      <w:pPr>
        <w:spacing w:line="360" w:lineRule="auto"/>
        <w:ind w:firstLine="420" w:firstLineChars="200"/>
        <w:rPr>
          <w:color w:val="000000"/>
        </w:rPr>
      </w:pPr>
      <w:r>
        <w:rPr>
          <w:color w:val="000000"/>
        </w:rPr>
        <w:t xml:space="preserve">B1.18 </w:t>
      </w:r>
      <w:r>
        <w:rPr>
          <w:rFonts w:hint="eastAsia" w:cs="宋体"/>
          <w:color w:val="000000"/>
        </w:rPr>
        <w:t>投标人未按照招标文件第二章投标人须知第</w:t>
      </w:r>
      <w:r>
        <w:rPr>
          <w:color w:val="000000"/>
        </w:rPr>
        <w:t>3.4</w:t>
      </w:r>
      <w:r>
        <w:rPr>
          <w:rFonts w:hint="eastAsia" w:cs="宋体"/>
          <w:color w:val="000000"/>
        </w:rPr>
        <w:t>条的要求提供投标保证金的或未按规定提交投标保证金证明材料的；</w:t>
      </w:r>
    </w:p>
    <w:p>
      <w:pPr>
        <w:spacing w:line="360" w:lineRule="auto"/>
        <w:ind w:firstLine="420" w:firstLineChars="200"/>
        <w:rPr>
          <w:color w:val="000000"/>
        </w:rPr>
      </w:pPr>
      <w:r>
        <w:rPr>
          <w:color w:val="000000"/>
        </w:rPr>
        <w:t>B1.19</w:t>
      </w:r>
      <w:r>
        <w:rPr>
          <w:rFonts w:hint="eastAsia" w:cs="宋体"/>
          <w:color w:val="000000"/>
        </w:rPr>
        <w:t>（</w:t>
      </w:r>
      <w:r>
        <w:rPr>
          <w:color w:val="000000"/>
        </w:rPr>
        <w:t>1</w:t>
      </w:r>
      <w:r>
        <w:rPr>
          <w:rFonts w:hint="eastAsia" w:cs="宋体"/>
          <w:color w:val="000000"/>
        </w:rPr>
        <w:t>）</w:t>
      </w:r>
      <w:bookmarkStart w:id="319" w:name="_Hlk15999787"/>
      <w:r>
        <w:rPr>
          <w:rFonts w:hint="eastAsia" w:cs="宋体"/>
          <w:color w:val="000000"/>
        </w:rPr>
        <w:t>投标人拟投入本工程的项目经理在在建项目或已中标未开工项目中任项目经理的（符合法规规定的特殊情况和桂建管﹝</w:t>
      </w:r>
      <w:r>
        <w:rPr>
          <w:color w:val="000000"/>
        </w:rPr>
        <w:t>2013</w:t>
      </w:r>
      <w:r>
        <w:rPr>
          <w:rFonts w:hint="eastAsia" w:cs="宋体"/>
          <w:color w:val="000000"/>
        </w:rPr>
        <w:t>﹞</w:t>
      </w:r>
      <w:r>
        <w:rPr>
          <w:color w:val="000000"/>
        </w:rPr>
        <w:t>17</w:t>
      </w:r>
      <w:r>
        <w:rPr>
          <w:rFonts w:hint="eastAsia" w:cs="宋体"/>
          <w:color w:val="000000"/>
        </w:rPr>
        <w:t>号文要求的除外）或已列为其他项目中标候选人第一名的项目经理或无有效安全生产考核合格证（</w:t>
      </w:r>
      <w:r>
        <w:rPr>
          <w:color w:val="000000"/>
        </w:rPr>
        <w:t>B</w:t>
      </w:r>
      <w:r>
        <w:rPr>
          <w:rFonts w:hint="eastAsia" w:cs="宋体"/>
          <w:color w:val="000000"/>
        </w:rPr>
        <w:t>类）的</w:t>
      </w:r>
      <w:bookmarkEnd w:id="319"/>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）投标人拟投入本工程的项目专职安全人员在在建项目中任专职安全员的（符合法规规定的特殊情况和桂建管﹝</w:t>
      </w:r>
      <w:r>
        <w:rPr>
          <w:color w:val="000000"/>
        </w:rPr>
        <w:t>2013</w:t>
      </w:r>
      <w:r>
        <w:rPr>
          <w:rFonts w:hint="eastAsia" w:cs="宋体"/>
          <w:color w:val="000000"/>
        </w:rPr>
        <w:t>﹞</w:t>
      </w:r>
      <w:r>
        <w:rPr>
          <w:color w:val="000000"/>
        </w:rPr>
        <w:t>17</w:t>
      </w:r>
      <w:r>
        <w:rPr>
          <w:rFonts w:hint="eastAsia" w:cs="宋体"/>
          <w:color w:val="000000"/>
        </w:rPr>
        <w:t>号文要求的除外）或无有效安全生产考核合格证（</w:t>
      </w:r>
      <w:r>
        <w:rPr>
          <w:color w:val="000000"/>
        </w:rPr>
        <w:t>C</w:t>
      </w:r>
      <w:r>
        <w:rPr>
          <w:rFonts w:hint="eastAsia" w:cs="宋体"/>
          <w:color w:val="000000"/>
        </w:rPr>
        <w:t>类）的；</w:t>
      </w:r>
    </w:p>
    <w:p>
      <w:pPr>
        <w:pStyle w:val="153"/>
        <w:spacing w:line="360" w:lineRule="auto"/>
        <w:ind w:firstLine="420" w:firstLineChars="200"/>
        <w:rPr>
          <w:color w:val="000000"/>
        </w:rPr>
      </w:pPr>
      <w:r>
        <w:rPr>
          <w:color w:val="000000"/>
        </w:rPr>
        <w:t>B1.20</w:t>
      </w:r>
      <w:r>
        <w:rPr>
          <w:rFonts w:hint="eastAsia" w:cs="宋体"/>
          <w:color w:val="000000"/>
        </w:rPr>
        <w:t>组成联合体投标的，投标文件未附联合体各方共同投标协议书的；</w:t>
      </w:r>
    </w:p>
    <w:p>
      <w:pPr>
        <w:pStyle w:val="153"/>
        <w:spacing w:line="360" w:lineRule="auto"/>
        <w:ind w:firstLine="420" w:firstLineChars="200"/>
        <w:rPr>
          <w:color w:val="000000"/>
        </w:rPr>
      </w:pPr>
      <w:r>
        <w:rPr>
          <w:color w:val="000000"/>
        </w:rPr>
        <w:t>B1.21</w:t>
      </w:r>
      <w:r>
        <w:rPr>
          <w:rFonts w:hint="eastAsia" w:cs="宋体"/>
          <w:color w:val="000000"/>
        </w:rPr>
        <w:t>投标人的投标总价超出招标控制价的；</w:t>
      </w:r>
    </w:p>
    <w:p>
      <w:pPr>
        <w:spacing w:after="100" w:afterAutospacing="1"/>
        <w:ind w:firstLine="420" w:firstLineChars="200"/>
        <w:rPr>
          <w:color w:val="000000"/>
        </w:rPr>
      </w:pPr>
      <w:r>
        <w:rPr>
          <w:color w:val="000000"/>
        </w:rPr>
        <w:t xml:space="preserve">B1.22 </w:t>
      </w:r>
      <w:r>
        <w:rPr>
          <w:rFonts w:hint="eastAsia" w:cs="宋体"/>
          <w:color w:val="000000"/>
        </w:rPr>
        <w:t>投标人对招标工程量清单内容进行增减或对招标范围进行调整的；</w:t>
      </w:r>
    </w:p>
    <w:p>
      <w:pPr>
        <w:pStyle w:val="153"/>
        <w:spacing w:line="360" w:lineRule="auto"/>
        <w:ind w:firstLine="420" w:firstLineChars="200"/>
        <w:rPr>
          <w:rFonts w:cs="宋体"/>
          <w:color w:val="000000"/>
        </w:rPr>
      </w:pPr>
      <w:r>
        <w:rPr>
          <w:color w:val="000000"/>
        </w:rPr>
        <w:t xml:space="preserve">B1.23 </w:t>
      </w:r>
      <w:r>
        <w:rPr>
          <w:rFonts w:hint="eastAsia" w:cs="宋体"/>
          <w:color w:val="000000"/>
        </w:rPr>
        <w:t>开标时通过身份证验证的项目经理和安全员与投标文件中的项目经理和安全员不一致的；</w:t>
      </w:r>
    </w:p>
    <w:p>
      <w:pPr>
        <w:spacing w:line="360" w:lineRule="auto"/>
        <w:ind w:firstLine="420" w:firstLineChars="200"/>
        <w:rPr>
          <w:color w:val="000000"/>
        </w:rPr>
      </w:pPr>
      <w:bookmarkStart w:id="320" w:name="_Hlk15999837"/>
      <w:r>
        <w:rPr>
          <w:color w:val="000000"/>
        </w:rPr>
        <w:t>B1.2</w:t>
      </w:r>
      <w:r>
        <w:rPr>
          <w:rFonts w:hint="eastAsia"/>
          <w:color w:val="000000"/>
        </w:rPr>
        <w:t>4</w:t>
      </w:r>
      <w:r>
        <w:rPr>
          <w:color w:val="000000"/>
        </w:rPr>
        <w:t xml:space="preserve"> </w:t>
      </w:r>
      <w:r>
        <w:rPr>
          <w:rFonts w:hint="eastAsia" w:cs="宋体"/>
          <w:color w:val="000000"/>
        </w:rPr>
        <w:t>法规规定的其他否决投标条款。</w:t>
      </w:r>
      <w:bookmarkEnd w:id="320"/>
    </w:p>
    <w:p>
      <w:pPr>
        <w:pStyle w:val="147"/>
        <w:spacing w:line="360" w:lineRule="auto"/>
        <w:ind w:firstLine="554"/>
        <w:rPr>
          <w:b/>
          <w:bCs/>
          <w:color w:val="000000"/>
        </w:rPr>
      </w:pPr>
      <w:r>
        <w:rPr>
          <w:rFonts w:hint="eastAsia" w:cs="宋体"/>
          <w:b/>
          <w:bCs/>
          <w:color w:val="000000"/>
        </w:rPr>
        <w:t>备注：</w:t>
      </w:r>
    </w:p>
    <w:p>
      <w:pPr>
        <w:pStyle w:val="147"/>
        <w:spacing w:line="360" w:lineRule="auto"/>
        <w:ind w:firstLine="420" w:firstLineChars="200"/>
        <w:rPr>
          <w:color w:val="000000"/>
        </w:rPr>
      </w:pPr>
      <w:r>
        <w:rPr>
          <w:color w:val="000000"/>
        </w:rPr>
        <w:t>1</w:t>
      </w:r>
      <w:r>
        <w:rPr>
          <w:rFonts w:hint="eastAsia" w:cs="宋体"/>
          <w:color w:val="000000"/>
        </w:rPr>
        <w:t>、如果工程所在地招投标监督管理部门要求评标委员会对判定为否决投标的投标文件说明否决投标情况的，应增加</w:t>
      </w:r>
      <w:r>
        <w:rPr>
          <w:color w:val="000000"/>
        </w:rPr>
        <w:t>“</w:t>
      </w:r>
      <w:r>
        <w:rPr>
          <w:rFonts w:hint="eastAsia" w:cs="宋体"/>
          <w:color w:val="000000"/>
        </w:rPr>
        <w:t>否决投标情况说明表</w:t>
      </w:r>
      <w:r>
        <w:rPr>
          <w:color w:val="000000"/>
        </w:rPr>
        <w:t>”</w:t>
      </w:r>
      <w:r>
        <w:rPr>
          <w:rFonts w:hint="eastAsia" w:cs="宋体"/>
          <w:color w:val="000000"/>
        </w:rPr>
        <w:t>格式，否决投标情况说明应当对照招标文件规定的否决投标条件以及投标文件存在的具体问题，并在中标候选人公示时予以公开。</w:t>
      </w:r>
    </w:p>
    <w:p>
      <w:pPr>
        <w:adjustRightInd w:val="0"/>
        <w:snapToGrid w:val="0"/>
        <w:spacing w:line="440" w:lineRule="exact"/>
      </w:pPr>
      <w:r>
        <w:rPr>
          <w:color w:val="000000"/>
        </w:rPr>
        <w:t>2</w:t>
      </w:r>
      <w:r>
        <w:rPr>
          <w:rFonts w:hint="eastAsia" w:cs="宋体"/>
          <w:color w:val="000000"/>
        </w:rPr>
        <w:t>、招标人可根据招标项目实际情况对上述否决投标情况进行调整，但不应与第二章</w:t>
      </w:r>
      <w:r>
        <w:rPr>
          <w:color w:val="000000"/>
        </w:rPr>
        <w:t>“</w:t>
      </w:r>
      <w:r>
        <w:rPr>
          <w:rFonts w:hint="eastAsia" w:cs="宋体"/>
          <w:color w:val="000000"/>
        </w:rPr>
        <w:t>投标人须知</w:t>
      </w:r>
      <w:r>
        <w:rPr>
          <w:color w:val="000000"/>
        </w:rPr>
        <w:t>”</w:t>
      </w:r>
      <w:r>
        <w:rPr>
          <w:rFonts w:hint="eastAsia" w:cs="宋体"/>
          <w:color w:val="000000"/>
        </w:rPr>
        <w:t>和本章正文部分包括的否决投标条件抵触，如果出现相互矛盾的情况，以第二章</w:t>
      </w:r>
      <w:r>
        <w:rPr>
          <w:color w:val="000000"/>
        </w:rPr>
        <w:t>“</w:t>
      </w:r>
      <w:r>
        <w:rPr>
          <w:rFonts w:hint="eastAsia" w:cs="宋体"/>
          <w:color w:val="000000"/>
        </w:rPr>
        <w:t>投标人须知</w:t>
      </w:r>
      <w:r>
        <w:rPr>
          <w:color w:val="000000"/>
        </w:rPr>
        <w:t>”</w:t>
      </w:r>
      <w:r>
        <w:rPr>
          <w:rFonts w:hint="eastAsia" w:cs="宋体"/>
          <w:color w:val="000000"/>
        </w:rPr>
        <w:t>和本章正文部分的规定为准。</w:t>
      </w:r>
    </w:p>
    <w:p>
      <w:pPr>
        <w:spacing w:line="360" w:lineRule="auto"/>
        <w:ind w:firstLine="450"/>
      </w:pPr>
    </w:p>
    <w:p>
      <w:pPr>
        <w:spacing w:line="360" w:lineRule="auto"/>
        <w:ind w:firstLine="450"/>
      </w:pPr>
    </w:p>
    <w:p>
      <w:pPr>
        <w:spacing w:line="360" w:lineRule="auto"/>
        <w:ind w:firstLine="450"/>
      </w:pPr>
    </w:p>
    <w:p>
      <w:pPr>
        <w:spacing w:line="420" w:lineRule="exact"/>
        <w:jc w:val="center"/>
      </w:pPr>
    </w:p>
    <w:p>
      <w:pPr>
        <w:spacing w:line="420" w:lineRule="exact"/>
        <w:jc w:val="center"/>
      </w:pPr>
    </w:p>
    <w:p>
      <w:pPr>
        <w:spacing w:line="420" w:lineRule="exact"/>
        <w:jc w:val="center"/>
      </w:pPr>
    </w:p>
    <w:p>
      <w:pPr>
        <w:spacing w:line="420" w:lineRule="exact"/>
        <w:jc w:val="center"/>
      </w:pPr>
    </w:p>
    <w:p>
      <w:pPr>
        <w:pStyle w:val="147"/>
        <w:spacing w:line="360" w:lineRule="auto"/>
        <w:jc w:val="left"/>
      </w:pPr>
    </w:p>
    <w:p>
      <w:pPr>
        <w:pStyle w:val="147"/>
        <w:spacing w:line="360" w:lineRule="auto"/>
        <w:ind w:firstLine="308" w:firstLineChars="147"/>
        <w:jc w:val="left"/>
        <w:sectPr>
          <w:pgSz w:w="11905" w:h="16838"/>
          <w:pgMar w:top="1440" w:right="1157" w:bottom="1270" w:left="1287" w:header="851" w:footer="850" w:gutter="0"/>
          <w:cols w:space="720" w:num="1"/>
          <w:rtlGutter w:val="0"/>
          <w:docGrid w:linePitch="312" w:charSpace="0"/>
        </w:sectPr>
      </w:pPr>
    </w:p>
    <w:bookmarkEnd w:id="249"/>
    <w:p>
      <w:pPr>
        <w:pStyle w:val="3"/>
        <w:jc w:val="center"/>
        <w:rPr>
          <w:rFonts w:cs="黑体"/>
        </w:rPr>
      </w:pPr>
      <w:bookmarkStart w:id="321" w:name="_Toc407135190"/>
      <w:bookmarkStart w:id="322" w:name="_Toc30276"/>
      <w:bookmarkStart w:id="323" w:name="_Toc358476596"/>
      <w:r>
        <w:rPr>
          <w:rFonts w:hint="eastAsia" w:cs="黑体"/>
        </w:rPr>
        <w:t>第四章</w:t>
      </w:r>
      <w:r>
        <w:rPr>
          <w:rFonts w:cs="黑体"/>
        </w:rPr>
        <w:t xml:space="preserve">  </w:t>
      </w:r>
      <w:r>
        <w:rPr>
          <w:rFonts w:hint="eastAsia" w:cs="黑体"/>
        </w:rPr>
        <w:t>合同条款及格式</w:t>
      </w:r>
      <w:bookmarkEnd w:id="321"/>
      <w:bookmarkEnd w:id="322"/>
    </w:p>
    <w:bookmarkEnd w:id="323"/>
    <w:p>
      <w:pPr>
        <w:pStyle w:val="3"/>
        <w:jc w:val="center"/>
      </w:pPr>
      <w:bookmarkStart w:id="324" w:name="_Toc2577"/>
      <w:bookmarkStart w:id="325" w:name="_Toc22700"/>
      <w:r>
        <w:rPr>
          <w:rFonts w:hint="eastAsia" w:cs="黑体"/>
        </w:rPr>
        <w:t>第一节 通用合同条款</w:t>
      </w:r>
      <w:bookmarkEnd w:id="324"/>
      <w:bookmarkEnd w:id="325"/>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26" w:name="_Toc30508"/>
      <w:bookmarkStart w:id="327" w:name="bookmark882"/>
      <w:bookmarkStart w:id="328" w:name="_Toc6367"/>
      <w:bookmarkStart w:id="329" w:name="bookmark881"/>
      <w:bookmarkStart w:id="330" w:name="bookmark883"/>
      <w:bookmarkStart w:id="331" w:name="_Toc58"/>
      <w:bookmarkStart w:id="332" w:name="_Toc19504"/>
      <w:r>
        <w:rPr>
          <w:rFonts w:hint="eastAsia" w:ascii="宋体" w:hAnsi="宋体" w:eastAsia="宋体" w:cs="宋体"/>
          <w:color w:val="000000"/>
          <w:sz w:val="21"/>
          <w:szCs w:val="21"/>
          <w:highlight w:val="none"/>
        </w:rPr>
        <w:t>1. 一般约定</w:t>
      </w:r>
      <w:bookmarkEnd w:id="326"/>
      <w:bookmarkEnd w:id="327"/>
      <w:bookmarkEnd w:id="328"/>
      <w:bookmarkEnd w:id="329"/>
      <w:bookmarkEnd w:id="330"/>
      <w:bookmarkEnd w:id="331"/>
      <w:bookmarkEnd w:id="332"/>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33" w:name="_Toc5974"/>
      <w:bookmarkStart w:id="334" w:name="bookmark884"/>
      <w:bookmarkStart w:id="335" w:name="bookmark886"/>
      <w:bookmarkStart w:id="336" w:name="_Toc11378"/>
      <w:bookmarkStart w:id="337" w:name="bookmark885"/>
      <w:bookmarkStart w:id="338" w:name="_Toc23363"/>
      <w:bookmarkStart w:id="339" w:name="_Toc6721"/>
      <w:r>
        <w:rPr>
          <w:rFonts w:hint="eastAsia" w:ascii="宋体" w:hAnsi="宋体" w:eastAsia="宋体" w:cs="宋体"/>
          <w:color w:val="000000"/>
          <w:sz w:val="21"/>
          <w:szCs w:val="21"/>
          <w:highlight w:val="none"/>
        </w:rPr>
        <w:t>1.1词语定义</w:t>
      </w:r>
      <w:bookmarkEnd w:id="333"/>
      <w:bookmarkEnd w:id="334"/>
      <w:bookmarkEnd w:id="335"/>
      <w:bookmarkEnd w:id="336"/>
      <w:bookmarkEnd w:id="337"/>
      <w:bookmarkEnd w:id="338"/>
      <w:bookmarkEnd w:id="339"/>
    </w:p>
    <w:p>
      <w:pPr>
        <w:pStyle w:val="163"/>
        <w:pageBreakBefore w:val="0"/>
        <w:widowControl w:val="0"/>
        <w:kinsoku/>
        <w:wordWrap/>
        <w:overflowPunct/>
        <w:topLinePunct w:val="0"/>
        <w:autoSpaceDE/>
        <w:autoSpaceDN/>
        <w:bidi w:val="0"/>
        <w:adjustRightInd/>
        <w:snapToGrid/>
        <w:spacing w:after="10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通用合同条款、专用合同条款中的下列词语应具有本款所赋予的含义。</w:t>
      </w:r>
    </w:p>
    <w:p>
      <w:pPr>
        <w:pStyle w:val="164"/>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w:t>
      </w:r>
      <w:r>
        <w:rPr>
          <w:rFonts w:hint="eastAsia" w:ascii="宋体" w:hAnsi="宋体" w:eastAsia="宋体" w:cs="宋体"/>
          <w:color w:val="000000"/>
          <w:sz w:val="21"/>
          <w:szCs w:val="21"/>
          <w:highlight w:val="none"/>
          <w:lang w:val="zh-CN" w:eastAsia="zh-CN"/>
        </w:rPr>
        <w:t>1合同</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1.1.1.1</w:t>
      </w:r>
      <w:r>
        <w:rPr>
          <w:rFonts w:hint="eastAsia" w:ascii="宋体" w:hAnsi="宋体" w:eastAsia="宋体" w:cs="宋体"/>
          <w:color w:val="000000"/>
          <w:sz w:val="21"/>
          <w:szCs w:val="21"/>
          <w:highlight w:val="none"/>
        </w:rPr>
        <w:t>合同文件（或称合同）：指合同协议书、中标通知书、投标函及投标函附录、专用合同条款、通用合同条款、技术标准和要求、图纸、已标价工程量清单，以及其他合同文件。</w:t>
      </w:r>
    </w:p>
    <w:p>
      <w:pPr>
        <w:pStyle w:val="163"/>
        <w:pageBreakBefore w:val="0"/>
        <w:widowControl w:val="0"/>
        <w:tabs>
          <w:tab w:val="left" w:pos="94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340" w:name="bookmark887"/>
      <w:bookmarkEnd w:id="340"/>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2 合同协议书：指第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款所指的合同协议书。</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中标通知书：指发包人通知承包人中标的函件。</w:t>
      </w:r>
    </w:p>
    <w:p>
      <w:pPr>
        <w:pStyle w:val="163"/>
        <w:pageBreakBefore w:val="0"/>
        <w:widowControl w:val="0"/>
        <w:tabs>
          <w:tab w:val="left" w:pos="94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341" w:name="bookmark888"/>
      <w:bookmarkEnd w:id="341"/>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4 投标函：指构成合同文件组成部分的由承包人填写并签署的投标函。</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投标函附录：指附在投标函后构成合同文件的投标函附录。</w:t>
      </w:r>
    </w:p>
    <w:p>
      <w:pPr>
        <w:pStyle w:val="163"/>
        <w:pageBreakBefore w:val="0"/>
        <w:widowControl w:val="0"/>
        <w:tabs>
          <w:tab w:val="left" w:pos="954"/>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1"/>
          <w:szCs w:val="21"/>
          <w:highlight w:val="none"/>
        </w:rPr>
      </w:pPr>
      <w:bookmarkStart w:id="342" w:name="bookmark889"/>
      <w:bookmarkEnd w:id="342"/>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技术标准和要求：指构成合同文件组成部分的名为技术标准和要求（合同技术条款）的文件，包括合同双方当事人约定对其所做的修改或补充。</w:t>
      </w:r>
    </w:p>
    <w:p>
      <w:pPr>
        <w:pStyle w:val="163"/>
        <w:pageBreakBefore w:val="0"/>
        <w:widowControl w:val="0"/>
        <w:tabs>
          <w:tab w:val="left" w:pos="951"/>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1"/>
          <w:szCs w:val="21"/>
          <w:highlight w:val="none"/>
        </w:rPr>
      </w:pPr>
      <w:bookmarkStart w:id="343" w:name="bookmark890"/>
      <w:bookmarkEnd w:id="343"/>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7 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已标价工程量清单：指构成合同文件组成部分的由承包人按照规定的格式和要求填写并标明价格的工程量清单。</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其他合同文件：指经合同双方当事人确认构成合同文件的其他文件。</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合同当事人和人员。</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合同当事人：指发包人和（或）承包人。</w:t>
      </w:r>
    </w:p>
    <w:p>
      <w:pPr>
        <w:pStyle w:val="163"/>
        <w:pageBreakBefore w:val="0"/>
        <w:widowControl w:val="0"/>
        <w:tabs>
          <w:tab w:val="left" w:pos="94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344" w:name="bookmark891"/>
      <w:bookmarkEnd w:id="344"/>
      <w:r>
        <w:rPr>
          <w:rFonts w:hint="eastAsia" w:ascii="宋体" w:hAnsi="宋体" w:eastAsia="宋体" w:cs="宋体"/>
          <w:color w:val="000000"/>
          <w:sz w:val="21"/>
          <w:szCs w:val="21"/>
          <w:highlight w:val="none"/>
          <w:lang w:val="en-US"/>
        </w:rPr>
        <w:t>1.1.2.2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发包人：指专用合同条款中指明并与承包人在合同协议书中签字的当事人。</w:t>
      </w:r>
    </w:p>
    <w:p>
      <w:pPr>
        <w:pStyle w:val="163"/>
        <w:pageBreakBefore w:val="0"/>
        <w:widowControl w:val="0"/>
        <w:tabs>
          <w:tab w:val="left" w:pos="94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345" w:name="bookmark892"/>
      <w:bookmarkEnd w:id="345"/>
      <w:r>
        <w:rPr>
          <w:rFonts w:hint="eastAsia" w:ascii="宋体" w:hAnsi="宋体" w:eastAsia="宋体" w:cs="宋体"/>
          <w:color w:val="000000"/>
          <w:sz w:val="21"/>
          <w:szCs w:val="21"/>
          <w:highlight w:val="none"/>
          <w:lang w:val="en-US"/>
        </w:rPr>
        <w:t>1.1.2.3</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承包人：指专用合同条款中指明并与发包人在合同协议书中签字的当事人。</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1.1.2.4</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承包人项目经理：指承包人派驻施工场地的全权负责人。</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1.1.2.5</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分包人：指专用合同条款中指明的，从承包人处分包合同中某一部分工程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并与其签订分包合同的分包人。</w:t>
      </w:r>
    </w:p>
    <w:p>
      <w:pPr>
        <w:pStyle w:val="163"/>
        <w:pageBreakBefore w:val="0"/>
        <w:widowControl w:val="0"/>
        <w:tabs>
          <w:tab w:val="left" w:pos="951"/>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1"/>
          <w:szCs w:val="21"/>
          <w:highlight w:val="none"/>
        </w:rPr>
      </w:pPr>
      <w:bookmarkStart w:id="346" w:name="bookmark893"/>
      <w:bookmarkEnd w:id="346"/>
      <w:r>
        <w:rPr>
          <w:rFonts w:hint="eastAsia" w:ascii="宋体" w:hAnsi="宋体" w:eastAsia="宋体" w:cs="宋体"/>
          <w:color w:val="000000"/>
          <w:sz w:val="21"/>
          <w:szCs w:val="21"/>
          <w:highlight w:val="none"/>
          <w:lang w:val="en-US"/>
        </w:rPr>
        <w:t>1.1.2.6</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监理人：指在专用合同条款中指明的，受发包人委托对合同履行实施管理的 法人或其他组织。</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w:t>
      </w:r>
      <w:r>
        <w:rPr>
          <w:rFonts w:hint="eastAsia" w:ascii="宋体" w:hAnsi="宋体" w:eastAsia="宋体" w:cs="宋体"/>
          <w:color w:val="000000"/>
          <w:sz w:val="21"/>
          <w:szCs w:val="21"/>
          <w:highlight w:val="none"/>
        </w:rPr>
        <w:t>7总监理工程师（总监）:指由监理人委派常驻施工场地对合同履行实施管理的全权负责人。</w:t>
      </w:r>
    </w:p>
    <w:p>
      <w:pPr>
        <w:pStyle w:val="164"/>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w:t>
      </w:r>
      <w:r>
        <w:rPr>
          <w:rFonts w:hint="eastAsia" w:ascii="宋体" w:hAnsi="宋体" w:eastAsia="宋体" w:cs="宋体"/>
          <w:color w:val="000000"/>
          <w:sz w:val="21"/>
          <w:szCs w:val="21"/>
          <w:highlight w:val="none"/>
          <w:lang w:val="zh-CN" w:eastAsia="zh-CN"/>
        </w:rPr>
        <w:t>3工程和设备</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1工程：指永久工程和（或）临时工程。</w:t>
      </w:r>
    </w:p>
    <w:p>
      <w:pPr>
        <w:pStyle w:val="163"/>
        <w:pageBreakBefore w:val="0"/>
        <w:widowControl w:val="0"/>
        <w:tabs>
          <w:tab w:val="left" w:pos="944"/>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bookmarkStart w:id="347" w:name="bookmark894"/>
      <w:bookmarkEnd w:id="347"/>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2永久工程：指按合同约定建造并移交给发包人的工程，包括工程设备。</w:t>
      </w:r>
    </w:p>
    <w:p>
      <w:pPr>
        <w:pStyle w:val="163"/>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48" w:name="bookmark895"/>
      <w:bookmarkEnd w:id="348"/>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3临时工程：指为完成合同约定的永久工程所修建的各类临时性工程，不包括施工设备。</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4单位工程：指专用合同条款中指明特定范围的永久工程。</w:t>
      </w:r>
    </w:p>
    <w:p>
      <w:pPr>
        <w:pStyle w:val="163"/>
        <w:pageBreakBefore w:val="0"/>
        <w:widowControl w:val="0"/>
        <w:tabs>
          <w:tab w:val="left" w:pos="951"/>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49" w:name="bookmark896"/>
      <w:bookmarkEnd w:id="349"/>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5工程设备：指构成或计划构成永久工程一部分的机电设备、金属结构设备、仪器装置及其他类似的设备和装置。</w:t>
      </w:r>
    </w:p>
    <w:p>
      <w:pPr>
        <w:pStyle w:val="163"/>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0" w:name="bookmark897"/>
      <w:bookmarkEnd w:id="350"/>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6施工设备：指为完成合同约定的各项工作所需的设备、器具和其他物品，不包括临时工程和材料。</w:t>
      </w:r>
    </w:p>
    <w:p>
      <w:pPr>
        <w:pStyle w:val="163"/>
        <w:pageBreakBefore w:val="0"/>
        <w:widowControl w:val="0"/>
        <w:tabs>
          <w:tab w:val="left" w:pos="944"/>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bookmarkStart w:id="351" w:name="bookmark898"/>
      <w:bookmarkEnd w:id="351"/>
      <w:r>
        <w:rPr>
          <w:rFonts w:hint="eastAsia" w:ascii="宋体" w:hAnsi="宋体" w:eastAsia="宋体" w:cs="宋体"/>
          <w:color w:val="000000"/>
          <w:sz w:val="21"/>
          <w:szCs w:val="21"/>
          <w:highlight w:val="none"/>
          <w:lang w:val="en-US"/>
        </w:rPr>
        <w:t>1.1.3.7</w:t>
      </w:r>
      <w:r>
        <w:rPr>
          <w:rFonts w:hint="eastAsia" w:ascii="宋体" w:hAnsi="宋体" w:eastAsia="宋体" w:cs="宋体"/>
          <w:color w:val="000000"/>
          <w:sz w:val="21"/>
          <w:szCs w:val="21"/>
          <w:highlight w:val="none"/>
        </w:rPr>
        <w:t>临时设施：指为完成合同约定的各项工作所服务的临时性生产和生活设施。</w:t>
      </w:r>
    </w:p>
    <w:p>
      <w:pPr>
        <w:pStyle w:val="163"/>
        <w:pageBreakBefore w:val="0"/>
        <w:widowControl w:val="0"/>
        <w:tabs>
          <w:tab w:val="left" w:pos="954"/>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1.1.3.8</w:t>
      </w:r>
      <w:r>
        <w:rPr>
          <w:rFonts w:hint="eastAsia" w:ascii="宋体" w:hAnsi="宋体" w:eastAsia="宋体" w:cs="宋体"/>
          <w:color w:val="000000"/>
          <w:sz w:val="21"/>
          <w:szCs w:val="21"/>
          <w:highlight w:val="none"/>
        </w:rPr>
        <w:t>承包人设备：指承包人自带的施工设备。</w:t>
      </w:r>
    </w:p>
    <w:p>
      <w:pPr>
        <w:pStyle w:val="163"/>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1.1.3.9</w:t>
      </w:r>
      <w:r>
        <w:rPr>
          <w:rFonts w:hint="eastAsia" w:ascii="宋体" w:hAnsi="宋体" w:eastAsia="宋体" w:cs="宋体"/>
          <w:color w:val="000000"/>
          <w:sz w:val="21"/>
          <w:szCs w:val="21"/>
          <w:highlight w:val="none"/>
        </w:rPr>
        <w:t>施工场地（或称工地、现场）：指用于合同工程施工的场所，以及在合同中指定作为施工场地组成部分的其他场所，包括永久占地和临时占地。</w:t>
      </w:r>
    </w:p>
    <w:p>
      <w:pPr>
        <w:pStyle w:val="163"/>
        <w:pageBreakBefore w:val="0"/>
        <w:widowControl w:val="0"/>
        <w:tabs>
          <w:tab w:val="left" w:pos="951"/>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1.1.3.10</w:t>
      </w:r>
      <w:r>
        <w:rPr>
          <w:rFonts w:hint="eastAsia" w:ascii="宋体" w:hAnsi="宋体" w:eastAsia="宋体" w:cs="宋体"/>
          <w:color w:val="000000"/>
          <w:sz w:val="21"/>
          <w:szCs w:val="21"/>
          <w:highlight w:val="none"/>
        </w:rPr>
        <w:t>永久占地：指发包人为建设本合同工程永久征用的场地。</w:t>
      </w:r>
    </w:p>
    <w:p>
      <w:pPr>
        <w:pStyle w:val="163"/>
        <w:pageBreakBefore w:val="0"/>
        <w:widowControl w:val="0"/>
        <w:tabs>
          <w:tab w:val="left" w:pos="951"/>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1.1.3.11临时占地：指发包人为建设本合同工程临时征用，并应在完工后须按合同 要求退还的场地。</w:t>
      </w:r>
    </w:p>
    <w:p>
      <w:pPr>
        <w:pStyle w:val="164"/>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1.1.4</w:t>
      </w:r>
      <w:r>
        <w:rPr>
          <w:rFonts w:hint="eastAsia" w:ascii="宋体" w:hAnsi="宋体" w:eastAsia="宋体" w:cs="宋体"/>
          <w:color w:val="000000"/>
          <w:sz w:val="21"/>
          <w:szCs w:val="21"/>
          <w:highlight w:val="none"/>
          <w:lang w:val="zh-CN" w:eastAsia="zh-CN"/>
        </w:rPr>
        <w:t>日期</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1开工通知：指监理人按第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1款通知承包人开工的函件。</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1.1.4.2</w:t>
      </w:r>
      <w:r>
        <w:rPr>
          <w:rFonts w:hint="eastAsia" w:ascii="宋体" w:hAnsi="宋体" w:eastAsia="宋体" w:cs="宋体"/>
          <w:color w:val="000000"/>
          <w:sz w:val="21"/>
          <w:szCs w:val="21"/>
          <w:highlight w:val="none"/>
        </w:rPr>
        <w:t>开工日期：指监理人按第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1款发出的开工通知中写明的开工日期。</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1.1.4.3</w:t>
      </w:r>
      <w:r>
        <w:rPr>
          <w:rFonts w:hint="eastAsia" w:ascii="宋体" w:hAnsi="宋体" w:eastAsia="宋体" w:cs="宋体"/>
          <w:color w:val="000000"/>
          <w:sz w:val="21"/>
          <w:szCs w:val="21"/>
          <w:highlight w:val="none"/>
        </w:rPr>
        <w:t>工期：指承包人在投标函中承诺的完成合同工程所需的期限，包括按第</w:t>
      </w:r>
      <w:r>
        <w:rPr>
          <w:rFonts w:hint="eastAsia" w:ascii="宋体" w:hAnsi="宋体" w:eastAsia="宋体" w:cs="宋体"/>
          <w:color w:val="000000"/>
          <w:sz w:val="21"/>
          <w:szCs w:val="21"/>
          <w:highlight w:val="none"/>
          <w:lang w:val="en-US"/>
        </w:rPr>
        <w:t xml:space="preserve">11.3 </w:t>
      </w:r>
      <w:r>
        <w:rPr>
          <w:rFonts w:hint="eastAsia" w:ascii="宋体" w:hAnsi="宋体" w:eastAsia="宋体" w:cs="宋体"/>
          <w:color w:val="000000"/>
          <w:sz w:val="21"/>
          <w:szCs w:val="21"/>
          <w:highlight w:val="none"/>
        </w:rPr>
        <w:t>款、第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4款和第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6款约定所作的变更。</w:t>
      </w:r>
    </w:p>
    <w:p>
      <w:pPr>
        <w:pStyle w:val="163"/>
        <w:pageBreakBefore w:val="0"/>
        <w:widowControl w:val="0"/>
        <w:tabs>
          <w:tab w:val="left" w:pos="949"/>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2" w:name="bookmark899"/>
      <w:bookmarkEnd w:id="352"/>
      <w:r>
        <w:rPr>
          <w:rFonts w:hint="eastAsia" w:ascii="宋体" w:hAnsi="宋体" w:eastAsia="宋体" w:cs="宋体"/>
          <w:color w:val="000000"/>
          <w:sz w:val="21"/>
          <w:szCs w:val="21"/>
          <w:highlight w:val="none"/>
          <w:lang w:val="en-US"/>
        </w:rPr>
        <w:t>1.1.4.4</w:t>
      </w:r>
      <w:r>
        <w:rPr>
          <w:rFonts w:hint="eastAsia" w:ascii="宋体" w:hAnsi="宋体" w:eastAsia="宋体" w:cs="宋体"/>
          <w:color w:val="000000"/>
          <w:sz w:val="21"/>
          <w:szCs w:val="21"/>
          <w:highlight w:val="none"/>
        </w:rPr>
        <w:t>竣工日期：即合同工程完工日期，指第</w:t>
      </w: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3目约定工期届满时的日期。 实际完工时间以合同工程完工证书中写明的日期为准。</w:t>
      </w:r>
    </w:p>
    <w:p>
      <w:pPr>
        <w:pStyle w:val="163"/>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3" w:name="bookmark900"/>
      <w:bookmarkEnd w:id="353"/>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rPr>
        <w:t xml:space="preserve"> </w:t>
      </w:r>
      <w:r>
        <w:rPr>
          <w:rFonts w:hint="eastAsia" w:ascii="宋体" w:hAnsi="宋体" w:eastAsia="宋体" w:cs="宋体"/>
          <w:color w:val="000000"/>
          <w:sz w:val="21"/>
          <w:szCs w:val="21"/>
          <w:highlight w:val="none"/>
        </w:rPr>
        <w:t>缺陷责任期：即工程质量保修期，指履行第</w:t>
      </w:r>
      <w:r>
        <w:rPr>
          <w:rFonts w:hint="eastAsia" w:ascii="宋体" w:hAnsi="宋体" w:eastAsia="宋体" w:cs="宋体"/>
          <w:color w:val="000000"/>
          <w:sz w:val="21"/>
          <w:szCs w:val="21"/>
          <w:highlight w:val="none"/>
          <w:lang w:val="en-US"/>
        </w:rPr>
        <w:t>19.</w:t>
      </w:r>
      <w:r>
        <w:rPr>
          <w:rFonts w:hint="eastAsia" w:ascii="宋体" w:hAnsi="宋体" w:eastAsia="宋体" w:cs="宋体"/>
          <w:color w:val="000000"/>
          <w:sz w:val="21"/>
          <w:szCs w:val="21"/>
          <w:highlight w:val="none"/>
        </w:rPr>
        <w:t>2款约定的缺陷责任的期限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包括根据第</w:t>
      </w:r>
      <w:r>
        <w:rPr>
          <w:rFonts w:hint="eastAsia" w:ascii="宋体" w:hAnsi="宋体" w:eastAsia="宋体" w:cs="宋体"/>
          <w:color w:val="000000"/>
          <w:sz w:val="21"/>
          <w:szCs w:val="21"/>
          <w:highlight w:val="none"/>
          <w:lang w:val="en-US"/>
        </w:rPr>
        <w:t>19.</w:t>
      </w:r>
      <w:r>
        <w:rPr>
          <w:rFonts w:hint="eastAsia" w:ascii="宋体" w:hAnsi="宋体" w:eastAsia="宋体" w:cs="宋体"/>
          <w:color w:val="000000"/>
          <w:sz w:val="21"/>
          <w:szCs w:val="21"/>
          <w:highlight w:val="none"/>
        </w:rPr>
        <w:t>3款约定所作的延长，具体期限由专用合同条款约定。</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1.1.4.6</w:t>
      </w:r>
      <w:r>
        <w:rPr>
          <w:rFonts w:hint="eastAsia" w:ascii="宋体" w:hAnsi="宋体" w:eastAsia="宋体" w:cs="宋体"/>
          <w:color w:val="000000"/>
          <w:sz w:val="21"/>
          <w:szCs w:val="21"/>
          <w:highlight w:val="none"/>
        </w:rPr>
        <w:t>基准日期：指投标截止时间前28天的日期。</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1.1.4.7</w:t>
      </w:r>
      <w:r>
        <w:rPr>
          <w:rFonts w:hint="eastAsia" w:ascii="宋体" w:hAnsi="宋体" w:eastAsia="宋体" w:cs="宋体"/>
          <w:color w:val="000000"/>
          <w:sz w:val="21"/>
          <w:szCs w:val="21"/>
          <w:highlight w:val="none"/>
        </w:rPr>
        <w:t>天：除特别指明外，指日历天。合同中按天计算时间的，开始当天不计入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从次日开始计算。期限最后一天的截止时间为当天24：</w:t>
      </w:r>
      <w:r>
        <w:rPr>
          <w:rFonts w:hint="eastAsia" w:ascii="宋体" w:hAnsi="宋体" w:eastAsia="宋体" w:cs="宋体"/>
          <w:color w:val="000000"/>
          <w:sz w:val="21"/>
          <w:szCs w:val="21"/>
          <w:highlight w:val="none"/>
          <w:lang w:val="en-US"/>
        </w:rPr>
        <w:t>00</w:t>
      </w:r>
      <w:r>
        <w:rPr>
          <w:rFonts w:hint="eastAsia" w:ascii="宋体" w:hAnsi="宋体" w:eastAsia="宋体" w:cs="宋体"/>
          <w:color w:val="000000"/>
          <w:sz w:val="21"/>
          <w:szCs w:val="21"/>
          <w:highlight w:val="none"/>
          <w:vertAlign w:val="subscript"/>
          <w:lang w:val="en-US"/>
        </w:rPr>
        <w:t>o</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1.1.5</w:t>
      </w:r>
      <w:r>
        <w:rPr>
          <w:rFonts w:hint="eastAsia" w:ascii="宋体" w:hAnsi="宋体" w:eastAsia="宋体" w:cs="宋体"/>
          <w:color w:val="000000"/>
          <w:sz w:val="21"/>
          <w:szCs w:val="21"/>
          <w:highlight w:val="none"/>
        </w:rPr>
        <w:t>合同价格和费用</w:t>
      </w:r>
    </w:p>
    <w:p>
      <w:pPr>
        <w:pStyle w:val="163"/>
        <w:pageBreakBefore w:val="0"/>
        <w:widowControl w:val="0"/>
        <w:tabs>
          <w:tab w:val="left" w:pos="93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4" w:name="bookmark901"/>
      <w:bookmarkEnd w:id="354"/>
      <w:r>
        <w:rPr>
          <w:rFonts w:hint="eastAsia" w:ascii="宋体" w:hAnsi="宋体" w:eastAsia="宋体" w:cs="宋体"/>
          <w:color w:val="000000"/>
          <w:sz w:val="21"/>
          <w:szCs w:val="21"/>
          <w:highlight w:val="none"/>
          <w:lang w:val="en-US"/>
        </w:rPr>
        <w:t>1.1.5.1</w:t>
      </w:r>
      <w:r>
        <w:rPr>
          <w:rFonts w:hint="eastAsia" w:ascii="宋体" w:hAnsi="宋体" w:eastAsia="宋体" w:cs="宋体"/>
          <w:color w:val="000000"/>
          <w:sz w:val="21"/>
          <w:szCs w:val="21"/>
          <w:highlight w:val="none"/>
        </w:rPr>
        <w:t>签约合同价：指签定合同时合同协议书中写明的，包括了暂列金额、暂估价的合同总金额。</w:t>
      </w:r>
    </w:p>
    <w:p>
      <w:pPr>
        <w:pStyle w:val="163"/>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5" w:name="bookmark902"/>
      <w:bookmarkEnd w:id="355"/>
      <w:r>
        <w:rPr>
          <w:rFonts w:hint="eastAsia" w:ascii="宋体" w:hAnsi="宋体" w:eastAsia="宋体" w:cs="宋体"/>
          <w:color w:val="000000"/>
          <w:sz w:val="21"/>
          <w:szCs w:val="21"/>
          <w:highlight w:val="none"/>
        </w:rPr>
        <w:t>1.1.5.2合同价格：指承包人按合同约定完成了包括缺陷责任期内的全部承包工作后，发包人应付给承包人的金额，包括在履行合同过程中按合同约定进行的变更和调整。</w:t>
      </w:r>
    </w:p>
    <w:p>
      <w:pPr>
        <w:pStyle w:val="163"/>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6" w:name="bookmark903"/>
      <w:bookmarkEnd w:id="356"/>
      <w:r>
        <w:rPr>
          <w:rFonts w:hint="eastAsia" w:ascii="宋体" w:hAnsi="宋体" w:eastAsia="宋体" w:cs="宋体"/>
          <w:color w:val="000000"/>
          <w:sz w:val="21"/>
          <w:szCs w:val="21"/>
          <w:highlight w:val="none"/>
        </w:rPr>
        <w:t>1.1.5.3费用：指为履行合同所发生的或将要发生的所有合理开支，包括管理费和应分摊的其他费用，但不包括利润。</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1.1.5.4</w:t>
      </w:r>
      <w:r>
        <w:rPr>
          <w:rFonts w:hint="eastAsia" w:ascii="宋体" w:hAnsi="宋体" w:eastAsia="宋体" w:cs="宋体"/>
          <w:color w:val="000000"/>
          <w:sz w:val="21"/>
          <w:szCs w:val="21"/>
          <w:highlight w:val="none"/>
        </w:rPr>
        <w:t>暂列金额：指已标价工程量清单中所列的暂列金额，用于在签订协议书时尚 未确定或不可预见变更的施工及其所需材料、工程设备、服务等的金额，包括以计日工方式支付的金额。</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1.1.5.5</w:t>
      </w:r>
      <w:r>
        <w:rPr>
          <w:rFonts w:hint="eastAsia" w:ascii="宋体" w:hAnsi="宋体" w:eastAsia="宋体" w:cs="宋体"/>
          <w:color w:val="000000"/>
          <w:sz w:val="21"/>
          <w:szCs w:val="21"/>
          <w:highlight w:val="none"/>
        </w:rPr>
        <w:t>暂估价：指发包人在工程量清单中给定的用于支付必然发生但暂时不能确定价格的材料、设备以及专业工程的金额。</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357" w:name="bookmark904"/>
      <w:bookmarkEnd w:id="357"/>
      <w:r>
        <w:rPr>
          <w:rFonts w:hint="eastAsia" w:ascii="宋体" w:hAnsi="宋体" w:eastAsia="宋体" w:cs="宋体"/>
          <w:color w:val="000000"/>
          <w:sz w:val="21"/>
          <w:szCs w:val="21"/>
          <w:highlight w:val="none"/>
        </w:rPr>
        <w:t>1.1.5.6计日工：指对零星工作采取的一种计价方式，按合同中的计日工子目及其单 价计价付款。</w:t>
      </w:r>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1.1.5.7</w:t>
      </w:r>
      <w:r>
        <w:rPr>
          <w:rFonts w:hint="eastAsia" w:ascii="宋体" w:hAnsi="宋体" w:eastAsia="宋体" w:cs="宋体"/>
          <w:color w:val="000000"/>
          <w:sz w:val="21"/>
          <w:szCs w:val="21"/>
          <w:highlight w:val="none"/>
        </w:rPr>
        <w:t>质量保证金(或称保留金)：指按第</w:t>
      </w:r>
      <w:r>
        <w:rPr>
          <w:rFonts w:hint="eastAsia" w:ascii="宋体" w:hAnsi="宋体" w:eastAsia="宋体" w:cs="宋体"/>
          <w:color w:val="000000"/>
          <w:sz w:val="21"/>
          <w:szCs w:val="21"/>
          <w:highlight w:val="none"/>
          <w:lang w:val="en-US"/>
        </w:rPr>
        <w:t>17.4.1</w:t>
      </w:r>
      <w:r>
        <w:rPr>
          <w:rFonts w:hint="eastAsia" w:ascii="宋体" w:hAnsi="宋体" w:eastAsia="宋体" w:cs="宋体"/>
          <w:color w:val="000000"/>
          <w:sz w:val="21"/>
          <w:szCs w:val="21"/>
          <w:highlight w:val="none"/>
        </w:rPr>
        <w:t>项约定用于保证在缺陷责任期内履行缺陷修复义务的金额。</w:t>
      </w:r>
    </w:p>
    <w:p>
      <w:pPr>
        <w:pStyle w:val="164"/>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1.1.6</w:t>
      </w:r>
      <w:r>
        <w:rPr>
          <w:rFonts w:hint="eastAsia" w:ascii="宋体" w:hAnsi="宋体" w:eastAsia="宋体" w:cs="宋体"/>
          <w:color w:val="000000"/>
          <w:sz w:val="21"/>
          <w:szCs w:val="21"/>
          <w:highlight w:val="none"/>
          <w:lang w:val="zh-CN" w:eastAsia="zh-CN"/>
        </w:rPr>
        <w:t>其他</w:t>
      </w:r>
    </w:p>
    <w:p>
      <w:pPr>
        <w:pStyle w:val="163"/>
        <w:pageBreakBefore w:val="0"/>
        <w:widowControl w:val="0"/>
        <w:tabs>
          <w:tab w:val="left" w:pos="954"/>
        </w:tabs>
        <w:kinsoku/>
        <w:wordWrap/>
        <w:overflowPunct/>
        <w:topLinePunct w:val="0"/>
        <w:autoSpaceDE/>
        <w:autoSpaceDN/>
        <w:bidi w:val="0"/>
        <w:adjustRightInd/>
        <w:snapToGrid/>
        <w:spacing w:after="140" w:line="400" w:lineRule="exact"/>
        <w:ind w:left="440" w:firstLine="0"/>
        <w:jc w:val="both"/>
        <w:textAlignment w:val="auto"/>
        <w:rPr>
          <w:rFonts w:hint="eastAsia" w:ascii="宋体" w:hAnsi="宋体" w:eastAsia="宋体" w:cs="宋体"/>
          <w:color w:val="000000"/>
          <w:sz w:val="21"/>
          <w:szCs w:val="21"/>
          <w:highlight w:val="none"/>
        </w:rPr>
      </w:pPr>
      <w:bookmarkStart w:id="358" w:name="bookmark905"/>
      <w:bookmarkEnd w:id="358"/>
      <w:r>
        <w:rPr>
          <w:rFonts w:hint="eastAsia" w:ascii="宋体" w:hAnsi="宋体" w:eastAsia="宋体" w:cs="宋体"/>
          <w:color w:val="000000"/>
          <w:sz w:val="21"/>
          <w:szCs w:val="21"/>
          <w:highlight w:val="none"/>
        </w:rPr>
        <w:t>1.1.6</w:t>
      </w:r>
      <w:r>
        <w:rPr>
          <w:rFonts w:hint="eastAsia"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书面形式：指合同文件、信函、电报、传真等可以有形地表现所载内容的形式。</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59" w:name="_Toc27261"/>
      <w:bookmarkStart w:id="360" w:name="bookmark908"/>
      <w:bookmarkStart w:id="361" w:name="bookmark906"/>
      <w:bookmarkStart w:id="362" w:name="_Toc23310"/>
      <w:bookmarkStart w:id="363" w:name="_Toc12517"/>
      <w:bookmarkStart w:id="364" w:name="bookmark907"/>
      <w:bookmarkStart w:id="365" w:name="_Toc16626"/>
      <w:r>
        <w:rPr>
          <w:rFonts w:hint="eastAsia" w:ascii="宋体" w:hAnsi="宋体" w:eastAsia="宋体" w:cs="宋体"/>
          <w:color w:val="000000"/>
          <w:sz w:val="21"/>
          <w:szCs w:val="21"/>
          <w:highlight w:val="none"/>
        </w:rPr>
        <w:t>1.2语言文字</w:t>
      </w:r>
      <w:bookmarkEnd w:id="359"/>
      <w:bookmarkEnd w:id="360"/>
      <w:bookmarkEnd w:id="361"/>
      <w:bookmarkEnd w:id="362"/>
      <w:bookmarkEnd w:id="363"/>
      <w:bookmarkEnd w:id="364"/>
      <w:bookmarkEnd w:id="365"/>
    </w:p>
    <w:p>
      <w:pPr>
        <w:pStyle w:val="163"/>
        <w:pageBreakBefore w:val="0"/>
        <w:widowControl w:val="0"/>
        <w:kinsoku/>
        <w:wordWrap/>
        <w:overflowPunct/>
        <w:topLinePunct w:val="0"/>
        <w:autoSpaceDE/>
        <w:autoSpaceDN/>
        <w:bidi w:val="0"/>
        <w:adjustRightInd/>
        <w:snapToGrid/>
        <w:spacing w:after="1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除专用术语外，合同使用的语言文字为中文。必要时专用术语应附有中文注释。</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66" w:name="_Toc7852"/>
      <w:bookmarkStart w:id="367" w:name="bookmark911"/>
      <w:bookmarkStart w:id="368" w:name="bookmark910"/>
      <w:bookmarkStart w:id="369" w:name="_Toc18895"/>
      <w:bookmarkStart w:id="370" w:name="_Toc3245"/>
      <w:bookmarkStart w:id="371" w:name="_Toc9782"/>
      <w:bookmarkStart w:id="372" w:name="bookmark909"/>
      <w:r>
        <w:rPr>
          <w:rFonts w:hint="eastAsia" w:ascii="宋体" w:hAnsi="宋体" w:eastAsia="宋体" w:cs="宋体"/>
          <w:color w:val="000000"/>
          <w:sz w:val="21"/>
          <w:szCs w:val="21"/>
          <w:highlight w:val="none"/>
        </w:rPr>
        <w:t>1.3法律</w:t>
      </w:r>
      <w:bookmarkEnd w:id="366"/>
      <w:bookmarkEnd w:id="367"/>
      <w:bookmarkEnd w:id="368"/>
      <w:bookmarkEnd w:id="369"/>
      <w:bookmarkEnd w:id="370"/>
      <w:bookmarkEnd w:id="371"/>
      <w:bookmarkEnd w:id="372"/>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适用于合同的法律包括中华人民共和国法律、行政法规、部门规章，以及工程所在地的地方法规、自治条例、单行条例和地方政府规章。</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73" w:name="bookmark913"/>
      <w:bookmarkStart w:id="374" w:name="_Toc8454"/>
      <w:bookmarkStart w:id="375" w:name="_Toc31165"/>
      <w:bookmarkStart w:id="376" w:name="bookmark912"/>
      <w:bookmarkStart w:id="377" w:name="_Toc9008"/>
      <w:bookmarkStart w:id="378" w:name="_Toc17089"/>
      <w:bookmarkStart w:id="379" w:name="bookmark914"/>
      <w:r>
        <w:rPr>
          <w:rFonts w:hint="eastAsia" w:ascii="宋体" w:hAnsi="宋体" w:eastAsia="宋体" w:cs="宋体"/>
          <w:color w:val="000000"/>
          <w:sz w:val="21"/>
          <w:szCs w:val="21"/>
          <w:highlight w:val="none"/>
        </w:rPr>
        <w:t>1.4合同文件的优先顺序</w:t>
      </w:r>
      <w:bookmarkEnd w:id="373"/>
      <w:bookmarkEnd w:id="374"/>
      <w:bookmarkEnd w:id="375"/>
      <w:bookmarkEnd w:id="376"/>
      <w:bookmarkEnd w:id="377"/>
      <w:bookmarkEnd w:id="378"/>
      <w:bookmarkEnd w:id="379"/>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组成合同的各项文件应互相解释，互为说明。除专用合同条款另有约定外，解释合同文件的优先顺序如下：</w:t>
      </w:r>
    </w:p>
    <w:p>
      <w:pPr>
        <w:pStyle w:val="163"/>
        <w:pageBreakBefore w:val="0"/>
        <w:widowControl w:val="0"/>
        <w:numPr>
          <w:ilvl w:val="0"/>
          <w:numId w:val="3"/>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380" w:name="bookmark915"/>
      <w:bookmarkEnd w:id="380"/>
      <w:r>
        <w:rPr>
          <w:rFonts w:hint="eastAsia" w:ascii="宋体" w:hAnsi="宋体" w:eastAsia="宋体" w:cs="宋体"/>
          <w:color w:val="000000"/>
          <w:sz w:val="21"/>
          <w:szCs w:val="21"/>
          <w:highlight w:val="none"/>
        </w:rPr>
        <w:t>合同协议书；</w:t>
      </w:r>
    </w:p>
    <w:p>
      <w:pPr>
        <w:pStyle w:val="163"/>
        <w:pageBreakBefore w:val="0"/>
        <w:widowControl w:val="0"/>
        <w:numPr>
          <w:ilvl w:val="0"/>
          <w:numId w:val="3"/>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381" w:name="bookmark916"/>
      <w:bookmarkEnd w:id="381"/>
      <w:r>
        <w:rPr>
          <w:rFonts w:hint="eastAsia" w:ascii="宋体" w:hAnsi="宋体" w:eastAsia="宋体" w:cs="宋体"/>
          <w:color w:val="000000"/>
          <w:sz w:val="21"/>
          <w:szCs w:val="21"/>
          <w:highlight w:val="none"/>
        </w:rPr>
        <w:t>中标通知书；</w:t>
      </w:r>
    </w:p>
    <w:p>
      <w:pPr>
        <w:pStyle w:val="163"/>
        <w:pageBreakBefore w:val="0"/>
        <w:widowControl w:val="0"/>
        <w:numPr>
          <w:ilvl w:val="0"/>
          <w:numId w:val="3"/>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382" w:name="bookmark917"/>
      <w:bookmarkEnd w:id="382"/>
      <w:r>
        <w:rPr>
          <w:rFonts w:hint="eastAsia" w:ascii="宋体" w:hAnsi="宋体" w:eastAsia="宋体" w:cs="宋体"/>
          <w:color w:val="000000"/>
          <w:sz w:val="21"/>
          <w:szCs w:val="21"/>
          <w:highlight w:val="none"/>
        </w:rPr>
        <w:t>投标函及投标函附录；</w:t>
      </w:r>
    </w:p>
    <w:p>
      <w:pPr>
        <w:pStyle w:val="163"/>
        <w:pageBreakBefore w:val="0"/>
        <w:widowControl w:val="0"/>
        <w:numPr>
          <w:ilvl w:val="0"/>
          <w:numId w:val="3"/>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383" w:name="bookmark918"/>
      <w:bookmarkEnd w:id="383"/>
      <w:r>
        <w:rPr>
          <w:rFonts w:hint="eastAsia" w:ascii="宋体" w:hAnsi="宋体" w:eastAsia="宋体" w:cs="宋体"/>
          <w:color w:val="000000"/>
          <w:sz w:val="21"/>
          <w:szCs w:val="21"/>
          <w:highlight w:val="none"/>
        </w:rPr>
        <w:t>专用合同条款；</w:t>
      </w:r>
    </w:p>
    <w:p>
      <w:pPr>
        <w:pStyle w:val="163"/>
        <w:pageBreakBefore w:val="0"/>
        <w:widowControl w:val="0"/>
        <w:numPr>
          <w:ilvl w:val="0"/>
          <w:numId w:val="3"/>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384" w:name="bookmark919"/>
      <w:bookmarkEnd w:id="384"/>
      <w:r>
        <w:rPr>
          <w:rFonts w:hint="eastAsia" w:ascii="宋体" w:hAnsi="宋体" w:eastAsia="宋体" w:cs="宋体"/>
          <w:color w:val="000000"/>
          <w:sz w:val="21"/>
          <w:szCs w:val="21"/>
          <w:highlight w:val="none"/>
        </w:rPr>
        <w:t>通用合同条款；</w:t>
      </w:r>
    </w:p>
    <w:p>
      <w:pPr>
        <w:pStyle w:val="163"/>
        <w:pageBreakBefore w:val="0"/>
        <w:widowControl w:val="0"/>
        <w:numPr>
          <w:ilvl w:val="0"/>
          <w:numId w:val="3"/>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385" w:name="bookmark920"/>
      <w:bookmarkEnd w:id="385"/>
      <w:r>
        <w:rPr>
          <w:rFonts w:hint="eastAsia" w:ascii="宋体" w:hAnsi="宋体" w:eastAsia="宋体" w:cs="宋体"/>
          <w:color w:val="000000"/>
          <w:sz w:val="21"/>
          <w:szCs w:val="21"/>
          <w:highlight w:val="none"/>
        </w:rPr>
        <w:t>技术标准和要求；</w:t>
      </w:r>
    </w:p>
    <w:p>
      <w:pPr>
        <w:pStyle w:val="163"/>
        <w:pageBreakBefore w:val="0"/>
        <w:widowControl w:val="0"/>
        <w:numPr>
          <w:ilvl w:val="0"/>
          <w:numId w:val="3"/>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386" w:name="bookmark921"/>
      <w:bookmarkEnd w:id="386"/>
      <w:r>
        <w:rPr>
          <w:rFonts w:hint="eastAsia" w:ascii="宋体" w:hAnsi="宋体" w:eastAsia="宋体" w:cs="宋体"/>
          <w:color w:val="000000"/>
          <w:sz w:val="21"/>
          <w:szCs w:val="21"/>
          <w:highlight w:val="none"/>
        </w:rPr>
        <w:t>图纸；</w:t>
      </w:r>
    </w:p>
    <w:p>
      <w:pPr>
        <w:pStyle w:val="163"/>
        <w:pageBreakBefore w:val="0"/>
        <w:widowControl w:val="0"/>
        <w:numPr>
          <w:ilvl w:val="0"/>
          <w:numId w:val="3"/>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387" w:name="bookmark922"/>
      <w:bookmarkEnd w:id="387"/>
      <w:r>
        <w:rPr>
          <w:rFonts w:hint="eastAsia" w:ascii="宋体" w:hAnsi="宋体" w:eastAsia="宋体" w:cs="宋体"/>
          <w:color w:val="000000"/>
          <w:sz w:val="21"/>
          <w:szCs w:val="21"/>
          <w:highlight w:val="none"/>
        </w:rPr>
        <w:t>已标价工程量清单；</w:t>
      </w:r>
    </w:p>
    <w:p>
      <w:pPr>
        <w:pStyle w:val="163"/>
        <w:pageBreakBefore w:val="0"/>
        <w:widowControl w:val="0"/>
        <w:numPr>
          <w:ilvl w:val="0"/>
          <w:numId w:val="3"/>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388" w:name="bookmark923"/>
      <w:bookmarkEnd w:id="388"/>
      <w:r>
        <w:rPr>
          <w:rFonts w:hint="eastAsia" w:ascii="宋体" w:hAnsi="宋体" w:eastAsia="宋体" w:cs="宋体"/>
          <w:color w:val="000000"/>
          <w:sz w:val="21"/>
          <w:szCs w:val="21"/>
          <w:highlight w:val="none"/>
        </w:rPr>
        <w:t>其他合同文件。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89" w:name="bookmark924"/>
      <w:bookmarkStart w:id="390" w:name="_Toc30693"/>
      <w:bookmarkStart w:id="391" w:name="bookmark926"/>
      <w:bookmarkStart w:id="392" w:name="bookmark925"/>
      <w:bookmarkStart w:id="393" w:name="_Toc9921"/>
      <w:bookmarkStart w:id="394" w:name="_Toc11763"/>
      <w:bookmarkStart w:id="395" w:name="_Toc19503"/>
      <w:r>
        <w:rPr>
          <w:rFonts w:hint="eastAsia" w:ascii="宋体" w:hAnsi="宋体" w:eastAsia="宋体" w:cs="宋体"/>
          <w:color w:val="000000"/>
          <w:sz w:val="21"/>
          <w:szCs w:val="21"/>
          <w:highlight w:val="none"/>
        </w:rPr>
        <w:t>1.5合同协议书</w:t>
      </w:r>
      <w:bookmarkEnd w:id="389"/>
      <w:bookmarkEnd w:id="390"/>
      <w:bookmarkEnd w:id="391"/>
      <w:bookmarkEnd w:id="392"/>
      <w:bookmarkEnd w:id="393"/>
      <w:bookmarkEnd w:id="394"/>
      <w:bookmarkEnd w:id="395"/>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承包人按中标通知书规定的时间与发包人签订合同协议书。除法律另有规定或合同另有约定外，发包人和承包人的法定代表人或其委托代理人在合同协议书上签字并盖单位公章后，合同生效。</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96" w:name="bookmark928"/>
      <w:bookmarkStart w:id="397" w:name="bookmark929"/>
      <w:bookmarkStart w:id="398" w:name="_Toc19395"/>
      <w:bookmarkStart w:id="399" w:name="_Toc23444"/>
      <w:bookmarkStart w:id="400" w:name="_Toc13369"/>
      <w:bookmarkStart w:id="401" w:name="_Toc10434"/>
      <w:bookmarkStart w:id="402" w:name="bookmark927"/>
      <w:r>
        <w:rPr>
          <w:rFonts w:hint="eastAsia" w:ascii="宋体" w:hAnsi="宋体" w:eastAsia="宋体" w:cs="宋体"/>
          <w:color w:val="000000"/>
          <w:sz w:val="21"/>
          <w:szCs w:val="21"/>
          <w:highlight w:val="none"/>
        </w:rPr>
        <w:t>1.6图纸和承包人文件</w:t>
      </w:r>
      <w:bookmarkEnd w:id="396"/>
      <w:bookmarkEnd w:id="397"/>
      <w:bookmarkEnd w:id="398"/>
      <w:bookmarkEnd w:id="399"/>
      <w:bookmarkEnd w:id="400"/>
      <w:bookmarkEnd w:id="401"/>
      <w:bookmarkEnd w:id="402"/>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1.6.1</w:t>
      </w:r>
      <w:r>
        <w:rPr>
          <w:rFonts w:hint="eastAsia" w:ascii="宋体" w:hAnsi="宋体" w:eastAsia="宋体" w:cs="宋体"/>
          <w:color w:val="000000"/>
          <w:sz w:val="21"/>
          <w:szCs w:val="21"/>
          <w:highlight w:val="none"/>
        </w:rPr>
        <w:t>图纸的提供</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发包人应按技术标准和要求(合同技术条款)约定的期限和数量将施工图纸以及其它图纸（包括配套说明和有关资料）提供给承包人。由于发包人未按时提供图纸造成工期延误的，按第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3款的约定办理。</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403" w:name="_Toc3003"/>
      <w:r>
        <w:rPr>
          <w:rFonts w:hint="eastAsia" w:ascii="宋体" w:hAnsi="宋体" w:eastAsia="宋体" w:cs="宋体"/>
          <w:color w:val="000000"/>
          <w:sz w:val="21"/>
          <w:szCs w:val="21"/>
          <w:highlight w:val="none"/>
          <w:lang w:val="en-US"/>
        </w:rPr>
        <w:t>1.6.</w:t>
      </w:r>
      <w:r>
        <w:rPr>
          <w:rFonts w:hint="eastAsia" w:ascii="宋体" w:hAnsi="宋体" w:eastAsia="宋体" w:cs="宋体"/>
          <w:color w:val="000000"/>
          <w:sz w:val="21"/>
          <w:szCs w:val="21"/>
          <w:highlight w:val="none"/>
        </w:rPr>
        <w:t>2承包人提供的文件</w:t>
      </w:r>
      <w:bookmarkEnd w:id="403"/>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承包人提供的文件应按技术标准和要求（合同技术条款）约定的期限和数量提供给监理人。监理人应按技术标准和要求（合同技术条款）约定的期限批复承包人。</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404" w:name="_Toc12739"/>
      <w:r>
        <w:rPr>
          <w:rFonts w:hint="eastAsia" w:ascii="宋体" w:hAnsi="宋体" w:eastAsia="宋体" w:cs="宋体"/>
          <w:color w:val="000000"/>
          <w:sz w:val="21"/>
          <w:szCs w:val="21"/>
          <w:highlight w:val="none"/>
          <w:lang w:val="en-US"/>
        </w:rPr>
        <w:t>1.6.3</w:t>
      </w:r>
      <w:r>
        <w:rPr>
          <w:rFonts w:hint="eastAsia" w:ascii="宋体" w:hAnsi="宋体" w:eastAsia="宋体" w:cs="宋体"/>
          <w:color w:val="000000"/>
          <w:sz w:val="21"/>
          <w:szCs w:val="21"/>
          <w:highlight w:val="none"/>
        </w:rPr>
        <w:t>图纸的修改</w:t>
      </w:r>
      <w:bookmarkEnd w:id="404"/>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405" w:name="_Toc26541"/>
      <w:r>
        <w:rPr>
          <w:rFonts w:hint="eastAsia" w:ascii="宋体" w:hAnsi="宋体" w:eastAsia="宋体" w:cs="宋体"/>
          <w:color w:val="000000"/>
          <w:sz w:val="21"/>
          <w:szCs w:val="21"/>
          <w:highlight w:val="none"/>
          <w:lang w:val="en-US"/>
        </w:rPr>
        <w:t>1.6.4</w:t>
      </w:r>
      <w:r>
        <w:rPr>
          <w:rFonts w:hint="eastAsia" w:ascii="宋体" w:hAnsi="宋体" w:eastAsia="宋体" w:cs="宋体"/>
          <w:color w:val="000000"/>
          <w:sz w:val="21"/>
          <w:szCs w:val="21"/>
          <w:highlight w:val="none"/>
        </w:rPr>
        <w:t>图纸的错误</w:t>
      </w:r>
      <w:bookmarkEnd w:id="405"/>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承包人发现发包人提供的图纸存在明显错误或疏忽，应及时通知监理人。</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406" w:name="_Toc1244"/>
      <w:r>
        <w:rPr>
          <w:rFonts w:hint="eastAsia" w:ascii="宋体" w:hAnsi="宋体" w:eastAsia="宋体" w:cs="宋体"/>
          <w:color w:val="000000"/>
          <w:sz w:val="21"/>
          <w:szCs w:val="21"/>
          <w:highlight w:val="none"/>
          <w:lang w:val="en-US"/>
        </w:rPr>
        <w:t>1.6.5</w:t>
      </w:r>
      <w:r>
        <w:rPr>
          <w:rFonts w:hint="eastAsia" w:ascii="宋体" w:hAnsi="宋体" w:eastAsia="宋体" w:cs="宋体"/>
          <w:color w:val="000000"/>
          <w:sz w:val="21"/>
          <w:szCs w:val="21"/>
          <w:highlight w:val="none"/>
        </w:rPr>
        <w:t>图纸和承包人文件的保管</w:t>
      </w:r>
      <w:bookmarkEnd w:id="406"/>
    </w:p>
    <w:p>
      <w:pPr>
        <w:pStyle w:val="163"/>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监理人和承包人均应在施工场地各保存一套完整的包含第</w:t>
      </w:r>
      <w:r>
        <w:rPr>
          <w:rFonts w:hint="eastAsia" w:ascii="宋体" w:hAnsi="宋体" w:eastAsia="宋体" w:cs="宋体"/>
          <w:color w:val="000000"/>
          <w:sz w:val="21"/>
          <w:szCs w:val="21"/>
          <w:highlight w:val="none"/>
          <w:lang w:val="en-US"/>
        </w:rPr>
        <w:t>1.6.</w:t>
      </w:r>
      <w:r>
        <w:rPr>
          <w:rFonts w:hint="eastAsia" w:ascii="宋体" w:hAnsi="宋体" w:eastAsia="宋体" w:cs="宋体"/>
          <w:color w:val="000000"/>
          <w:sz w:val="21"/>
          <w:szCs w:val="21"/>
          <w:highlight w:val="none"/>
        </w:rPr>
        <w:t>1项、第</w:t>
      </w:r>
      <w:r>
        <w:rPr>
          <w:rFonts w:hint="eastAsia" w:ascii="宋体" w:hAnsi="宋体" w:eastAsia="宋体" w:cs="宋体"/>
          <w:color w:val="000000"/>
          <w:sz w:val="21"/>
          <w:szCs w:val="21"/>
          <w:highlight w:val="none"/>
          <w:lang w:val="en-US"/>
        </w:rPr>
        <w:t>1.6.2</w:t>
      </w:r>
      <w:r>
        <w:rPr>
          <w:rFonts w:hint="eastAsia" w:ascii="宋体" w:hAnsi="宋体" w:eastAsia="宋体" w:cs="宋体"/>
          <w:color w:val="000000"/>
          <w:sz w:val="21"/>
          <w:szCs w:val="21"/>
          <w:highlight w:val="none"/>
        </w:rPr>
        <w:t xml:space="preserve">项、第 </w:t>
      </w:r>
      <w:r>
        <w:rPr>
          <w:rFonts w:hint="eastAsia" w:ascii="宋体" w:hAnsi="宋体" w:eastAsia="宋体" w:cs="宋体"/>
          <w:color w:val="000000"/>
          <w:sz w:val="21"/>
          <w:szCs w:val="21"/>
          <w:highlight w:val="none"/>
          <w:lang w:val="en-US"/>
        </w:rPr>
        <w:t>1.6.</w:t>
      </w:r>
      <w:r>
        <w:rPr>
          <w:rFonts w:hint="eastAsia" w:ascii="宋体" w:hAnsi="宋体" w:eastAsia="宋体" w:cs="宋体"/>
          <w:color w:val="000000"/>
          <w:sz w:val="21"/>
          <w:szCs w:val="21"/>
          <w:highlight w:val="none"/>
        </w:rPr>
        <w:t>3项约定内容的图纸和承包人文件。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07" w:name="bookmark931"/>
      <w:bookmarkStart w:id="408" w:name="bookmark932"/>
      <w:bookmarkStart w:id="409" w:name="_Toc32408"/>
      <w:bookmarkStart w:id="410" w:name="_Toc18431"/>
      <w:bookmarkStart w:id="411" w:name="_Toc12300"/>
      <w:bookmarkStart w:id="412" w:name="bookmark930"/>
      <w:bookmarkStart w:id="413" w:name="_Toc2999"/>
      <w:r>
        <w:rPr>
          <w:rFonts w:hint="eastAsia" w:ascii="宋体" w:hAnsi="宋体" w:eastAsia="宋体" w:cs="宋体"/>
          <w:color w:val="000000"/>
          <w:sz w:val="21"/>
          <w:szCs w:val="21"/>
          <w:highlight w:val="none"/>
        </w:rPr>
        <w:t>1.7联络</w:t>
      </w:r>
      <w:bookmarkEnd w:id="407"/>
      <w:bookmarkEnd w:id="408"/>
      <w:bookmarkEnd w:id="409"/>
      <w:bookmarkEnd w:id="410"/>
      <w:bookmarkEnd w:id="411"/>
      <w:bookmarkEnd w:id="412"/>
      <w:bookmarkEnd w:id="413"/>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1.7.1</w:t>
      </w:r>
      <w:r>
        <w:rPr>
          <w:rFonts w:hint="eastAsia" w:ascii="宋体" w:hAnsi="宋体" w:eastAsia="宋体" w:cs="宋体"/>
          <w:color w:val="000000"/>
          <w:sz w:val="21"/>
          <w:szCs w:val="21"/>
          <w:highlight w:val="none"/>
        </w:rPr>
        <w:t>与合同有关的通知、批准、证明、证书、指示、要求、请求、同意、意见、确 定和决定等，均应采用书面形式。</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1.7.2</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rPr>
        <w:t>1.7.1</w:t>
      </w:r>
      <w:r>
        <w:rPr>
          <w:rFonts w:hint="eastAsia" w:ascii="宋体" w:hAnsi="宋体" w:eastAsia="宋体" w:cs="宋体"/>
          <w:color w:val="000000"/>
          <w:sz w:val="21"/>
          <w:szCs w:val="21"/>
          <w:highlight w:val="none"/>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pPr>
        <w:pStyle w:val="163"/>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w:t>
      </w:r>
      <w:r>
        <w:rPr>
          <w:rFonts w:hint="eastAsia" w:ascii="宋体" w:hAnsi="宋体" w:eastAsia="宋体" w:cs="宋体"/>
          <w:color w:val="000000"/>
          <w:sz w:val="21"/>
          <w:szCs w:val="21"/>
          <w:highlight w:val="none"/>
        </w:rPr>
        <w:t>来往函件均应按合同约定的期限及时发出和答复，不得无故扣压和拖延，亦不得拒收。否则，由此造成的后果由责任方负责。</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14" w:name="_Toc11450"/>
      <w:bookmarkStart w:id="415" w:name="bookmark935"/>
      <w:bookmarkStart w:id="416" w:name="bookmark933"/>
      <w:bookmarkStart w:id="417" w:name="_Toc19037"/>
      <w:bookmarkStart w:id="418" w:name="_Toc8693"/>
      <w:bookmarkStart w:id="419" w:name="bookmark934"/>
      <w:bookmarkStart w:id="420" w:name="_Toc12741"/>
      <w:r>
        <w:rPr>
          <w:rFonts w:hint="eastAsia" w:ascii="宋体" w:hAnsi="宋体" w:eastAsia="宋体" w:cs="宋体"/>
          <w:color w:val="000000"/>
          <w:sz w:val="21"/>
          <w:szCs w:val="21"/>
          <w:highlight w:val="none"/>
        </w:rPr>
        <w:t>1.8转让</w:t>
      </w:r>
      <w:bookmarkEnd w:id="414"/>
      <w:bookmarkEnd w:id="415"/>
      <w:bookmarkEnd w:id="416"/>
      <w:bookmarkEnd w:id="417"/>
      <w:bookmarkEnd w:id="418"/>
      <w:bookmarkEnd w:id="419"/>
      <w:bookmarkEnd w:id="420"/>
    </w:p>
    <w:p>
      <w:pPr>
        <w:pStyle w:val="163"/>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除合同另有约定外，未经对方当事人同意，一方当事人不得将合同权利全部或部分转让给第三人，也不得全部或部分转移合同义务。</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21" w:name="_Toc28520"/>
      <w:bookmarkStart w:id="422" w:name="bookmark937"/>
      <w:bookmarkStart w:id="423" w:name="_Toc26075"/>
      <w:bookmarkStart w:id="424" w:name="_Toc2427"/>
      <w:bookmarkStart w:id="425" w:name="bookmark936"/>
      <w:bookmarkStart w:id="426" w:name="_Toc9150"/>
      <w:bookmarkStart w:id="427" w:name="bookmark938"/>
      <w:r>
        <w:rPr>
          <w:rFonts w:hint="eastAsia" w:ascii="宋体" w:hAnsi="宋体" w:eastAsia="宋体" w:cs="宋体"/>
          <w:color w:val="000000"/>
          <w:sz w:val="21"/>
          <w:szCs w:val="21"/>
          <w:highlight w:val="none"/>
        </w:rPr>
        <w:t>1.9严禁贿赂</w:t>
      </w:r>
      <w:bookmarkEnd w:id="421"/>
      <w:bookmarkEnd w:id="422"/>
      <w:bookmarkEnd w:id="423"/>
      <w:bookmarkEnd w:id="424"/>
      <w:bookmarkEnd w:id="425"/>
      <w:bookmarkEnd w:id="426"/>
      <w:bookmarkEnd w:id="427"/>
    </w:p>
    <w:p>
      <w:pPr>
        <w:pStyle w:val="163"/>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合同双方当事人不得以贿赂或变相贿赂的方式，谋取不当利益或损害对方权益。因贿赂造成对方损失的，行为人应赔偿损失，并承担相应的法律责任。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28" w:name="_Toc15584"/>
      <w:bookmarkStart w:id="429" w:name="_Toc19136"/>
      <w:bookmarkStart w:id="430" w:name="_Toc11126"/>
      <w:bookmarkStart w:id="431" w:name="_Toc27697"/>
      <w:bookmarkStart w:id="432" w:name="bookmark940"/>
      <w:bookmarkStart w:id="433" w:name="bookmark941"/>
      <w:bookmarkStart w:id="434" w:name="bookmark939"/>
      <w:r>
        <w:rPr>
          <w:rFonts w:hint="eastAsia" w:ascii="宋体" w:hAnsi="宋体" w:eastAsia="宋体" w:cs="宋体"/>
          <w:color w:val="000000"/>
          <w:sz w:val="21"/>
          <w:szCs w:val="21"/>
          <w:highlight w:val="none"/>
        </w:rPr>
        <w:t>1.10化石、文物</w:t>
      </w:r>
      <w:bookmarkEnd w:id="428"/>
      <w:bookmarkEnd w:id="429"/>
      <w:bookmarkEnd w:id="430"/>
      <w:bookmarkEnd w:id="431"/>
      <w:bookmarkEnd w:id="432"/>
      <w:bookmarkEnd w:id="433"/>
      <w:bookmarkEnd w:id="434"/>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1.10.</w:t>
      </w:r>
      <w:r>
        <w:rPr>
          <w:rFonts w:hint="eastAsia" w:ascii="宋体" w:hAnsi="宋体" w:eastAsia="宋体" w:cs="宋体"/>
          <w:color w:val="000000"/>
          <w:sz w:val="21"/>
          <w:szCs w:val="21"/>
          <w:highlight w:val="none"/>
        </w:rPr>
        <w:t>1在施工场地发掘的所有文物、古迹以及具有地质研究或考古价值的其他遗迹、 化石、钱币或物品属于国家所有。一旦发现上述文物，承包人应采取有效合理的保护措施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防止任何人员移动或损坏上述物品，并立即报告当地文物行政部门，同时通知监理人。发包人、监理人和承包人应按文物行政部门要求采取妥善保护措施，由此导致费用增加和（或）工期延误由发包人承担。</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1.10.</w:t>
      </w:r>
      <w:r>
        <w:rPr>
          <w:rFonts w:hint="eastAsia" w:ascii="宋体" w:hAnsi="宋体" w:eastAsia="宋体" w:cs="宋体"/>
          <w:color w:val="000000"/>
          <w:sz w:val="21"/>
          <w:szCs w:val="21"/>
          <w:highlight w:val="none"/>
        </w:rPr>
        <w:t>2承包人发现文物后不及时报告或隐瞒不报，致使文物丢失或损坏的，应赔偿损失，并承担相应的法律责任。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35" w:name="_Toc16550"/>
      <w:bookmarkStart w:id="436" w:name="bookmark944"/>
      <w:bookmarkStart w:id="437" w:name="bookmark942"/>
      <w:bookmarkStart w:id="438" w:name="_Toc8461"/>
      <w:bookmarkStart w:id="439" w:name="bookmark943"/>
      <w:bookmarkStart w:id="440" w:name="_Toc19509"/>
      <w:bookmarkStart w:id="441" w:name="_Toc27296"/>
      <w:r>
        <w:rPr>
          <w:rFonts w:hint="eastAsia" w:ascii="宋体" w:hAnsi="宋体" w:eastAsia="宋体" w:cs="宋体"/>
          <w:color w:val="000000"/>
          <w:sz w:val="21"/>
          <w:szCs w:val="21"/>
          <w:highlight w:val="none"/>
        </w:rPr>
        <w:t>1.11专利技术</w:t>
      </w:r>
      <w:bookmarkEnd w:id="435"/>
      <w:bookmarkEnd w:id="436"/>
      <w:bookmarkEnd w:id="437"/>
      <w:bookmarkEnd w:id="438"/>
      <w:bookmarkEnd w:id="439"/>
      <w:bookmarkEnd w:id="440"/>
      <w:bookmarkEnd w:id="441"/>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1.11.1</w:t>
      </w:r>
      <w:r>
        <w:rPr>
          <w:rFonts w:hint="eastAsia" w:ascii="宋体" w:hAnsi="宋体" w:eastAsia="宋体" w:cs="宋体"/>
          <w:color w:val="000000"/>
          <w:sz w:val="21"/>
          <w:szCs w:val="21"/>
          <w:highlight w:val="none"/>
        </w:rPr>
        <w:t>承包人在使用任何材料、承包人设备、工程设备或采用施工工艺时，因侵犯专利权或其他知识产权所引起的责任，由承包人承担，但由于遵照发包人提供的设计或技术标准和要求引起的除外。</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1.11.2</w:t>
      </w:r>
      <w:r>
        <w:rPr>
          <w:rFonts w:hint="eastAsia" w:ascii="宋体" w:hAnsi="宋体" w:eastAsia="宋体" w:cs="宋体"/>
          <w:color w:val="000000"/>
          <w:sz w:val="21"/>
          <w:szCs w:val="21"/>
          <w:highlight w:val="none"/>
        </w:rPr>
        <w:t>承包人在投标文件中采用专利技术的，专利技术的使用费包含在投标报价内。</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1.11.3</w:t>
      </w:r>
      <w:r>
        <w:rPr>
          <w:rFonts w:hint="eastAsia" w:ascii="宋体" w:hAnsi="宋体" w:eastAsia="宋体" w:cs="宋体"/>
          <w:color w:val="000000"/>
          <w:sz w:val="21"/>
          <w:szCs w:val="21"/>
          <w:highlight w:val="none"/>
        </w:rPr>
        <w:t>承包人的技术秘密和声明需要保密的资料和信息，发包人和监理人不得为合同以外的目的泄露给他人。</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1.11.4</w:t>
      </w:r>
      <w:r>
        <w:rPr>
          <w:rFonts w:hint="eastAsia" w:ascii="宋体" w:hAnsi="宋体" w:eastAsia="宋体" w:cs="宋体"/>
          <w:color w:val="000000"/>
          <w:sz w:val="21"/>
          <w:szCs w:val="21"/>
          <w:highlight w:val="none"/>
        </w:rPr>
        <w:t>合同实施过程中，发包人要求承包人采用专利技术的，发包人应办理相应的使用手续，承包人应按发包人约定的条件使用，并承担使用专利技术的相关试验工作。所需的费用由发包人承担。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42" w:name="_Toc25846"/>
      <w:bookmarkStart w:id="443" w:name="_Toc21439"/>
      <w:bookmarkStart w:id="444" w:name="bookmark946"/>
      <w:bookmarkStart w:id="445" w:name="_Toc31495"/>
      <w:bookmarkStart w:id="446" w:name="bookmark947"/>
      <w:bookmarkStart w:id="447" w:name="bookmark945"/>
      <w:bookmarkStart w:id="448" w:name="_Toc14630"/>
      <w:r>
        <w:rPr>
          <w:rFonts w:hint="eastAsia" w:ascii="宋体" w:hAnsi="宋体" w:eastAsia="宋体" w:cs="宋体"/>
          <w:color w:val="000000"/>
          <w:sz w:val="21"/>
          <w:szCs w:val="21"/>
          <w:highlight w:val="none"/>
        </w:rPr>
        <w:t>1.12图纸和文件的保密</w:t>
      </w:r>
      <w:bookmarkEnd w:id="442"/>
      <w:bookmarkEnd w:id="443"/>
      <w:bookmarkEnd w:id="444"/>
      <w:bookmarkEnd w:id="445"/>
      <w:bookmarkEnd w:id="446"/>
      <w:bookmarkEnd w:id="447"/>
      <w:bookmarkEnd w:id="448"/>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1.12.1</w:t>
      </w:r>
      <w:r>
        <w:rPr>
          <w:rFonts w:hint="eastAsia" w:ascii="宋体" w:hAnsi="宋体" w:eastAsia="宋体" w:cs="宋体"/>
          <w:color w:val="000000"/>
          <w:sz w:val="21"/>
          <w:szCs w:val="21"/>
          <w:highlight w:val="none"/>
        </w:rPr>
        <w:t>发包人提供的图纸和文件，未经发包人同意，承包人不得为合同以外的目的泄露给他人或公开发表与引用。</w:t>
      </w:r>
    </w:p>
    <w:p>
      <w:pPr>
        <w:pStyle w:val="163"/>
        <w:pageBreakBefore w:val="0"/>
        <w:widowControl w:val="0"/>
        <w:kinsoku/>
        <w:wordWrap/>
        <w:overflowPunct/>
        <w:topLinePunct w:val="0"/>
        <w:autoSpaceDE/>
        <w:autoSpaceDN/>
        <w:bidi w:val="0"/>
        <w:adjustRightInd/>
        <w:snapToGrid/>
        <w:spacing w:after="20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1.12.2</w:t>
      </w:r>
      <w:r>
        <w:rPr>
          <w:rFonts w:hint="eastAsia" w:ascii="宋体" w:hAnsi="宋体" w:eastAsia="宋体" w:cs="宋体"/>
          <w:color w:val="000000"/>
          <w:sz w:val="21"/>
          <w:szCs w:val="21"/>
          <w:highlight w:val="none"/>
        </w:rPr>
        <w:t>承包人提供的文件，未经承包人同意，发包人和监理人不得为合同以外的目的泄露给他人或公开发表与引用。</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49" w:name="bookmark950"/>
      <w:bookmarkEnd w:id="449"/>
      <w:bookmarkStart w:id="450" w:name="bookmark949"/>
      <w:bookmarkStart w:id="451" w:name="_Toc12351"/>
      <w:bookmarkStart w:id="452" w:name="_Toc31396"/>
      <w:bookmarkStart w:id="453" w:name="_Toc26764"/>
      <w:bookmarkStart w:id="454" w:name="_Toc3842"/>
      <w:bookmarkStart w:id="455" w:name="bookmark948"/>
      <w:bookmarkStart w:id="456" w:name="bookmark951"/>
      <w:r>
        <w:rPr>
          <w:rFonts w:hint="eastAsia" w:ascii="宋体" w:hAnsi="宋体" w:eastAsia="宋体" w:cs="宋体"/>
          <w:color w:val="000000"/>
          <w:sz w:val="21"/>
          <w:szCs w:val="21"/>
          <w:highlight w:val="none"/>
        </w:rPr>
        <w:t>2.发包人义务</w:t>
      </w:r>
      <w:bookmarkEnd w:id="450"/>
      <w:bookmarkEnd w:id="451"/>
      <w:bookmarkEnd w:id="452"/>
      <w:bookmarkEnd w:id="453"/>
      <w:bookmarkEnd w:id="454"/>
      <w:bookmarkEnd w:id="455"/>
      <w:bookmarkEnd w:id="456"/>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57" w:name="_Toc7062"/>
      <w:bookmarkStart w:id="458" w:name="bookmark952"/>
      <w:bookmarkStart w:id="459" w:name="_Toc26359"/>
      <w:bookmarkStart w:id="460" w:name="_Toc19875"/>
      <w:bookmarkStart w:id="461" w:name="bookmark954"/>
      <w:bookmarkStart w:id="462" w:name="_Toc16573"/>
      <w:bookmarkStart w:id="463" w:name="bookmark953"/>
      <w:r>
        <w:rPr>
          <w:rFonts w:hint="eastAsia" w:ascii="宋体" w:hAnsi="宋体" w:eastAsia="宋体" w:cs="宋体"/>
          <w:color w:val="000000"/>
          <w:sz w:val="21"/>
          <w:szCs w:val="21"/>
          <w:highlight w:val="none"/>
        </w:rPr>
        <w:t>2.1遵守法律</w:t>
      </w:r>
      <w:bookmarkEnd w:id="457"/>
      <w:bookmarkEnd w:id="458"/>
      <w:bookmarkEnd w:id="459"/>
      <w:bookmarkEnd w:id="460"/>
      <w:bookmarkEnd w:id="461"/>
      <w:bookmarkEnd w:id="462"/>
      <w:bookmarkEnd w:id="463"/>
    </w:p>
    <w:p>
      <w:pPr>
        <w:pStyle w:val="163"/>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发包人在履行合同过程中应遵守法律，并保证承包人免于承担因发包人违反法律而引 起的任何责任。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64" w:name="_Toc7961"/>
      <w:bookmarkStart w:id="465" w:name="_Toc16693"/>
      <w:bookmarkStart w:id="466" w:name="_Toc20569"/>
      <w:bookmarkStart w:id="467" w:name="bookmark955"/>
      <w:bookmarkStart w:id="468" w:name="bookmark957"/>
      <w:bookmarkStart w:id="469" w:name="_Toc29276"/>
      <w:bookmarkStart w:id="470" w:name="bookmark956"/>
      <w:r>
        <w:rPr>
          <w:rFonts w:hint="eastAsia" w:ascii="宋体" w:hAnsi="宋体" w:eastAsia="宋体" w:cs="宋体"/>
          <w:color w:val="000000"/>
          <w:sz w:val="21"/>
          <w:szCs w:val="21"/>
          <w:highlight w:val="none"/>
        </w:rPr>
        <w:t>2.2发出开工通知</w:t>
      </w:r>
      <w:bookmarkEnd w:id="464"/>
      <w:bookmarkEnd w:id="465"/>
      <w:bookmarkEnd w:id="466"/>
      <w:bookmarkEnd w:id="467"/>
      <w:bookmarkEnd w:id="468"/>
      <w:bookmarkEnd w:id="469"/>
      <w:bookmarkEnd w:id="470"/>
    </w:p>
    <w:p>
      <w:pPr>
        <w:pStyle w:val="163"/>
        <w:pageBreakBefore w:val="0"/>
        <w:widowControl w:val="0"/>
        <w:kinsoku/>
        <w:wordWrap/>
        <w:overflowPunct/>
        <w:topLinePunct w:val="0"/>
        <w:autoSpaceDE/>
        <w:autoSpaceDN/>
        <w:bidi w:val="0"/>
        <w:adjustRightInd/>
        <w:snapToGrid/>
        <w:spacing w:after="2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发包人应委托监理人按第</w:t>
      </w: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lang w:val="en-US"/>
        </w:rPr>
        <w:t>.</w:t>
      </w:r>
      <w:r>
        <w:rPr>
          <w:rFonts w:hint="eastAsia" w:ascii="宋体" w:hAnsi="宋体" w:eastAsia="宋体" w:cs="宋体"/>
          <w:color w:val="000000"/>
          <w:sz w:val="21"/>
          <w:szCs w:val="21"/>
          <w:highlight w:val="none"/>
        </w:rPr>
        <w:t>1款的约定向承包人发出开工通知。</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71" w:name="_Toc13226"/>
      <w:bookmarkStart w:id="472" w:name="_Toc21414"/>
      <w:bookmarkStart w:id="473" w:name="bookmark960"/>
      <w:bookmarkStart w:id="474" w:name="_Toc5570"/>
      <w:bookmarkStart w:id="475" w:name="_Toc5643"/>
      <w:bookmarkStart w:id="476" w:name="bookmark958"/>
      <w:bookmarkStart w:id="477" w:name="bookmark959"/>
      <w:r>
        <w:rPr>
          <w:rFonts w:hint="eastAsia" w:ascii="宋体" w:hAnsi="宋体" w:eastAsia="宋体" w:cs="宋体"/>
          <w:color w:val="000000"/>
          <w:sz w:val="21"/>
          <w:szCs w:val="21"/>
          <w:highlight w:val="none"/>
        </w:rPr>
        <w:t>2.3提供施工场地</w:t>
      </w:r>
      <w:bookmarkEnd w:id="471"/>
      <w:bookmarkEnd w:id="472"/>
      <w:bookmarkEnd w:id="473"/>
      <w:bookmarkEnd w:id="474"/>
      <w:bookmarkEnd w:id="475"/>
      <w:bookmarkEnd w:id="476"/>
      <w:bookmarkEnd w:id="477"/>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2.3.1</w:t>
      </w:r>
      <w:r>
        <w:rPr>
          <w:rFonts w:hint="eastAsia" w:ascii="宋体" w:hAnsi="宋体" w:eastAsia="宋体" w:cs="宋体"/>
          <w:color w:val="000000"/>
          <w:sz w:val="21"/>
          <w:szCs w:val="21"/>
          <w:highlight w:val="none"/>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2.3.2</w:t>
      </w:r>
      <w:r>
        <w:rPr>
          <w:rFonts w:hint="eastAsia" w:ascii="宋体" w:hAnsi="宋体" w:eastAsia="宋体" w:cs="宋体"/>
          <w:color w:val="000000"/>
          <w:sz w:val="21"/>
          <w:szCs w:val="21"/>
          <w:highlight w:val="none"/>
        </w:rPr>
        <w:t>发包人提供的施工用地范围在专用合同条款中约定。</w:t>
      </w:r>
    </w:p>
    <w:p>
      <w:pPr>
        <w:pStyle w:val="163"/>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2.3.3</w:t>
      </w:r>
      <w:r>
        <w:rPr>
          <w:rFonts w:hint="eastAsia" w:ascii="宋体" w:hAnsi="宋体" w:eastAsia="宋体" w:cs="宋体"/>
          <w:color w:val="000000"/>
          <w:sz w:val="21"/>
          <w:szCs w:val="21"/>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78" w:name="_Toc30399"/>
      <w:bookmarkStart w:id="479" w:name="bookmark962"/>
      <w:bookmarkStart w:id="480" w:name="_Toc4910"/>
      <w:bookmarkStart w:id="481" w:name="_Toc3862"/>
      <w:bookmarkStart w:id="482" w:name="bookmark963"/>
      <w:bookmarkStart w:id="483" w:name="bookmark961"/>
      <w:bookmarkStart w:id="484" w:name="_Toc31160"/>
      <w:r>
        <w:rPr>
          <w:rFonts w:hint="eastAsia" w:ascii="宋体" w:hAnsi="宋体" w:eastAsia="宋体" w:cs="宋体"/>
          <w:color w:val="000000"/>
          <w:sz w:val="21"/>
          <w:szCs w:val="21"/>
          <w:highlight w:val="none"/>
        </w:rPr>
        <w:t>2.4协助承包人办理证件和批件</w:t>
      </w:r>
      <w:bookmarkEnd w:id="478"/>
      <w:bookmarkEnd w:id="479"/>
      <w:bookmarkEnd w:id="480"/>
      <w:bookmarkEnd w:id="481"/>
      <w:bookmarkEnd w:id="482"/>
      <w:bookmarkEnd w:id="483"/>
      <w:bookmarkEnd w:id="484"/>
    </w:p>
    <w:p>
      <w:pPr>
        <w:pStyle w:val="163"/>
        <w:pageBreakBefore w:val="0"/>
        <w:widowControl w:val="0"/>
        <w:kinsoku/>
        <w:wordWrap/>
        <w:overflowPunct/>
        <w:topLinePunct w:val="0"/>
        <w:autoSpaceDE/>
        <w:autoSpaceDN/>
        <w:bidi w:val="0"/>
        <w:adjustRightInd/>
        <w:snapToGrid/>
        <w:spacing w:after="2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发包人应协助承包人办理法律规定的有关施工证件和批件。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85" w:name="bookmark965"/>
      <w:bookmarkStart w:id="486" w:name="_Toc27327"/>
      <w:bookmarkStart w:id="487" w:name="bookmark964"/>
      <w:bookmarkStart w:id="488" w:name="_Toc24176"/>
      <w:bookmarkStart w:id="489" w:name="_Toc11707"/>
      <w:bookmarkStart w:id="490" w:name="bookmark966"/>
      <w:bookmarkStart w:id="491" w:name="_Toc9275"/>
      <w:r>
        <w:rPr>
          <w:rFonts w:hint="eastAsia" w:ascii="宋体" w:hAnsi="宋体" w:eastAsia="宋体" w:cs="宋体"/>
          <w:color w:val="000000"/>
          <w:sz w:val="21"/>
          <w:szCs w:val="21"/>
          <w:highlight w:val="none"/>
        </w:rPr>
        <w:t>2.5组织设计交底</w:t>
      </w:r>
      <w:bookmarkEnd w:id="485"/>
      <w:bookmarkEnd w:id="486"/>
      <w:bookmarkEnd w:id="487"/>
      <w:bookmarkEnd w:id="488"/>
      <w:bookmarkEnd w:id="489"/>
      <w:bookmarkEnd w:id="490"/>
      <w:bookmarkEnd w:id="491"/>
    </w:p>
    <w:p>
      <w:pPr>
        <w:pStyle w:val="163"/>
        <w:pageBreakBefore w:val="0"/>
        <w:widowControl w:val="0"/>
        <w:kinsoku/>
        <w:wordWrap/>
        <w:overflowPunct/>
        <w:topLinePunct w:val="0"/>
        <w:autoSpaceDE/>
        <w:autoSpaceDN/>
        <w:bidi w:val="0"/>
        <w:adjustRightInd/>
        <w:snapToGrid/>
        <w:spacing w:after="2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发包人应根据合同进度计划，组织设计单位向承包人进行设计交底。</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92" w:name="_Toc29272"/>
      <w:bookmarkStart w:id="493" w:name="bookmark967"/>
      <w:bookmarkStart w:id="494" w:name="_Toc15125"/>
      <w:bookmarkStart w:id="495" w:name="bookmark969"/>
      <w:bookmarkStart w:id="496" w:name="_Toc724"/>
      <w:bookmarkStart w:id="497" w:name="_Toc22237"/>
      <w:bookmarkStart w:id="498" w:name="bookmark968"/>
      <w:r>
        <w:rPr>
          <w:rFonts w:hint="eastAsia" w:ascii="宋体" w:hAnsi="宋体" w:eastAsia="宋体" w:cs="宋体"/>
          <w:color w:val="000000"/>
          <w:sz w:val="21"/>
          <w:szCs w:val="21"/>
          <w:highlight w:val="none"/>
        </w:rPr>
        <w:t>2.6支付合同价款</w:t>
      </w:r>
      <w:bookmarkEnd w:id="492"/>
      <w:bookmarkEnd w:id="493"/>
      <w:bookmarkEnd w:id="494"/>
      <w:bookmarkEnd w:id="495"/>
      <w:bookmarkEnd w:id="496"/>
      <w:bookmarkEnd w:id="497"/>
      <w:bookmarkEnd w:id="498"/>
    </w:p>
    <w:p>
      <w:pPr>
        <w:pStyle w:val="163"/>
        <w:pageBreakBefore w:val="0"/>
        <w:widowControl w:val="0"/>
        <w:kinsoku/>
        <w:wordWrap/>
        <w:overflowPunct/>
        <w:topLinePunct w:val="0"/>
        <w:autoSpaceDE/>
        <w:autoSpaceDN/>
        <w:bidi w:val="0"/>
        <w:adjustRightInd/>
        <w:snapToGrid/>
        <w:spacing w:after="2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发包人应按合同约定向承包人及时支付合同价款。</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99" w:name="bookmark971"/>
      <w:bookmarkStart w:id="500" w:name="_Toc28645"/>
      <w:bookmarkStart w:id="501" w:name="_Toc14608"/>
      <w:bookmarkStart w:id="502" w:name="_Toc18599"/>
      <w:bookmarkStart w:id="503" w:name="bookmark970"/>
      <w:bookmarkStart w:id="504" w:name="bookmark972"/>
      <w:bookmarkStart w:id="505" w:name="_Toc20721"/>
      <w:r>
        <w:rPr>
          <w:rFonts w:hint="eastAsia" w:ascii="宋体" w:hAnsi="宋体" w:eastAsia="宋体" w:cs="宋体"/>
          <w:color w:val="000000"/>
          <w:sz w:val="21"/>
          <w:szCs w:val="21"/>
          <w:highlight w:val="none"/>
        </w:rPr>
        <w:t>2.7组织竣工验收（组织法人验收）</w:t>
      </w:r>
      <w:bookmarkEnd w:id="499"/>
      <w:bookmarkEnd w:id="500"/>
      <w:bookmarkEnd w:id="501"/>
      <w:bookmarkEnd w:id="502"/>
      <w:bookmarkEnd w:id="503"/>
      <w:bookmarkEnd w:id="504"/>
      <w:bookmarkEnd w:id="505"/>
    </w:p>
    <w:p>
      <w:pPr>
        <w:pStyle w:val="163"/>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发包人应按合同约定及时组织法人验收。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06" w:name="bookmark975"/>
      <w:bookmarkStart w:id="507" w:name="_Toc30329"/>
      <w:bookmarkStart w:id="508" w:name="bookmark973"/>
      <w:bookmarkStart w:id="509" w:name="_Toc31665"/>
      <w:bookmarkStart w:id="510" w:name="_Toc26461"/>
      <w:bookmarkStart w:id="511" w:name="_Toc2990"/>
      <w:bookmarkStart w:id="512" w:name="bookmark974"/>
      <w:r>
        <w:rPr>
          <w:rFonts w:hint="eastAsia" w:ascii="宋体" w:hAnsi="宋体" w:eastAsia="宋体" w:cs="宋体"/>
          <w:color w:val="000000"/>
          <w:sz w:val="21"/>
          <w:szCs w:val="21"/>
          <w:highlight w:val="none"/>
        </w:rPr>
        <w:t>2.8其它义务</w:t>
      </w:r>
      <w:bookmarkEnd w:id="506"/>
      <w:bookmarkEnd w:id="507"/>
      <w:bookmarkEnd w:id="508"/>
      <w:bookmarkEnd w:id="509"/>
      <w:bookmarkEnd w:id="510"/>
      <w:bookmarkEnd w:id="511"/>
      <w:bookmarkEnd w:id="512"/>
    </w:p>
    <w:p>
      <w:pPr>
        <w:pStyle w:val="163"/>
        <w:pageBreakBefore w:val="0"/>
        <w:widowControl w:val="0"/>
        <w:kinsoku/>
        <w:wordWrap/>
        <w:overflowPunct/>
        <w:topLinePunct w:val="0"/>
        <w:autoSpaceDE/>
        <w:autoSpaceDN/>
        <w:bidi w:val="0"/>
        <w:adjustRightInd/>
        <w:snapToGrid/>
        <w:spacing w:after="28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其它义务在专用合同条款中补充约定。</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13" w:name="bookmark977"/>
      <w:bookmarkStart w:id="514" w:name="_Toc17204"/>
      <w:bookmarkStart w:id="515" w:name="_Toc10088"/>
      <w:bookmarkStart w:id="516" w:name="bookmark976"/>
      <w:bookmarkStart w:id="517" w:name="_Toc596"/>
      <w:bookmarkStart w:id="518" w:name="_Toc17454"/>
      <w:bookmarkStart w:id="519" w:name="bookmark978"/>
      <w:r>
        <w:rPr>
          <w:rFonts w:hint="eastAsia" w:ascii="宋体" w:hAnsi="宋体" w:eastAsia="宋体" w:cs="宋体"/>
          <w:color w:val="000000"/>
          <w:sz w:val="21"/>
          <w:szCs w:val="21"/>
          <w:highlight w:val="none"/>
        </w:rPr>
        <w:t>3.监理人</w:t>
      </w:r>
      <w:bookmarkEnd w:id="513"/>
      <w:bookmarkEnd w:id="514"/>
      <w:bookmarkEnd w:id="515"/>
      <w:bookmarkEnd w:id="516"/>
      <w:bookmarkEnd w:id="517"/>
      <w:bookmarkEnd w:id="518"/>
      <w:bookmarkEnd w:id="519"/>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20" w:name="_Toc32473"/>
      <w:bookmarkStart w:id="521" w:name="_Toc25683"/>
      <w:bookmarkStart w:id="522" w:name="bookmark980"/>
      <w:bookmarkStart w:id="523" w:name="bookmark979"/>
      <w:bookmarkStart w:id="524" w:name="bookmark981"/>
      <w:bookmarkStart w:id="525" w:name="_Toc5442"/>
      <w:bookmarkStart w:id="526" w:name="_Toc24860"/>
      <w:r>
        <w:rPr>
          <w:rFonts w:hint="eastAsia" w:ascii="宋体" w:hAnsi="宋体" w:eastAsia="宋体" w:cs="宋体"/>
          <w:color w:val="000000"/>
          <w:sz w:val="21"/>
          <w:szCs w:val="21"/>
          <w:highlight w:val="none"/>
        </w:rPr>
        <w:t>3.1监理人的职责和权利</w:t>
      </w:r>
      <w:bookmarkEnd w:id="520"/>
      <w:bookmarkEnd w:id="521"/>
      <w:bookmarkEnd w:id="522"/>
      <w:bookmarkEnd w:id="523"/>
      <w:bookmarkEnd w:id="524"/>
      <w:bookmarkEnd w:id="525"/>
      <w:bookmarkEnd w:id="526"/>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3.1.1</w:t>
      </w:r>
      <w:r>
        <w:rPr>
          <w:rFonts w:hint="eastAsia" w:ascii="宋体" w:hAnsi="宋体" w:eastAsia="宋体" w:cs="宋体"/>
          <w:color w:val="000000"/>
          <w:sz w:val="21"/>
          <w:szCs w:val="21"/>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3.1.2</w:t>
      </w:r>
      <w:r>
        <w:rPr>
          <w:rFonts w:hint="eastAsia" w:ascii="宋体" w:hAnsi="宋体" w:eastAsia="宋体" w:cs="宋体"/>
          <w:color w:val="000000"/>
          <w:sz w:val="21"/>
          <w:szCs w:val="21"/>
          <w:highlight w:val="none"/>
        </w:rPr>
        <w:t>监理人发出的任何指示应视为已得到发包人的批准，但监理人无权免除或变更合同约定的发包人和承包人的权利、义务和责任。</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3.1.3</w:t>
      </w:r>
      <w:r>
        <w:rPr>
          <w:rFonts w:hint="eastAsia" w:ascii="宋体" w:hAnsi="宋体" w:eastAsia="宋体" w:cs="宋体"/>
          <w:color w:val="000000"/>
          <w:sz w:val="21"/>
          <w:szCs w:val="21"/>
          <w:highlight w:val="none"/>
        </w:rPr>
        <w:t>合同约定应由承包人承担的义务和责任，不因监理人对承包人提交文件的审查或批准，对工程、材料和设备的检查和检验，以及为实施监理作出的指示等职务行为而减轻或解除。</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27" w:name="bookmark984"/>
      <w:bookmarkStart w:id="528" w:name="_Toc20317"/>
      <w:bookmarkStart w:id="529" w:name="bookmark982"/>
      <w:bookmarkStart w:id="530" w:name="_Toc32568"/>
      <w:bookmarkStart w:id="531" w:name="_Toc3420"/>
      <w:bookmarkStart w:id="532" w:name="_Toc9990"/>
      <w:bookmarkStart w:id="533" w:name="bookmark983"/>
      <w:r>
        <w:rPr>
          <w:rFonts w:hint="eastAsia" w:ascii="宋体" w:hAnsi="宋体" w:eastAsia="宋体" w:cs="宋体"/>
          <w:color w:val="000000"/>
          <w:sz w:val="21"/>
          <w:szCs w:val="21"/>
          <w:highlight w:val="none"/>
        </w:rPr>
        <w:t>3. 2总监理工程师</w:t>
      </w:r>
      <w:bookmarkEnd w:id="527"/>
      <w:bookmarkEnd w:id="528"/>
      <w:bookmarkEnd w:id="529"/>
      <w:bookmarkEnd w:id="530"/>
      <w:bookmarkEnd w:id="531"/>
      <w:bookmarkEnd w:id="532"/>
      <w:bookmarkEnd w:id="533"/>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发包人应在发出开工通知前将总监理工程师的任命通知承包人。总监理工程师更换时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应在调离14天前通知承包人。总监理工程师短期离开施工场地的，应委派代表代行其职 责，并通知承包人。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34" w:name="bookmark986"/>
      <w:bookmarkStart w:id="535" w:name="_Toc9531"/>
      <w:bookmarkStart w:id="536" w:name="_Toc11573"/>
      <w:bookmarkStart w:id="537" w:name="_Toc12950"/>
      <w:bookmarkStart w:id="538" w:name="bookmark987"/>
      <w:bookmarkStart w:id="539" w:name="bookmark985"/>
      <w:bookmarkStart w:id="540" w:name="_Toc22991"/>
      <w:r>
        <w:rPr>
          <w:rFonts w:hint="eastAsia" w:ascii="宋体" w:hAnsi="宋体" w:eastAsia="宋体" w:cs="宋体"/>
          <w:color w:val="000000"/>
          <w:sz w:val="21"/>
          <w:szCs w:val="21"/>
          <w:highlight w:val="none"/>
        </w:rPr>
        <w:t>3.3监理人员</w:t>
      </w:r>
      <w:bookmarkEnd w:id="534"/>
      <w:bookmarkEnd w:id="535"/>
      <w:bookmarkEnd w:id="536"/>
      <w:bookmarkEnd w:id="537"/>
      <w:bookmarkEnd w:id="538"/>
      <w:bookmarkEnd w:id="539"/>
      <w:bookmarkEnd w:id="540"/>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541" w:name="bookmark988"/>
      <w:bookmarkEnd w:id="541"/>
      <w:r>
        <w:rPr>
          <w:rFonts w:hint="eastAsia" w:ascii="宋体" w:hAnsi="宋体" w:eastAsia="宋体" w:cs="宋体"/>
          <w:color w:val="000000"/>
          <w:sz w:val="21"/>
          <w:szCs w:val="21"/>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3.3.2</w:t>
      </w:r>
      <w:r>
        <w:rPr>
          <w:rFonts w:hint="eastAsia" w:ascii="宋体" w:hAnsi="宋体" w:eastAsia="宋体" w:cs="宋体"/>
          <w:color w:val="000000"/>
          <w:sz w:val="21"/>
          <w:szCs w:val="21"/>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3.3.3</w:t>
      </w:r>
      <w:r>
        <w:rPr>
          <w:rFonts w:hint="eastAsia" w:ascii="宋体" w:hAnsi="宋体" w:eastAsia="宋体" w:cs="宋体"/>
          <w:color w:val="000000"/>
          <w:sz w:val="21"/>
          <w:szCs w:val="21"/>
          <w:highlight w:val="none"/>
        </w:rPr>
        <w:t>承包人对总监理工程师授权的监理人员发出的指示有疑问的，可向总监理工程师提出书面异议，总监理工程师应在48小时内对该指示予以确认、更改或撤销。</w:t>
      </w:r>
    </w:p>
    <w:p>
      <w:pPr>
        <w:pStyle w:val="163"/>
        <w:pageBreakBefore w:val="0"/>
        <w:widowControl w:val="0"/>
        <w:kinsoku/>
        <w:wordWrap/>
        <w:overflowPunct/>
        <w:topLinePunct w:val="0"/>
        <w:autoSpaceDE/>
        <w:autoSpaceDN/>
        <w:bidi w:val="0"/>
        <w:adjustRightInd/>
        <w:snapToGrid/>
        <w:spacing w:after="240" w:line="400" w:lineRule="exact"/>
        <w:ind w:firstLine="420"/>
        <w:jc w:val="both"/>
        <w:textAlignment w:val="auto"/>
        <w:rPr>
          <w:rFonts w:hint="eastAsia" w:ascii="宋体" w:hAnsi="宋体" w:eastAsia="宋体" w:cs="宋体"/>
          <w:color w:val="000000"/>
          <w:sz w:val="21"/>
          <w:szCs w:val="21"/>
          <w:highlight w:val="none"/>
        </w:rPr>
      </w:pPr>
      <w:bookmarkStart w:id="542" w:name="bookmark989"/>
      <w:bookmarkEnd w:id="542"/>
      <w:r>
        <w:rPr>
          <w:rFonts w:hint="eastAsia" w:ascii="宋体" w:hAnsi="宋体" w:eastAsia="宋体" w:cs="宋体"/>
          <w:color w:val="000000"/>
          <w:sz w:val="21"/>
          <w:szCs w:val="21"/>
          <w:highlight w:val="none"/>
        </w:rPr>
        <w:t>3.3.4除专用合同条款另有约定外，总监理工程师不应将第3.5款约定应由总监理工程师作出确定的权力授权或委托给其他监理人员。</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43" w:name="bookmark991"/>
      <w:bookmarkStart w:id="544" w:name="_Toc21485"/>
      <w:bookmarkStart w:id="545" w:name="bookmark990"/>
      <w:bookmarkStart w:id="546" w:name="_Toc15972"/>
      <w:bookmarkStart w:id="547" w:name="_Toc29343"/>
      <w:bookmarkStart w:id="548" w:name="bookmark992"/>
      <w:bookmarkStart w:id="549" w:name="_Toc19860"/>
      <w:r>
        <w:rPr>
          <w:rFonts w:hint="eastAsia" w:ascii="宋体" w:hAnsi="宋体" w:eastAsia="宋体" w:cs="宋体"/>
          <w:color w:val="000000"/>
          <w:sz w:val="21"/>
          <w:szCs w:val="21"/>
          <w:highlight w:val="none"/>
        </w:rPr>
        <w:t>3.4监理人的指示</w:t>
      </w:r>
      <w:bookmarkEnd w:id="543"/>
      <w:bookmarkEnd w:id="544"/>
      <w:bookmarkEnd w:id="545"/>
      <w:bookmarkEnd w:id="546"/>
      <w:bookmarkEnd w:id="547"/>
      <w:bookmarkEnd w:id="548"/>
      <w:bookmarkEnd w:id="549"/>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w:t>
      </w:r>
      <w:r>
        <w:rPr>
          <w:rFonts w:hint="eastAsia" w:ascii="宋体" w:hAnsi="宋体" w:eastAsia="宋体" w:cs="宋体"/>
          <w:color w:val="000000"/>
          <w:sz w:val="21"/>
          <w:szCs w:val="21"/>
          <w:highlight w:val="none"/>
        </w:rPr>
        <w:t>1监理人应按第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1款的约定向承包人发出指示，监理人的指示应盖有监理人授权的施工场地机构章，并由总监理工程师或总监理工程师按第</w:t>
      </w:r>
      <w:r>
        <w:rPr>
          <w:rFonts w:hint="eastAsia" w:ascii="宋体" w:hAnsi="宋体" w:eastAsia="宋体" w:cs="宋体"/>
          <w:color w:val="000000"/>
          <w:sz w:val="21"/>
          <w:szCs w:val="21"/>
          <w:highlight w:val="none"/>
          <w:lang w:val="en-US"/>
        </w:rPr>
        <w:t>3.3.</w:t>
      </w:r>
      <w:r>
        <w:rPr>
          <w:rFonts w:hint="eastAsia" w:ascii="宋体" w:hAnsi="宋体" w:eastAsia="宋体" w:cs="宋体"/>
          <w:color w:val="000000"/>
          <w:sz w:val="21"/>
          <w:szCs w:val="21"/>
          <w:highlight w:val="none"/>
        </w:rPr>
        <w:t>1项约定授权的监理人员签字</w:t>
      </w:r>
      <w:r>
        <w:rPr>
          <w:rFonts w:hint="eastAsia" w:ascii="宋体" w:hAnsi="宋体" w:eastAsia="宋体" w:cs="宋体"/>
          <w:color w:val="000000"/>
          <w:sz w:val="21"/>
          <w:szCs w:val="21"/>
          <w:highlight w:val="none"/>
          <w:lang w:val="en-US"/>
        </w:rPr>
        <w:t>。</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3.4.2</w:t>
      </w:r>
      <w:r>
        <w:rPr>
          <w:rFonts w:hint="eastAsia" w:ascii="宋体" w:hAnsi="宋体" w:eastAsia="宋体" w:cs="宋体"/>
          <w:color w:val="000000"/>
          <w:sz w:val="21"/>
          <w:szCs w:val="21"/>
          <w:highlight w:val="none"/>
        </w:rPr>
        <w:t>承包人收到监理人按第</w:t>
      </w:r>
      <w:r>
        <w:rPr>
          <w:rFonts w:hint="eastAsia" w:ascii="宋体" w:hAnsi="宋体" w:eastAsia="宋体" w:cs="宋体"/>
          <w:color w:val="000000"/>
          <w:sz w:val="21"/>
          <w:szCs w:val="21"/>
          <w:highlight w:val="none"/>
          <w:lang w:val="en-US"/>
        </w:rPr>
        <w:t>3.4.1</w:t>
      </w:r>
      <w:r>
        <w:rPr>
          <w:rFonts w:hint="eastAsia" w:ascii="宋体" w:hAnsi="宋体" w:eastAsia="宋体" w:cs="宋体"/>
          <w:color w:val="000000"/>
          <w:sz w:val="21"/>
          <w:szCs w:val="21"/>
          <w:highlight w:val="none"/>
        </w:rPr>
        <w:t>项作出的指示后应遵照执行。指示构成变更的，应按第15条处理。</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3.4.3</w:t>
      </w:r>
      <w:r>
        <w:rPr>
          <w:rFonts w:hint="eastAsia" w:ascii="宋体" w:hAnsi="宋体" w:eastAsia="宋体" w:cs="宋体"/>
          <w:color w:val="000000"/>
          <w:sz w:val="21"/>
          <w:szCs w:val="21"/>
          <w:highlight w:val="none"/>
        </w:rPr>
        <w:t>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3.4.4</w:t>
      </w:r>
      <w:r>
        <w:rPr>
          <w:rFonts w:hint="eastAsia" w:ascii="宋体" w:hAnsi="宋体" w:eastAsia="宋体" w:cs="宋体"/>
          <w:color w:val="000000"/>
          <w:sz w:val="21"/>
          <w:szCs w:val="21"/>
          <w:highlight w:val="none"/>
        </w:rPr>
        <w:t>除合同另有约定外，承包人只从总监理工程师或按第</w:t>
      </w:r>
      <w:r>
        <w:rPr>
          <w:rFonts w:hint="eastAsia" w:ascii="宋体" w:hAnsi="宋体" w:eastAsia="宋体" w:cs="宋体"/>
          <w:color w:val="000000"/>
          <w:sz w:val="21"/>
          <w:szCs w:val="21"/>
          <w:highlight w:val="none"/>
          <w:lang w:val="en-US"/>
        </w:rPr>
        <w:t>3.3.</w:t>
      </w:r>
      <w:r>
        <w:rPr>
          <w:rFonts w:hint="eastAsia" w:ascii="宋体" w:hAnsi="宋体" w:eastAsia="宋体" w:cs="宋体"/>
          <w:color w:val="000000"/>
          <w:sz w:val="21"/>
          <w:szCs w:val="21"/>
          <w:highlight w:val="none"/>
        </w:rPr>
        <w:t>1项被授权的监理人员处取得指示。</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3.4.5</w:t>
      </w:r>
      <w:r>
        <w:rPr>
          <w:rFonts w:hint="eastAsia" w:ascii="宋体" w:hAnsi="宋体" w:eastAsia="宋体" w:cs="宋体"/>
          <w:color w:val="000000"/>
          <w:sz w:val="21"/>
          <w:szCs w:val="21"/>
          <w:highlight w:val="none"/>
        </w:rPr>
        <w:t>由于监理人未能按合同约定发出指示、指示延误或指示错误而导致承包人费用增加和（或）工期延误的，由发包人承担赔偿责任。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50" w:name="_Toc5657"/>
      <w:bookmarkStart w:id="551" w:name="bookmark994"/>
      <w:bookmarkStart w:id="552" w:name="_Toc66"/>
      <w:bookmarkStart w:id="553" w:name="_Toc4364"/>
      <w:bookmarkStart w:id="554" w:name="bookmark993"/>
      <w:bookmarkStart w:id="555" w:name="bookmark995"/>
      <w:bookmarkStart w:id="556" w:name="_Toc15164"/>
      <w:r>
        <w:rPr>
          <w:rFonts w:hint="eastAsia" w:ascii="宋体" w:hAnsi="宋体" w:eastAsia="宋体" w:cs="宋体"/>
          <w:color w:val="000000"/>
          <w:sz w:val="21"/>
          <w:szCs w:val="21"/>
          <w:highlight w:val="none"/>
        </w:rPr>
        <w:t>3.5商定或确定</w:t>
      </w:r>
      <w:bookmarkEnd w:id="550"/>
      <w:bookmarkEnd w:id="551"/>
      <w:bookmarkEnd w:id="552"/>
      <w:bookmarkEnd w:id="553"/>
      <w:bookmarkEnd w:id="554"/>
      <w:bookmarkEnd w:id="555"/>
      <w:bookmarkEnd w:id="556"/>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3.5.1</w:t>
      </w:r>
      <w:r>
        <w:rPr>
          <w:rFonts w:hint="eastAsia" w:ascii="宋体" w:hAnsi="宋体" w:eastAsia="宋体" w:cs="宋体"/>
          <w:color w:val="000000"/>
          <w:sz w:val="21"/>
          <w:szCs w:val="21"/>
          <w:highlight w:val="none"/>
        </w:rPr>
        <w:t>合同约定总监理工程师应按照本款对任何事项进行商定或确定时，总监理工程师应与合同当事人协商，尽量达成一致。不能达成一致的，总监理工程师应认真研究后审慎确定。</w:t>
      </w:r>
    </w:p>
    <w:p>
      <w:pPr>
        <w:pStyle w:val="163"/>
        <w:pageBreakBefore w:val="0"/>
        <w:widowControl w:val="0"/>
        <w:kinsoku/>
        <w:wordWrap/>
        <w:overflowPunct/>
        <w:topLinePunct w:val="0"/>
        <w:autoSpaceDE/>
        <w:autoSpaceDN/>
        <w:bidi w:val="0"/>
        <w:adjustRightInd/>
        <w:snapToGrid/>
        <w:spacing w:after="28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3.5.2</w:t>
      </w:r>
      <w:r>
        <w:rPr>
          <w:rFonts w:hint="eastAsia" w:ascii="宋体" w:hAnsi="宋体" w:eastAsia="宋体" w:cs="宋体"/>
          <w:color w:val="000000"/>
          <w:sz w:val="21"/>
          <w:szCs w:val="21"/>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57" w:name="bookmark997"/>
      <w:bookmarkStart w:id="558" w:name="bookmark996"/>
      <w:bookmarkStart w:id="559" w:name="bookmark998"/>
      <w:bookmarkStart w:id="560" w:name="_Toc13765"/>
      <w:bookmarkStart w:id="561" w:name="_Toc910"/>
      <w:bookmarkStart w:id="562" w:name="_Toc16273"/>
      <w:bookmarkStart w:id="563" w:name="_Toc11543"/>
      <w:r>
        <w:rPr>
          <w:rFonts w:hint="eastAsia" w:ascii="宋体" w:hAnsi="宋体" w:eastAsia="宋体" w:cs="宋体"/>
          <w:color w:val="000000"/>
          <w:sz w:val="21"/>
          <w:szCs w:val="21"/>
          <w:highlight w:val="none"/>
        </w:rPr>
        <w:t>4.承包人</w:t>
      </w:r>
      <w:bookmarkEnd w:id="557"/>
      <w:bookmarkEnd w:id="558"/>
      <w:bookmarkEnd w:id="559"/>
      <w:bookmarkEnd w:id="560"/>
      <w:bookmarkEnd w:id="561"/>
      <w:bookmarkEnd w:id="562"/>
      <w:bookmarkEnd w:id="563"/>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64" w:name="bookmark1001"/>
      <w:bookmarkStart w:id="565" w:name="bookmark999"/>
      <w:bookmarkStart w:id="566" w:name="_Toc791"/>
      <w:bookmarkStart w:id="567" w:name="_Toc12170"/>
      <w:bookmarkStart w:id="568" w:name="bookmark1000"/>
      <w:bookmarkStart w:id="569" w:name="_Toc2425"/>
      <w:bookmarkStart w:id="570" w:name="_Toc11324"/>
      <w:r>
        <w:rPr>
          <w:rFonts w:hint="eastAsia" w:ascii="宋体" w:hAnsi="宋体" w:eastAsia="宋体" w:cs="宋体"/>
          <w:color w:val="000000"/>
          <w:sz w:val="21"/>
          <w:szCs w:val="21"/>
          <w:highlight w:val="none"/>
        </w:rPr>
        <w:t>4.1承包人的一般义务</w:t>
      </w:r>
      <w:bookmarkEnd w:id="564"/>
      <w:bookmarkEnd w:id="565"/>
      <w:bookmarkEnd w:id="566"/>
      <w:bookmarkEnd w:id="567"/>
      <w:bookmarkEnd w:id="568"/>
      <w:bookmarkEnd w:id="569"/>
      <w:bookmarkEnd w:id="570"/>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4.1.1</w:t>
      </w:r>
      <w:r>
        <w:rPr>
          <w:rFonts w:hint="eastAsia" w:ascii="宋体" w:hAnsi="宋体" w:eastAsia="宋体" w:cs="宋体"/>
          <w:color w:val="000000"/>
          <w:sz w:val="21"/>
          <w:szCs w:val="21"/>
          <w:highlight w:val="none"/>
        </w:rPr>
        <w:t>遵守法律</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承包人在履行合同过程中应遵守法律，并保证发包人免于承担因承包人违反法律而引起的任何责任。</w:t>
      </w:r>
    </w:p>
    <w:p>
      <w:pPr>
        <w:pStyle w:val="163"/>
        <w:pageBreakBefore w:val="0"/>
        <w:widowControl w:val="0"/>
        <w:tabs>
          <w:tab w:val="left" w:pos="759"/>
        </w:tabs>
        <w:kinsoku/>
        <w:wordWrap/>
        <w:overflowPunct/>
        <w:topLinePunct w:val="0"/>
        <w:autoSpaceDE/>
        <w:autoSpaceDN/>
        <w:bidi w:val="0"/>
        <w:adjustRightInd/>
        <w:snapToGrid/>
        <w:spacing w:line="400" w:lineRule="exact"/>
        <w:ind w:left="420" w:firstLine="0"/>
        <w:jc w:val="both"/>
        <w:textAlignment w:val="auto"/>
        <w:outlineLvl w:val="0"/>
        <w:rPr>
          <w:rFonts w:hint="eastAsia" w:ascii="宋体" w:hAnsi="宋体" w:eastAsia="宋体" w:cs="宋体"/>
          <w:color w:val="000000"/>
          <w:sz w:val="21"/>
          <w:szCs w:val="21"/>
          <w:highlight w:val="none"/>
        </w:rPr>
      </w:pPr>
      <w:bookmarkStart w:id="571" w:name="bookmark1002"/>
      <w:bookmarkEnd w:id="571"/>
      <w:bookmarkStart w:id="572" w:name="_Toc4233"/>
      <w:r>
        <w:rPr>
          <w:rFonts w:hint="eastAsia" w:ascii="宋体" w:hAnsi="宋体" w:eastAsia="宋体" w:cs="宋体"/>
          <w:color w:val="000000"/>
          <w:sz w:val="21"/>
          <w:szCs w:val="21"/>
          <w:highlight w:val="none"/>
          <w:lang w:val="en-US"/>
        </w:rPr>
        <w:t>4.1.2</w:t>
      </w:r>
      <w:r>
        <w:rPr>
          <w:rFonts w:hint="eastAsia" w:ascii="宋体" w:hAnsi="宋体" w:eastAsia="宋体" w:cs="宋体"/>
          <w:color w:val="000000"/>
          <w:sz w:val="21"/>
          <w:szCs w:val="21"/>
          <w:highlight w:val="none"/>
        </w:rPr>
        <w:t>依法纳税</w:t>
      </w:r>
      <w:bookmarkEnd w:id="572"/>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承包人应按有关法律规定纳税，应缴纳的税金包括在合同价格内。</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4.1.3</w:t>
      </w:r>
      <w:r>
        <w:rPr>
          <w:rFonts w:hint="eastAsia" w:ascii="宋体" w:hAnsi="宋体" w:eastAsia="宋体" w:cs="宋体"/>
          <w:color w:val="000000"/>
          <w:sz w:val="21"/>
          <w:szCs w:val="21"/>
          <w:highlight w:val="none"/>
        </w:rPr>
        <w:t>完成各项承包工作</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承包人应按合同约定以及监理人根据第</w:t>
      </w:r>
      <w:r>
        <w:rPr>
          <w:rFonts w:hint="eastAsia" w:ascii="宋体" w:hAnsi="宋体" w:eastAsia="宋体" w:cs="宋体"/>
          <w:color w:val="000000"/>
          <w:sz w:val="21"/>
          <w:szCs w:val="21"/>
          <w:highlight w:val="none"/>
          <w:lang w:val="en-US"/>
        </w:rPr>
        <w:t>3.4</w:t>
      </w:r>
      <w:r>
        <w:rPr>
          <w:rFonts w:hint="eastAsia" w:ascii="宋体" w:hAnsi="宋体" w:eastAsia="宋体" w:cs="宋体"/>
          <w:color w:val="000000"/>
          <w:sz w:val="21"/>
          <w:szCs w:val="21"/>
          <w:highlight w:val="none"/>
        </w:rPr>
        <w:t>款作出的指示，实施、完成全部工程，并修补工程中的任何缺陷。除第</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rPr>
        <w:t>2款、第</w:t>
      </w:r>
      <w:r>
        <w:rPr>
          <w:rFonts w:hint="eastAsia" w:ascii="宋体" w:hAnsi="宋体" w:eastAsia="宋体" w:cs="宋体"/>
          <w:color w:val="000000"/>
          <w:sz w:val="21"/>
          <w:szCs w:val="21"/>
          <w:highlight w:val="none"/>
          <w:lang w:val="en-US"/>
        </w:rPr>
        <w:t>6.</w:t>
      </w:r>
      <w:r>
        <w:rPr>
          <w:rFonts w:hint="eastAsia" w:ascii="宋体" w:hAnsi="宋体" w:eastAsia="宋体" w:cs="宋体"/>
          <w:color w:val="000000"/>
          <w:sz w:val="21"/>
          <w:szCs w:val="21"/>
          <w:highlight w:val="none"/>
        </w:rPr>
        <w:t>2款另有约定外，承包人应提供为完成合同工作所需的劳务、材料、施工设备、工程设备和其它物品，并按合同约定负责临时设施的设计、建造、运行、维护、管理和拆除。</w:t>
      </w:r>
    </w:p>
    <w:p>
      <w:pPr>
        <w:pStyle w:val="163"/>
        <w:pageBreakBefore w:val="0"/>
        <w:widowControl w:val="0"/>
        <w:kinsoku/>
        <w:wordWrap/>
        <w:overflowPunct/>
        <w:topLinePunct w:val="0"/>
        <w:autoSpaceDE/>
        <w:autoSpaceDN/>
        <w:bidi w:val="0"/>
        <w:adjustRightInd/>
        <w:snapToGrid/>
        <w:spacing w:line="400" w:lineRule="exact"/>
        <w:ind w:firstLine="420"/>
        <w:textAlignment w:val="auto"/>
        <w:outlineLvl w:val="0"/>
        <w:rPr>
          <w:rFonts w:hint="eastAsia" w:ascii="宋体" w:hAnsi="宋体" w:eastAsia="宋体" w:cs="宋体"/>
          <w:color w:val="000000"/>
          <w:sz w:val="21"/>
          <w:szCs w:val="21"/>
          <w:highlight w:val="none"/>
        </w:rPr>
      </w:pPr>
      <w:bookmarkStart w:id="573" w:name="_Toc23918"/>
      <w:r>
        <w:rPr>
          <w:rFonts w:hint="eastAsia" w:ascii="宋体" w:hAnsi="宋体" w:eastAsia="宋体" w:cs="宋体"/>
          <w:color w:val="000000"/>
          <w:sz w:val="21"/>
          <w:szCs w:val="21"/>
          <w:highlight w:val="none"/>
          <w:lang w:val="en-US"/>
        </w:rPr>
        <w:t>4.1.4</w:t>
      </w:r>
      <w:r>
        <w:rPr>
          <w:rFonts w:hint="eastAsia" w:ascii="宋体" w:hAnsi="宋体" w:eastAsia="宋体" w:cs="宋体"/>
          <w:color w:val="000000"/>
          <w:sz w:val="21"/>
          <w:szCs w:val="21"/>
          <w:highlight w:val="none"/>
        </w:rPr>
        <w:t>对施工作业和施工方法的完备性负责</w:t>
      </w:r>
      <w:bookmarkEnd w:id="573"/>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承包人应按合同约定的工作内容和施工进度要求，编制施工组织设计和施工措施计划，并对所有施工作业和施工方法的完备性和安全可靠性负责。</w:t>
      </w:r>
    </w:p>
    <w:p>
      <w:pPr>
        <w:pStyle w:val="163"/>
        <w:pageBreakBefore w:val="0"/>
        <w:widowControl w:val="0"/>
        <w:kinsoku/>
        <w:wordWrap/>
        <w:overflowPunct/>
        <w:topLinePunct w:val="0"/>
        <w:autoSpaceDE/>
        <w:autoSpaceDN/>
        <w:bidi w:val="0"/>
        <w:adjustRightInd/>
        <w:snapToGrid/>
        <w:spacing w:line="400" w:lineRule="exact"/>
        <w:ind w:firstLine="420"/>
        <w:textAlignment w:val="auto"/>
        <w:outlineLvl w:val="0"/>
        <w:rPr>
          <w:rFonts w:hint="eastAsia" w:ascii="宋体" w:hAnsi="宋体" w:eastAsia="宋体" w:cs="宋体"/>
          <w:color w:val="000000"/>
          <w:sz w:val="21"/>
          <w:szCs w:val="21"/>
          <w:highlight w:val="none"/>
        </w:rPr>
      </w:pPr>
      <w:bookmarkStart w:id="574" w:name="_Toc24372"/>
      <w:r>
        <w:rPr>
          <w:rFonts w:hint="eastAsia" w:ascii="宋体" w:hAnsi="宋体" w:eastAsia="宋体" w:cs="宋体"/>
          <w:color w:val="000000"/>
          <w:sz w:val="21"/>
          <w:szCs w:val="21"/>
          <w:highlight w:val="none"/>
          <w:lang w:val="en-US"/>
        </w:rPr>
        <w:t>4.1.5</w:t>
      </w:r>
      <w:r>
        <w:rPr>
          <w:rFonts w:hint="eastAsia" w:ascii="宋体" w:hAnsi="宋体" w:eastAsia="宋体" w:cs="宋体"/>
          <w:color w:val="000000"/>
          <w:sz w:val="21"/>
          <w:szCs w:val="21"/>
          <w:highlight w:val="none"/>
        </w:rPr>
        <w:t>保证工程施工和人员的安全</w:t>
      </w:r>
      <w:bookmarkEnd w:id="574"/>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承包人应按第</w:t>
      </w:r>
      <w:r>
        <w:rPr>
          <w:rFonts w:hint="eastAsia" w:ascii="宋体" w:hAnsi="宋体" w:eastAsia="宋体" w:cs="宋体"/>
          <w:color w:val="000000"/>
          <w:sz w:val="21"/>
          <w:szCs w:val="21"/>
          <w:highlight w:val="none"/>
          <w:lang w:val="en-US"/>
        </w:rPr>
        <w:t>9.</w:t>
      </w:r>
      <w:r>
        <w:rPr>
          <w:rFonts w:hint="eastAsia" w:ascii="宋体" w:hAnsi="宋体" w:eastAsia="宋体" w:cs="宋体"/>
          <w:color w:val="000000"/>
          <w:sz w:val="21"/>
          <w:szCs w:val="21"/>
          <w:highlight w:val="none"/>
        </w:rPr>
        <w:t>2款约定采取施工安全措施，确保工程及其人员、材料、设备和设施的安全，防止因工程施工造成的人身伤害和财产损失。</w:t>
      </w:r>
    </w:p>
    <w:p>
      <w:pPr>
        <w:pStyle w:val="163"/>
        <w:pageBreakBefore w:val="0"/>
        <w:widowControl w:val="0"/>
        <w:tabs>
          <w:tab w:val="left" w:pos="759"/>
        </w:tabs>
        <w:kinsoku/>
        <w:wordWrap/>
        <w:overflowPunct/>
        <w:topLinePunct w:val="0"/>
        <w:autoSpaceDE/>
        <w:autoSpaceDN/>
        <w:bidi w:val="0"/>
        <w:adjustRightInd/>
        <w:snapToGrid/>
        <w:spacing w:after="60" w:line="400" w:lineRule="exact"/>
        <w:ind w:left="420" w:firstLine="0"/>
        <w:jc w:val="both"/>
        <w:textAlignment w:val="auto"/>
        <w:outlineLvl w:val="0"/>
        <w:rPr>
          <w:rFonts w:hint="eastAsia" w:ascii="宋体" w:hAnsi="宋体" w:eastAsia="宋体" w:cs="宋体"/>
          <w:color w:val="000000"/>
          <w:sz w:val="21"/>
          <w:szCs w:val="21"/>
          <w:highlight w:val="none"/>
        </w:rPr>
      </w:pPr>
      <w:bookmarkStart w:id="575" w:name="bookmark1003"/>
      <w:bookmarkEnd w:id="575"/>
      <w:bookmarkStart w:id="576" w:name="_Toc13429"/>
      <w:r>
        <w:rPr>
          <w:rFonts w:hint="eastAsia" w:ascii="宋体" w:hAnsi="宋体" w:eastAsia="宋体" w:cs="宋体"/>
          <w:color w:val="000000"/>
          <w:sz w:val="21"/>
          <w:szCs w:val="21"/>
          <w:highlight w:val="none"/>
          <w:lang w:val="en-US"/>
        </w:rPr>
        <w:t>4.1.6</w:t>
      </w:r>
      <w:r>
        <w:rPr>
          <w:rFonts w:hint="eastAsia" w:ascii="宋体" w:hAnsi="宋体" w:eastAsia="宋体" w:cs="宋体"/>
          <w:color w:val="000000"/>
          <w:sz w:val="21"/>
          <w:szCs w:val="21"/>
          <w:highlight w:val="none"/>
        </w:rPr>
        <w:t>负责施工场地及其周边环境与生态的保护工作</w:t>
      </w:r>
      <w:bookmarkEnd w:id="576"/>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承包人应按照第</w:t>
      </w:r>
      <w:r>
        <w:rPr>
          <w:rFonts w:hint="eastAsia" w:ascii="宋体" w:hAnsi="宋体" w:eastAsia="宋体" w:cs="宋体"/>
          <w:color w:val="000000"/>
          <w:sz w:val="21"/>
          <w:szCs w:val="21"/>
          <w:highlight w:val="none"/>
          <w:lang w:val="en-US"/>
        </w:rPr>
        <w:t>9.4</w:t>
      </w:r>
      <w:r>
        <w:rPr>
          <w:rFonts w:hint="eastAsia" w:ascii="宋体" w:hAnsi="宋体" w:eastAsia="宋体" w:cs="宋体"/>
          <w:color w:val="000000"/>
          <w:sz w:val="21"/>
          <w:szCs w:val="21"/>
          <w:highlight w:val="none"/>
        </w:rPr>
        <w:t>款约定负责施工场地及其周边环境与生态的保护工作。</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outlineLvl w:val="0"/>
        <w:rPr>
          <w:rFonts w:hint="eastAsia" w:ascii="宋体" w:hAnsi="宋体" w:eastAsia="宋体" w:cs="宋体"/>
          <w:color w:val="000000"/>
          <w:sz w:val="21"/>
          <w:szCs w:val="21"/>
          <w:highlight w:val="none"/>
        </w:rPr>
      </w:pPr>
      <w:bookmarkStart w:id="577" w:name="_Toc10536"/>
      <w:r>
        <w:rPr>
          <w:rFonts w:hint="eastAsia" w:ascii="宋体" w:hAnsi="宋体" w:eastAsia="宋体" w:cs="宋体"/>
          <w:color w:val="000000"/>
          <w:sz w:val="21"/>
          <w:szCs w:val="21"/>
          <w:highlight w:val="none"/>
          <w:lang w:val="en-US"/>
        </w:rPr>
        <w:t>4.1.</w:t>
      </w:r>
      <w:r>
        <w:rPr>
          <w:rFonts w:hint="eastAsia" w:ascii="宋体" w:hAnsi="宋体" w:eastAsia="宋体" w:cs="宋体"/>
          <w:color w:val="000000"/>
          <w:sz w:val="21"/>
          <w:szCs w:val="21"/>
          <w:highlight w:val="none"/>
        </w:rPr>
        <w:t>7避免施工对公众与他人的利益造成损害</w:t>
      </w:r>
      <w:bookmarkEnd w:id="577"/>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outlineLvl w:val="0"/>
        <w:rPr>
          <w:rFonts w:hint="eastAsia" w:ascii="宋体" w:hAnsi="宋体" w:eastAsia="宋体" w:cs="宋体"/>
          <w:color w:val="000000"/>
          <w:sz w:val="21"/>
          <w:szCs w:val="21"/>
          <w:highlight w:val="none"/>
        </w:rPr>
      </w:pPr>
      <w:bookmarkStart w:id="578" w:name="_Toc8477"/>
      <w:r>
        <w:rPr>
          <w:rFonts w:hint="eastAsia" w:ascii="宋体" w:hAnsi="宋体" w:eastAsia="宋体" w:cs="宋体"/>
          <w:color w:val="000000"/>
          <w:sz w:val="21"/>
          <w:szCs w:val="21"/>
          <w:highlight w:val="none"/>
          <w:lang w:val="en-US"/>
        </w:rPr>
        <w:t>4.1.8</w:t>
      </w:r>
      <w:r>
        <w:rPr>
          <w:rFonts w:hint="eastAsia" w:ascii="宋体" w:hAnsi="宋体" w:eastAsia="宋体" w:cs="宋体"/>
          <w:color w:val="000000"/>
          <w:sz w:val="21"/>
          <w:szCs w:val="21"/>
          <w:highlight w:val="none"/>
        </w:rPr>
        <w:t>为他人提供方便</w:t>
      </w:r>
      <w:bookmarkEnd w:id="578"/>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承包人应按监理人的指示为他人在施工场地或附近实施与工程有关的其他各项工作提供可能的条件。除合同另有约定外，提供有关条件的内容和可能发生的费用，由监理人按 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outlineLvl w:val="0"/>
        <w:rPr>
          <w:rFonts w:hint="eastAsia" w:ascii="宋体" w:hAnsi="宋体" w:eastAsia="宋体" w:cs="宋体"/>
          <w:color w:val="000000"/>
          <w:sz w:val="21"/>
          <w:szCs w:val="21"/>
          <w:highlight w:val="none"/>
        </w:rPr>
      </w:pPr>
      <w:bookmarkStart w:id="579" w:name="_Toc23749"/>
      <w:r>
        <w:rPr>
          <w:rFonts w:hint="eastAsia" w:ascii="宋体" w:hAnsi="宋体" w:eastAsia="宋体" w:cs="宋体"/>
          <w:color w:val="000000"/>
          <w:sz w:val="21"/>
          <w:szCs w:val="21"/>
          <w:highlight w:val="none"/>
          <w:lang w:val="en-US"/>
        </w:rPr>
        <w:t>4.1.9</w:t>
      </w:r>
      <w:r>
        <w:rPr>
          <w:rFonts w:hint="eastAsia" w:ascii="宋体" w:hAnsi="宋体" w:eastAsia="宋体" w:cs="宋体"/>
          <w:color w:val="000000"/>
          <w:sz w:val="21"/>
          <w:szCs w:val="21"/>
          <w:highlight w:val="none"/>
        </w:rPr>
        <w:t>工程的维护和照管</w:t>
      </w:r>
      <w:bookmarkEnd w:id="579"/>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164"/>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4.1.</w:t>
      </w:r>
      <w:r>
        <w:rPr>
          <w:rFonts w:hint="eastAsia" w:ascii="宋体" w:hAnsi="宋体" w:eastAsia="宋体" w:cs="宋体"/>
          <w:color w:val="000000"/>
          <w:sz w:val="21"/>
          <w:szCs w:val="21"/>
          <w:highlight w:val="none"/>
          <w:lang w:val="zh-CN" w:eastAsia="zh-CN"/>
        </w:rPr>
        <w:t>10其它义务</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其它义务在专用合同条款中补充约定。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80" w:name="_Toc3623"/>
      <w:bookmarkStart w:id="581" w:name="bookmark1005"/>
      <w:bookmarkStart w:id="582" w:name="_Toc29197"/>
      <w:bookmarkStart w:id="583" w:name="_Toc5616"/>
      <w:bookmarkStart w:id="584" w:name="bookmark1004"/>
      <w:bookmarkStart w:id="585" w:name="_Toc11535"/>
      <w:bookmarkStart w:id="586" w:name="bookmark1006"/>
      <w:r>
        <w:rPr>
          <w:rFonts w:hint="eastAsia" w:ascii="宋体" w:hAnsi="宋体" w:eastAsia="宋体" w:cs="宋体"/>
          <w:color w:val="000000"/>
          <w:sz w:val="21"/>
          <w:szCs w:val="21"/>
          <w:highlight w:val="none"/>
        </w:rPr>
        <w:t>4.2履约担保</w:t>
      </w:r>
      <w:bookmarkEnd w:id="580"/>
      <w:bookmarkEnd w:id="581"/>
      <w:bookmarkEnd w:id="582"/>
      <w:bookmarkEnd w:id="583"/>
      <w:bookmarkEnd w:id="584"/>
      <w:bookmarkEnd w:id="585"/>
      <w:bookmarkEnd w:id="586"/>
    </w:p>
    <w:p>
      <w:pPr>
        <w:pStyle w:val="163"/>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承包人应保证其履约担保在发包人颁发合同工程完工证书前一直有效。发包人应在合同工程完工证书颁发后28天内将履约担保退还给承包人。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87" w:name="_Toc24289"/>
      <w:bookmarkStart w:id="588" w:name="bookmark1007"/>
      <w:bookmarkStart w:id="589" w:name="bookmark1009"/>
      <w:bookmarkStart w:id="590" w:name="_Toc8224"/>
      <w:bookmarkStart w:id="591" w:name="bookmark1008"/>
      <w:bookmarkStart w:id="592" w:name="_Toc11635"/>
      <w:bookmarkStart w:id="593" w:name="_Toc31393"/>
      <w:r>
        <w:rPr>
          <w:rFonts w:hint="eastAsia" w:ascii="宋体" w:hAnsi="宋体" w:eastAsia="宋体" w:cs="宋体"/>
          <w:color w:val="000000"/>
          <w:sz w:val="21"/>
          <w:szCs w:val="21"/>
          <w:highlight w:val="none"/>
        </w:rPr>
        <w:t>4.3分包</w:t>
      </w:r>
      <w:bookmarkEnd w:id="587"/>
      <w:bookmarkEnd w:id="588"/>
      <w:bookmarkEnd w:id="589"/>
      <w:bookmarkEnd w:id="590"/>
      <w:bookmarkEnd w:id="591"/>
      <w:bookmarkEnd w:id="592"/>
      <w:bookmarkEnd w:id="593"/>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4.3.1</w:t>
      </w:r>
      <w:r>
        <w:rPr>
          <w:rFonts w:hint="eastAsia" w:ascii="宋体" w:hAnsi="宋体" w:eastAsia="宋体" w:cs="宋体"/>
          <w:color w:val="000000"/>
          <w:sz w:val="21"/>
          <w:szCs w:val="21"/>
          <w:highlight w:val="none"/>
        </w:rPr>
        <w:t>承包人不得将其承包的全部工程转包给第三人，或将其承包的全部工程肢解后以分包的名义转包给第三人。</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4.3.2</w:t>
      </w:r>
      <w:r>
        <w:rPr>
          <w:rFonts w:hint="eastAsia" w:ascii="宋体" w:hAnsi="宋体" w:eastAsia="宋体" w:cs="宋体"/>
          <w:color w:val="000000"/>
          <w:sz w:val="21"/>
          <w:szCs w:val="21"/>
          <w:highlight w:val="none"/>
        </w:rPr>
        <w:t>承包人不得将工程主体、关键性工作分包给第三人。除专用合同条款另有约定外，未经发包人同意，承包人不得将工程的其他部分或工作分包给第三人。</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w:t>
      </w:r>
      <w:r>
        <w:rPr>
          <w:rFonts w:hint="eastAsia" w:ascii="宋体" w:hAnsi="宋体" w:eastAsia="宋体" w:cs="宋体"/>
          <w:color w:val="000000"/>
          <w:sz w:val="21"/>
          <w:szCs w:val="21"/>
          <w:highlight w:val="none"/>
        </w:rPr>
        <w:t>3分包人的资格能力应与其分包工程的标准和规模相适应。</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4.3.4</w:t>
      </w:r>
      <w:r>
        <w:rPr>
          <w:rFonts w:hint="eastAsia" w:ascii="宋体" w:hAnsi="宋体" w:eastAsia="宋体" w:cs="宋体"/>
          <w:color w:val="000000"/>
          <w:sz w:val="21"/>
          <w:szCs w:val="21"/>
          <w:highlight w:val="none"/>
        </w:rPr>
        <w:t>按投标函附录约定分包工程的，承包人应向发包人和监理人提交分包合同 副本。</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4.3.5</w:t>
      </w:r>
      <w:r>
        <w:rPr>
          <w:rFonts w:hint="eastAsia" w:ascii="宋体" w:hAnsi="宋体" w:eastAsia="宋体" w:cs="宋体"/>
          <w:color w:val="000000"/>
          <w:sz w:val="21"/>
          <w:szCs w:val="21"/>
          <w:highlight w:val="none"/>
        </w:rPr>
        <w:t>承包人应与分包人就分包工程向发包人承担连带责任。</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4.3.6</w:t>
      </w:r>
      <w:r>
        <w:rPr>
          <w:rFonts w:hint="eastAsia" w:ascii="宋体" w:hAnsi="宋体" w:eastAsia="宋体" w:cs="宋体"/>
          <w:color w:val="000000"/>
          <w:sz w:val="21"/>
          <w:szCs w:val="21"/>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4.3.7</w:t>
      </w:r>
      <w:r>
        <w:rPr>
          <w:rFonts w:hint="eastAsia" w:ascii="宋体" w:hAnsi="宋体" w:eastAsia="宋体" w:cs="宋体"/>
          <w:color w:val="000000"/>
          <w:sz w:val="21"/>
          <w:szCs w:val="21"/>
          <w:highlight w:val="none"/>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4.3.8</w:t>
      </w:r>
      <w:r>
        <w:rPr>
          <w:rFonts w:hint="eastAsia" w:ascii="宋体" w:hAnsi="宋体" w:eastAsia="宋体" w:cs="宋体"/>
          <w:color w:val="000000"/>
          <w:sz w:val="21"/>
          <w:szCs w:val="21"/>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4.3.9</w:t>
      </w:r>
      <w:r>
        <w:rPr>
          <w:rFonts w:hint="eastAsia" w:ascii="宋体" w:hAnsi="宋体" w:eastAsia="宋体" w:cs="宋体"/>
          <w:color w:val="000000"/>
          <w:sz w:val="21"/>
          <w:szCs w:val="21"/>
          <w:highlight w:val="none"/>
        </w:rPr>
        <w:t>除第</w:t>
      </w:r>
      <w:r>
        <w:rPr>
          <w:rFonts w:hint="eastAsia" w:ascii="宋体" w:hAnsi="宋体" w:eastAsia="宋体" w:cs="宋体"/>
          <w:color w:val="000000"/>
          <w:sz w:val="21"/>
          <w:szCs w:val="21"/>
          <w:highlight w:val="none"/>
          <w:lang w:val="en-US"/>
        </w:rPr>
        <w:t>4.3.</w:t>
      </w:r>
      <w:r>
        <w:rPr>
          <w:rFonts w:hint="eastAsia" w:ascii="宋体" w:hAnsi="宋体" w:eastAsia="宋体" w:cs="宋体"/>
          <w:color w:val="000000"/>
          <w:sz w:val="21"/>
          <w:szCs w:val="21"/>
          <w:highlight w:val="none"/>
        </w:rPr>
        <w:t>7项规定的指定分包外，承包人对其分包项目的实施以及分包人的行为向发包人负全部责任。承包人应对分包项目的工程进度、质量、安全、计量和验收等实施监督和管理。</w:t>
      </w:r>
    </w:p>
    <w:p>
      <w:pPr>
        <w:pStyle w:val="163"/>
        <w:pageBreakBefore w:val="0"/>
        <w:widowControl w:val="0"/>
        <w:tabs>
          <w:tab w:val="left" w:pos="736"/>
        </w:tabs>
        <w:kinsoku/>
        <w:wordWrap/>
        <w:overflowPunct/>
        <w:topLinePunct w:val="0"/>
        <w:autoSpaceDE/>
        <w:autoSpaceDN/>
        <w:bidi w:val="0"/>
        <w:adjustRightInd/>
        <w:snapToGrid/>
        <w:spacing w:after="140" w:line="400" w:lineRule="exact"/>
        <w:ind w:left="420" w:firstLine="0"/>
        <w:jc w:val="both"/>
        <w:textAlignment w:val="auto"/>
        <w:rPr>
          <w:rFonts w:hint="eastAsia" w:ascii="宋体" w:hAnsi="宋体" w:eastAsia="宋体" w:cs="宋体"/>
          <w:color w:val="000000"/>
          <w:sz w:val="21"/>
          <w:szCs w:val="21"/>
          <w:highlight w:val="none"/>
        </w:rPr>
      </w:pPr>
      <w:bookmarkStart w:id="594" w:name="bookmark1010"/>
      <w:bookmarkEnd w:id="594"/>
      <w:r>
        <w:rPr>
          <w:rFonts w:hint="eastAsia" w:ascii="宋体" w:hAnsi="宋体" w:eastAsia="宋体" w:cs="宋体"/>
          <w:color w:val="000000"/>
          <w:sz w:val="21"/>
          <w:szCs w:val="21"/>
          <w:highlight w:val="none"/>
          <w:lang w:val="en-US"/>
        </w:rPr>
        <w:t>4.3.</w:t>
      </w:r>
      <w:r>
        <w:rPr>
          <w:rFonts w:hint="eastAsia" w:ascii="宋体" w:hAnsi="宋体" w:eastAsia="宋体" w:cs="宋体"/>
          <w:color w:val="000000"/>
          <w:sz w:val="21"/>
          <w:szCs w:val="21"/>
          <w:highlight w:val="none"/>
        </w:rPr>
        <w:t>10分包人应按专用合同条款的约定设立项目管理机构组织管理分包工程的施工活动。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95" w:name="bookmark1012"/>
      <w:bookmarkStart w:id="596" w:name="bookmark1011"/>
      <w:bookmarkStart w:id="597" w:name="_Toc15944"/>
      <w:bookmarkStart w:id="598" w:name="_Toc10613"/>
      <w:bookmarkStart w:id="599" w:name="_Toc1407"/>
      <w:bookmarkStart w:id="600" w:name="bookmark1013"/>
      <w:bookmarkStart w:id="601" w:name="_Toc27582"/>
      <w:r>
        <w:rPr>
          <w:rFonts w:hint="eastAsia" w:ascii="宋体" w:hAnsi="宋体" w:eastAsia="宋体" w:cs="宋体"/>
          <w:color w:val="000000"/>
          <w:sz w:val="21"/>
          <w:szCs w:val="21"/>
          <w:highlight w:val="none"/>
        </w:rPr>
        <w:t>4.4联合体</w:t>
      </w:r>
      <w:bookmarkEnd w:id="595"/>
      <w:bookmarkEnd w:id="596"/>
      <w:bookmarkEnd w:id="597"/>
      <w:bookmarkEnd w:id="598"/>
      <w:bookmarkEnd w:id="599"/>
      <w:bookmarkEnd w:id="600"/>
      <w:bookmarkEnd w:id="601"/>
    </w:p>
    <w:p>
      <w:pPr>
        <w:pStyle w:val="163"/>
        <w:pageBreakBefore w:val="0"/>
        <w:widowControl w:val="0"/>
        <w:numPr>
          <w:ilvl w:val="0"/>
          <w:numId w:val="0"/>
        </w:numPr>
        <w:tabs>
          <w:tab w:val="left" w:pos="738"/>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sz w:val="21"/>
          <w:szCs w:val="21"/>
          <w:highlight w:val="none"/>
        </w:rPr>
      </w:pPr>
      <w:bookmarkStart w:id="602" w:name="bookmark1014"/>
      <w:bookmarkEnd w:id="602"/>
      <w:r>
        <w:rPr>
          <w:rFonts w:hint="eastAsia" w:ascii="宋体" w:hAnsi="宋体" w:eastAsia="宋体" w:cs="宋体"/>
          <w:color w:val="000000"/>
          <w:sz w:val="21"/>
          <w:szCs w:val="21"/>
          <w:highlight w:val="none"/>
          <w:lang w:val="en-US" w:eastAsia="zh-CN"/>
        </w:rPr>
        <w:t>4.4.1</w:t>
      </w:r>
      <w:r>
        <w:rPr>
          <w:rFonts w:hint="eastAsia" w:ascii="宋体" w:hAnsi="宋体" w:eastAsia="宋体" w:cs="宋体"/>
          <w:color w:val="000000"/>
          <w:sz w:val="21"/>
          <w:szCs w:val="21"/>
          <w:highlight w:val="none"/>
        </w:rPr>
        <w:t>联合体各方应共同与发包人签订合同协议书。联合体各方应为履行合同承担连带责任。</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4.4.2</w:t>
      </w:r>
      <w:r>
        <w:rPr>
          <w:rFonts w:hint="eastAsia" w:ascii="宋体" w:hAnsi="宋体" w:eastAsia="宋体" w:cs="宋体"/>
          <w:color w:val="000000"/>
          <w:sz w:val="21"/>
          <w:szCs w:val="21"/>
          <w:highlight w:val="none"/>
        </w:rPr>
        <w:t>联合体协议经发包人确认后作为合同附件。在履行合同过程中，未经发包人同意，不得修改联合体协议。</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4.4.3</w:t>
      </w:r>
      <w:r>
        <w:rPr>
          <w:rFonts w:hint="eastAsia" w:ascii="宋体" w:hAnsi="宋体" w:eastAsia="宋体" w:cs="宋体"/>
          <w:color w:val="000000"/>
          <w:sz w:val="21"/>
          <w:szCs w:val="21"/>
          <w:highlight w:val="none"/>
        </w:rPr>
        <w:t>联合体牵头人负责与发包人和监理人联系，并接受指示，负责组织联合体各成员全面履行合同。</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03" w:name="_Toc27592"/>
      <w:bookmarkStart w:id="604" w:name="_Toc30735"/>
      <w:bookmarkStart w:id="605" w:name="bookmark1016"/>
      <w:bookmarkStart w:id="606" w:name="_Toc21574"/>
      <w:bookmarkStart w:id="607" w:name="_Toc27934"/>
      <w:bookmarkStart w:id="608" w:name="bookmark1017"/>
      <w:bookmarkStart w:id="609" w:name="bookmark1015"/>
      <w:r>
        <w:rPr>
          <w:rFonts w:hint="eastAsia" w:ascii="宋体" w:hAnsi="宋体" w:eastAsia="宋体" w:cs="宋体"/>
          <w:color w:val="000000"/>
          <w:sz w:val="21"/>
          <w:szCs w:val="21"/>
          <w:highlight w:val="none"/>
        </w:rPr>
        <w:t>4.5承包人项目经理</w:t>
      </w:r>
      <w:bookmarkEnd w:id="603"/>
      <w:bookmarkEnd w:id="604"/>
      <w:bookmarkEnd w:id="605"/>
      <w:bookmarkEnd w:id="606"/>
      <w:bookmarkEnd w:id="607"/>
      <w:bookmarkEnd w:id="608"/>
      <w:bookmarkEnd w:id="609"/>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4.5.1</w:t>
      </w:r>
      <w:r>
        <w:rPr>
          <w:rFonts w:hint="eastAsia" w:ascii="宋体" w:hAnsi="宋体" w:eastAsia="宋体" w:cs="宋体"/>
          <w:color w:val="000000"/>
          <w:sz w:val="21"/>
          <w:szCs w:val="21"/>
          <w:highlight w:val="none"/>
        </w:rPr>
        <w:t>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4.5.2</w:t>
      </w:r>
      <w:r>
        <w:rPr>
          <w:rFonts w:hint="eastAsia" w:ascii="宋体" w:hAnsi="宋体" w:eastAsia="宋体" w:cs="宋体"/>
          <w:color w:val="000000"/>
          <w:sz w:val="21"/>
          <w:szCs w:val="21"/>
          <w:highlight w:val="none"/>
        </w:rPr>
        <w:t>承包人项目经理应按合同约定以及监理人按第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4款作出的指示，负责组织合同工程的实施。在情况紧急且无法与监理人取得联系时，可采取保证工程和人员生命财产 安全的紧急措施，并在采取措施后24小时内向监理人提交书面报告。</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4.5.</w:t>
      </w:r>
      <w:r>
        <w:rPr>
          <w:rFonts w:hint="eastAsia" w:ascii="宋体" w:hAnsi="宋体" w:eastAsia="宋体" w:cs="宋体"/>
          <w:color w:val="000000"/>
          <w:sz w:val="21"/>
          <w:szCs w:val="21"/>
          <w:highlight w:val="none"/>
        </w:rPr>
        <w:t>3承包人为履行合同发出的一切函件均应盖有承包人授权的施工场地管理机构章，并由承包人项目经理或其授权代表签字。</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4.5.4</w:t>
      </w:r>
      <w:r>
        <w:rPr>
          <w:rFonts w:hint="eastAsia" w:ascii="宋体" w:hAnsi="宋体" w:eastAsia="宋体" w:cs="宋体"/>
          <w:color w:val="000000"/>
          <w:sz w:val="21"/>
          <w:szCs w:val="21"/>
          <w:highlight w:val="none"/>
        </w:rPr>
        <w:t>承包人项目经理可以授权其下属人员履行其某项职责，但事先应将这些人员的姓名和授权范围通知监理人。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10" w:name="bookmark1020"/>
      <w:bookmarkStart w:id="611" w:name="_Toc1095"/>
      <w:bookmarkStart w:id="612" w:name="bookmark1019"/>
      <w:bookmarkStart w:id="613" w:name="_Toc1587"/>
      <w:bookmarkStart w:id="614" w:name="_Toc15066"/>
      <w:bookmarkStart w:id="615" w:name="_Toc17150"/>
      <w:bookmarkStart w:id="616" w:name="bookmark1018"/>
      <w:r>
        <w:rPr>
          <w:rFonts w:hint="eastAsia" w:ascii="宋体" w:hAnsi="宋体" w:eastAsia="宋体" w:cs="宋体"/>
          <w:color w:val="000000"/>
          <w:sz w:val="21"/>
          <w:szCs w:val="21"/>
          <w:highlight w:val="none"/>
        </w:rPr>
        <w:t>4.6承包人人员的管理</w:t>
      </w:r>
      <w:bookmarkEnd w:id="610"/>
      <w:bookmarkEnd w:id="611"/>
      <w:bookmarkEnd w:id="612"/>
      <w:bookmarkEnd w:id="613"/>
      <w:bookmarkEnd w:id="614"/>
      <w:bookmarkEnd w:id="615"/>
      <w:bookmarkEnd w:id="616"/>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4.6.1</w:t>
      </w:r>
      <w:r>
        <w:rPr>
          <w:rFonts w:hint="eastAsia" w:ascii="宋体" w:hAnsi="宋体" w:eastAsia="宋体" w:cs="宋体"/>
          <w:color w:val="000000"/>
          <w:sz w:val="21"/>
          <w:szCs w:val="21"/>
          <w:highlight w:val="non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4.6.2</w:t>
      </w:r>
      <w:r>
        <w:rPr>
          <w:rFonts w:hint="eastAsia" w:ascii="宋体" w:hAnsi="宋体" w:eastAsia="宋体" w:cs="宋体"/>
          <w:color w:val="000000"/>
          <w:sz w:val="21"/>
          <w:szCs w:val="21"/>
          <w:highlight w:val="none"/>
        </w:rPr>
        <w:t>为完成合同约定的各项工作，承包人应向施工场地派遣或雇佣足够数量的下列 人员：</w:t>
      </w:r>
    </w:p>
    <w:p>
      <w:pPr>
        <w:pStyle w:val="163"/>
        <w:pageBreakBefore w:val="0"/>
        <w:widowControl w:val="0"/>
        <w:numPr>
          <w:ilvl w:val="0"/>
          <w:numId w:val="4"/>
        </w:numPr>
        <w:tabs>
          <w:tab w:val="left" w:pos="899"/>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617" w:name="bookmark1021"/>
      <w:bookmarkEnd w:id="617"/>
      <w:r>
        <w:rPr>
          <w:rFonts w:hint="eastAsia" w:ascii="宋体" w:hAnsi="宋体" w:eastAsia="宋体" w:cs="宋体"/>
          <w:color w:val="000000"/>
          <w:sz w:val="21"/>
          <w:szCs w:val="21"/>
          <w:highlight w:val="none"/>
        </w:rPr>
        <w:t>具有相应资格的专业技工和合格的普工；</w:t>
      </w:r>
    </w:p>
    <w:p>
      <w:pPr>
        <w:pStyle w:val="163"/>
        <w:pageBreakBefore w:val="0"/>
        <w:widowControl w:val="0"/>
        <w:numPr>
          <w:ilvl w:val="0"/>
          <w:numId w:val="4"/>
        </w:numPr>
        <w:tabs>
          <w:tab w:val="left" w:pos="899"/>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618" w:name="bookmark1022"/>
      <w:bookmarkEnd w:id="618"/>
      <w:r>
        <w:rPr>
          <w:rFonts w:hint="eastAsia" w:ascii="宋体" w:hAnsi="宋体" w:eastAsia="宋体" w:cs="宋体"/>
          <w:color w:val="000000"/>
          <w:sz w:val="21"/>
          <w:szCs w:val="21"/>
          <w:highlight w:val="none"/>
        </w:rPr>
        <w:t>具有相应施工经验的技术人员；</w:t>
      </w:r>
    </w:p>
    <w:p>
      <w:pPr>
        <w:pStyle w:val="163"/>
        <w:pageBreakBefore w:val="0"/>
        <w:widowControl w:val="0"/>
        <w:numPr>
          <w:ilvl w:val="0"/>
          <w:numId w:val="4"/>
        </w:numPr>
        <w:tabs>
          <w:tab w:val="left" w:pos="899"/>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619" w:name="bookmark1023"/>
      <w:bookmarkEnd w:id="619"/>
      <w:r>
        <w:rPr>
          <w:rFonts w:hint="eastAsia" w:ascii="宋体" w:hAnsi="宋体" w:eastAsia="宋体" w:cs="宋体"/>
          <w:color w:val="000000"/>
          <w:sz w:val="21"/>
          <w:szCs w:val="21"/>
          <w:highlight w:val="none"/>
        </w:rPr>
        <w:t>具有相应岗位资格的各级管理人员。</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4.6.3</w:t>
      </w:r>
      <w:r>
        <w:rPr>
          <w:rFonts w:hint="eastAsia" w:ascii="宋体" w:hAnsi="宋体" w:eastAsia="宋体" w:cs="宋体"/>
          <w:color w:val="000000"/>
          <w:sz w:val="21"/>
          <w:szCs w:val="21"/>
          <w:highlight w:val="none"/>
        </w:rPr>
        <w:t>承包人安排在施工场地的主要管理人员和技术骨干应相对稳定。承包人更换主要管理人员和技术骨干时，应取得监理人的同意。</w:t>
      </w:r>
    </w:p>
    <w:p>
      <w:pPr>
        <w:pStyle w:val="163"/>
        <w:pageBreakBefore w:val="0"/>
        <w:widowControl w:val="0"/>
        <w:kinsoku/>
        <w:wordWrap/>
        <w:overflowPunct/>
        <w:topLinePunct w:val="0"/>
        <w:autoSpaceDE/>
        <w:autoSpaceDN/>
        <w:bidi w:val="0"/>
        <w:adjustRightInd/>
        <w:snapToGrid/>
        <w:spacing w:after="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4.6.4</w:t>
      </w:r>
      <w:r>
        <w:rPr>
          <w:rFonts w:hint="eastAsia" w:ascii="宋体" w:hAnsi="宋体" w:eastAsia="宋体" w:cs="宋体"/>
          <w:color w:val="000000"/>
          <w:sz w:val="21"/>
          <w:szCs w:val="21"/>
          <w:highlight w:val="none"/>
        </w:rPr>
        <w:t>特殊岗位的工作人员均应持有相应的资格证明，监理人有权随时检查。监理人认为有必要时，可进行现场考核。</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20" w:name="_Toc31759"/>
      <w:bookmarkStart w:id="621" w:name="_Toc5725"/>
      <w:bookmarkStart w:id="622" w:name="_Toc24483"/>
      <w:bookmarkStart w:id="623" w:name="bookmark1025"/>
      <w:bookmarkStart w:id="624" w:name="bookmark1024"/>
      <w:bookmarkStart w:id="625" w:name="bookmark1026"/>
      <w:bookmarkStart w:id="626" w:name="_Toc24736"/>
      <w:r>
        <w:rPr>
          <w:rFonts w:hint="eastAsia" w:ascii="宋体" w:hAnsi="宋体" w:eastAsia="宋体" w:cs="宋体"/>
          <w:color w:val="000000"/>
          <w:sz w:val="21"/>
          <w:szCs w:val="21"/>
          <w:highlight w:val="none"/>
        </w:rPr>
        <w:t>4.7撤换承包人项目经理和其他人员</w:t>
      </w:r>
      <w:bookmarkEnd w:id="620"/>
      <w:bookmarkEnd w:id="621"/>
      <w:bookmarkEnd w:id="622"/>
      <w:bookmarkEnd w:id="623"/>
      <w:bookmarkEnd w:id="624"/>
      <w:bookmarkEnd w:id="625"/>
      <w:bookmarkEnd w:id="626"/>
    </w:p>
    <w:p>
      <w:pPr>
        <w:pStyle w:val="163"/>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承包人应对其项目经理和其他人员进行有效管理。监理人要求撤换不能胜任本职工作、 行为不端或玩忽职守的承包人项目经理和其他人员的，承包人应予以撤换。</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27" w:name="_Toc8874"/>
      <w:bookmarkStart w:id="628" w:name="_Toc1108"/>
      <w:bookmarkStart w:id="629" w:name="bookmark1029"/>
      <w:bookmarkStart w:id="630" w:name="_Toc12590"/>
      <w:bookmarkStart w:id="631" w:name="bookmark1027"/>
      <w:bookmarkStart w:id="632" w:name="_Toc19207"/>
      <w:bookmarkStart w:id="633" w:name="bookmark1028"/>
      <w:r>
        <w:rPr>
          <w:rFonts w:hint="eastAsia" w:ascii="宋体" w:hAnsi="宋体" w:eastAsia="宋体" w:cs="宋体"/>
          <w:color w:val="000000"/>
          <w:sz w:val="21"/>
          <w:szCs w:val="21"/>
          <w:highlight w:val="none"/>
        </w:rPr>
        <w:t>4.8保障承包人人员的合法权益</w:t>
      </w:r>
      <w:bookmarkEnd w:id="627"/>
      <w:bookmarkEnd w:id="628"/>
      <w:bookmarkEnd w:id="629"/>
      <w:bookmarkEnd w:id="630"/>
      <w:bookmarkEnd w:id="631"/>
      <w:bookmarkEnd w:id="632"/>
      <w:bookmarkEnd w:id="633"/>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w:t>
      </w:r>
      <w:r>
        <w:rPr>
          <w:rFonts w:hint="eastAsia" w:ascii="宋体" w:hAnsi="宋体" w:eastAsia="宋体" w:cs="宋体"/>
          <w:color w:val="000000"/>
          <w:sz w:val="21"/>
          <w:szCs w:val="21"/>
          <w:highlight w:val="none"/>
        </w:rPr>
        <w:t>1承包人应与其雇佣的人员签订劳动合同，并按时发放工资。</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w:t>
      </w:r>
      <w:r>
        <w:rPr>
          <w:rFonts w:hint="eastAsia" w:ascii="宋体" w:hAnsi="宋体" w:eastAsia="宋体" w:cs="宋体"/>
          <w:color w:val="000000"/>
          <w:sz w:val="21"/>
          <w:szCs w:val="21"/>
          <w:highlight w:val="none"/>
        </w:rPr>
        <w:t>2承包人应按劳动法的规定安排工作时间，保证其雇佣人员享有休息和休假的权利。因工程施工的特殊需要占用休假日或延长工作时间的，应不超过法律规定的限度，并按法律规定给予补休或付酬。</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4.8.3</w:t>
      </w:r>
      <w:r>
        <w:rPr>
          <w:rFonts w:hint="eastAsia" w:ascii="宋体" w:hAnsi="宋体" w:eastAsia="宋体" w:cs="宋体"/>
          <w:color w:val="000000"/>
          <w:sz w:val="21"/>
          <w:szCs w:val="21"/>
          <w:highlight w:val="none"/>
        </w:rPr>
        <w:t>承包人应为其雇佣人员提供必要的食宿条件，以及符合环境保护和卫生要求的生活环境，在远离城镇的施工场地，还应配备必要的伤病防治和急救的医务人员与医疗设施。</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4.8.4</w:t>
      </w:r>
      <w:r>
        <w:rPr>
          <w:rFonts w:hint="eastAsia" w:ascii="宋体" w:hAnsi="宋体" w:eastAsia="宋体" w:cs="宋体"/>
          <w:color w:val="000000"/>
          <w:sz w:val="21"/>
          <w:szCs w:val="21"/>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4.8.5</w:t>
      </w:r>
      <w:r>
        <w:rPr>
          <w:rFonts w:hint="eastAsia" w:ascii="宋体" w:hAnsi="宋体" w:eastAsia="宋体" w:cs="宋体"/>
          <w:color w:val="000000"/>
          <w:sz w:val="21"/>
          <w:szCs w:val="21"/>
          <w:highlight w:val="none"/>
        </w:rPr>
        <w:t>承包人应按有关法律规定和合同约定，为其雇佣人员办理保险。</w:t>
      </w:r>
    </w:p>
    <w:p>
      <w:pPr>
        <w:pStyle w:val="163"/>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4.8.6</w:t>
      </w:r>
      <w:r>
        <w:rPr>
          <w:rFonts w:hint="eastAsia" w:ascii="宋体" w:hAnsi="宋体" w:eastAsia="宋体" w:cs="宋体"/>
          <w:color w:val="000000"/>
          <w:sz w:val="21"/>
          <w:szCs w:val="21"/>
          <w:highlight w:val="none"/>
        </w:rPr>
        <w:t>承包人应负责处理其雇佣人员因工伤亡事故的善后事宜。</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34" w:name="_Toc24716"/>
      <w:bookmarkStart w:id="635" w:name="bookmark1032"/>
      <w:bookmarkStart w:id="636" w:name="_Toc7851"/>
      <w:bookmarkStart w:id="637" w:name="bookmark1031"/>
      <w:bookmarkStart w:id="638" w:name="_Toc16999"/>
      <w:bookmarkStart w:id="639" w:name="bookmark1030"/>
      <w:bookmarkStart w:id="640" w:name="_Toc16815"/>
      <w:r>
        <w:rPr>
          <w:rFonts w:hint="eastAsia" w:ascii="宋体" w:hAnsi="宋体" w:eastAsia="宋体" w:cs="宋体"/>
          <w:color w:val="000000"/>
          <w:sz w:val="21"/>
          <w:szCs w:val="21"/>
          <w:highlight w:val="none"/>
        </w:rPr>
        <w:t>4.9工程价款应专款专用</w:t>
      </w:r>
      <w:bookmarkEnd w:id="634"/>
      <w:bookmarkEnd w:id="635"/>
      <w:bookmarkEnd w:id="636"/>
      <w:bookmarkEnd w:id="637"/>
      <w:bookmarkEnd w:id="638"/>
      <w:bookmarkEnd w:id="639"/>
      <w:bookmarkEnd w:id="640"/>
    </w:p>
    <w:p>
      <w:pPr>
        <w:pStyle w:val="163"/>
        <w:pageBreakBefore w:val="0"/>
        <w:widowControl w:val="0"/>
        <w:kinsoku/>
        <w:wordWrap/>
        <w:overflowPunct/>
        <w:topLinePunct w:val="0"/>
        <w:autoSpaceDE/>
        <w:autoSpaceDN/>
        <w:bidi w:val="0"/>
        <w:adjustRightInd/>
        <w:snapToGrid/>
        <w:spacing w:after="16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发包人按合同约定支付给承包人的各项价款应专用于合同工程。</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41" w:name="_Toc1594"/>
      <w:bookmarkStart w:id="642" w:name="bookmark1034"/>
      <w:bookmarkStart w:id="643" w:name="bookmark1033"/>
      <w:bookmarkStart w:id="644" w:name="bookmark1035"/>
      <w:bookmarkStart w:id="645" w:name="_Toc21325"/>
      <w:bookmarkStart w:id="646" w:name="_Toc30630"/>
      <w:bookmarkStart w:id="647" w:name="_Toc31586"/>
      <w:r>
        <w:rPr>
          <w:rFonts w:hint="eastAsia" w:ascii="宋体" w:hAnsi="宋体" w:eastAsia="宋体" w:cs="宋体"/>
          <w:color w:val="000000"/>
          <w:sz w:val="21"/>
          <w:szCs w:val="21"/>
          <w:highlight w:val="none"/>
        </w:rPr>
        <w:t>4.10承包人现场查勘</w:t>
      </w:r>
      <w:bookmarkEnd w:id="641"/>
      <w:bookmarkEnd w:id="642"/>
      <w:bookmarkEnd w:id="643"/>
      <w:bookmarkEnd w:id="644"/>
      <w:bookmarkEnd w:id="645"/>
      <w:bookmarkEnd w:id="646"/>
      <w:bookmarkEnd w:id="647"/>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4.10.</w:t>
      </w:r>
      <w:r>
        <w:rPr>
          <w:rFonts w:hint="eastAsia" w:ascii="宋体" w:hAnsi="宋体" w:eastAsia="宋体" w:cs="宋体"/>
          <w:color w:val="000000"/>
          <w:sz w:val="21"/>
          <w:szCs w:val="21"/>
          <w:highlight w:val="none"/>
        </w:rPr>
        <w:t>1发包人应将其持有的现场地质勘探资料、水文气象资料提供给承包人，并对其准确性负责。但承包人应对其阅读上述有关资料后所作出的解释和推断负责。</w:t>
      </w:r>
    </w:p>
    <w:p>
      <w:pPr>
        <w:pStyle w:val="163"/>
        <w:pageBreakBefore w:val="0"/>
        <w:widowControl w:val="0"/>
        <w:kinsoku/>
        <w:wordWrap/>
        <w:overflowPunct/>
        <w:topLinePunct w:val="0"/>
        <w:autoSpaceDE/>
        <w:autoSpaceDN/>
        <w:bidi w:val="0"/>
        <w:adjustRightInd/>
        <w:snapToGrid/>
        <w:spacing w:after="240" w:line="400" w:lineRule="exact"/>
        <w:ind w:firstLine="420"/>
        <w:jc w:val="both"/>
        <w:textAlignment w:val="auto"/>
        <w:rPr>
          <w:rFonts w:hint="eastAsia" w:ascii="宋体" w:hAnsi="宋体" w:eastAsia="宋体" w:cs="宋体"/>
          <w:color w:val="000000"/>
          <w:sz w:val="21"/>
          <w:szCs w:val="21"/>
          <w:highlight w:val="none"/>
        </w:rPr>
      </w:pPr>
      <w:bookmarkStart w:id="648" w:name="bookmark1036"/>
      <w:bookmarkEnd w:id="648"/>
      <w:r>
        <w:rPr>
          <w:rFonts w:hint="eastAsia" w:ascii="宋体" w:hAnsi="宋体" w:eastAsia="宋体" w:cs="宋体"/>
          <w:color w:val="000000"/>
          <w:sz w:val="21"/>
          <w:szCs w:val="21"/>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49" w:name="_Toc30857"/>
      <w:bookmarkStart w:id="650" w:name="bookmark1037"/>
      <w:bookmarkStart w:id="651" w:name="_Toc2993"/>
      <w:bookmarkStart w:id="652" w:name="_Toc25376"/>
      <w:bookmarkStart w:id="653" w:name="bookmark1038"/>
      <w:bookmarkStart w:id="654" w:name="bookmark1039"/>
      <w:bookmarkStart w:id="655" w:name="_Toc12612"/>
      <w:r>
        <w:rPr>
          <w:rFonts w:hint="eastAsia" w:ascii="宋体" w:hAnsi="宋体" w:eastAsia="宋体" w:cs="宋体"/>
          <w:color w:val="000000"/>
          <w:sz w:val="21"/>
          <w:szCs w:val="21"/>
          <w:highlight w:val="none"/>
        </w:rPr>
        <w:t>4.11不利物质条件</w:t>
      </w:r>
      <w:bookmarkEnd w:id="649"/>
      <w:bookmarkEnd w:id="650"/>
      <w:bookmarkEnd w:id="651"/>
      <w:bookmarkEnd w:id="652"/>
      <w:bookmarkEnd w:id="653"/>
      <w:bookmarkEnd w:id="654"/>
      <w:bookmarkEnd w:id="655"/>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4.11.1</w:t>
      </w:r>
      <w:r>
        <w:rPr>
          <w:rFonts w:hint="eastAsia" w:ascii="宋体" w:hAnsi="宋体" w:eastAsia="宋体" w:cs="宋体"/>
          <w:color w:val="000000"/>
          <w:sz w:val="21"/>
          <w:szCs w:val="21"/>
          <w:highlight w:val="none"/>
        </w:rPr>
        <w:t>除专用合同条款另有约定外，不利的物质条件是指在施工中遭遇不可预见的外界障碍或自然条件造成施工受阻。</w:t>
      </w:r>
    </w:p>
    <w:p>
      <w:pPr>
        <w:pStyle w:val="163"/>
        <w:pageBreakBefore w:val="0"/>
        <w:widowControl w:val="0"/>
        <w:kinsoku/>
        <w:wordWrap/>
        <w:overflowPunct/>
        <w:topLinePunct w:val="0"/>
        <w:autoSpaceDE/>
        <w:autoSpaceDN/>
        <w:bidi w:val="0"/>
        <w:adjustRightInd/>
        <w:snapToGrid/>
        <w:spacing w:after="28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4.11.2</w:t>
      </w:r>
      <w:r>
        <w:rPr>
          <w:rFonts w:hint="eastAsia" w:ascii="宋体" w:hAnsi="宋体" w:eastAsia="宋体" w:cs="宋体"/>
          <w:color w:val="000000"/>
          <w:sz w:val="21"/>
          <w:szCs w:val="21"/>
          <w:highlight w:val="none"/>
        </w:rPr>
        <w:t>承包人遇到不利物质条件时，应采取适应不利物质条件的合理措施继续施工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并及时通知监理人。承包人应有权根据第</w:t>
      </w:r>
      <w:r>
        <w:rPr>
          <w:rFonts w:hint="eastAsia" w:ascii="宋体" w:hAnsi="宋体" w:eastAsia="宋体" w:cs="宋体"/>
          <w:color w:val="000000"/>
          <w:sz w:val="21"/>
          <w:szCs w:val="21"/>
          <w:highlight w:val="none"/>
          <w:lang w:val="en-US"/>
        </w:rPr>
        <w:t>23.1</w:t>
      </w:r>
      <w:r>
        <w:rPr>
          <w:rFonts w:hint="eastAsia" w:ascii="宋体" w:hAnsi="宋体" w:eastAsia="宋体" w:cs="宋体"/>
          <w:color w:val="000000"/>
          <w:sz w:val="21"/>
          <w:szCs w:val="21"/>
          <w:highlight w:val="none"/>
        </w:rPr>
        <w:t>款的约定，要求延长工期及增加费用。监理人收到此类要求后，应在分析上述外界障碍或自然条件是否不可预见及不可预见程度的基础上，按照通用合同条款第15条的约定办理。</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56" w:name="bookmark1042"/>
      <w:bookmarkEnd w:id="656"/>
      <w:bookmarkStart w:id="657" w:name="_Toc117"/>
      <w:bookmarkStart w:id="658" w:name="_Toc29591"/>
      <w:bookmarkStart w:id="659" w:name="bookmark1043"/>
      <w:bookmarkStart w:id="660" w:name="_Toc14561"/>
      <w:bookmarkStart w:id="661" w:name="_Toc25230"/>
      <w:bookmarkStart w:id="662" w:name="bookmark1040"/>
      <w:bookmarkStart w:id="663" w:name="bookmark1041"/>
      <w:r>
        <w:rPr>
          <w:rFonts w:hint="eastAsia" w:ascii="宋体" w:hAnsi="宋体" w:eastAsia="宋体" w:cs="宋体"/>
          <w:color w:val="000000"/>
          <w:sz w:val="21"/>
          <w:szCs w:val="21"/>
          <w:highlight w:val="none"/>
        </w:rPr>
        <w:t>5.材料和工程设备</w:t>
      </w:r>
      <w:bookmarkEnd w:id="657"/>
      <w:bookmarkEnd w:id="658"/>
      <w:bookmarkEnd w:id="659"/>
      <w:bookmarkEnd w:id="660"/>
      <w:bookmarkEnd w:id="661"/>
      <w:bookmarkEnd w:id="662"/>
      <w:bookmarkEnd w:id="663"/>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64" w:name="_Toc5421"/>
      <w:bookmarkStart w:id="665" w:name="bookmark1044"/>
      <w:bookmarkStart w:id="666" w:name="_Toc17306"/>
      <w:bookmarkStart w:id="667" w:name="bookmark1046"/>
      <w:bookmarkStart w:id="668" w:name="_Toc12527"/>
      <w:bookmarkStart w:id="669" w:name="bookmark1045"/>
      <w:bookmarkStart w:id="670" w:name="_Toc6289"/>
      <w:r>
        <w:rPr>
          <w:rFonts w:hint="eastAsia" w:ascii="宋体" w:hAnsi="宋体" w:eastAsia="宋体" w:cs="宋体"/>
          <w:color w:val="000000"/>
          <w:sz w:val="21"/>
          <w:szCs w:val="21"/>
          <w:highlight w:val="none"/>
        </w:rPr>
        <w:t>5.1承包人提供的材料和工程设备</w:t>
      </w:r>
      <w:bookmarkEnd w:id="664"/>
      <w:bookmarkEnd w:id="665"/>
      <w:bookmarkEnd w:id="666"/>
      <w:bookmarkEnd w:id="667"/>
      <w:bookmarkEnd w:id="668"/>
      <w:bookmarkEnd w:id="669"/>
      <w:bookmarkEnd w:id="670"/>
    </w:p>
    <w:p>
      <w:pPr>
        <w:pStyle w:val="163"/>
        <w:pageBreakBefore w:val="0"/>
        <w:widowControl w:val="0"/>
        <w:tabs>
          <w:tab w:val="left" w:pos="752"/>
        </w:tabs>
        <w:kinsoku/>
        <w:wordWrap/>
        <w:overflowPunct/>
        <w:topLinePunct w:val="0"/>
        <w:autoSpaceDE/>
        <w:autoSpaceDN/>
        <w:bidi w:val="0"/>
        <w:adjustRightInd/>
        <w:snapToGrid/>
        <w:spacing w:after="160" w:line="400" w:lineRule="exact"/>
        <w:ind w:left="0" w:leftChars="0" w:firstLine="420" w:firstLineChars="200"/>
        <w:jc w:val="both"/>
        <w:textAlignment w:val="auto"/>
        <w:outlineLvl w:val="0"/>
        <w:rPr>
          <w:rFonts w:hint="eastAsia" w:ascii="宋体" w:hAnsi="宋体" w:eastAsia="宋体" w:cs="宋体"/>
          <w:color w:val="000000"/>
          <w:sz w:val="21"/>
          <w:szCs w:val="21"/>
          <w:highlight w:val="none"/>
        </w:rPr>
      </w:pPr>
      <w:bookmarkStart w:id="671" w:name="bookmark1047"/>
      <w:bookmarkEnd w:id="671"/>
      <w:bookmarkStart w:id="672" w:name="_Toc15359"/>
      <w:bookmarkStart w:id="673" w:name="_Toc29430"/>
      <w:r>
        <w:rPr>
          <w:rFonts w:hint="eastAsia" w:ascii="宋体" w:hAnsi="宋体" w:eastAsia="宋体" w:cs="宋体"/>
          <w:color w:val="000000"/>
          <w:sz w:val="21"/>
          <w:szCs w:val="21"/>
          <w:highlight w:val="none"/>
          <w:lang w:val="en-US"/>
        </w:rPr>
        <w:t>5.1.</w:t>
      </w:r>
      <w:r>
        <w:rPr>
          <w:rFonts w:hint="eastAsia" w:ascii="宋体" w:hAnsi="宋体" w:eastAsia="宋体" w:cs="宋体"/>
          <w:color w:val="000000"/>
          <w:sz w:val="21"/>
          <w:szCs w:val="21"/>
          <w:highlight w:val="none"/>
        </w:rPr>
        <w:t>1除第</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rPr>
        <w:t>2款约定由发包人提供的材料和工程设备外，承包人负责采购、运输和</w:t>
      </w:r>
      <w:bookmarkEnd w:id="672"/>
      <w:bookmarkEnd w:id="673"/>
      <w:r>
        <w:rPr>
          <w:rFonts w:hint="eastAsia" w:ascii="宋体" w:hAnsi="宋体" w:eastAsia="宋体" w:cs="宋体"/>
          <w:color w:val="000000"/>
          <w:sz w:val="21"/>
          <w:szCs w:val="21"/>
          <w:highlight w:val="none"/>
        </w:rPr>
        <w:t xml:space="preserve"> </w:t>
      </w:r>
    </w:p>
    <w:p>
      <w:pPr>
        <w:pStyle w:val="163"/>
        <w:pageBreakBefore w:val="0"/>
        <w:widowControl w:val="0"/>
        <w:tabs>
          <w:tab w:val="left" w:pos="752"/>
        </w:tabs>
        <w:kinsoku/>
        <w:wordWrap/>
        <w:overflowPunct/>
        <w:topLinePunct w:val="0"/>
        <w:autoSpaceDE/>
        <w:autoSpaceDN/>
        <w:bidi w:val="0"/>
        <w:adjustRightInd/>
        <w:snapToGrid/>
        <w:spacing w:after="160" w:line="400" w:lineRule="exact"/>
        <w:ind w:left="0" w:leftChars="0" w:firstLine="0" w:firstLineChars="0"/>
        <w:jc w:val="both"/>
        <w:textAlignment w:val="auto"/>
        <w:outlineLvl w:val="0"/>
        <w:rPr>
          <w:rFonts w:hint="eastAsia" w:ascii="宋体" w:hAnsi="宋体" w:eastAsia="宋体" w:cs="宋体"/>
          <w:color w:val="000000"/>
          <w:sz w:val="21"/>
          <w:szCs w:val="21"/>
          <w:highlight w:val="none"/>
        </w:rPr>
      </w:pPr>
      <w:bookmarkStart w:id="674" w:name="_Toc8528"/>
      <w:bookmarkStart w:id="675" w:name="_Toc26097"/>
      <w:r>
        <w:rPr>
          <w:rFonts w:hint="eastAsia" w:ascii="宋体" w:hAnsi="宋体" w:eastAsia="宋体" w:cs="宋体"/>
          <w:color w:val="000000"/>
          <w:sz w:val="21"/>
          <w:szCs w:val="21"/>
          <w:highlight w:val="none"/>
        </w:rPr>
        <w:t>保管完成本合同工作所需的材料和工程设备。承包人应对其采购的材料和工程设备负责。</w:t>
      </w:r>
      <w:bookmarkEnd w:id="674"/>
      <w:bookmarkEnd w:id="675"/>
    </w:p>
    <w:p>
      <w:pPr>
        <w:pStyle w:val="163"/>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5.1.2</w:t>
      </w:r>
      <w:r>
        <w:rPr>
          <w:rFonts w:hint="eastAsia" w:ascii="宋体" w:hAnsi="宋体" w:eastAsia="宋体" w:cs="宋体"/>
          <w:color w:val="000000"/>
          <w:sz w:val="21"/>
          <w:szCs w:val="21"/>
          <w:highlight w:val="none"/>
        </w:rPr>
        <w:t>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5.1.3</w:t>
      </w:r>
      <w:r>
        <w:rPr>
          <w:rFonts w:hint="eastAsia" w:ascii="宋体" w:hAnsi="宋体" w:eastAsia="宋体" w:cs="宋体"/>
          <w:color w:val="000000"/>
          <w:sz w:val="21"/>
          <w:szCs w:val="21"/>
          <w:highlight w:val="none"/>
        </w:rPr>
        <w:t>对承包人提供的材料和工程设备，承包人应会同监理人进行检验和交货验收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查验材料合格证明和产品合格证书，并按合同约定和监理人指示，进行材料的抽样检验和工程设备的检验测试，检验和测试结果应提交监理人，所需费用由承包人承担。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76" w:name="_Toc17179"/>
      <w:bookmarkStart w:id="677" w:name="_Toc9201"/>
      <w:bookmarkStart w:id="678" w:name="_Toc18208"/>
      <w:bookmarkStart w:id="679" w:name="_Toc32074"/>
      <w:bookmarkStart w:id="680" w:name="bookmark1050"/>
      <w:bookmarkStart w:id="681" w:name="bookmark1049"/>
      <w:bookmarkStart w:id="682" w:name="bookmark1048"/>
      <w:r>
        <w:rPr>
          <w:rFonts w:hint="eastAsia" w:ascii="宋体" w:hAnsi="宋体" w:eastAsia="宋体" w:cs="宋体"/>
          <w:color w:val="000000"/>
          <w:sz w:val="21"/>
          <w:szCs w:val="21"/>
          <w:highlight w:val="none"/>
        </w:rPr>
        <w:t>5.2发包人提供的材料和工程设备</w:t>
      </w:r>
      <w:bookmarkEnd w:id="676"/>
      <w:bookmarkEnd w:id="677"/>
      <w:bookmarkEnd w:id="678"/>
      <w:bookmarkEnd w:id="679"/>
      <w:bookmarkEnd w:id="680"/>
      <w:bookmarkEnd w:id="681"/>
      <w:bookmarkEnd w:id="682"/>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683" w:name="bookmark1051"/>
      <w:bookmarkEnd w:id="683"/>
      <w:r>
        <w:rPr>
          <w:rFonts w:hint="eastAsia" w:ascii="宋体" w:hAnsi="宋体" w:eastAsia="宋体" w:cs="宋体"/>
          <w:color w:val="000000"/>
          <w:sz w:val="21"/>
          <w:szCs w:val="21"/>
          <w:highlight w:val="none"/>
        </w:rPr>
        <w:t>5.2.1发包人提供的材料和工程设备，应在专用合同条款中写明材料和工程设备的名称、规格、数量、价格、交货方式、交货地点和计划交货日期等。</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5. 2.2</w:t>
      </w:r>
      <w:r>
        <w:rPr>
          <w:rFonts w:hint="eastAsia" w:ascii="宋体" w:hAnsi="宋体" w:eastAsia="宋体" w:cs="宋体"/>
          <w:color w:val="000000"/>
          <w:sz w:val="21"/>
          <w:szCs w:val="21"/>
          <w:highlight w:val="none"/>
        </w:rPr>
        <w:t>承包人应根据合同进度计划的安排，向监理人报送要求发包人交货的日期计划。发包人应按照监理人与合同双方当事人商定的交货日期，向承包人提交材料和工程设备。</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5.2.3</w:t>
      </w:r>
      <w:r>
        <w:rPr>
          <w:rFonts w:hint="eastAsia" w:ascii="宋体" w:hAnsi="宋体" w:eastAsia="宋体" w:cs="宋体"/>
          <w:color w:val="000000"/>
          <w:sz w:val="21"/>
          <w:szCs w:val="21"/>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5.2.4</w:t>
      </w:r>
      <w:r>
        <w:rPr>
          <w:rFonts w:hint="eastAsia" w:ascii="宋体" w:hAnsi="宋体" w:eastAsia="宋体" w:cs="宋体"/>
          <w:color w:val="000000"/>
          <w:sz w:val="21"/>
          <w:szCs w:val="21"/>
          <w:highlight w:val="none"/>
        </w:rPr>
        <w:t>发包人要求向承包人提前交货的，承包人不得拒绝，但发包人应承担承包人由此增加的费用。</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5.2.5</w:t>
      </w:r>
      <w:r>
        <w:rPr>
          <w:rFonts w:hint="eastAsia" w:ascii="宋体" w:hAnsi="宋体" w:eastAsia="宋体" w:cs="宋体"/>
          <w:color w:val="000000"/>
          <w:sz w:val="21"/>
          <w:szCs w:val="21"/>
          <w:highlight w:val="none"/>
        </w:rPr>
        <w:t>承包人要求更改交货日期或地点的，应事先报请监理人批准。由于承包人要求更改交货时间或地点所增加的费用和（或）工期延误由承包人承担。</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5.2.6</w:t>
      </w:r>
      <w:r>
        <w:rPr>
          <w:rFonts w:hint="eastAsia" w:ascii="宋体" w:hAnsi="宋体" w:eastAsia="宋体" w:cs="宋体"/>
          <w:color w:val="000000"/>
          <w:sz w:val="21"/>
          <w:szCs w:val="21"/>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84" w:name="_Toc7353"/>
      <w:bookmarkStart w:id="685" w:name="bookmark1054"/>
      <w:bookmarkStart w:id="686" w:name="bookmark1052"/>
      <w:bookmarkStart w:id="687" w:name="_Toc17795"/>
      <w:bookmarkStart w:id="688" w:name="_Toc23190"/>
      <w:bookmarkStart w:id="689" w:name="_Toc10054"/>
      <w:bookmarkStart w:id="690" w:name="bookmark1053"/>
      <w:r>
        <w:rPr>
          <w:rFonts w:hint="eastAsia" w:ascii="宋体" w:hAnsi="宋体" w:eastAsia="宋体" w:cs="宋体"/>
          <w:color w:val="000000"/>
          <w:sz w:val="21"/>
          <w:szCs w:val="21"/>
          <w:highlight w:val="none"/>
        </w:rPr>
        <w:t>5.3材料和工程设备专用于合同工程</w:t>
      </w:r>
      <w:bookmarkEnd w:id="684"/>
      <w:bookmarkEnd w:id="685"/>
      <w:bookmarkEnd w:id="686"/>
      <w:bookmarkEnd w:id="687"/>
      <w:bookmarkEnd w:id="688"/>
      <w:bookmarkEnd w:id="689"/>
      <w:bookmarkEnd w:id="690"/>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5.3.1</w:t>
      </w:r>
      <w:r>
        <w:rPr>
          <w:rFonts w:hint="eastAsia" w:ascii="宋体" w:hAnsi="宋体" w:eastAsia="宋体" w:cs="宋体"/>
          <w:color w:val="000000"/>
          <w:sz w:val="21"/>
          <w:szCs w:val="21"/>
          <w:highlight w:val="none"/>
        </w:rPr>
        <w:t>运入施工场地的材料、工程设备，包括备品备件、安装专用工器具与随机资料，必须专用于合同工程，未经监理人同意，承包人不得运出施工场地或挪作他用。</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5.3.2</w:t>
      </w:r>
      <w:r>
        <w:rPr>
          <w:rFonts w:hint="eastAsia" w:ascii="宋体" w:hAnsi="宋体" w:eastAsia="宋体" w:cs="宋体"/>
          <w:color w:val="000000"/>
          <w:sz w:val="21"/>
          <w:szCs w:val="21"/>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91" w:name="bookmark1056"/>
      <w:bookmarkStart w:id="692" w:name="_Toc2693"/>
      <w:bookmarkStart w:id="693" w:name="bookmark1055"/>
      <w:bookmarkStart w:id="694" w:name="_Toc30864"/>
      <w:bookmarkStart w:id="695" w:name="_Toc5446"/>
      <w:bookmarkStart w:id="696" w:name="_Toc11950"/>
      <w:bookmarkStart w:id="697" w:name="bookmark1057"/>
      <w:r>
        <w:rPr>
          <w:rFonts w:hint="eastAsia" w:ascii="宋体" w:hAnsi="宋体" w:eastAsia="宋体" w:cs="宋体"/>
          <w:color w:val="000000"/>
          <w:sz w:val="21"/>
          <w:szCs w:val="21"/>
          <w:highlight w:val="none"/>
        </w:rPr>
        <w:t>5.4禁止使用不合格的材料和工程设备</w:t>
      </w:r>
      <w:bookmarkEnd w:id="691"/>
      <w:bookmarkEnd w:id="692"/>
      <w:bookmarkEnd w:id="693"/>
      <w:bookmarkEnd w:id="694"/>
      <w:bookmarkEnd w:id="695"/>
      <w:bookmarkEnd w:id="696"/>
      <w:bookmarkEnd w:id="697"/>
    </w:p>
    <w:p>
      <w:pPr>
        <w:pStyle w:val="163"/>
        <w:pageBreakBefore w:val="0"/>
        <w:widowControl w:val="0"/>
        <w:kinsoku/>
        <w:wordWrap/>
        <w:overflowPunct/>
        <w:topLinePunct w:val="0"/>
        <w:autoSpaceDE/>
        <w:autoSpaceDN/>
        <w:bidi w:val="0"/>
        <w:adjustRightInd/>
        <w:snapToGrid/>
        <w:spacing w:after="80" w:line="400" w:lineRule="exact"/>
        <w:ind w:firstLine="420"/>
        <w:jc w:val="both"/>
        <w:textAlignment w:val="auto"/>
        <w:rPr>
          <w:rFonts w:hint="eastAsia" w:ascii="宋体" w:hAnsi="宋体" w:eastAsia="宋体" w:cs="宋体"/>
          <w:color w:val="000000"/>
          <w:sz w:val="21"/>
          <w:szCs w:val="21"/>
          <w:highlight w:val="none"/>
        </w:rPr>
      </w:pPr>
      <w:bookmarkStart w:id="698" w:name="bookmark1058"/>
      <w:bookmarkEnd w:id="698"/>
      <w:r>
        <w:rPr>
          <w:rFonts w:hint="eastAsia" w:ascii="宋体" w:hAnsi="宋体" w:eastAsia="宋体" w:cs="宋体"/>
          <w:color w:val="000000"/>
          <w:sz w:val="21"/>
          <w:szCs w:val="21"/>
          <w:highlight w:val="none"/>
        </w:rPr>
        <w:t>5.4.1监理人有权拒绝承包人提供的不合格材料或工程设备，并要求承包人立即进行更换。监理人应在更换后再次进行检查和检验，由此增加的费用和（或）工期延误由承包人承担。</w:t>
      </w:r>
    </w:p>
    <w:p>
      <w:pPr>
        <w:pStyle w:val="163"/>
        <w:pageBreakBefore w:val="0"/>
        <w:widowControl w:val="0"/>
        <w:kinsoku/>
        <w:wordWrap/>
        <w:overflowPunct/>
        <w:topLinePunct w:val="0"/>
        <w:autoSpaceDE/>
        <w:autoSpaceDN/>
        <w:bidi w:val="0"/>
        <w:adjustRightInd/>
        <w:snapToGrid/>
        <w:spacing w:after="80" w:line="400" w:lineRule="exact"/>
        <w:ind w:firstLine="420"/>
        <w:jc w:val="both"/>
        <w:textAlignment w:val="auto"/>
        <w:rPr>
          <w:rFonts w:hint="eastAsia" w:ascii="宋体" w:hAnsi="宋体" w:eastAsia="宋体" w:cs="宋体"/>
          <w:color w:val="000000"/>
          <w:sz w:val="21"/>
          <w:szCs w:val="21"/>
          <w:highlight w:val="none"/>
        </w:rPr>
      </w:pPr>
      <w:bookmarkStart w:id="699" w:name="bookmark1059"/>
      <w:bookmarkEnd w:id="699"/>
      <w:r>
        <w:rPr>
          <w:rFonts w:hint="eastAsia" w:ascii="宋体" w:hAnsi="宋体" w:eastAsia="宋体" w:cs="宋体"/>
          <w:color w:val="000000"/>
          <w:sz w:val="21"/>
          <w:szCs w:val="21"/>
          <w:highlight w:val="none"/>
        </w:rPr>
        <w:t>5.4.2监理人发现承包人使用了不合格的材料和工程设备，应即时发出指示要求承包人立即改正，并禁止在工程中继续使用不合格的材料和工程设备。</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5.4.3</w:t>
      </w:r>
      <w:r>
        <w:rPr>
          <w:rFonts w:hint="eastAsia" w:ascii="宋体" w:hAnsi="宋体" w:eastAsia="宋体" w:cs="宋体"/>
          <w:color w:val="000000"/>
          <w:sz w:val="21"/>
          <w:szCs w:val="21"/>
          <w:highlight w:val="none"/>
        </w:rPr>
        <w:t>发包人提供的材料或工程设备不符合合同要求的，承包人有权拒绝，并可要求发包人更换，由此增加的费用和（或）工期延误由发包人承担。</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00" w:name="bookmark1062"/>
      <w:bookmarkEnd w:id="700"/>
      <w:bookmarkStart w:id="701" w:name="_Toc11362"/>
      <w:bookmarkStart w:id="702" w:name="bookmark1060"/>
      <w:bookmarkStart w:id="703" w:name="_Toc26320"/>
      <w:bookmarkStart w:id="704" w:name="_Toc21496"/>
      <w:bookmarkStart w:id="705" w:name="bookmark1063"/>
      <w:bookmarkStart w:id="706" w:name="_Toc20104"/>
      <w:bookmarkStart w:id="707" w:name="bookmark1061"/>
      <w:r>
        <w:rPr>
          <w:rFonts w:hint="eastAsia" w:ascii="宋体" w:hAnsi="宋体" w:eastAsia="宋体" w:cs="宋体"/>
          <w:color w:val="000000"/>
          <w:sz w:val="21"/>
          <w:szCs w:val="21"/>
          <w:highlight w:val="none"/>
        </w:rPr>
        <w:t>6.施工设备和临时设施</w:t>
      </w:r>
      <w:bookmarkEnd w:id="701"/>
      <w:bookmarkEnd w:id="702"/>
      <w:bookmarkEnd w:id="703"/>
      <w:bookmarkEnd w:id="704"/>
      <w:bookmarkEnd w:id="705"/>
      <w:bookmarkEnd w:id="706"/>
      <w:bookmarkEnd w:id="707"/>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08" w:name="bookmark1065"/>
      <w:bookmarkStart w:id="709" w:name="_Toc21785"/>
      <w:bookmarkStart w:id="710" w:name="bookmark1064"/>
      <w:bookmarkStart w:id="711" w:name="_Toc22126"/>
      <w:bookmarkStart w:id="712" w:name="bookmark1066"/>
      <w:bookmarkStart w:id="713" w:name="_Toc3667"/>
      <w:bookmarkStart w:id="714" w:name="_Toc9863"/>
      <w:r>
        <w:rPr>
          <w:rFonts w:hint="eastAsia" w:ascii="宋体" w:hAnsi="宋体" w:eastAsia="宋体" w:cs="宋体"/>
          <w:color w:val="000000"/>
          <w:sz w:val="21"/>
          <w:szCs w:val="21"/>
          <w:highlight w:val="none"/>
        </w:rPr>
        <w:t>6.1承包人提供的施工设备和临时设施</w:t>
      </w:r>
      <w:bookmarkEnd w:id="708"/>
      <w:bookmarkEnd w:id="709"/>
      <w:bookmarkEnd w:id="710"/>
      <w:bookmarkEnd w:id="711"/>
      <w:bookmarkEnd w:id="712"/>
      <w:bookmarkEnd w:id="713"/>
      <w:bookmarkEnd w:id="714"/>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6.1.1</w:t>
      </w:r>
      <w:r>
        <w:rPr>
          <w:rFonts w:hint="eastAsia" w:ascii="宋体" w:hAnsi="宋体" w:eastAsia="宋体" w:cs="宋体"/>
          <w:color w:val="000000"/>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6.1.2</w:t>
      </w:r>
      <w:r>
        <w:rPr>
          <w:rFonts w:hint="eastAsia" w:ascii="宋体" w:hAnsi="宋体" w:eastAsia="宋体" w:cs="宋体"/>
          <w:color w:val="000000"/>
          <w:sz w:val="21"/>
          <w:szCs w:val="21"/>
          <w:highlight w:val="none"/>
        </w:rPr>
        <w:t>除专用合同条款另有约定外，承包人应自行承担修建临时设施的费用，需要临时占地的，应由发包人办理申请手续并承担相应费用。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15" w:name="_Toc4627"/>
      <w:bookmarkStart w:id="716" w:name="bookmark1068"/>
      <w:bookmarkStart w:id="717" w:name="_Toc31030"/>
      <w:bookmarkStart w:id="718" w:name="_Toc25634"/>
      <w:bookmarkStart w:id="719" w:name="_Toc15311"/>
      <w:bookmarkStart w:id="720" w:name="bookmark1069"/>
      <w:bookmarkStart w:id="721" w:name="bookmark1067"/>
      <w:r>
        <w:rPr>
          <w:rFonts w:hint="eastAsia" w:ascii="宋体" w:hAnsi="宋体" w:eastAsia="宋体" w:cs="宋体"/>
          <w:color w:val="000000"/>
          <w:sz w:val="21"/>
          <w:szCs w:val="21"/>
          <w:highlight w:val="none"/>
        </w:rPr>
        <w:t>6.2发包人提供的施工设备和临时设施</w:t>
      </w:r>
      <w:bookmarkEnd w:id="715"/>
      <w:bookmarkEnd w:id="716"/>
      <w:bookmarkEnd w:id="717"/>
      <w:bookmarkEnd w:id="718"/>
      <w:bookmarkEnd w:id="719"/>
      <w:bookmarkEnd w:id="720"/>
      <w:bookmarkEnd w:id="721"/>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发包人提供的施工设备或临时设施在专用合同条款中约定。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22" w:name="bookmark1070"/>
      <w:bookmarkStart w:id="723" w:name="bookmark1072"/>
      <w:bookmarkStart w:id="724" w:name="_Toc30722"/>
      <w:bookmarkStart w:id="725" w:name="_Toc27989"/>
      <w:bookmarkStart w:id="726" w:name="_Toc3978"/>
      <w:bookmarkStart w:id="727" w:name="_Toc14266"/>
      <w:bookmarkStart w:id="728" w:name="bookmark1071"/>
      <w:r>
        <w:rPr>
          <w:rFonts w:hint="eastAsia" w:ascii="宋体" w:hAnsi="宋体" w:eastAsia="宋体" w:cs="宋体"/>
          <w:color w:val="000000"/>
          <w:sz w:val="21"/>
          <w:szCs w:val="21"/>
          <w:highlight w:val="none"/>
        </w:rPr>
        <w:t>6.3要求承包人增加或更换施工设备</w:t>
      </w:r>
      <w:bookmarkEnd w:id="722"/>
      <w:bookmarkEnd w:id="723"/>
      <w:bookmarkEnd w:id="724"/>
      <w:bookmarkEnd w:id="725"/>
      <w:bookmarkEnd w:id="726"/>
      <w:bookmarkEnd w:id="727"/>
      <w:bookmarkEnd w:id="728"/>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29" w:name="_Toc4406"/>
      <w:bookmarkStart w:id="730" w:name="bookmark1074"/>
      <w:bookmarkStart w:id="731" w:name="_Toc21826"/>
      <w:bookmarkStart w:id="732" w:name="bookmark1073"/>
      <w:bookmarkStart w:id="733" w:name="_Toc27442"/>
      <w:bookmarkStart w:id="734" w:name="bookmark1075"/>
      <w:bookmarkStart w:id="735" w:name="_Toc9106"/>
      <w:r>
        <w:rPr>
          <w:rFonts w:hint="eastAsia" w:ascii="宋体" w:hAnsi="宋体" w:eastAsia="宋体" w:cs="宋体"/>
          <w:color w:val="000000"/>
          <w:sz w:val="21"/>
          <w:szCs w:val="21"/>
          <w:highlight w:val="none"/>
        </w:rPr>
        <w:t>6.4施工设备和临时设施专用于合同工程</w:t>
      </w:r>
      <w:bookmarkEnd w:id="729"/>
      <w:bookmarkEnd w:id="730"/>
      <w:bookmarkEnd w:id="731"/>
      <w:bookmarkEnd w:id="732"/>
      <w:bookmarkEnd w:id="733"/>
      <w:bookmarkEnd w:id="734"/>
      <w:bookmarkEnd w:id="735"/>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bookmarkStart w:id="736" w:name="bookmark1076"/>
      <w:bookmarkEnd w:id="736"/>
      <w:r>
        <w:rPr>
          <w:rFonts w:hint="eastAsia" w:ascii="宋体" w:hAnsi="宋体" w:eastAsia="宋体" w:cs="宋体"/>
          <w:color w:val="000000"/>
          <w:sz w:val="21"/>
          <w:szCs w:val="21"/>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pStyle w:val="163"/>
        <w:pageBreakBefore w:val="0"/>
        <w:widowControl w:val="0"/>
        <w:tabs>
          <w:tab w:val="left" w:pos="754"/>
        </w:tabs>
        <w:kinsoku/>
        <w:wordWrap/>
        <w:overflowPunct/>
        <w:topLinePunct w:val="0"/>
        <w:autoSpaceDE/>
        <w:autoSpaceDN/>
        <w:bidi w:val="0"/>
        <w:adjustRightInd/>
        <w:snapToGrid/>
        <w:spacing w:after="300" w:line="400" w:lineRule="exact"/>
        <w:ind w:left="420" w:firstLine="0"/>
        <w:textAlignment w:val="auto"/>
        <w:rPr>
          <w:rFonts w:hint="eastAsia" w:ascii="宋体" w:hAnsi="宋体" w:eastAsia="宋体" w:cs="宋体"/>
          <w:color w:val="000000"/>
          <w:sz w:val="21"/>
          <w:szCs w:val="21"/>
          <w:highlight w:val="none"/>
        </w:rPr>
      </w:pPr>
      <w:bookmarkStart w:id="737" w:name="bookmark1077"/>
      <w:bookmarkEnd w:id="737"/>
      <w:r>
        <w:rPr>
          <w:rFonts w:hint="eastAsia" w:ascii="宋体" w:hAnsi="宋体" w:eastAsia="宋体" w:cs="宋体"/>
          <w:color w:val="000000"/>
          <w:sz w:val="21"/>
          <w:szCs w:val="21"/>
          <w:highlight w:val="none"/>
          <w:lang w:val="en-US"/>
        </w:rPr>
        <w:t>6.4.2</w:t>
      </w:r>
      <w:r>
        <w:rPr>
          <w:rFonts w:hint="eastAsia" w:ascii="宋体" w:hAnsi="宋体" w:eastAsia="宋体" w:cs="宋体"/>
          <w:color w:val="000000"/>
          <w:sz w:val="21"/>
          <w:szCs w:val="21"/>
          <w:highlight w:val="none"/>
        </w:rPr>
        <w:t>经监理人同意，承包人可根据合同进度计划撤走闲置的施工设备。</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38" w:name="bookmark1080"/>
      <w:bookmarkEnd w:id="738"/>
      <w:bookmarkStart w:id="739" w:name="_Toc3935"/>
      <w:bookmarkStart w:id="740" w:name="bookmark1081"/>
      <w:bookmarkStart w:id="741" w:name="bookmark1079"/>
      <w:bookmarkStart w:id="742" w:name="_Toc13833"/>
      <w:bookmarkStart w:id="743" w:name="_Toc6203"/>
      <w:bookmarkStart w:id="744" w:name="bookmark1078"/>
      <w:bookmarkStart w:id="745" w:name="_Toc6383"/>
      <w:r>
        <w:rPr>
          <w:rFonts w:hint="eastAsia" w:ascii="宋体" w:hAnsi="宋体" w:eastAsia="宋体" w:cs="宋体"/>
          <w:color w:val="000000"/>
          <w:sz w:val="21"/>
          <w:szCs w:val="21"/>
          <w:highlight w:val="none"/>
        </w:rPr>
        <w:t>7.交通运输</w:t>
      </w:r>
      <w:bookmarkEnd w:id="739"/>
      <w:bookmarkEnd w:id="740"/>
      <w:bookmarkEnd w:id="741"/>
      <w:bookmarkEnd w:id="742"/>
      <w:bookmarkEnd w:id="743"/>
      <w:bookmarkEnd w:id="744"/>
      <w:bookmarkEnd w:id="745"/>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46" w:name="_Toc22987"/>
      <w:bookmarkStart w:id="747" w:name="_Toc5023"/>
      <w:bookmarkStart w:id="748" w:name="_Toc22266"/>
      <w:bookmarkStart w:id="749" w:name="bookmark1083"/>
      <w:bookmarkStart w:id="750" w:name="bookmark1084"/>
      <w:bookmarkStart w:id="751" w:name="_Toc22527"/>
      <w:bookmarkStart w:id="752" w:name="bookmark1082"/>
      <w:r>
        <w:rPr>
          <w:rFonts w:hint="eastAsia" w:ascii="宋体" w:hAnsi="宋体" w:eastAsia="宋体" w:cs="宋体"/>
          <w:color w:val="000000"/>
          <w:sz w:val="21"/>
          <w:szCs w:val="21"/>
          <w:highlight w:val="none"/>
        </w:rPr>
        <w:t>7.1道路通行权和场外设施</w:t>
      </w:r>
      <w:bookmarkEnd w:id="746"/>
      <w:bookmarkEnd w:id="747"/>
      <w:bookmarkEnd w:id="748"/>
      <w:bookmarkEnd w:id="749"/>
      <w:bookmarkEnd w:id="750"/>
      <w:bookmarkEnd w:id="751"/>
      <w:bookmarkEnd w:id="752"/>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53" w:name="bookmark1085"/>
      <w:bookmarkStart w:id="754" w:name="_Toc25981"/>
      <w:bookmarkStart w:id="755" w:name="_Toc19760"/>
      <w:bookmarkStart w:id="756" w:name="bookmark1087"/>
      <w:bookmarkStart w:id="757" w:name="_Toc10240"/>
      <w:bookmarkStart w:id="758" w:name="bookmark1086"/>
      <w:bookmarkStart w:id="759" w:name="_Toc5720"/>
      <w:r>
        <w:rPr>
          <w:rFonts w:hint="eastAsia" w:ascii="宋体" w:hAnsi="宋体" w:eastAsia="宋体" w:cs="宋体"/>
          <w:color w:val="000000"/>
          <w:sz w:val="21"/>
          <w:szCs w:val="21"/>
          <w:highlight w:val="none"/>
        </w:rPr>
        <w:t>7.2场内施工道路</w:t>
      </w:r>
      <w:bookmarkEnd w:id="753"/>
      <w:bookmarkEnd w:id="754"/>
      <w:bookmarkEnd w:id="755"/>
      <w:bookmarkEnd w:id="756"/>
      <w:bookmarkEnd w:id="757"/>
      <w:bookmarkEnd w:id="758"/>
      <w:bookmarkEnd w:id="759"/>
    </w:p>
    <w:p>
      <w:pPr>
        <w:pStyle w:val="163"/>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7.2.1</w:t>
      </w:r>
      <w:r>
        <w:rPr>
          <w:rFonts w:hint="eastAsia" w:ascii="宋体" w:hAnsi="宋体" w:eastAsia="宋体" w:cs="宋体"/>
          <w:color w:val="000000"/>
          <w:sz w:val="21"/>
          <w:szCs w:val="21"/>
          <w:highlight w:val="none"/>
        </w:rPr>
        <w:t>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pPr>
        <w:pStyle w:val="163"/>
        <w:pageBreakBefore w:val="0"/>
        <w:widowControl w:val="0"/>
        <w:kinsoku/>
        <w:wordWrap/>
        <w:overflowPunct/>
        <w:topLinePunct w:val="0"/>
        <w:autoSpaceDE/>
        <w:autoSpaceDN/>
        <w:bidi w:val="0"/>
        <w:adjustRightInd/>
        <w:snapToGrid/>
        <w:spacing w:after="140"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7.2.2</w:t>
      </w:r>
      <w:r>
        <w:rPr>
          <w:rFonts w:hint="eastAsia" w:ascii="宋体" w:hAnsi="宋体" w:eastAsia="宋体" w:cs="宋体"/>
          <w:color w:val="000000"/>
          <w:sz w:val="21"/>
          <w:szCs w:val="21"/>
          <w:highlight w:val="none"/>
        </w:rPr>
        <w:t>承包人修建的临时道路和交通设施，应免费提供发包人、监理人，以及与本合 同有关的其他承包人使用。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60" w:name="bookmark1090"/>
      <w:bookmarkStart w:id="761" w:name="bookmark1089"/>
      <w:bookmarkStart w:id="762" w:name="_Toc19711"/>
      <w:bookmarkStart w:id="763" w:name="_Toc1077"/>
      <w:bookmarkStart w:id="764" w:name="_Toc27756"/>
      <w:bookmarkStart w:id="765" w:name="_Toc12462"/>
      <w:bookmarkStart w:id="766" w:name="bookmark1088"/>
      <w:r>
        <w:rPr>
          <w:rFonts w:hint="eastAsia" w:ascii="宋体" w:hAnsi="宋体" w:eastAsia="宋体" w:cs="宋体"/>
          <w:color w:val="000000"/>
          <w:sz w:val="21"/>
          <w:szCs w:val="21"/>
          <w:highlight w:val="none"/>
        </w:rPr>
        <w:t>7.3场外交通</w:t>
      </w:r>
      <w:bookmarkEnd w:id="760"/>
      <w:bookmarkEnd w:id="761"/>
      <w:bookmarkEnd w:id="762"/>
      <w:bookmarkEnd w:id="763"/>
      <w:bookmarkEnd w:id="764"/>
      <w:bookmarkEnd w:id="765"/>
      <w:bookmarkEnd w:id="766"/>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7.3.1</w:t>
      </w:r>
      <w:r>
        <w:rPr>
          <w:rFonts w:hint="eastAsia" w:ascii="宋体" w:hAnsi="宋体" w:eastAsia="宋体" w:cs="宋体"/>
          <w:color w:val="000000"/>
          <w:sz w:val="21"/>
          <w:szCs w:val="21"/>
          <w:highlight w:val="none"/>
        </w:rPr>
        <w:t>承包人车辆外出行驶所需的场外公共道路的通行费、养路费和税款等由承包人承担。</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outlineLvl w:val="0"/>
        <w:rPr>
          <w:rFonts w:hint="eastAsia" w:ascii="宋体" w:hAnsi="宋体" w:eastAsia="宋体" w:cs="宋体"/>
          <w:color w:val="000000"/>
          <w:sz w:val="21"/>
          <w:szCs w:val="21"/>
          <w:highlight w:val="none"/>
        </w:rPr>
      </w:pPr>
      <w:bookmarkStart w:id="767" w:name="_Toc15688"/>
      <w:bookmarkStart w:id="768" w:name="_Toc3030"/>
      <w:r>
        <w:rPr>
          <w:rFonts w:hint="eastAsia" w:ascii="宋体" w:hAnsi="宋体" w:eastAsia="宋体" w:cs="宋体"/>
          <w:color w:val="000000"/>
          <w:sz w:val="21"/>
          <w:szCs w:val="21"/>
          <w:highlight w:val="none"/>
          <w:lang w:val="en-US"/>
        </w:rPr>
        <w:t>7.3.2</w:t>
      </w:r>
      <w:r>
        <w:rPr>
          <w:rFonts w:hint="eastAsia" w:ascii="宋体" w:hAnsi="宋体" w:eastAsia="宋体" w:cs="宋体"/>
          <w:color w:val="000000"/>
          <w:sz w:val="21"/>
          <w:szCs w:val="21"/>
          <w:highlight w:val="none"/>
        </w:rPr>
        <w:t>承包人应遵守有关交通法规，严格按照道路和桥梁的限制荷重安全行驶，并服从交通管理部门的检查和监督</w:t>
      </w:r>
      <w:r>
        <w:rPr>
          <w:rFonts w:hint="eastAsia" w:ascii="宋体" w:hAnsi="宋体" w:eastAsia="宋体" w:cs="宋体"/>
          <w:color w:val="000000"/>
          <w:sz w:val="21"/>
          <w:szCs w:val="21"/>
          <w:highlight w:val="none"/>
          <w:lang w:val="en-US"/>
        </w:rPr>
        <w:t>。</w:t>
      </w:r>
      <w:bookmarkEnd w:id="767"/>
      <w:bookmarkEnd w:id="768"/>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69" w:name="bookmark1093"/>
      <w:bookmarkStart w:id="770" w:name="bookmark1091"/>
      <w:bookmarkStart w:id="771" w:name="_Toc26983"/>
      <w:bookmarkStart w:id="772" w:name="bookmark1092"/>
      <w:bookmarkStart w:id="773" w:name="_Toc32039"/>
      <w:bookmarkStart w:id="774" w:name="_Toc8568"/>
      <w:bookmarkStart w:id="775" w:name="_Toc25595"/>
      <w:r>
        <w:rPr>
          <w:rFonts w:hint="eastAsia" w:ascii="宋体" w:hAnsi="宋体" w:eastAsia="宋体" w:cs="宋体"/>
          <w:color w:val="000000"/>
          <w:sz w:val="21"/>
          <w:szCs w:val="21"/>
          <w:highlight w:val="none"/>
        </w:rPr>
        <w:t>7.4超大件和超重件的运输</w:t>
      </w:r>
      <w:bookmarkEnd w:id="769"/>
      <w:bookmarkEnd w:id="770"/>
      <w:bookmarkEnd w:id="771"/>
      <w:bookmarkEnd w:id="772"/>
      <w:bookmarkEnd w:id="773"/>
      <w:bookmarkEnd w:id="774"/>
      <w:bookmarkEnd w:id="775"/>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由承包人负责运输的超大件或超重件，应由承包人负责向交通管理部门办理申请手续</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发包人给予协助。运输超大件或超重件所需的道路和桥梁临时加固改造费用和其他有关费用，由承包人承担，但专用合同条款另有约定除外。</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76" w:name="_Toc11473"/>
      <w:bookmarkStart w:id="777" w:name="bookmark1094"/>
      <w:bookmarkStart w:id="778" w:name="_Toc5940"/>
      <w:bookmarkStart w:id="779" w:name="bookmark1095"/>
      <w:bookmarkStart w:id="780" w:name="_Toc26369"/>
      <w:bookmarkStart w:id="781" w:name="bookmark1096"/>
      <w:bookmarkStart w:id="782" w:name="_Toc19673"/>
      <w:r>
        <w:rPr>
          <w:rFonts w:hint="eastAsia" w:ascii="宋体" w:hAnsi="宋体" w:eastAsia="宋体" w:cs="宋体"/>
          <w:color w:val="000000"/>
          <w:sz w:val="21"/>
          <w:szCs w:val="21"/>
          <w:highlight w:val="none"/>
        </w:rPr>
        <w:t>7.5道路和桥梁的损坏责任</w:t>
      </w:r>
      <w:bookmarkEnd w:id="776"/>
      <w:bookmarkEnd w:id="777"/>
      <w:bookmarkEnd w:id="778"/>
      <w:bookmarkEnd w:id="779"/>
      <w:bookmarkEnd w:id="780"/>
      <w:bookmarkEnd w:id="781"/>
      <w:bookmarkEnd w:id="782"/>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因承包人运输造成施工场地内外公共道路和桥梁损坏的，由承包人承担修复损坏的全部费用和可能引起的赔偿。</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83" w:name="_Toc20044"/>
      <w:bookmarkStart w:id="784" w:name="_Toc31232"/>
      <w:bookmarkStart w:id="785" w:name="bookmark1098"/>
      <w:bookmarkStart w:id="786" w:name="_Toc30116"/>
      <w:bookmarkStart w:id="787" w:name="bookmark1099"/>
      <w:bookmarkStart w:id="788" w:name="_Toc16605"/>
      <w:bookmarkStart w:id="789" w:name="bookmark1097"/>
      <w:r>
        <w:rPr>
          <w:rFonts w:hint="eastAsia" w:ascii="宋体" w:hAnsi="宋体" w:eastAsia="宋体" w:cs="宋体"/>
          <w:color w:val="000000"/>
          <w:sz w:val="21"/>
          <w:szCs w:val="21"/>
          <w:highlight w:val="none"/>
        </w:rPr>
        <w:t>7.6水路和航空运输</w:t>
      </w:r>
      <w:bookmarkEnd w:id="783"/>
      <w:bookmarkEnd w:id="784"/>
      <w:bookmarkEnd w:id="785"/>
      <w:bookmarkEnd w:id="786"/>
      <w:bookmarkEnd w:id="787"/>
      <w:bookmarkEnd w:id="788"/>
      <w:bookmarkEnd w:id="789"/>
    </w:p>
    <w:p>
      <w:pPr>
        <w:pStyle w:val="163"/>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本条上述各款的内容适用于水路运输和航空运输，其中“道路” 一词的涵义包括河道、 航线、船闸、机场、码头、堤防以及水路或航空运输中其他相似结构物；“车辆”一词的涵义包括船舶和飞机等。</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90" w:name="bookmark1102"/>
      <w:bookmarkEnd w:id="790"/>
      <w:bookmarkStart w:id="791" w:name="_Toc27535"/>
      <w:bookmarkStart w:id="792" w:name="_Toc7491"/>
      <w:bookmarkStart w:id="793" w:name="bookmark1103"/>
      <w:bookmarkStart w:id="794" w:name="_Toc12621"/>
      <w:bookmarkStart w:id="795" w:name="_Toc8526"/>
      <w:bookmarkStart w:id="796" w:name="bookmark1101"/>
      <w:bookmarkStart w:id="797" w:name="bookmark1100"/>
      <w:r>
        <w:rPr>
          <w:rFonts w:hint="eastAsia" w:ascii="宋体" w:hAnsi="宋体" w:eastAsia="宋体" w:cs="宋体"/>
          <w:color w:val="000000"/>
          <w:sz w:val="21"/>
          <w:szCs w:val="21"/>
          <w:highlight w:val="none"/>
        </w:rPr>
        <w:t>8.测量放线</w:t>
      </w:r>
      <w:bookmarkEnd w:id="791"/>
      <w:bookmarkEnd w:id="792"/>
      <w:bookmarkEnd w:id="793"/>
      <w:bookmarkEnd w:id="794"/>
      <w:bookmarkEnd w:id="795"/>
      <w:bookmarkEnd w:id="796"/>
      <w:bookmarkEnd w:id="797"/>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98" w:name="bookmark1106"/>
      <w:bookmarkStart w:id="799" w:name="bookmark1104"/>
      <w:bookmarkStart w:id="800" w:name="_Toc27089"/>
      <w:bookmarkStart w:id="801" w:name="bookmark1105"/>
      <w:bookmarkStart w:id="802" w:name="_Toc7125"/>
      <w:bookmarkStart w:id="803" w:name="_Toc16250"/>
      <w:bookmarkStart w:id="804" w:name="_Toc22836"/>
      <w:r>
        <w:rPr>
          <w:rFonts w:hint="eastAsia" w:ascii="宋体" w:hAnsi="宋体" w:eastAsia="宋体" w:cs="宋体"/>
          <w:color w:val="000000"/>
          <w:sz w:val="21"/>
          <w:szCs w:val="21"/>
          <w:highlight w:val="none"/>
        </w:rPr>
        <w:t>8.1施工控制网</w:t>
      </w:r>
      <w:bookmarkEnd w:id="798"/>
      <w:bookmarkEnd w:id="799"/>
      <w:bookmarkEnd w:id="800"/>
      <w:bookmarkEnd w:id="801"/>
      <w:bookmarkEnd w:id="802"/>
      <w:bookmarkEnd w:id="803"/>
      <w:bookmarkEnd w:id="804"/>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8.1.1</w:t>
      </w:r>
      <w:r>
        <w:rPr>
          <w:rFonts w:hint="eastAsia" w:ascii="宋体" w:hAnsi="宋体" w:eastAsia="宋体" w:cs="宋体"/>
          <w:color w:val="000000"/>
          <w:sz w:val="21"/>
          <w:szCs w:val="21"/>
          <w:highlight w:val="none"/>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8.1.2</w:t>
      </w:r>
      <w:r>
        <w:rPr>
          <w:rFonts w:hint="eastAsia" w:ascii="宋体" w:hAnsi="宋体" w:eastAsia="宋体" w:cs="宋体"/>
          <w:color w:val="000000"/>
          <w:sz w:val="21"/>
          <w:szCs w:val="21"/>
          <w:highlight w:val="none"/>
        </w:rPr>
        <w:t>承包人应负责管理施工控制网点。施工控制网点丢失或损坏的，承包人应及时修复。承包人应承担施工控制网点的管理与修复费用，并在工程竣工后将施工控制网点移交发包人。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05" w:name="_Toc14601"/>
      <w:bookmarkStart w:id="806" w:name="_Toc28033"/>
      <w:bookmarkStart w:id="807" w:name="_Toc21461"/>
      <w:bookmarkStart w:id="808" w:name="bookmark1108"/>
      <w:bookmarkStart w:id="809" w:name="_Toc18914"/>
      <w:bookmarkStart w:id="810" w:name="bookmark1109"/>
      <w:bookmarkStart w:id="811" w:name="bookmark1107"/>
      <w:r>
        <w:rPr>
          <w:rFonts w:hint="eastAsia" w:ascii="宋体" w:hAnsi="宋体" w:eastAsia="宋体" w:cs="宋体"/>
          <w:color w:val="000000"/>
          <w:sz w:val="21"/>
          <w:szCs w:val="21"/>
          <w:highlight w:val="none"/>
        </w:rPr>
        <w:t>8.2施工测量</w:t>
      </w:r>
      <w:bookmarkEnd w:id="805"/>
      <w:bookmarkEnd w:id="806"/>
      <w:bookmarkEnd w:id="807"/>
      <w:bookmarkEnd w:id="808"/>
      <w:bookmarkEnd w:id="809"/>
      <w:bookmarkEnd w:id="810"/>
      <w:bookmarkEnd w:id="811"/>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8.2.1</w:t>
      </w:r>
      <w:r>
        <w:rPr>
          <w:rFonts w:hint="eastAsia" w:ascii="宋体" w:hAnsi="宋体" w:eastAsia="宋体" w:cs="宋体"/>
          <w:color w:val="000000"/>
          <w:sz w:val="21"/>
          <w:szCs w:val="21"/>
          <w:highlight w:val="none"/>
        </w:rPr>
        <w:t>承包人应负责施工过程中的全部施工测量放线工作，并配置合格的人员、仪 器、设备和其他物品。</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8.2.2</w:t>
      </w:r>
      <w:r>
        <w:rPr>
          <w:rFonts w:hint="eastAsia" w:ascii="宋体" w:hAnsi="宋体" w:eastAsia="宋体" w:cs="宋体"/>
          <w:color w:val="000000"/>
          <w:sz w:val="21"/>
          <w:szCs w:val="21"/>
          <w:highlight w:val="none"/>
        </w:rPr>
        <w:t>监理人可以指示承包人进行抽样复测，当复测中发现错误或出现超过合同约定的误差时，承包人应按监理人指示进行修正或补测，并承担相应的复测费用。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12" w:name="bookmark1112"/>
      <w:bookmarkStart w:id="813" w:name="_Toc18249"/>
      <w:bookmarkStart w:id="814" w:name="_Toc29342"/>
      <w:bookmarkStart w:id="815" w:name="_Toc2394"/>
      <w:bookmarkStart w:id="816" w:name="bookmark1111"/>
      <w:bookmarkStart w:id="817" w:name="bookmark1110"/>
      <w:bookmarkStart w:id="818" w:name="_Toc22613"/>
      <w:r>
        <w:rPr>
          <w:rFonts w:hint="eastAsia" w:ascii="宋体" w:hAnsi="宋体" w:eastAsia="宋体" w:cs="宋体"/>
          <w:color w:val="000000"/>
          <w:sz w:val="21"/>
          <w:szCs w:val="21"/>
          <w:highlight w:val="none"/>
        </w:rPr>
        <w:t>8.3基准资料错误的责任</w:t>
      </w:r>
      <w:bookmarkEnd w:id="812"/>
      <w:bookmarkEnd w:id="813"/>
      <w:bookmarkEnd w:id="814"/>
      <w:bookmarkEnd w:id="815"/>
      <w:bookmarkEnd w:id="816"/>
      <w:bookmarkEnd w:id="817"/>
      <w:bookmarkEnd w:id="818"/>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19" w:name="bookmark1115"/>
      <w:bookmarkStart w:id="820" w:name="_Toc20137"/>
      <w:bookmarkStart w:id="821" w:name="_Toc26698"/>
      <w:bookmarkStart w:id="822" w:name="_Toc26810"/>
      <w:bookmarkStart w:id="823" w:name="bookmark1114"/>
      <w:bookmarkStart w:id="824" w:name="bookmark1113"/>
      <w:bookmarkStart w:id="825" w:name="_Toc9642"/>
      <w:r>
        <w:rPr>
          <w:rFonts w:hint="eastAsia" w:ascii="宋体" w:hAnsi="宋体" w:eastAsia="宋体" w:cs="宋体"/>
          <w:color w:val="000000"/>
          <w:sz w:val="21"/>
          <w:szCs w:val="21"/>
          <w:highlight w:val="none"/>
        </w:rPr>
        <w:t>8.4监理人使用施工控制网</w:t>
      </w:r>
      <w:bookmarkEnd w:id="819"/>
      <w:bookmarkEnd w:id="820"/>
      <w:bookmarkEnd w:id="821"/>
      <w:bookmarkEnd w:id="822"/>
      <w:bookmarkEnd w:id="823"/>
      <w:bookmarkEnd w:id="824"/>
      <w:bookmarkEnd w:id="825"/>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监理人需要使用施工控制网的，承包人应提供必要的协助，发包人不再为此支付费用。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26" w:name="_Toc18064"/>
      <w:bookmarkStart w:id="827" w:name="_Toc21220"/>
      <w:bookmarkStart w:id="828" w:name="_Toc22055"/>
      <w:bookmarkStart w:id="829" w:name="bookmark1116"/>
      <w:bookmarkStart w:id="830" w:name="bookmark1117"/>
      <w:bookmarkStart w:id="831" w:name="_Toc26237"/>
      <w:bookmarkStart w:id="832" w:name="bookmark1118"/>
      <w:r>
        <w:rPr>
          <w:rFonts w:hint="eastAsia" w:ascii="宋体" w:hAnsi="宋体" w:eastAsia="宋体" w:cs="宋体"/>
          <w:color w:val="000000"/>
          <w:sz w:val="21"/>
          <w:szCs w:val="21"/>
          <w:highlight w:val="none"/>
        </w:rPr>
        <w:t>8. 5补充地质勘探</w:t>
      </w:r>
      <w:bookmarkEnd w:id="826"/>
      <w:bookmarkEnd w:id="827"/>
      <w:bookmarkEnd w:id="828"/>
      <w:bookmarkEnd w:id="829"/>
      <w:bookmarkEnd w:id="830"/>
      <w:bookmarkEnd w:id="831"/>
      <w:bookmarkEnd w:id="832"/>
    </w:p>
    <w:p>
      <w:pPr>
        <w:pStyle w:val="163"/>
        <w:pageBreakBefore w:val="0"/>
        <w:widowControl w:val="0"/>
        <w:kinsoku/>
        <w:wordWrap/>
        <w:overflowPunct/>
        <w:topLinePunct w:val="0"/>
        <w:autoSpaceDE/>
        <w:autoSpaceDN/>
        <w:bidi w:val="0"/>
        <w:adjustRightInd/>
        <w:snapToGrid/>
        <w:spacing w:after="30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33" w:name="bookmark1121"/>
      <w:bookmarkEnd w:id="833"/>
      <w:bookmarkStart w:id="834" w:name="bookmark1122"/>
      <w:bookmarkStart w:id="835" w:name="bookmark1120"/>
      <w:bookmarkStart w:id="836" w:name="_Toc32017"/>
      <w:bookmarkStart w:id="837" w:name="_Toc1764"/>
      <w:bookmarkStart w:id="838" w:name="_Toc15267"/>
      <w:bookmarkStart w:id="839" w:name="bookmark1119"/>
      <w:bookmarkStart w:id="840" w:name="_Toc20069"/>
      <w:r>
        <w:rPr>
          <w:rFonts w:hint="eastAsia" w:ascii="宋体" w:hAnsi="宋体" w:eastAsia="宋体" w:cs="宋体"/>
          <w:color w:val="000000"/>
          <w:sz w:val="21"/>
          <w:szCs w:val="21"/>
          <w:highlight w:val="none"/>
        </w:rPr>
        <w:t>9.施工安全、治安保卫和环境保护</w:t>
      </w:r>
      <w:bookmarkEnd w:id="834"/>
      <w:bookmarkEnd w:id="835"/>
      <w:bookmarkEnd w:id="836"/>
      <w:bookmarkEnd w:id="837"/>
      <w:bookmarkEnd w:id="838"/>
      <w:bookmarkEnd w:id="839"/>
      <w:bookmarkEnd w:id="840"/>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41" w:name="bookmark1123"/>
      <w:bookmarkStart w:id="842" w:name="_Toc12614"/>
      <w:bookmarkStart w:id="843" w:name="_Toc18585"/>
      <w:bookmarkStart w:id="844" w:name="bookmark1124"/>
      <w:bookmarkStart w:id="845" w:name="_Toc13008"/>
      <w:bookmarkStart w:id="846" w:name="bookmark1125"/>
      <w:bookmarkStart w:id="847" w:name="_Toc10171"/>
      <w:r>
        <w:rPr>
          <w:rFonts w:hint="eastAsia" w:ascii="宋体" w:hAnsi="宋体" w:eastAsia="宋体" w:cs="宋体"/>
          <w:color w:val="000000"/>
          <w:sz w:val="21"/>
          <w:szCs w:val="21"/>
          <w:highlight w:val="none"/>
        </w:rPr>
        <w:t>9.1发包人的施工安全责任</w:t>
      </w:r>
      <w:bookmarkEnd w:id="841"/>
      <w:bookmarkEnd w:id="842"/>
      <w:bookmarkEnd w:id="843"/>
      <w:bookmarkEnd w:id="844"/>
      <w:bookmarkEnd w:id="845"/>
      <w:bookmarkEnd w:id="846"/>
      <w:bookmarkEnd w:id="847"/>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9.1.1</w:t>
      </w:r>
      <w:r>
        <w:rPr>
          <w:rFonts w:hint="eastAsia" w:ascii="宋体" w:hAnsi="宋体" w:eastAsia="宋体" w:cs="宋体"/>
          <w:color w:val="000000"/>
          <w:sz w:val="21"/>
          <w:szCs w:val="21"/>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9.1.2</w:t>
      </w:r>
      <w:r>
        <w:rPr>
          <w:rFonts w:hint="eastAsia" w:ascii="宋体" w:hAnsi="宋体" w:eastAsia="宋体" w:cs="宋体"/>
          <w:color w:val="000000"/>
          <w:sz w:val="21"/>
          <w:szCs w:val="21"/>
          <w:highlight w:val="none"/>
        </w:rPr>
        <w:t>发包人应对其现场机构雇佣的全部人员的工伤事故承担责任，但由于承包人原因造成发包人人员工伤的，应由承包人承担责任。</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w:t>
      </w:r>
      <w:r>
        <w:rPr>
          <w:rFonts w:hint="eastAsia" w:ascii="宋体" w:hAnsi="宋体" w:eastAsia="宋体" w:cs="宋体"/>
          <w:color w:val="000000"/>
          <w:sz w:val="21"/>
          <w:szCs w:val="21"/>
          <w:highlight w:val="none"/>
        </w:rPr>
        <w:t>3发包人应负责赔偿以下各种情况造成的第三者人身伤亡和财产损失：</w:t>
      </w:r>
    </w:p>
    <w:p>
      <w:pPr>
        <w:pStyle w:val="163"/>
        <w:pageBreakBefore w:val="0"/>
        <w:widowControl w:val="0"/>
        <w:numPr>
          <w:ilvl w:val="0"/>
          <w:numId w:val="5"/>
        </w:numPr>
        <w:tabs>
          <w:tab w:val="left" w:pos="898"/>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848" w:name="bookmark1126"/>
      <w:bookmarkEnd w:id="848"/>
      <w:r>
        <w:rPr>
          <w:rFonts w:hint="eastAsia" w:ascii="宋体" w:hAnsi="宋体" w:eastAsia="宋体" w:cs="宋体"/>
          <w:color w:val="000000"/>
          <w:sz w:val="21"/>
          <w:szCs w:val="21"/>
          <w:highlight w:val="none"/>
        </w:rPr>
        <w:t>工程或工程的任何部分对土地的占用所造成的第三者财产损失；</w:t>
      </w:r>
    </w:p>
    <w:p>
      <w:pPr>
        <w:pStyle w:val="163"/>
        <w:pageBreakBefore w:val="0"/>
        <w:widowControl w:val="0"/>
        <w:numPr>
          <w:ilvl w:val="0"/>
          <w:numId w:val="5"/>
        </w:numPr>
        <w:tabs>
          <w:tab w:val="left" w:pos="898"/>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849" w:name="bookmark1127"/>
      <w:bookmarkEnd w:id="849"/>
      <w:r>
        <w:rPr>
          <w:rFonts w:hint="eastAsia" w:ascii="宋体" w:hAnsi="宋体" w:eastAsia="宋体" w:cs="宋体"/>
          <w:color w:val="000000"/>
          <w:sz w:val="21"/>
          <w:szCs w:val="21"/>
          <w:highlight w:val="none"/>
        </w:rPr>
        <w:t>由于发包人原因在施工场地及其毗邻地带造成的第三者人身伤亡和财产损失。</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9.1.4</w:t>
      </w:r>
      <w:r>
        <w:rPr>
          <w:rFonts w:hint="eastAsia" w:ascii="宋体" w:hAnsi="宋体" w:eastAsia="宋体" w:cs="宋体"/>
          <w:color w:val="000000"/>
          <w:sz w:val="21"/>
          <w:szCs w:val="21"/>
          <w:highlight w:val="none"/>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9.1.5</w:t>
      </w:r>
      <w:r>
        <w:rPr>
          <w:rFonts w:hint="eastAsia" w:ascii="宋体" w:hAnsi="宋体" w:eastAsia="宋体" w:cs="宋体"/>
          <w:color w:val="000000"/>
          <w:sz w:val="21"/>
          <w:szCs w:val="21"/>
          <w:highlight w:val="none"/>
        </w:rPr>
        <w:t>发包人按照已标价工程量清单所列金额和合同约定的计量支付规定，支付安全作业环境及安全施工措施所需费用。</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9.1.6</w:t>
      </w:r>
      <w:r>
        <w:rPr>
          <w:rFonts w:hint="eastAsia" w:ascii="宋体" w:hAnsi="宋体" w:eastAsia="宋体" w:cs="宋体"/>
          <w:color w:val="000000"/>
          <w:sz w:val="21"/>
          <w:szCs w:val="21"/>
          <w:highlight w:val="none"/>
        </w:rPr>
        <w:t>发包人负责组织工程参建单位编制保证安全生产的措施方案。工程开工前，就 落实安全生产的措施进行全面系统的布置，进一步明确承包人的安全生产责任。</w:t>
      </w:r>
    </w:p>
    <w:p>
      <w:pPr>
        <w:pStyle w:val="163"/>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w:t>
      </w:r>
      <w:r>
        <w:rPr>
          <w:rFonts w:hint="eastAsia" w:ascii="宋体" w:hAnsi="宋体" w:eastAsia="宋体" w:cs="宋体"/>
          <w:color w:val="000000"/>
          <w:sz w:val="21"/>
          <w:szCs w:val="21"/>
          <w:highlight w:val="none"/>
        </w:rPr>
        <w:t>7发包人负责在拆除工程和爆破工程施工14天前向有关部门或机构报送相关备案资料。</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50" w:name="_Toc19179"/>
      <w:bookmarkStart w:id="851" w:name="_Toc920"/>
      <w:bookmarkStart w:id="852" w:name="_Toc21020"/>
      <w:bookmarkStart w:id="853" w:name="bookmark1129"/>
      <w:bookmarkStart w:id="854" w:name="bookmark1130"/>
      <w:bookmarkStart w:id="855" w:name="_Toc12974"/>
      <w:bookmarkStart w:id="856" w:name="bookmark1128"/>
      <w:r>
        <w:rPr>
          <w:rFonts w:hint="eastAsia" w:ascii="宋体" w:hAnsi="宋体" w:eastAsia="宋体" w:cs="宋体"/>
          <w:color w:val="000000"/>
          <w:sz w:val="21"/>
          <w:szCs w:val="21"/>
          <w:highlight w:val="none"/>
        </w:rPr>
        <w:t>9.2承包人的施工安全责任</w:t>
      </w:r>
      <w:bookmarkEnd w:id="850"/>
      <w:bookmarkEnd w:id="851"/>
      <w:bookmarkEnd w:id="852"/>
      <w:bookmarkEnd w:id="853"/>
      <w:bookmarkEnd w:id="854"/>
      <w:bookmarkEnd w:id="855"/>
      <w:bookmarkEnd w:id="856"/>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9.2.1</w:t>
      </w:r>
      <w:r>
        <w:rPr>
          <w:rFonts w:hint="eastAsia" w:ascii="宋体" w:hAnsi="宋体" w:eastAsia="宋体" w:cs="宋体"/>
          <w:color w:val="000000"/>
          <w:sz w:val="21"/>
          <w:szCs w:val="21"/>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9.2.2</w:t>
      </w:r>
      <w:r>
        <w:rPr>
          <w:rFonts w:hint="eastAsia" w:ascii="宋体" w:hAnsi="宋体" w:eastAsia="宋体" w:cs="宋体"/>
          <w:color w:val="000000"/>
          <w:sz w:val="21"/>
          <w:szCs w:val="21"/>
          <w:highlight w:val="none"/>
        </w:rPr>
        <w:t>承包人应加强施工作业安全管理，特别应加强易燃、易爆材料、火工器材、有毒与腐蚀性材料和其他危险品的管理，以及对爆破作业和地下工程施工等危险作业的管理。</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9.2.3</w:t>
      </w:r>
      <w:r>
        <w:rPr>
          <w:rFonts w:hint="eastAsia" w:ascii="宋体" w:hAnsi="宋体" w:eastAsia="宋体" w:cs="宋体"/>
          <w:color w:val="000000"/>
          <w:sz w:val="21"/>
          <w:szCs w:val="21"/>
          <w:highlight w:val="none"/>
        </w:rPr>
        <w:t>承包人应严格按照国家安全标准制定施工安全操作规程，配备必要的安全生产 和劳动保护设施，加强对承包人人员的安全教育，并发放安全工作手册和劳动保护用具。</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9.2.4</w:t>
      </w:r>
      <w:r>
        <w:rPr>
          <w:rFonts w:hint="eastAsia" w:ascii="宋体" w:hAnsi="宋体" w:eastAsia="宋体" w:cs="宋体"/>
          <w:color w:val="000000"/>
          <w:sz w:val="21"/>
          <w:szCs w:val="21"/>
          <w:highlight w:val="none"/>
        </w:rPr>
        <w:t>承包人应按监理人的指示制定应对灾害的紧急预案，报送监理人审批。承包人还应按预案做好安全检查，配置必要的救助物资和器材，切实保护好有关人员的人身和财产安全。</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9.2.5</w:t>
      </w:r>
      <w:r>
        <w:rPr>
          <w:rFonts w:hint="eastAsia" w:ascii="宋体" w:hAnsi="宋体" w:eastAsia="宋体" w:cs="宋体"/>
          <w:color w:val="000000"/>
          <w:sz w:val="21"/>
          <w:szCs w:val="21"/>
          <w:highlight w:val="none"/>
        </w:rPr>
        <w:t>合同约定的安全作业环境及安全施工措施所需费用应遵守有关规定，并包括在相关工作的合同价格中。因采取合同未约定的安全作业环境及安全施工措施增加的费用，由监理人按第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9.2.6</w:t>
      </w:r>
      <w:r>
        <w:rPr>
          <w:rFonts w:hint="eastAsia" w:ascii="宋体" w:hAnsi="宋体" w:eastAsia="宋体" w:cs="宋体"/>
          <w:color w:val="000000"/>
          <w:sz w:val="21"/>
          <w:szCs w:val="21"/>
          <w:highlight w:val="none"/>
        </w:rPr>
        <w:t>承包人应对其履行合同所雇佣的全部人员，包括分包人人员的工伤事故承担责任，但由于发包人原因造成承包人人员工伤事故的，应由发包人承担责任。</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7由于承包人原因在施工场地内及其毗邻地带造成的第三者人员伤亡和财产损失，由承包人负责赔偿。</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8承包人已标价工程量清单应包含工程安全作业环境及安全施工措施所需费用。</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9.2.9</w:t>
      </w:r>
      <w:r>
        <w:rPr>
          <w:rFonts w:hint="eastAsia" w:ascii="宋体" w:hAnsi="宋体" w:eastAsia="宋体" w:cs="宋体"/>
          <w:color w:val="000000"/>
          <w:sz w:val="21"/>
          <w:szCs w:val="21"/>
          <w:highlight w:val="none"/>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10承包人应设立安全生产管理机构，施工现场应有专职安全生产管理人员。</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9.2.11</w:t>
      </w:r>
      <w:r>
        <w:rPr>
          <w:rFonts w:hint="eastAsia" w:ascii="宋体" w:hAnsi="宋体" w:eastAsia="宋体" w:cs="宋体"/>
          <w:color w:val="000000"/>
          <w:sz w:val="21"/>
          <w:szCs w:val="21"/>
          <w:highlight w:val="none"/>
        </w:rPr>
        <w:t>承包人应负责对特种作业人员进行专门的安全作业培训，并保证特种作业人员持证上岗。</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13承包人在使用施工起重机构和整体提升脚手架、模板等自升式架设设施前</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应组织有关单位进行验收。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57" w:name="_Toc24520"/>
      <w:bookmarkStart w:id="858" w:name="bookmark1133"/>
      <w:bookmarkStart w:id="859" w:name="bookmark1132"/>
      <w:bookmarkStart w:id="860" w:name="_Toc29120"/>
      <w:bookmarkStart w:id="861" w:name="bookmark1131"/>
      <w:bookmarkStart w:id="862" w:name="_Toc3764"/>
      <w:bookmarkStart w:id="863" w:name="_Toc10861"/>
      <w:r>
        <w:rPr>
          <w:rFonts w:hint="eastAsia" w:ascii="宋体" w:hAnsi="宋体" w:eastAsia="宋体" w:cs="宋体"/>
          <w:color w:val="000000"/>
          <w:sz w:val="21"/>
          <w:szCs w:val="21"/>
          <w:highlight w:val="none"/>
        </w:rPr>
        <w:t>9.3治安保卫</w:t>
      </w:r>
      <w:bookmarkEnd w:id="857"/>
      <w:bookmarkEnd w:id="858"/>
      <w:bookmarkEnd w:id="859"/>
      <w:bookmarkEnd w:id="860"/>
      <w:bookmarkEnd w:id="861"/>
      <w:bookmarkEnd w:id="862"/>
      <w:bookmarkEnd w:id="863"/>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9.3.1</w:t>
      </w:r>
      <w:r>
        <w:rPr>
          <w:rFonts w:hint="eastAsia" w:ascii="宋体" w:hAnsi="宋体" w:eastAsia="宋体" w:cs="宋体"/>
          <w:color w:val="000000"/>
          <w:sz w:val="21"/>
          <w:szCs w:val="21"/>
          <w:highlight w:val="none"/>
        </w:rPr>
        <w:t>除合同另有约定外，发包人应与当地公安部门协商，在现场建立治安管理机构或联防组织，统一管理施工场地的治安保卫事项，履行合同工程的治安保卫职责。</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9.3.</w:t>
      </w:r>
      <w:r>
        <w:rPr>
          <w:rFonts w:hint="eastAsia" w:ascii="宋体" w:hAnsi="宋体" w:eastAsia="宋体" w:cs="宋体"/>
          <w:color w:val="000000"/>
          <w:sz w:val="21"/>
          <w:szCs w:val="21"/>
          <w:highlight w:val="none"/>
        </w:rPr>
        <w:t>2发包人和承包人除应协助现场治安管理机构或联防组织维护施工场地的社会治安外，还应做好包括生活区在内的各自管辖区的治安保卫工作。</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9.3.3</w:t>
      </w:r>
      <w:r>
        <w:rPr>
          <w:rFonts w:hint="eastAsia" w:ascii="宋体" w:hAnsi="宋体" w:eastAsia="宋体" w:cs="宋体"/>
          <w:color w:val="000000"/>
          <w:sz w:val="21"/>
          <w:szCs w:val="21"/>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64" w:name="bookmark1135"/>
      <w:bookmarkStart w:id="865" w:name="_Toc23515"/>
      <w:bookmarkStart w:id="866" w:name="_Toc19069"/>
      <w:bookmarkStart w:id="867" w:name="bookmark1134"/>
      <w:bookmarkStart w:id="868" w:name="_Toc22365"/>
      <w:bookmarkStart w:id="869" w:name="_Toc19282"/>
      <w:bookmarkStart w:id="870" w:name="bookmark1136"/>
      <w:r>
        <w:rPr>
          <w:rFonts w:hint="eastAsia" w:ascii="宋体" w:hAnsi="宋体" w:eastAsia="宋体" w:cs="宋体"/>
          <w:color w:val="000000"/>
          <w:sz w:val="21"/>
          <w:szCs w:val="21"/>
          <w:highlight w:val="none"/>
        </w:rPr>
        <w:t>9.4环境保护</w:t>
      </w:r>
      <w:bookmarkEnd w:id="864"/>
      <w:bookmarkEnd w:id="865"/>
      <w:bookmarkEnd w:id="866"/>
      <w:bookmarkEnd w:id="867"/>
      <w:bookmarkEnd w:id="868"/>
      <w:bookmarkEnd w:id="869"/>
      <w:bookmarkEnd w:id="870"/>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9.4.1</w:t>
      </w:r>
      <w:r>
        <w:rPr>
          <w:rFonts w:hint="eastAsia" w:ascii="宋体" w:hAnsi="宋体" w:eastAsia="宋体" w:cs="宋体"/>
          <w:color w:val="000000"/>
          <w:sz w:val="21"/>
          <w:szCs w:val="21"/>
          <w:highlight w:val="none"/>
        </w:rPr>
        <w:t>承包人在施工过程中，应遵守有关环境保护的法律，履行合同约定的环境保护义务，并对违反法律和合同约定义务所造成的环境破坏、人身伤害和财产损失负责。</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9.4.2</w:t>
      </w:r>
      <w:r>
        <w:rPr>
          <w:rFonts w:hint="eastAsia" w:ascii="宋体" w:hAnsi="宋体" w:eastAsia="宋体" w:cs="宋体"/>
          <w:color w:val="000000"/>
          <w:sz w:val="21"/>
          <w:szCs w:val="21"/>
          <w:highlight w:val="none"/>
        </w:rPr>
        <w:t>承包人应按合同约定的环保工作内容，编制施工环保措施计划，报送监理人审批。</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9.4.3</w:t>
      </w:r>
      <w:r>
        <w:rPr>
          <w:rFonts w:hint="eastAsia" w:ascii="宋体" w:hAnsi="宋体" w:eastAsia="宋体" w:cs="宋体"/>
          <w:color w:val="000000"/>
          <w:sz w:val="21"/>
          <w:szCs w:val="21"/>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9.4.4</w:t>
      </w:r>
      <w:r>
        <w:rPr>
          <w:rFonts w:hint="eastAsia" w:ascii="宋体" w:hAnsi="宋体" w:eastAsia="宋体" w:cs="宋体"/>
          <w:color w:val="000000"/>
          <w:sz w:val="21"/>
          <w:szCs w:val="21"/>
          <w:highlight w:val="none"/>
        </w:rPr>
        <w:t>承包人应按合同约定采取有效措施，对施工开挖的边坡及时进行支护，维护排 水设施，并进行水土保护，避免因施工造成的地质灾害。</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9.4.5</w:t>
      </w:r>
      <w:r>
        <w:rPr>
          <w:rFonts w:hint="eastAsia" w:ascii="宋体" w:hAnsi="宋体" w:eastAsia="宋体" w:cs="宋体"/>
          <w:color w:val="000000"/>
          <w:sz w:val="21"/>
          <w:szCs w:val="21"/>
          <w:highlight w:val="none"/>
        </w:rPr>
        <w:t>承包人应按国家饮用水管理标准定期对饮用水源进行监测，防止施工活动污染</w:t>
      </w:r>
    </w:p>
    <w:p>
      <w:pPr>
        <w:pStyle w:val="163"/>
        <w:pageBreakBefore w:val="0"/>
        <w:widowControl w:val="0"/>
        <w:kinsoku/>
        <w:wordWrap/>
        <w:overflowPunct/>
        <w:topLinePunct w:val="0"/>
        <w:autoSpaceDE/>
        <w:autoSpaceDN/>
        <w:bidi w:val="0"/>
        <w:adjustRightInd/>
        <w:snapToGrid/>
        <w:spacing w:after="140" w:line="40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饮用水源。</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9.4.6</w:t>
      </w:r>
      <w:r>
        <w:rPr>
          <w:rFonts w:hint="eastAsia" w:ascii="宋体" w:hAnsi="宋体" w:eastAsia="宋体" w:cs="宋体"/>
          <w:color w:val="000000"/>
          <w:sz w:val="21"/>
          <w:szCs w:val="21"/>
          <w:highlight w:val="none"/>
        </w:rPr>
        <w:t>承包人应按合同约定，加强对噪声、粉尘、废气、废水和废油的控制，努力降低噪声，控制粉尘和废气浓度，做好废水和废油的治理和排放。</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71" w:name="_Toc5164"/>
      <w:bookmarkStart w:id="872" w:name="_Toc12698"/>
      <w:bookmarkStart w:id="873" w:name="_Toc1363"/>
      <w:bookmarkStart w:id="874" w:name="bookmark1139"/>
      <w:bookmarkStart w:id="875" w:name="bookmark1137"/>
      <w:bookmarkStart w:id="876" w:name="bookmark1138"/>
      <w:bookmarkStart w:id="877" w:name="_Toc5127"/>
      <w:r>
        <w:rPr>
          <w:rFonts w:hint="eastAsia" w:ascii="宋体" w:hAnsi="宋体" w:eastAsia="宋体" w:cs="宋体"/>
          <w:color w:val="000000"/>
          <w:sz w:val="21"/>
          <w:szCs w:val="21"/>
          <w:highlight w:val="none"/>
        </w:rPr>
        <w:t>9.5事故处理</w:t>
      </w:r>
      <w:bookmarkEnd w:id="871"/>
      <w:bookmarkEnd w:id="872"/>
      <w:bookmarkEnd w:id="873"/>
      <w:bookmarkEnd w:id="874"/>
      <w:bookmarkEnd w:id="875"/>
      <w:bookmarkEnd w:id="876"/>
      <w:bookmarkEnd w:id="877"/>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9.5.1</w:t>
      </w:r>
      <w:r>
        <w:rPr>
          <w:rFonts w:hint="eastAsia" w:ascii="宋体" w:hAnsi="宋体" w:eastAsia="宋体" w:cs="宋体"/>
          <w:color w:val="000000"/>
          <w:sz w:val="21"/>
          <w:szCs w:val="21"/>
          <w:highlight w:val="none"/>
        </w:rPr>
        <w:t>发包人负责组织参建单位制定本工程的质量与安全事故应急预案，建立质量与安全事故应急处置指挥部。</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9.5.2</w:t>
      </w:r>
      <w:r>
        <w:rPr>
          <w:rFonts w:hint="eastAsia" w:ascii="宋体" w:hAnsi="宋体" w:eastAsia="宋体" w:cs="宋体"/>
          <w:color w:val="000000"/>
          <w:sz w:val="21"/>
          <w:szCs w:val="21"/>
          <w:highlight w:val="none"/>
        </w:rPr>
        <w:t>承包人应对施工现场易发生重大事故的部位、环节的进行监控，配备救援器材、设备，并定期组织演练。</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9.5.3</w:t>
      </w:r>
      <w:r>
        <w:rPr>
          <w:rFonts w:hint="eastAsia" w:ascii="宋体" w:hAnsi="宋体" w:eastAsia="宋体" w:cs="宋体"/>
          <w:color w:val="000000"/>
          <w:sz w:val="21"/>
          <w:szCs w:val="21"/>
          <w:highlight w:val="none"/>
        </w:rPr>
        <w:t>工程开工前，承包人应根据本工程特点制定施工现场施工质量与安全事故应急预案，并报发包人备案。</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9.5.4</w:t>
      </w:r>
      <w:r>
        <w:rPr>
          <w:rFonts w:hint="eastAsia" w:ascii="宋体" w:hAnsi="宋体" w:eastAsia="宋体" w:cs="宋体"/>
          <w:color w:val="000000"/>
          <w:sz w:val="21"/>
          <w:szCs w:val="21"/>
          <w:highlight w:val="none"/>
        </w:rPr>
        <w:t>施工过程中发生事故时，发包人、承包人应立即启动应急预案。</w:t>
      </w:r>
    </w:p>
    <w:p>
      <w:pPr>
        <w:pStyle w:val="163"/>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9.5.5</w:t>
      </w:r>
      <w:r>
        <w:rPr>
          <w:rFonts w:hint="eastAsia" w:ascii="宋体" w:hAnsi="宋体" w:eastAsia="宋体" w:cs="宋体"/>
          <w:color w:val="000000"/>
          <w:sz w:val="21"/>
          <w:szCs w:val="21"/>
          <w:highlight w:val="none"/>
        </w:rPr>
        <w:t>事故调查处理由发包人按相关规定履行手续，承包人应配合。</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78" w:name="_Toc14251"/>
      <w:bookmarkStart w:id="879" w:name="_Toc18607"/>
      <w:bookmarkStart w:id="880" w:name="bookmark1141"/>
      <w:bookmarkStart w:id="881" w:name="_Toc696"/>
      <w:bookmarkStart w:id="882" w:name="bookmark1140"/>
      <w:bookmarkStart w:id="883" w:name="bookmark1142"/>
      <w:bookmarkStart w:id="884" w:name="_Toc10912"/>
      <w:r>
        <w:rPr>
          <w:rFonts w:hint="eastAsia" w:ascii="宋体" w:hAnsi="宋体" w:eastAsia="宋体" w:cs="宋体"/>
          <w:color w:val="000000"/>
          <w:sz w:val="21"/>
          <w:szCs w:val="21"/>
          <w:highlight w:val="none"/>
        </w:rPr>
        <w:t>9.6水土保持</w:t>
      </w:r>
      <w:bookmarkEnd w:id="878"/>
      <w:bookmarkEnd w:id="879"/>
      <w:bookmarkEnd w:id="880"/>
      <w:bookmarkEnd w:id="881"/>
      <w:bookmarkEnd w:id="882"/>
      <w:bookmarkEnd w:id="883"/>
      <w:bookmarkEnd w:id="884"/>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9.6.</w:t>
      </w:r>
      <w:r>
        <w:rPr>
          <w:rFonts w:hint="eastAsia" w:ascii="宋体" w:hAnsi="宋体" w:eastAsia="宋体" w:cs="宋体"/>
          <w:color w:val="000000"/>
          <w:sz w:val="21"/>
          <w:szCs w:val="21"/>
          <w:highlight w:val="none"/>
        </w:rPr>
        <w:t>1发包人应及时向承包人提供水土保持方案。</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9.6.2</w:t>
      </w:r>
      <w:r>
        <w:rPr>
          <w:rFonts w:hint="eastAsia" w:ascii="宋体" w:hAnsi="宋体" w:eastAsia="宋体" w:cs="宋体"/>
          <w:color w:val="000000"/>
          <w:sz w:val="21"/>
          <w:szCs w:val="21"/>
          <w:highlight w:val="none"/>
        </w:rPr>
        <w:t>承包人在施工过程中，应遵守有关水土保持的法律法规和规章，履行合同约定的水土保持义务，并对其违反法律和合同约定义务所造成的水土流失灾害、人身伤害和财 产损失负责。</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9.6.3</w:t>
      </w:r>
      <w:r>
        <w:rPr>
          <w:rFonts w:hint="eastAsia" w:ascii="宋体" w:hAnsi="宋体" w:eastAsia="宋体" w:cs="宋体"/>
          <w:color w:val="000000"/>
          <w:sz w:val="21"/>
          <w:szCs w:val="21"/>
          <w:highlight w:val="none"/>
        </w:rPr>
        <w:t>承包人的水土保持措施计划，应满足技术标准和要求（合同技术条款）约定的要求。</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85" w:name="_Toc4685"/>
      <w:bookmarkStart w:id="886" w:name="_Toc9534"/>
      <w:bookmarkStart w:id="887" w:name="bookmark1144"/>
      <w:bookmarkStart w:id="888" w:name="_Toc7268"/>
      <w:bookmarkStart w:id="889" w:name="_Toc16635"/>
      <w:bookmarkStart w:id="890" w:name="bookmark1145"/>
      <w:bookmarkStart w:id="891" w:name="bookmark1143"/>
      <w:r>
        <w:rPr>
          <w:rFonts w:hint="eastAsia" w:ascii="宋体" w:hAnsi="宋体" w:eastAsia="宋体" w:cs="宋体"/>
          <w:color w:val="000000"/>
          <w:sz w:val="21"/>
          <w:szCs w:val="21"/>
          <w:highlight w:val="none"/>
        </w:rPr>
        <w:t>9.7文明工地</w:t>
      </w:r>
      <w:bookmarkEnd w:id="885"/>
      <w:bookmarkEnd w:id="886"/>
      <w:bookmarkEnd w:id="887"/>
      <w:bookmarkEnd w:id="888"/>
      <w:bookmarkEnd w:id="889"/>
      <w:bookmarkEnd w:id="890"/>
      <w:bookmarkEnd w:id="891"/>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9.7.1</w:t>
      </w:r>
      <w:r>
        <w:rPr>
          <w:rFonts w:hint="eastAsia" w:ascii="宋体" w:hAnsi="宋体" w:eastAsia="宋体" w:cs="宋体"/>
          <w:color w:val="000000"/>
          <w:sz w:val="21"/>
          <w:szCs w:val="21"/>
          <w:highlight w:val="none"/>
        </w:rPr>
        <w:t>发包人应按专用合同条款的约定，负责建立创建文明建设工地的组织机构，制定创建文明建设工地的规划和办法。</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9.7.2</w:t>
      </w:r>
      <w:r>
        <w:rPr>
          <w:rFonts w:hint="eastAsia" w:ascii="宋体" w:hAnsi="宋体" w:eastAsia="宋体" w:cs="宋体"/>
          <w:color w:val="000000"/>
          <w:sz w:val="21"/>
          <w:szCs w:val="21"/>
          <w:highlight w:val="none"/>
        </w:rPr>
        <w:t>承包人应按创建文明建设工地的规划和办法，履行职责，承担相应责任。所需费用应含在已标价工程量清单中。</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92" w:name="bookmark1148"/>
      <w:bookmarkStart w:id="893" w:name="bookmark1147"/>
      <w:bookmarkStart w:id="894" w:name="_Toc7098"/>
      <w:bookmarkStart w:id="895" w:name="_Toc2182"/>
      <w:bookmarkStart w:id="896" w:name="bookmark1146"/>
      <w:bookmarkStart w:id="897" w:name="_Toc30019"/>
      <w:bookmarkStart w:id="898" w:name="_Toc14175"/>
      <w:r>
        <w:rPr>
          <w:rFonts w:hint="eastAsia" w:ascii="宋体" w:hAnsi="宋体" w:eastAsia="宋体" w:cs="宋体"/>
          <w:color w:val="000000"/>
          <w:sz w:val="21"/>
          <w:szCs w:val="21"/>
          <w:highlight w:val="none"/>
        </w:rPr>
        <w:t>9.8防汛度汛</w:t>
      </w:r>
      <w:bookmarkEnd w:id="892"/>
      <w:bookmarkEnd w:id="893"/>
      <w:bookmarkEnd w:id="894"/>
      <w:bookmarkEnd w:id="895"/>
      <w:bookmarkEnd w:id="896"/>
      <w:bookmarkEnd w:id="897"/>
      <w:bookmarkEnd w:id="898"/>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9.8.</w:t>
      </w:r>
      <w:r>
        <w:rPr>
          <w:rFonts w:hint="eastAsia" w:ascii="宋体" w:hAnsi="宋体" w:eastAsia="宋体" w:cs="宋体"/>
          <w:color w:val="000000"/>
          <w:sz w:val="21"/>
          <w:szCs w:val="21"/>
          <w:highlight w:val="none"/>
        </w:rPr>
        <w:t>1发包人负责组织工程参建单位编制本工程的度汛方案和措施。</w:t>
      </w:r>
    </w:p>
    <w:p>
      <w:pPr>
        <w:pStyle w:val="163"/>
        <w:pageBreakBefore w:val="0"/>
        <w:widowControl w:val="0"/>
        <w:kinsoku/>
        <w:wordWrap/>
        <w:overflowPunct/>
        <w:topLinePunct w:val="0"/>
        <w:autoSpaceDE/>
        <w:autoSpaceDN/>
        <w:bidi w:val="0"/>
        <w:adjustRightInd/>
        <w:snapToGrid/>
        <w:spacing w:after="28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9.8.2</w:t>
      </w:r>
      <w:r>
        <w:rPr>
          <w:rFonts w:hint="eastAsia" w:ascii="宋体" w:hAnsi="宋体" w:eastAsia="宋体" w:cs="宋体"/>
          <w:color w:val="000000"/>
          <w:sz w:val="21"/>
          <w:szCs w:val="21"/>
          <w:highlight w:val="none"/>
        </w:rPr>
        <w:t>承包人应根据发包人编制的本工程度汛方案和措施，制定相应的度汛方案，报发包人批准后实施。</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99" w:name="_Toc965"/>
      <w:bookmarkStart w:id="900" w:name="_Toc27960"/>
      <w:bookmarkStart w:id="901" w:name="_Toc4122"/>
      <w:bookmarkStart w:id="902" w:name="bookmark1151"/>
      <w:bookmarkStart w:id="903" w:name="bookmark1150"/>
      <w:bookmarkStart w:id="904" w:name="_Toc11136"/>
      <w:bookmarkStart w:id="905" w:name="bookmark1149"/>
      <w:r>
        <w:rPr>
          <w:rFonts w:hint="eastAsia" w:ascii="宋体" w:hAnsi="宋体" w:eastAsia="宋体" w:cs="宋体"/>
          <w:color w:val="000000"/>
          <w:sz w:val="21"/>
          <w:szCs w:val="21"/>
          <w:highlight w:val="none"/>
        </w:rPr>
        <w:t>10.进度计划</w:t>
      </w:r>
      <w:bookmarkEnd w:id="899"/>
      <w:bookmarkEnd w:id="900"/>
      <w:bookmarkEnd w:id="901"/>
      <w:bookmarkEnd w:id="902"/>
      <w:bookmarkEnd w:id="903"/>
      <w:bookmarkEnd w:id="904"/>
      <w:bookmarkEnd w:id="905"/>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06" w:name="_Toc22832"/>
      <w:bookmarkStart w:id="907" w:name="bookmark1152"/>
      <w:bookmarkStart w:id="908" w:name="bookmark1154"/>
      <w:bookmarkStart w:id="909" w:name="_Toc4761"/>
      <w:bookmarkStart w:id="910" w:name="_Toc15277"/>
      <w:bookmarkStart w:id="911" w:name="_Toc9184"/>
      <w:bookmarkStart w:id="912" w:name="bookmark1153"/>
      <w:r>
        <w:rPr>
          <w:rFonts w:hint="eastAsia" w:ascii="宋体" w:hAnsi="宋体" w:eastAsia="宋体" w:cs="宋体"/>
          <w:color w:val="000000"/>
          <w:sz w:val="21"/>
          <w:szCs w:val="21"/>
          <w:highlight w:val="none"/>
        </w:rPr>
        <w:t>10.1合同进度计划</w:t>
      </w:r>
      <w:bookmarkEnd w:id="906"/>
      <w:bookmarkEnd w:id="907"/>
      <w:bookmarkEnd w:id="908"/>
      <w:bookmarkEnd w:id="909"/>
      <w:bookmarkEnd w:id="910"/>
      <w:bookmarkEnd w:id="911"/>
      <w:bookmarkEnd w:id="912"/>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承包人应按技术标准和要求（合同技术条款）约定的内容和期限以及监理人的指示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13" w:name="_Toc8733"/>
      <w:bookmarkStart w:id="914" w:name="_Toc22940"/>
      <w:bookmarkStart w:id="915" w:name="bookmark1155"/>
      <w:bookmarkStart w:id="916" w:name="bookmark1156"/>
      <w:bookmarkStart w:id="917" w:name="bookmark1157"/>
      <w:bookmarkStart w:id="918" w:name="_Toc2640"/>
      <w:bookmarkStart w:id="919" w:name="_Toc12603"/>
      <w:r>
        <w:rPr>
          <w:rFonts w:hint="eastAsia" w:ascii="宋体" w:hAnsi="宋体" w:eastAsia="宋体" w:cs="宋体"/>
          <w:color w:val="000000"/>
          <w:sz w:val="21"/>
          <w:szCs w:val="21"/>
          <w:highlight w:val="none"/>
        </w:rPr>
        <w:t>10.2合同进度计划的修订</w:t>
      </w:r>
      <w:bookmarkEnd w:id="913"/>
      <w:bookmarkEnd w:id="914"/>
      <w:bookmarkEnd w:id="915"/>
      <w:bookmarkEnd w:id="916"/>
      <w:bookmarkEnd w:id="917"/>
      <w:bookmarkEnd w:id="918"/>
      <w:bookmarkEnd w:id="919"/>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不论何种原因造成工程的实际进度与第</w:t>
      </w:r>
      <w:r>
        <w:rPr>
          <w:rFonts w:hint="eastAsia" w:ascii="宋体" w:hAnsi="宋体" w:eastAsia="宋体" w:cs="宋体"/>
          <w:color w:val="000000"/>
          <w:sz w:val="21"/>
          <w:szCs w:val="21"/>
          <w:highlight w:val="none"/>
          <w:lang w:val="en-US"/>
        </w:rPr>
        <w:t>10.</w:t>
      </w:r>
      <w:r>
        <w:rPr>
          <w:rFonts w:hint="eastAsia" w:ascii="宋体" w:hAnsi="宋体" w:eastAsia="宋体" w:cs="宋体"/>
          <w:color w:val="000000"/>
          <w:sz w:val="21"/>
          <w:szCs w:val="21"/>
          <w:highlight w:val="none"/>
        </w:rPr>
        <w:t>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时，承包人应按监理人的指示，在14天内向监理人提交修订的合同进度计划，并附调整计划的相关资料，提交监理人审批。监理人应在收到进度计划后的14天内批复。</w:t>
      </w:r>
    </w:p>
    <w:p>
      <w:pPr>
        <w:pStyle w:val="163"/>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3款的约定办理；由于承包人原因造成施工进度延迟，应按第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5款的约定办理。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20" w:name="bookmark1158"/>
      <w:bookmarkStart w:id="921" w:name="_Toc25361"/>
      <w:bookmarkStart w:id="922" w:name="bookmark1159"/>
      <w:bookmarkStart w:id="923" w:name="bookmark1160"/>
      <w:bookmarkStart w:id="924" w:name="_Toc23907"/>
      <w:bookmarkStart w:id="925" w:name="_Toc17518"/>
      <w:bookmarkStart w:id="926" w:name="_Toc31962"/>
      <w:r>
        <w:rPr>
          <w:rFonts w:hint="eastAsia" w:ascii="宋体" w:hAnsi="宋体" w:eastAsia="宋体" w:cs="宋体"/>
          <w:color w:val="000000"/>
          <w:sz w:val="21"/>
          <w:szCs w:val="21"/>
          <w:highlight w:val="none"/>
        </w:rPr>
        <w:t>10.3单位工程进度计划</w:t>
      </w:r>
      <w:bookmarkEnd w:id="920"/>
      <w:bookmarkEnd w:id="921"/>
      <w:bookmarkEnd w:id="922"/>
      <w:bookmarkEnd w:id="923"/>
      <w:bookmarkEnd w:id="924"/>
      <w:bookmarkEnd w:id="925"/>
      <w:bookmarkEnd w:id="926"/>
    </w:p>
    <w:p>
      <w:pPr>
        <w:pStyle w:val="163"/>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监理人认为有必要时，承包人应按监理人指示的内容和期限，并根据合同进度计划的进度控制要求，编制单位工程进度计划，提交监理人审批。</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27" w:name="_Toc600"/>
      <w:bookmarkStart w:id="928" w:name="bookmark1162"/>
      <w:bookmarkStart w:id="929" w:name="_Toc13855"/>
      <w:bookmarkStart w:id="930" w:name="_Toc17540"/>
      <w:bookmarkStart w:id="931" w:name="_Toc18009"/>
      <w:bookmarkStart w:id="932" w:name="bookmark1163"/>
      <w:bookmarkStart w:id="933" w:name="bookmark1161"/>
      <w:r>
        <w:rPr>
          <w:rFonts w:hint="eastAsia" w:ascii="宋体" w:hAnsi="宋体" w:eastAsia="宋体" w:cs="宋体"/>
          <w:color w:val="000000"/>
          <w:sz w:val="21"/>
          <w:szCs w:val="21"/>
          <w:highlight w:val="none"/>
        </w:rPr>
        <w:t>10.4提交资金流估算表</w:t>
      </w:r>
      <w:bookmarkEnd w:id="927"/>
      <w:bookmarkEnd w:id="928"/>
      <w:bookmarkEnd w:id="929"/>
      <w:bookmarkEnd w:id="930"/>
      <w:bookmarkEnd w:id="931"/>
      <w:bookmarkEnd w:id="932"/>
      <w:bookmarkEnd w:id="933"/>
    </w:p>
    <w:p>
      <w:pPr>
        <w:pStyle w:val="163"/>
        <w:pageBreakBefore w:val="0"/>
        <w:widowControl w:val="0"/>
        <w:kinsoku/>
        <w:wordWrap/>
        <w:overflowPunct/>
        <w:topLinePunct w:val="0"/>
        <w:autoSpaceDE/>
        <w:autoSpaceDN/>
        <w:bidi w:val="0"/>
        <w:adjustRightInd/>
        <w:snapToGrid/>
        <w:spacing w:after="3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承包人应在按第</w:t>
      </w:r>
      <w:r>
        <w:rPr>
          <w:rFonts w:hint="eastAsia" w:ascii="宋体" w:hAnsi="宋体" w:eastAsia="宋体" w:cs="宋体"/>
          <w:color w:val="000000"/>
          <w:sz w:val="21"/>
          <w:szCs w:val="21"/>
          <w:highlight w:val="none"/>
          <w:lang w:val="en-US"/>
        </w:rPr>
        <w:t>10.</w:t>
      </w:r>
      <w:r>
        <w:rPr>
          <w:rFonts w:hint="eastAsia" w:ascii="宋体" w:hAnsi="宋体" w:eastAsia="宋体" w:cs="宋体"/>
          <w:color w:val="000000"/>
          <w:sz w:val="21"/>
          <w:szCs w:val="21"/>
          <w:highlight w:val="none"/>
        </w:rPr>
        <w:t>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Style w:val="163"/>
        <w:pageBreakBefore w:val="0"/>
        <w:widowControl w:val="0"/>
        <w:tabs>
          <w:tab w:val="left" w:pos="3329"/>
        </w:tabs>
        <w:kinsoku/>
        <w:wordWrap/>
        <w:overflowPunct/>
        <w:topLinePunct w:val="0"/>
        <w:autoSpaceDE/>
        <w:autoSpaceDN/>
        <w:bidi w:val="0"/>
        <w:adjustRightInd/>
        <w:snapToGrid/>
        <w:spacing w:after="100"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资金流估算表（参考格式）</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金额单位</w:t>
      </w:r>
    </w:p>
    <w:tbl>
      <w:tblPr>
        <w:tblStyle w:val="39"/>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3"/>
        <w:gridCol w:w="284"/>
        <w:gridCol w:w="1314"/>
        <w:gridCol w:w="1555"/>
        <w:gridCol w:w="933"/>
        <w:gridCol w:w="1091"/>
        <w:gridCol w:w="1282"/>
        <w:gridCol w:w="572"/>
        <w:gridCol w:w="7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1" w:hRule="exact"/>
          <w:jc w:val="center"/>
        </w:trPr>
        <w:tc>
          <w:tcPr>
            <w:tcW w:w="293"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w:t>
            </w:r>
          </w:p>
        </w:tc>
        <w:tc>
          <w:tcPr>
            <w:tcW w:w="284"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月</w:t>
            </w:r>
          </w:p>
        </w:tc>
        <w:tc>
          <w:tcPr>
            <w:tcW w:w="1314"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工程预付款</w:t>
            </w:r>
          </w:p>
        </w:tc>
        <w:tc>
          <w:tcPr>
            <w:tcW w:w="1555"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完成工作量付款</w:t>
            </w:r>
          </w:p>
        </w:tc>
        <w:tc>
          <w:tcPr>
            <w:tcW w:w="933"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保留金扣留</w:t>
            </w:r>
          </w:p>
        </w:tc>
        <w:tc>
          <w:tcPr>
            <w:tcW w:w="1091"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材料款扣除</w:t>
            </w:r>
          </w:p>
        </w:tc>
        <w:tc>
          <w:tcPr>
            <w:tcW w:w="1282"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预付款扣还</w:t>
            </w:r>
          </w:p>
        </w:tc>
        <w:tc>
          <w:tcPr>
            <w:tcW w:w="572"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w:t>
            </w:r>
          </w:p>
        </w:tc>
        <w:tc>
          <w:tcPr>
            <w:tcW w:w="750"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应收款</w:t>
            </w:r>
          </w:p>
        </w:tc>
        <w:tc>
          <w:tcPr>
            <w:tcW w:w="1150" w:type="dxa"/>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累计应收款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0" w:hRule="exact"/>
          <w:jc w:val="center"/>
        </w:trPr>
        <w:tc>
          <w:tcPr>
            <w:tcW w:w="293"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284"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314"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555"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933"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091"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282"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572"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750"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150"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0" w:hRule="exact"/>
          <w:jc w:val="center"/>
        </w:trPr>
        <w:tc>
          <w:tcPr>
            <w:tcW w:w="293"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284"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314"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555"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933"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091"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282"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572"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750"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150"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r>
    </w:tbl>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34" w:name="bookmark1165"/>
      <w:bookmarkStart w:id="935" w:name="bookmark1167"/>
      <w:bookmarkStart w:id="936" w:name="_Toc24903"/>
      <w:bookmarkStart w:id="937" w:name="_Toc29444"/>
      <w:bookmarkStart w:id="938" w:name="bookmark1164"/>
      <w:bookmarkStart w:id="939" w:name="_Toc15830"/>
      <w:bookmarkStart w:id="940" w:name="_Toc9773"/>
      <w:r>
        <w:rPr>
          <w:rFonts w:hint="eastAsia" w:ascii="宋体" w:hAnsi="宋体" w:eastAsia="宋体" w:cs="宋体"/>
          <w:color w:val="000000"/>
          <w:sz w:val="21"/>
          <w:szCs w:val="21"/>
          <w:highlight w:val="none"/>
        </w:rPr>
        <w:t>11. 开工和竣工（完工）</w:t>
      </w:r>
      <w:bookmarkEnd w:id="934"/>
      <w:bookmarkEnd w:id="935"/>
      <w:bookmarkEnd w:id="936"/>
      <w:bookmarkEnd w:id="937"/>
      <w:bookmarkEnd w:id="938"/>
      <w:bookmarkEnd w:id="939"/>
      <w:bookmarkEnd w:id="940"/>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41" w:name="bookmark1168"/>
      <w:bookmarkStart w:id="942" w:name="_Toc23713"/>
      <w:bookmarkStart w:id="943" w:name="bookmark1169"/>
      <w:bookmarkStart w:id="944" w:name="_Toc1997"/>
      <w:bookmarkStart w:id="945" w:name="_Toc22496"/>
      <w:bookmarkStart w:id="946" w:name="bookmark1170"/>
      <w:r>
        <w:rPr>
          <w:rFonts w:hint="eastAsia" w:ascii="宋体" w:hAnsi="宋体" w:eastAsia="宋体" w:cs="宋体"/>
          <w:color w:val="000000"/>
          <w:sz w:val="21"/>
          <w:szCs w:val="21"/>
          <w:highlight w:val="none"/>
        </w:rPr>
        <w:t>11.1 开工</w:t>
      </w:r>
      <w:bookmarkEnd w:id="941"/>
      <w:bookmarkEnd w:id="942"/>
      <w:bookmarkEnd w:id="943"/>
      <w:bookmarkEnd w:id="944"/>
      <w:bookmarkEnd w:id="945"/>
      <w:bookmarkEnd w:id="946"/>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11.1.1</w:t>
      </w:r>
      <w:r>
        <w:rPr>
          <w:rFonts w:hint="eastAsia" w:ascii="宋体" w:hAnsi="宋体" w:eastAsia="宋体" w:cs="宋体"/>
          <w:color w:val="000000"/>
          <w:sz w:val="21"/>
          <w:szCs w:val="21"/>
          <w:highlight w:val="none"/>
        </w:rPr>
        <w:t>监理人应在开工日期7天前向承包人发出开工通知。监理人在发出开工通知前应获得发包人同意。工期自监理人发出的开工通知中载明的开工日期起计算。承包人应在开工日期后尽快施工。</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2承包人应按第</w:t>
      </w:r>
      <w:r>
        <w:rPr>
          <w:rFonts w:hint="eastAsia" w:ascii="宋体" w:hAnsi="宋体" w:eastAsia="宋体" w:cs="宋体"/>
          <w:color w:val="000000"/>
          <w:sz w:val="21"/>
          <w:szCs w:val="21"/>
          <w:highlight w:val="none"/>
          <w:lang w:val="en-US"/>
        </w:rPr>
        <w:t>10.</w:t>
      </w:r>
      <w:r>
        <w:rPr>
          <w:rFonts w:hint="eastAsia" w:ascii="宋体" w:hAnsi="宋体" w:eastAsia="宋体" w:cs="宋体"/>
          <w:color w:val="000000"/>
          <w:sz w:val="21"/>
          <w:szCs w:val="21"/>
          <w:highlight w:val="none"/>
        </w:rPr>
        <w:t>1款约定的合同进度计划，向监理人提交工程开工报审表</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经监理人审批后执行。开工报审表应详细说明按合同进度计划正常施工所需的施工道路、临时设施、材料设备、施工人员等施工组织措施的落实情况以及工程的进度安排。</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11.1.3</w:t>
      </w:r>
      <w:r>
        <w:rPr>
          <w:rFonts w:hint="eastAsia" w:ascii="宋体" w:hAnsi="宋体" w:eastAsia="宋体" w:cs="宋体"/>
          <w:color w:val="000000"/>
          <w:sz w:val="21"/>
          <w:szCs w:val="21"/>
          <w:highlight w:val="none"/>
        </w:rPr>
        <w:t>若发包人未能按合同约定向承包人提供开工的必要条件，承包人有权要求延 长工期。监理人应在收到承包人的书面要求后，按第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5款的约定，与合同双方商定或确定增加的费用和延长的工期。</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11.1.4</w:t>
      </w:r>
      <w:r>
        <w:rPr>
          <w:rFonts w:hint="eastAsia" w:ascii="宋体" w:hAnsi="宋体" w:eastAsia="宋体" w:cs="宋体"/>
          <w:color w:val="000000"/>
          <w:sz w:val="21"/>
          <w:szCs w:val="21"/>
          <w:highlight w:val="none"/>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47" w:name="bookmark1172"/>
      <w:bookmarkStart w:id="948" w:name="_Toc2403"/>
      <w:bookmarkStart w:id="949" w:name="bookmark1171"/>
      <w:bookmarkStart w:id="950" w:name="bookmark1173"/>
      <w:bookmarkStart w:id="951" w:name="_Toc29025"/>
      <w:bookmarkStart w:id="952" w:name="_Toc32192"/>
      <w:bookmarkStart w:id="953" w:name="_Toc17606"/>
      <w:r>
        <w:rPr>
          <w:rFonts w:hint="eastAsia" w:ascii="宋体" w:hAnsi="宋体" w:eastAsia="宋体" w:cs="宋体"/>
          <w:color w:val="000000"/>
          <w:sz w:val="21"/>
          <w:szCs w:val="21"/>
          <w:highlight w:val="none"/>
        </w:rPr>
        <w:t>11.2竣工(完工)</w:t>
      </w:r>
      <w:bookmarkEnd w:id="947"/>
      <w:bookmarkEnd w:id="948"/>
      <w:bookmarkEnd w:id="949"/>
      <w:bookmarkEnd w:id="950"/>
      <w:bookmarkEnd w:id="951"/>
      <w:bookmarkEnd w:id="952"/>
      <w:bookmarkEnd w:id="953"/>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承包人应在第</w:t>
      </w: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3目约定的期限内完成合同工程。合同工程实际完工时间在合同工程完工证书中明确（以完工验收鉴定书或竣工验收鉴定书标明的验收日期为准，没有标明验收日期的则以印发鉴定书的日期为准）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ascii="宋体" w:hAnsi="宋体" w:eastAsia="宋体" w:cs="宋体"/>
          <w:color w:val="000000"/>
          <w:sz w:val="21"/>
          <w:szCs w:val="21"/>
          <w:highlight w:val="none"/>
          <w:lang w:val="en-US"/>
        </w:rPr>
        <w:t>。</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54" w:name="_Toc1656"/>
      <w:bookmarkStart w:id="955" w:name="_Toc18256"/>
      <w:bookmarkStart w:id="956" w:name="_Toc7284"/>
      <w:bookmarkStart w:id="957" w:name="_Toc30309"/>
      <w:bookmarkStart w:id="958" w:name="bookmark1176"/>
      <w:bookmarkStart w:id="959" w:name="bookmark1175"/>
      <w:bookmarkStart w:id="960" w:name="bookmark1174"/>
      <w:r>
        <w:rPr>
          <w:rFonts w:hint="eastAsia" w:ascii="宋体" w:hAnsi="宋体" w:eastAsia="宋体" w:cs="宋体"/>
          <w:color w:val="000000"/>
          <w:sz w:val="21"/>
          <w:szCs w:val="21"/>
          <w:highlight w:val="none"/>
        </w:rPr>
        <w:t>11.3发包人的工期延误</w:t>
      </w:r>
      <w:bookmarkEnd w:id="954"/>
      <w:bookmarkEnd w:id="955"/>
      <w:bookmarkEnd w:id="956"/>
      <w:bookmarkEnd w:id="957"/>
      <w:bookmarkEnd w:id="958"/>
      <w:bookmarkEnd w:id="959"/>
      <w:bookmarkEnd w:id="960"/>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在履行合同过程中，由于发包人的下列原因造成工期延误的，承包人有权要求发包人延长工期和(或)增加费用，并支付合理利润。需要修订合同进度计划的，按照第</w:t>
      </w:r>
      <w:r>
        <w:rPr>
          <w:rFonts w:hint="eastAsia" w:ascii="宋体" w:hAnsi="宋体" w:eastAsia="宋体" w:cs="宋体"/>
          <w:color w:val="000000"/>
          <w:sz w:val="21"/>
          <w:szCs w:val="21"/>
          <w:highlight w:val="none"/>
          <w:lang w:val="en-US"/>
        </w:rPr>
        <w:t xml:space="preserve">10. </w:t>
      </w:r>
      <w:r>
        <w:rPr>
          <w:rFonts w:hint="eastAsia" w:ascii="宋体" w:hAnsi="宋体" w:eastAsia="宋体" w:cs="宋体"/>
          <w:color w:val="000000"/>
          <w:sz w:val="21"/>
          <w:szCs w:val="21"/>
          <w:highlight w:val="none"/>
        </w:rPr>
        <w:t>2款的约定办理。</w:t>
      </w:r>
    </w:p>
    <w:p>
      <w:pPr>
        <w:pStyle w:val="163"/>
        <w:pageBreakBefore w:val="0"/>
        <w:widowControl w:val="0"/>
        <w:numPr>
          <w:ilvl w:val="0"/>
          <w:numId w:val="6"/>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961" w:name="bookmark1177"/>
      <w:bookmarkEnd w:id="961"/>
      <w:r>
        <w:rPr>
          <w:rFonts w:hint="eastAsia" w:ascii="宋体" w:hAnsi="宋体" w:eastAsia="宋体" w:cs="宋体"/>
          <w:color w:val="000000"/>
          <w:sz w:val="21"/>
          <w:szCs w:val="21"/>
          <w:highlight w:val="none"/>
        </w:rPr>
        <w:t>增加合同工作内容；</w:t>
      </w:r>
    </w:p>
    <w:p>
      <w:pPr>
        <w:pStyle w:val="163"/>
        <w:pageBreakBefore w:val="0"/>
        <w:widowControl w:val="0"/>
        <w:numPr>
          <w:ilvl w:val="0"/>
          <w:numId w:val="6"/>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2" w:name="bookmark1178"/>
      <w:bookmarkEnd w:id="962"/>
      <w:r>
        <w:rPr>
          <w:rFonts w:hint="eastAsia" w:ascii="宋体" w:hAnsi="宋体" w:eastAsia="宋体" w:cs="宋体"/>
          <w:color w:val="000000"/>
          <w:sz w:val="21"/>
          <w:szCs w:val="21"/>
          <w:highlight w:val="none"/>
        </w:rPr>
        <w:t>改变合同中任何一项工作的质量要求或其他特性；</w:t>
      </w:r>
    </w:p>
    <w:p>
      <w:pPr>
        <w:pStyle w:val="163"/>
        <w:pageBreakBefore w:val="0"/>
        <w:widowControl w:val="0"/>
        <w:numPr>
          <w:ilvl w:val="0"/>
          <w:numId w:val="6"/>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3" w:name="bookmark1179"/>
      <w:bookmarkEnd w:id="963"/>
      <w:r>
        <w:rPr>
          <w:rFonts w:hint="eastAsia" w:ascii="宋体" w:hAnsi="宋体" w:eastAsia="宋体" w:cs="宋体"/>
          <w:color w:val="000000"/>
          <w:sz w:val="21"/>
          <w:szCs w:val="21"/>
          <w:highlight w:val="none"/>
        </w:rPr>
        <w:t>发包人迟延提供材料、工程设备或变更交货地点的；</w:t>
      </w:r>
    </w:p>
    <w:p>
      <w:pPr>
        <w:pStyle w:val="163"/>
        <w:pageBreakBefore w:val="0"/>
        <w:widowControl w:val="0"/>
        <w:numPr>
          <w:ilvl w:val="0"/>
          <w:numId w:val="6"/>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4" w:name="bookmark1180"/>
      <w:bookmarkEnd w:id="964"/>
      <w:r>
        <w:rPr>
          <w:rFonts w:hint="eastAsia" w:ascii="宋体" w:hAnsi="宋体" w:eastAsia="宋体" w:cs="宋体"/>
          <w:color w:val="000000"/>
          <w:sz w:val="21"/>
          <w:szCs w:val="21"/>
          <w:highlight w:val="none"/>
        </w:rPr>
        <w:t>因发包人原因导致的暂停施工；</w:t>
      </w:r>
    </w:p>
    <w:p>
      <w:pPr>
        <w:pStyle w:val="163"/>
        <w:pageBreakBefore w:val="0"/>
        <w:widowControl w:val="0"/>
        <w:numPr>
          <w:ilvl w:val="0"/>
          <w:numId w:val="6"/>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5" w:name="bookmark1181"/>
      <w:bookmarkEnd w:id="965"/>
      <w:r>
        <w:rPr>
          <w:rFonts w:hint="eastAsia" w:ascii="宋体" w:hAnsi="宋体" w:eastAsia="宋体" w:cs="宋体"/>
          <w:color w:val="000000"/>
          <w:sz w:val="21"/>
          <w:szCs w:val="21"/>
          <w:highlight w:val="none"/>
        </w:rPr>
        <w:t>提供图纸延误；</w:t>
      </w:r>
    </w:p>
    <w:p>
      <w:pPr>
        <w:pStyle w:val="163"/>
        <w:pageBreakBefore w:val="0"/>
        <w:widowControl w:val="0"/>
        <w:numPr>
          <w:ilvl w:val="0"/>
          <w:numId w:val="6"/>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6" w:name="bookmark1182"/>
      <w:bookmarkEnd w:id="966"/>
      <w:r>
        <w:rPr>
          <w:rFonts w:hint="eastAsia" w:ascii="宋体" w:hAnsi="宋体" w:eastAsia="宋体" w:cs="宋体"/>
          <w:color w:val="000000"/>
          <w:sz w:val="21"/>
          <w:szCs w:val="21"/>
          <w:highlight w:val="none"/>
        </w:rPr>
        <w:t>未按合同约定及时支付预付款、进度款；</w:t>
      </w:r>
    </w:p>
    <w:p>
      <w:pPr>
        <w:pStyle w:val="163"/>
        <w:pageBreakBefore w:val="0"/>
        <w:widowControl w:val="0"/>
        <w:numPr>
          <w:ilvl w:val="0"/>
          <w:numId w:val="6"/>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7" w:name="bookmark1183"/>
      <w:bookmarkEnd w:id="967"/>
      <w:r>
        <w:rPr>
          <w:rFonts w:hint="eastAsia" w:ascii="宋体" w:hAnsi="宋体" w:eastAsia="宋体" w:cs="宋体"/>
          <w:color w:val="000000"/>
          <w:sz w:val="21"/>
          <w:szCs w:val="21"/>
          <w:highlight w:val="none"/>
        </w:rPr>
        <w:t>发包人造成工期延误的其他原因。</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68" w:name="_Toc10371"/>
      <w:bookmarkStart w:id="969" w:name="_Toc20743"/>
      <w:bookmarkStart w:id="970" w:name="bookmark1184"/>
      <w:bookmarkStart w:id="971" w:name="_Toc26566"/>
      <w:bookmarkStart w:id="972" w:name="_Toc27145"/>
      <w:bookmarkStart w:id="973" w:name="bookmark1185"/>
      <w:bookmarkStart w:id="974" w:name="bookmark1186"/>
      <w:r>
        <w:rPr>
          <w:rFonts w:hint="eastAsia" w:ascii="宋体" w:hAnsi="宋体" w:eastAsia="宋体" w:cs="宋体"/>
          <w:color w:val="000000"/>
          <w:sz w:val="21"/>
          <w:szCs w:val="21"/>
          <w:highlight w:val="none"/>
        </w:rPr>
        <w:t>11.4异常恶劣的气候条件</w:t>
      </w:r>
      <w:bookmarkEnd w:id="968"/>
      <w:bookmarkEnd w:id="969"/>
      <w:bookmarkEnd w:id="970"/>
      <w:bookmarkEnd w:id="971"/>
      <w:bookmarkEnd w:id="972"/>
      <w:bookmarkEnd w:id="973"/>
      <w:bookmarkEnd w:id="974"/>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11.4.1</w:t>
      </w:r>
      <w:r>
        <w:rPr>
          <w:rFonts w:hint="eastAsia" w:ascii="宋体" w:hAnsi="宋体" w:eastAsia="宋体" w:cs="宋体"/>
          <w:color w:val="000000"/>
          <w:sz w:val="21"/>
          <w:szCs w:val="21"/>
          <w:highlight w:val="none"/>
        </w:rPr>
        <w:t>当工程所在地发生危及施工安全的异常恶劣气候时，发包人和承包人应按本合同通用合同条款第12条的约定，及时采取暂停施工或部分暂停施工措施。异常恶劣气候条件解除后，承包人应及时安排复工。</w:t>
      </w:r>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11.4.2</w:t>
      </w:r>
      <w:r>
        <w:rPr>
          <w:rFonts w:hint="eastAsia" w:ascii="宋体" w:hAnsi="宋体" w:eastAsia="宋体" w:cs="宋体"/>
          <w:color w:val="000000"/>
          <w:sz w:val="21"/>
          <w:szCs w:val="21"/>
          <w:highlight w:val="none"/>
        </w:rPr>
        <w:t>异常恶劣气候条件造成的工期延误和工程损坏，应由发包人与承包人参照本合同通用合同条款第</w:t>
      </w:r>
      <w:r>
        <w:rPr>
          <w:rFonts w:hint="eastAsia" w:ascii="宋体" w:hAnsi="宋体" w:eastAsia="宋体" w:cs="宋体"/>
          <w:color w:val="000000"/>
          <w:sz w:val="21"/>
          <w:szCs w:val="21"/>
          <w:highlight w:val="none"/>
          <w:lang w:val="en-US"/>
        </w:rPr>
        <w:t>21.</w:t>
      </w:r>
      <w:r>
        <w:rPr>
          <w:rFonts w:hint="eastAsia" w:ascii="宋体" w:hAnsi="宋体" w:eastAsia="宋体" w:cs="宋体"/>
          <w:color w:val="000000"/>
          <w:sz w:val="21"/>
          <w:szCs w:val="21"/>
          <w:highlight w:val="none"/>
        </w:rPr>
        <w:t>3款的约定共同协商处理。</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3本合同工程界定异常恶劣气候条件的范围在专用合同条款中约定。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75" w:name="bookmark1189"/>
      <w:bookmarkStart w:id="976" w:name="_Toc16345"/>
      <w:bookmarkStart w:id="977" w:name="_Toc1075"/>
      <w:bookmarkStart w:id="978" w:name="_Toc99"/>
      <w:bookmarkStart w:id="979" w:name="bookmark1187"/>
      <w:bookmarkStart w:id="980" w:name="_Toc1747"/>
      <w:bookmarkStart w:id="981" w:name="bookmark1188"/>
      <w:r>
        <w:rPr>
          <w:rFonts w:hint="eastAsia" w:ascii="宋体" w:hAnsi="宋体" w:eastAsia="宋体" w:cs="宋体"/>
          <w:color w:val="000000"/>
          <w:sz w:val="21"/>
          <w:szCs w:val="21"/>
          <w:highlight w:val="none"/>
        </w:rPr>
        <w:t>11.5承包人工期延误</w:t>
      </w:r>
      <w:bookmarkEnd w:id="975"/>
      <w:bookmarkEnd w:id="976"/>
      <w:bookmarkEnd w:id="977"/>
      <w:bookmarkEnd w:id="978"/>
      <w:bookmarkEnd w:id="979"/>
      <w:bookmarkEnd w:id="980"/>
      <w:bookmarkEnd w:id="981"/>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82" w:name="bookmark1190"/>
      <w:bookmarkStart w:id="983" w:name="_Toc6092"/>
      <w:bookmarkStart w:id="984" w:name="_Toc18962"/>
      <w:bookmarkStart w:id="985" w:name="_Toc13373"/>
      <w:bookmarkStart w:id="986" w:name="bookmark1192"/>
      <w:bookmarkStart w:id="987" w:name="bookmark1191"/>
      <w:bookmarkStart w:id="988" w:name="_Toc14969"/>
      <w:r>
        <w:rPr>
          <w:rFonts w:hint="eastAsia" w:ascii="宋体" w:hAnsi="宋体" w:eastAsia="宋体" w:cs="宋体"/>
          <w:color w:val="000000"/>
          <w:sz w:val="21"/>
          <w:szCs w:val="21"/>
          <w:highlight w:val="none"/>
        </w:rPr>
        <w:t>11.6工期提前</w:t>
      </w:r>
      <w:bookmarkEnd w:id="982"/>
      <w:bookmarkEnd w:id="983"/>
      <w:bookmarkEnd w:id="984"/>
      <w:bookmarkEnd w:id="985"/>
      <w:bookmarkEnd w:id="986"/>
      <w:bookmarkEnd w:id="987"/>
      <w:bookmarkEnd w:id="988"/>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pPr>
        <w:pStyle w:val="163"/>
        <w:pageBreakBefore w:val="0"/>
        <w:widowControl w:val="0"/>
        <w:kinsoku/>
        <w:wordWrap/>
        <w:overflowPunct/>
        <w:topLinePunct w:val="0"/>
        <w:autoSpaceDE/>
        <w:autoSpaceDN/>
        <w:bidi w:val="0"/>
        <w:adjustRightInd/>
        <w:snapToGrid/>
        <w:spacing w:after="1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发包人要求提前完工的，双方协商一致后应签订提前完工协议，协议内容包括：</w:t>
      </w:r>
    </w:p>
    <w:p>
      <w:pPr>
        <w:pStyle w:val="163"/>
        <w:pageBreakBefore w:val="0"/>
        <w:widowControl w:val="0"/>
        <w:numPr>
          <w:ilvl w:val="0"/>
          <w:numId w:val="7"/>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89" w:name="bookmark1193"/>
      <w:bookmarkEnd w:id="989"/>
      <w:r>
        <w:rPr>
          <w:rFonts w:hint="eastAsia" w:ascii="宋体" w:hAnsi="宋体" w:eastAsia="宋体" w:cs="宋体"/>
          <w:color w:val="000000"/>
          <w:sz w:val="21"/>
          <w:szCs w:val="21"/>
          <w:highlight w:val="none"/>
        </w:rPr>
        <w:t>提前的时间和修订后的进度计划。</w:t>
      </w:r>
    </w:p>
    <w:p>
      <w:pPr>
        <w:pStyle w:val="163"/>
        <w:pageBreakBefore w:val="0"/>
        <w:widowControl w:val="0"/>
        <w:numPr>
          <w:ilvl w:val="0"/>
          <w:numId w:val="7"/>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90" w:name="bookmark1194"/>
      <w:bookmarkEnd w:id="990"/>
      <w:r>
        <w:rPr>
          <w:rFonts w:hint="eastAsia" w:ascii="宋体" w:hAnsi="宋体" w:eastAsia="宋体" w:cs="宋体"/>
          <w:color w:val="000000"/>
          <w:sz w:val="21"/>
          <w:szCs w:val="21"/>
          <w:highlight w:val="none"/>
        </w:rPr>
        <w:t>承包人的赶工措施。</w:t>
      </w:r>
    </w:p>
    <w:p>
      <w:pPr>
        <w:pStyle w:val="163"/>
        <w:pageBreakBefore w:val="0"/>
        <w:widowControl w:val="0"/>
        <w:numPr>
          <w:ilvl w:val="0"/>
          <w:numId w:val="7"/>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发包人为赶工提供的条件。</w:t>
      </w:r>
    </w:p>
    <w:p>
      <w:pPr>
        <w:pStyle w:val="163"/>
        <w:pageBreakBefore w:val="0"/>
        <w:widowControl w:val="0"/>
        <w:numPr>
          <w:ilvl w:val="0"/>
          <w:numId w:val="7"/>
        </w:numPr>
        <w:tabs>
          <w:tab w:val="left" w:pos="923"/>
        </w:tabs>
        <w:kinsoku/>
        <w:wordWrap/>
        <w:overflowPunct/>
        <w:topLinePunct w:val="0"/>
        <w:autoSpaceDE/>
        <w:autoSpaceDN/>
        <w:bidi w:val="0"/>
        <w:adjustRightInd/>
        <w:snapToGrid/>
        <w:spacing w:after="280" w:line="400" w:lineRule="exact"/>
        <w:ind w:firstLine="440"/>
        <w:textAlignment w:val="auto"/>
        <w:rPr>
          <w:rFonts w:hint="eastAsia" w:ascii="宋体" w:hAnsi="宋体" w:eastAsia="宋体" w:cs="宋体"/>
          <w:color w:val="000000"/>
          <w:sz w:val="21"/>
          <w:szCs w:val="21"/>
          <w:highlight w:val="none"/>
        </w:rPr>
      </w:pPr>
      <w:bookmarkStart w:id="991" w:name="bookmark1196"/>
      <w:bookmarkEnd w:id="991"/>
      <w:r>
        <w:rPr>
          <w:rFonts w:hint="eastAsia" w:ascii="宋体" w:hAnsi="宋体" w:eastAsia="宋体" w:cs="宋体"/>
          <w:color w:val="000000"/>
          <w:sz w:val="21"/>
          <w:szCs w:val="21"/>
          <w:highlight w:val="none"/>
        </w:rPr>
        <w:t>赶工费用(包括利润和奖金)</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92" w:name="bookmark1197"/>
      <w:bookmarkStart w:id="993" w:name="_Toc3129"/>
      <w:bookmarkStart w:id="994" w:name="_Toc8406"/>
      <w:bookmarkStart w:id="995" w:name="bookmark1198"/>
      <w:bookmarkStart w:id="996" w:name="_Toc5071"/>
      <w:bookmarkStart w:id="997" w:name="_Toc8400"/>
      <w:bookmarkStart w:id="998" w:name="bookmark1199"/>
      <w:r>
        <w:rPr>
          <w:rFonts w:hint="eastAsia" w:ascii="宋体" w:hAnsi="宋体" w:eastAsia="宋体" w:cs="宋体"/>
          <w:color w:val="000000"/>
          <w:sz w:val="21"/>
          <w:szCs w:val="21"/>
          <w:highlight w:val="none"/>
        </w:rPr>
        <w:t>12.暂停施工</w:t>
      </w:r>
      <w:bookmarkEnd w:id="992"/>
      <w:bookmarkEnd w:id="993"/>
      <w:bookmarkEnd w:id="994"/>
      <w:bookmarkEnd w:id="995"/>
      <w:bookmarkEnd w:id="996"/>
      <w:bookmarkEnd w:id="997"/>
      <w:bookmarkEnd w:id="998"/>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99" w:name="_Toc15765"/>
      <w:bookmarkStart w:id="1000" w:name="_Toc25279"/>
      <w:bookmarkStart w:id="1001" w:name="_Toc26404"/>
      <w:bookmarkStart w:id="1002" w:name="bookmark1202"/>
      <w:bookmarkStart w:id="1003" w:name="bookmark1201"/>
      <w:bookmarkStart w:id="1004" w:name="_Toc13041"/>
      <w:bookmarkStart w:id="1005" w:name="bookmark1200"/>
      <w:r>
        <w:rPr>
          <w:rFonts w:hint="eastAsia" w:ascii="宋体" w:hAnsi="宋体" w:eastAsia="宋体" w:cs="宋体"/>
          <w:color w:val="000000"/>
          <w:sz w:val="21"/>
          <w:szCs w:val="21"/>
          <w:highlight w:val="none"/>
        </w:rPr>
        <w:t>12.1承包人暂停施工的责任</w:t>
      </w:r>
      <w:bookmarkEnd w:id="999"/>
      <w:bookmarkEnd w:id="1000"/>
      <w:bookmarkEnd w:id="1001"/>
      <w:bookmarkEnd w:id="1002"/>
      <w:bookmarkEnd w:id="1003"/>
      <w:bookmarkEnd w:id="1004"/>
      <w:bookmarkEnd w:id="1005"/>
    </w:p>
    <w:p>
      <w:pPr>
        <w:pStyle w:val="163"/>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因下列暂停施工增加的费用和(或)工期延误由承包人承担：</w:t>
      </w:r>
    </w:p>
    <w:p>
      <w:pPr>
        <w:pStyle w:val="163"/>
        <w:pageBreakBefore w:val="0"/>
        <w:widowControl w:val="0"/>
        <w:numPr>
          <w:ilvl w:val="0"/>
          <w:numId w:val="8"/>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06" w:name="bookmark1203"/>
      <w:bookmarkEnd w:id="1006"/>
      <w:r>
        <w:rPr>
          <w:rFonts w:hint="eastAsia" w:ascii="宋体" w:hAnsi="宋体" w:eastAsia="宋体" w:cs="宋体"/>
          <w:color w:val="000000"/>
          <w:sz w:val="21"/>
          <w:szCs w:val="21"/>
          <w:highlight w:val="none"/>
        </w:rPr>
        <w:t>承包人违约引起的暂停施工；</w:t>
      </w:r>
    </w:p>
    <w:p>
      <w:pPr>
        <w:pStyle w:val="163"/>
        <w:pageBreakBefore w:val="0"/>
        <w:widowControl w:val="0"/>
        <w:numPr>
          <w:ilvl w:val="0"/>
          <w:numId w:val="8"/>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07" w:name="bookmark1204"/>
      <w:bookmarkEnd w:id="1007"/>
      <w:r>
        <w:rPr>
          <w:rFonts w:hint="eastAsia" w:ascii="宋体" w:hAnsi="宋体" w:eastAsia="宋体" w:cs="宋体"/>
          <w:color w:val="000000"/>
          <w:sz w:val="21"/>
          <w:szCs w:val="21"/>
          <w:highlight w:val="none"/>
        </w:rPr>
        <w:t>由于承包人原因为工程合理施工和安全保障所必需的暂停施工；</w:t>
      </w:r>
    </w:p>
    <w:p>
      <w:pPr>
        <w:pStyle w:val="163"/>
        <w:pageBreakBefore w:val="0"/>
        <w:widowControl w:val="0"/>
        <w:numPr>
          <w:ilvl w:val="0"/>
          <w:numId w:val="8"/>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08" w:name="bookmark1205"/>
      <w:bookmarkEnd w:id="1008"/>
      <w:r>
        <w:rPr>
          <w:rFonts w:hint="eastAsia" w:ascii="宋体" w:hAnsi="宋体" w:eastAsia="宋体" w:cs="宋体"/>
          <w:color w:val="000000"/>
          <w:sz w:val="21"/>
          <w:szCs w:val="21"/>
          <w:highlight w:val="none"/>
        </w:rPr>
        <w:t>承包人擅自暂停施工；</w:t>
      </w:r>
    </w:p>
    <w:p>
      <w:pPr>
        <w:pStyle w:val="163"/>
        <w:pageBreakBefore w:val="0"/>
        <w:widowControl w:val="0"/>
        <w:numPr>
          <w:ilvl w:val="0"/>
          <w:numId w:val="8"/>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09" w:name="bookmark1206"/>
      <w:bookmarkEnd w:id="1009"/>
      <w:r>
        <w:rPr>
          <w:rFonts w:hint="eastAsia" w:ascii="宋体" w:hAnsi="宋体" w:eastAsia="宋体" w:cs="宋体"/>
          <w:color w:val="000000"/>
          <w:sz w:val="21"/>
          <w:szCs w:val="21"/>
          <w:highlight w:val="none"/>
        </w:rPr>
        <w:t>承包人其他原因引起的暂停施工；</w:t>
      </w:r>
    </w:p>
    <w:p>
      <w:pPr>
        <w:pStyle w:val="163"/>
        <w:pageBreakBefore w:val="0"/>
        <w:widowControl w:val="0"/>
        <w:numPr>
          <w:ilvl w:val="0"/>
          <w:numId w:val="8"/>
        </w:numPr>
        <w:tabs>
          <w:tab w:val="left" w:pos="923"/>
        </w:tabs>
        <w:kinsoku/>
        <w:wordWrap/>
        <w:overflowPunct/>
        <w:topLinePunct w:val="0"/>
        <w:autoSpaceDE/>
        <w:autoSpaceDN/>
        <w:bidi w:val="0"/>
        <w:adjustRightInd/>
        <w:snapToGrid/>
        <w:spacing w:after="120" w:line="400" w:lineRule="exact"/>
        <w:ind w:firstLine="440"/>
        <w:textAlignment w:val="auto"/>
        <w:rPr>
          <w:rFonts w:hint="eastAsia" w:ascii="宋体" w:hAnsi="宋体" w:eastAsia="宋体" w:cs="宋体"/>
          <w:color w:val="000000"/>
          <w:sz w:val="21"/>
          <w:szCs w:val="21"/>
          <w:highlight w:val="none"/>
        </w:rPr>
      </w:pPr>
      <w:bookmarkStart w:id="1010" w:name="bookmark1207"/>
      <w:bookmarkEnd w:id="1010"/>
      <w:r>
        <w:rPr>
          <w:rFonts w:hint="eastAsia" w:ascii="宋体" w:hAnsi="宋体" w:eastAsia="宋体" w:cs="宋体"/>
          <w:color w:val="000000"/>
          <w:sz w:val="21"/>
          <w:szCs w:val="21"/>
          <w:highlight w:val="none"/>
        </w:rPr>
        <w:t>专用合同条款约定由承包人承担的其他暂停施工。</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11" w:name="bookmark1210"/>
      <w:bookmarkStart w:id="1012" w:name="_Toc11449"/>
      <w:bookmarkStart w:id="1013" w:name="bookmark1208"/>
      <w:bookmarkStart w:id="1014" w:name="_Toc12168"/>
      <w:bookmarkStart w:id="1015" w:name="bookmark1209"/>
      <w:bookmarkStart w:id="1016" w:name="_Toc19655"/>
      <w:bookmarkStart w:id="1017" w:name="_Toc5468"/>
      <w:r>
        <w:rPr>
          <w:rFonts w:hint="eastAsia" w:ascii="宋体" w:hAnsi="宋体" w:eastAsia="宋体" w:cs="宋体"/>
          <w:color w:val="000000"/>
          <w:sz w:val="21"/>
          <w:szCs w:val="21"/>
          <w:highlight w:val="none"/>
        </w:rPr>
        <w:t>12.2发包人暂停施工的责任</w:t>
      </w:r>
      <w:bookmarkEnd w:id="1011"/>
      <w:bookmarkEnd w:id="1012"/>
      <w:bookmarkEnd w:id="1013"/>
      <w:bookmarkEnd w:id="1014"/>
      <w:bookmarkEnd w:id="1015"/>
      <w:bookmarkEnd w:id="1016"/>
      <w:bookmarkEnd w:id="1017"/>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由于发包人原因引起的暂停施工造成工期延误的，承包人有权要求发包人延长工期和 (或)增加费用，并支付合理利润。属于下列任何一种情况引起的暂停施工，均为发包人的责任：</w:t>
      </w:r>
    </w:p>
    <w:p>
      <w:pPr>
        <w:pStyle w:val="163"/>
        <w:pageBreakBefore w:val="0"/>
        <w:widowControl w:val="0"/>
        <w:numPr>
          <w:ilvl w:val="0"/>
          <w:numId w:val="9"/>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018" w:name="bookmark1211"/>
      <w:bookmarkEnd w:id="1018"/>
      <w:r>
        <w:rPr>
          <w:rFonts w:hint="eastAsia" w:ascii="宋体" w:hAnsi="宋体" w:eastAsia="宋体" w:cs="宋体"/>
          <w:color w:val="000000"/>
          <w:sz w:val="21"/>
          <w:szCs w:val="21"/>
          <w:highlight w:val="none"/>
        </w:rPr>
        <w:t>由于发包人违约引起的暂停施工。</w:t>
      </w:r>
    </w:p>
    <w:p>
      <w:pPr>
        <w:pStyle w:val="163"/>
        <w:pageBreakBefore w:val="0"/>
        <w:widowControl w:val="0"/>
        <w:numPr>
          <w:ilvl w:val="0"/>
          <w:numId w:val="9"/>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19" w:name="bookmark1212"/>
      <w:bookmarkEnd w:id="1019"/>
      <w:r>
        <w:rPr>
          <w:rFonts w:hint="eastAsia" w:ascii="宋体" w:hAnsi="宋体" w:eastAsia="宋体" w:cs="宋体"/>
          <w:color w:val="000000"/>
          <w:sz w:val="21"/>
          <w:szCs w:val="21"/>
          <w:highlight w:val="none"/>
        </w:rPr>
        <w:t>由于不可抗力的自然或社会因素引起的暂停施工。</w:t>
      </w:r>
    </w:p>
    <w:p>
      <w:pPr>
        <w:pStyle w:val="163"/>
        <w:pageBreakBefore w:val="0"/>
        <w:widowControl w:val="0"/>
        <w:numPr>
          <w:ilvl w:val="0"/>
          <w:numId w:val="9"/>
        </w:numPr>
        <w:tabs>
          <w:tab w:val="left" w:pos="923"/>
        </w:tabs>
        <w:kinsoku/>
        <w:wordWrap/>
        <w:overflowPunct/>
        <w:topLinePunct w:val="0"/>
        <w:autoSpaceDE/>
        <w:autoSpaceDN/>
        <w:bidi w:val="0"/>
        <w:adjustRightInd/>
        <w:snapToGrid/>
        <w:spacing w:after="120" w:line="400" w:lineRule="exact"/>
        <w:ind w:firstLine="440"/>
        <w:textAlignment w:val="auto"/>
        <w:rPr>
          <w:rFonts w:hint="eastAsia" w:ascii="宋体" w:hAnsi="宋体" w:eastAsia="宋体" w:cs="宋体"/>
          <w:color w:val="000000"/>
          <w:sz w:val="21"/>
          <w:szCs w:val="21"/>
          <w:highlight w:val="none"/>
        </w:rPr>
      </w:pPr>
      <w:bookmarkStart w:id="1020" w:name="bookmark1213"/>
      <w:bookmarkEnd w:id="1020"/>
      <w:r>
        <w:rPr>
          <w:rFonts w:hint="eastAsia" w:ascii="宋体" w:hAnsi="宋体" w:eastAsia="宋体" w:cs="宋体"/>
          <w:color w:val="000000"/>
          <w:sz w:val="21"/>
          <w:szCs w:val="21"/>
          <w:highlight w:val="none"/>
        </w:rPr>
        <w:t>专用合同条款中约定的其它由于发包人原因引起的暂停施工。</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21" w:name="_Toc20500"/>
      <w:bookmarkStart w:id="1022" w:name="_Toc4901"/>
      <w:bookmarkStart w:id="1023" w:name="bookmark1214"/>
      <w:bookmarkStart w:id="1024" w:name="_Toc7215"/>
      <w:bookmarkStart w:id="1025" w:name="bookmark1215"/>
      <w:bookmarkStart w:id="1026" w:name="_Toc29136"/>
      <w:bookmarkStart w:id="1027" w:name="bookmark1216"/>
      <w:r>
        <w:rPr>
          <w:rFonts w:hint="eastAsia" w:ascii="宋体" w:hAnsi="宋体" w:eastAsia="宋体" w:cs="宋体"/>
          <w:color w:val="000000"/>
          <w:sz w:val="21"/>
          <w:szCs w:val="21"/>
          <w:highlight w:val="none"/>
        </w:rPr>
        <w:t>12.3监理人暂停施工指示</w:t>
      </w:r>
      <w:bookmarkEnd w:id="1021"/>
      <w:bookmarkEnd w:id="1022"/>
      <w:bookmarkEnd w:id="1023"/>
      <w:bookmarkEnd w:id="1024"/>
      <w:bookmarkEnd w:id="1025"/>
      <w:bookmarkEnd w:id="1026"/>
      <w:bookmarkEnd w:id="1027"/>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12.3.1</w:t>
      </w:r>
      <w:r>
        <w:rPr>
          <w:rFonts w:hint="eastAsia" w:ascii="宋体" w:hAnsi="宋体" w:eastAsia="宋体" w:cs="宋体"/>
          <w:color w:val="000000"/>
          <w:sz w:val="21"/>
          <w:szCs w:val="21"/>
          <w:highlight w:val="none"/>
        </w:rPr>
        <w:t>监理人认为有必要时，可向承包人作出暂停施工的指示，承包人应按监理人指示暂停施工。不论由于何种原因引起的暂停施工，暂停施工期间承包人应负责妥善保护工程并提供安全保障。</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12.3.2</w:t>
      </w:r>
      <w:r>
        <w:rPr>
          <w:rFonts w:hint="eastAsia" w:ascii="宋体" w:hAnsi="宋体" w:eastAsia="宋体" w:cs="宋体"/>
          <w:color w:val="000000"/>
          <w:sz w:val="21"/>
          <w:szCs w:val="21"/>
          <w:highlight w:val="none"/>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28" w:name="_Toc20568"/>
      <w:bookmarkStart w:id="1029" w:name="bookmark1217"/>
      <w:bookmarkStart w:id="1030" w:name="bookmark1218"/>
      <w:bookmarkStart w:id="1031" w:name="_Toc14048"/>
      <w:bookmarkStart w:id="1032" w:name="_Toc9218"/>
      <w:bookmarkStart w:id="1033" w:name="_Toc13682"/>
      <w:bookmarkStart w:id="1034" w:name="bookmark1219"/>
      <w:r>
        <w:rPr>
          <w:rFonts w:hint="eastAsia" w:ascii="宋体" w:hAnsi="宋体" w:eastAsia="宋体" w:cs="宋体"/>
          <w:color w:val="000000"/>
          <w:sz w:val="21"/>
          <w:szCs w:val="21"/>
          <w:highlight w:val="none"/>
        </w:rPr>
        <w:t>12.4暂停施工后的复工</w:t>
      </w:r>
      <w:bookmarkEnd w:id="1028"/>
      <w:bookmarkEnd w:id="1029"/>
      <w:bookmarkEnd w:id="1030"/>
      <w:bookmarkEnd w:id="1031"/>
      <w:bookmarkEnd w:id="1032"/>
      <w:bookmarkEnd w:id="1033"/>
      <w:bookmarkEnd w:id="1034"/>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035" w:name="bookmark1220"/>
      <w:bookmarkEnd w:id="1035"/>
      <w:r>
        <w:rPr>
          <w:rFonts w:hint="eastAsia" w:ascii="宋体" w:hAnsi="宋体" w:eastAsia="宋体" w:cs="宋体"/>
          <w:color w:val="000000"/>
          <w:sz w:val="21"/>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036" w:name="bookmark1221"/>
      <w:bookmarkEnd w:id="1036"/>
      <w:r>
        <w:rPr>
          <w:rFonts w:hint="eastAsia" w:ascii="宋体" w:hAnsi="宋体" w:eastAsia="宋体" w:cs="宋体"/>
          <w:color w:val="000000"/>
          <w:sz w:val="21"/>
          <w:szCs w:val="21"/>
          <w:highlight w:val="none"/>
        </w:rPr>
        <w:t>12.4.2承包人无故拖延和拒绝复工的，由此增加的费用和工期延误由承包人承担；因发包人原因无法按时复工的，承包人有权要求发包人延长工期和(或)增加费用，并支付合理利润。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37" w:name="bookmark1195"/>
      <w:bookmarkEnd w:id="1037"/>
      <w:bookmarkStart w:id="1038" w:name="bookmark1222"/>
      <w:bookmarkStart w:id="1039" w:name="bookmark1223"/>
      <w:bookmarkStart w:id="1040" w:name="_Toc8877"/>
      <w:bookmarkStart w:id="1041" w:name="_Toc21105"/>
      <w:bookmarkStart w:id="1042" w:name="bookmark1224"/>
      <w:bookmarkStart w:id="1043" w:name="_Toc7676"/>
      <w:bookmarkStart w:id="1044" w:name="_Toc6811"/>
      <w:r>
        <w:rPr>
          <w:rFonts w:hint="eastAsia" w:ascii="宋体" w:hAnsi="宋体" w:eastAsia="宋体" w:cs="宋体"/>
          <w:color w:val="000000"/>
          <w:sz w:val="21"/>
          <w:szCs w:val="21"/>
          <w:highlight w:val="none"/>
        </w:rPr>
        <w:t>12.5暂停施工持续56天以上</w:t>
      </w:r>
      <w:bookmarkEnd w:id="1038"/>
      <w:bookmarkEnd w:id="1039"/>
      <w:bookmarkEnd w:id="1040"/>
      <w:bookmarkEnd w:id="1041"/>
      <w:bookmarkEnd w:id="1042"/>
      <w:bookmarkEnd w:id="1043"/>
      <w:bookmarkEnd w:id="1044"/>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12.5.1</w:t>
      </w:r>
      <w:r>
        <w:rPr>
          <w:rFonts w:hint="eastAsia" w:ascii="宋体" w:hAnsi="宋体" w:eastAsia="宋体" w:cs="宋体"/>
          <w:color w:val="000000"/>
          <w:sz w:val="21"/>
          <w:szCs w:val="21"/>
          <w:highlight w:val="none"/>
        </w:rPr>
        <w:t>监理人发出暂停施工指示后56天内未向承包人发出复工通知，除了该项停工属于第</w:t>
      </w:r>
      <w:r>
        <w:rPr>
          <w:rFonts w:hint="eastAsia" w:ascii="宋体" w:hAnsi="宋体" w:eastAsia="宋体" w:cs="宋体"/>
          <w:color w:val="000000"/>
          <w:sz w:val="21"/>
          <w:szCs w:val="21"/>
          <w:highlight w:val="none"/>
          <w:lang w:val="en-US"/>
        </w:rPr>
        <w:t>12.1</w:t>
      </w:r>
      <w:r>
        <w:rPr>
          <w:rFonts w:hint="eastAsia" w:ascii="宋体" w:hAnsi="宋体" w:eastAsia="宋体" w:cs="宋体"/>
          <w:color w:val="000000"/>
          <w:sz w:val="21"/>
          <w:szCs w:val="21"/>
          <w:highlight w:val="none"/>
        </w:rPr>
        <w:t>款的情况外，承包人可向监理人提交书面通知，要求监理人在收到书面通知后 28天内准许已暂停施工的工程或其中一部分工程继续施工。如监理人逾期不予批准，则承包人可以通知监理人，将工程受影响的部分视为按第</w:t>
      </w:r>
      <w:r>
        <w:rPr>
          <w:rFonts w:hint="eastAsia" w:ascii="宋体" w:hAnsi="宋体" w:eastAsia="宋体" w:cs="宋体"/>
          <w:color w:val="000000"/>
          <w:sz w:val="21"/>
          <w:szCs w:val="21"/>
          <w:highlight w:val="none"/>
          <w:lang w:val="en-US"/>
        </w:rPr>
        <w:t xml:space="preserve">15.1 </w:t>
      </w:r>
      <w:r>
        <w:rPr>
          <w:rFonts w:hint="eastAsia" w:ascii="宋体" w:hAnsi="宋体" w:eastAsia="宋体" w:cs="宋体"/>
          <w:color w:val="000000"/>
          <w:sz w:val="21"/>
          <w:szCs w:val="21"/>
          <w:highlight w:val="none"/>
        </w:rPr>
        <w:t>(1)项的可取消工作。如暂停 施工影响到整个工程，可视为发包人违约，应按第</w:t>
      </w:r>
      <w:r>
        <w:rPr>
          <w:rFonts w:hint="eastAsia" w:ascii="宋体" w:hAnsi="宋体" w:eastAsia="宋体" w:cs="宋体"/>
          <w:color w:val="000000"/>
          <w:sz w:val="21"/>
          <w:szCs w:val="21"/>
          <w:highlight w:val="none"/>
          <w:lang w:val="en-US"/>
        </w:rPr>
        <w:t>22.</w:t>
      </w:r>
      <w:r>
        <w:rPr>
          <w:rFonts w:hint="eastAsia" w:ascii="宋体" w:hAnsi="宋体" w:eastAsia="宋体" w:cs="宋体"/>
          <w:color w:val="000000"/>
          <w:sz w:val="21"/>
          <w:szCs w:val="21"/>
          <w:highlight w:val="none"/>
        </w:rPr>
        <w:t>2款的约定办理。</w:t>
      </w:r>
    </w:p>
    <w:p>
      <w:pPr>
        <w:pStyle w:val="163"/>
        <w:pageBreakBefore w:val="0"/>
        <w:widowControl w:val="0"/>
        <w:kinsoku/>
        <w:wordWrap/>
        <w:overflowPunct/>
        <w:topLinePunct w:val="0"/>
        <w:autoSpaceDE/>
        <w:autoSpaceDN/>
        <w:bidi w:val="0"/>
        <w:adjustRightInd/>
        <w:snapToGrid/>
        <w:spacing w:after="2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12.5.2</w:t>
      </w:r>
      <w:r>
        <w:rPr>
          <w:rFonts w:hint="eastAsia" w:ascii="宋体" w:hAnsi="宋体" w:eastAsia="宋体" w:cs="宋体"/>
          <w:color w:val="000000"/>
          <w:sz w:val="21"/>
          <w:szCs w:val="21"/>
          <w:highlight w:val="none"/>
        </w:rPr>
        <w:t>由于承包人责任引起的暂停施工，如承包人在收到监理人暂停施工指示后56 天内不认真采取有效的复工措施，造成工期延误，可视为承包人违约，应按第</w:t>
      </w:r>
      <w:r>
        <w:rPr>
          <w:rFonts w:hint="eastAsia" w:ascii="宋体" w:hAnsi="宋体" w:eastAsia="宋体" w:cs="宋体"/>
          <w:color w:val="000000"/>
          <w:sz w:val="21"/>
          <w:szCs w:val="21"/>
          <w:highlight w:val="none"/>
          <w:lang w:val="en-US"/>
        </w:rPr>
        <w:t>22.1</w:t>
      </w:r>
      <w:r>
        <w:rPr>
          <w:rFonts w:hint="eastAsia" w:ascii="宋体" w:hAnsi="宋体" w:eastAsia="宋体" w:cs="宋体"/>
          <w:color w:val="000000"/>
          <w:sz w:val="21"/>
          <w:szCs w:val="21"/>
          <w:highlight w:val="none"/>
        </w:rPr>
        <w:t>款的约定办理。</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45" w:name="_Toc10322"/>
      <w:bookmarkStart w:id="1046" w:name="bookmark1227"/>
      <w:bookmarkStart w:id="1047" w:name="_Toc11034"/>
      <w:bookmarkStart w:id="1048" w:name="bookmark1225"/>
      <w:bookmarkStart w:id="1049" w:name="_Toc19121"/>
      <w:bookmarkStart w:id="1050" w:name="_Toc15343"/>
      <w:bookmarkStart w:id="1051" w:name="bookmark1226"/>
      <w:r>
        <w:rPr>
          <w:rFonts w:hint="eastAsia" w:ascii="宋体" w:hAnsi="宋体" w:eastAsia="宋体" w:cs="宋体"/>
          <w:color w:val="000000"/>
          <w:sz w:val="21"/>
          <w:szCs w:val="21"/>
          <w:highlight w:val="none"/>
        </w:rPr>
        <w:t>13.工程质量</w:t>
      </w:r>
      <w:bookmarkEnd w:id="1045"/>
      <w:bookmarkEnd w:id="1046"/>
      <w:bookmarkEnd w:id="1047"/>
      <w:bookmarkEnd w:id="1048"/>
      <w:bookmarkEnd w:id="1049"/>
      <w:bookmarkEnd w:id="1050"/>
      <w:bookmarkEnd w:id="1051"/>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52" w:name="_Toc26964"/>
      <w:bookmarkStart w:id="1053" w:name="bookmark1228"/>
      <w:bookmarkStart w:id="1054" w:name="bookmark1230"/>
      <w:bookmarkStart w:id="1055" w:name="_Toc3424"/>
      <w:bookmarkStart w:id="1056" w:name="_Toc27356"/>
      <w:bookmarkStart w:id="1057" w:name="_Toc9064"/>
      <w:bookmarkStart w:id="1058" w:name="bookmark1229"/>
      <w:r>
        <w:rPr>
          <w:rFonts w:hint="eastAsia" w:ascii="宋体" w:hAnsi="宋体" w:eastAsia="宋体" w:cs="宋体"/>
          <w:color w:val="000000"/>
          <w:sz w:val="21"/>
          <w:szCs w:val="21"/>
          <w:highlight w:val="none"/>
        </w:rPr>
        <w:t>13.1工程质量要求</w:t>
      </w:r>
      <w:bookmarkEnd w:id="1052"/>
      <w:bookmarkEnd w:id="1053"/>
      <w:bookmarkEnd w:id="1054"/>
      <w:bookmarkEnd w:id="1055"/>
      <w:bookmarkEnd w:id="1056"/>
      <w:bookmarkEnd w:id="1057"/>
      <w:bookmarkEnd w:id="1058"/>
    </w:p>
    <w:p>
      <w:pPr>
        <w:pStyle w:val="163"/>
        <w:pageBreakBefore w:val="0"/>
        <w:widowControl w:val="0"/>
        <w:tabs>
          <w:tab w:val="left" w:pos="820"/>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bookmarkStart w:id="1059" w:name="bookmark1231"/>
      <w:bookmarkEnd w:id="1059"/>
      <w:r>
        <w:rPr>
          <w:rFonts w:hint="eastAsia" w:ascii="宋体" w:hAnsi="宋体" w:eastAsia="宋体" w:cs="宋体"/>
          <w:color w:val="000000"/>
          <w:sz w:val="21"/>
          <w:szCs w:val="21"/>
          <w:highlight w:val="none"/>
          <w:lang w:val="en-US"/>
        </w:rPr>
        <w:t>13.1.</w:t>
      </w:r>
      <w:r>
        <w:rPr>
          <w:rFonts w:hint="eastAsia" w:ascii="宋体" w:hAnsi="宋体" w:eastAsia="宋体" w:cs="宋体"/>
          <w:color w:val="000000"/>
          <w:sz w:val="21"/>
          <w:szCs w:val="21"/>
          <w:highlight w:val="none"/>
        </w:rPr>
        <w:t>1工程质量验收按合同约定验收标准执行。</w:t>
      </w:r>
    </w:p>
    <w:p>
      <w:pPr>
        <w:pStyle w:val="163"/>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13.1.2</w:t>
      </w:r>
      <w:r>
        <w:rPr>
          <w:rFonts w:hint="eastAsia" w:ascii="宋体" w:hAnsi="宋体" w:eastAsia="宋体" w:cs="宋体"/>
          <w:color w:val="000000"/>
          <w:sz w:val="21"/>
          <w:szCs w:val="21"/>
          <w:highlight w:val="none"/>
        </w:rPr>
        <w:t>因承包人原因造成工程质量达不到合同约定验收标准的，监理人有权要求承包人返工直至符合合同要求为止，由此造成的费用增加和（或）工期延误由承包人承担。</w:t>
      </w:r>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13.1.3</w:t>
      </w:r>
      <w:r>
        <w:rPr>
          <w:rFonts w:hint="eastAsia" w:ascii="宋体" w:hAnsi="宋体" w:eastAsia="宋体" w:cs="宋体"/>
          <w:color w:val="000000"/>
          <w:sz w:val="21"/>
          <w:szCs w:val="21"/>
          <w:highlight w:val="none"/>
        </w:rPr>
        <w:t>因发包人原因造成工程质量达不到合同约定验收标准的，发包人应承担由于承包人返工造成的费用增加和（或）工期延误，并支付承包人合理利润。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60" w:name="_Toc21040"/>
      <w:bookmarkStart w:id="1061" w:name="bookmark1234"/>
      <w:bookmarkStart w:id="1062" w:name="_Toc14292"/>
      <w:bookmarkStart w:id="1063" w:name="bookmark1232"/>
      <w:bookmarkStart w:id="1064" w:name="bookmark1233"/>
      <w:bookmarkStart w:id="1065" w:name="_Toc6308"/>
      <w:bookmarkStart w:id="1066" w:name="_Toc28732"/>
      <w:r>
        <w:rPr>
          <w:rFonts w:hint="eastAsia" w:ascii="宋体" w:hAnsi="宋体" w:eastAsia="宋体" w:cs="宋体"/>
          <w:color w:val="000000"/>
          <w:sz w:val="21"/>
          <w:szCs w:val="21"/>
          <w:highlight w:val="none"/>
        </w:rPr>
        <w:t>13.2承包人的质量管理</w:t>
      </w:r>
      <w:bookmarkEnd w:id="1060"/>
      <w:bookmarkEnd w:id="1061"/>
      <w:bookmarkEnd w:id="1062"/>
      <w:bookmarkEnd w:id="1063"/>
      <w:bookmarkEnd w:id="1064"/>
      <w:bookmarkEnd w:id="1065"/>
      <w:bookmarkEnd w:id="1066"/>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13.2.1</w:t>
      </w:r>
      <w:r>
        <w:rPr>
          <w:rFonts w:hint="eastAsia" w:ascii="宋体" w:hAnsi="宋体" w:eastAsia="宋体" w:cs="宋体"/>
          <w:color w:val="000000"/>
          <w:sz w:val="21"/>
          <w:szCs w:val="21"/>
          <w:highlight w:val="none"/>
        </w:rPr>
        <w:t>承包人应在施工场地设置专门的质量检查机构，配备专职质量检查人员，建立完善的质量检查制度。承包人应按技术标准和要求（合同技术条款）约定的内容和期限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编制工程质量保证措施文件，包括质量检查机构的组织和岗位责任、质量检查人员的组成、质量检查程序和实施细则等，提交监理人监批。监理人应在技术标准和要求（合同技术条 款）约定期限内批复承包人。</w:t>
      </w:r>
    </w:p>
    <w:p>
      <w:pPr>
        <w:pStyle w:val="163"/>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bookmarkStart w:id="1067" w:name="bookmark1235"/>
      <w:bookmarkEnd w:id="1067"/>
      <w:r>
        <w:rPr>
          <w:rFonts w:hint="eastAsia" w:ascii="宋体" w:hAnsi="宋体" w:eastAsia="宋体" w:cs="宋体"/>
          <w:color w:val="000000"/>
          <w:sz w:val="21"/>
          <w:szCs w:val="21"/>
          <w:highlight w:val="none"/>
        </w:rPr>
        <w:t>13.2.2承包人应加强对施工人员的质量教育和技术培训，定期考核施工人员的劳动 技能，严格执行规范和操作规程。</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68" w:name="_Toc19429"/>
      <w:bookmarkStart w:id="1069" w:name="_Toc16822"/>
      <w:bookmarkStart w:id="1070" w:name="_Toc7333"/>
      <w:bookmarkStart w:id="1071" w:name="bookmark1238"/>
      <w:bookmarkStart w:id="1072" w:name="bookmark1237"/>
      <w:bookmarkStart w:id="1073" w:name="_Toc32592"/>
      <w:bookmarkStart w:id="1074" w:name="bookmark1236"/>
      <w:r>
        <w:rPr>
          <w:rFonts w:hint="eastAsia" w:ascii="宋体" w:hAnsi="宋体" w:eastAsia="宋体" w:cs="宋体"/>
          <w:color w:val="000000"/>
          <w:sz w:val="21"/>
          <w:szCs w:val="21"/>
          <w:highlight w:val="none"/>
        </w:rPr>
        <w:t>13.3承包人的质量检查</w:t>
      </w:r>
      <w:bookmarkEnd w:id="1068"/>
      <w:bookmarkEnd w:id="1069"/>
      <w:bookmarkEnd w:id="1070"/>
      <w:bookmarkEnd w:id="1071"/>
      <w:bookmarkEnd w:id="1072"/>
      <w:bookmarkEnd w:id="1073"/>
      <w:bookmarkEnd w:id="1074"/>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承包人应按合同约定对材料、工程设备以及工程的所有部位及其施工工艺进行全过程的质量检查和检验，并作详细记录，编制工程质量报表，报送监理人审查。</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75" w:name="bookmark1241"/>
      <w:bookmarkStart w:id="1076" w:name="_Toc53"/>
      <w:bookmarkStart w:id="1077" w:name="bookmark1239"/>
      <w:bookmarkStart w:id="1078" w:name="_Toc29734"/>
      <w:bookmarkStart w:id="1079" w:name="_Toc27917"/>
      <w:bookmarkStart w:id="1080" w:name="_Toc26103"/>
      <w:bookmarkStart w:id="1081" w:name="bookmark1240"/>
      <w:r>
        <w:rPr>
          <w:rFonts w:hint="eastAsia" w:ascii="宋体" w:hAnsi="宋体" w:eastAsia="宋体" w:cs="宋体"/>
          <w:color w:val="000000"/>
          <w:sz w:val="21"/>
          <w:szCs w:val="21"/>
          <w:highlight w:val="none"/>
        </w:rPr>
        <w:t>13.4监理人的质量检查</w:t>
      </w:r>
      <w:bookmarkEnd w:id="1075"/>
      <w:bookmarkEnd w:id="1076"/>
      <w:bookmarkEnd w:id="1077"/>
      <w:bookmarkEnd w:id="1078"/>
      <w:bookmarkEnd w:id="1079"/>
      <w:bookmarkEnd w:id="1080"/>
      <w:bookmarkEnd w:id="1081"/>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82" w:name="bookmark1244"/>
      <w:bookmarkStart w:id="1083" w:name="_Toc19739"/>
      <w:bookmarkStart w:id="1084" w:name="bookmark1243"/>
      <w:bookmarkStart w:id="1085" w:name="bookmark1242"/>
      <w:bookmarkStart w:id="1086" w:name="_Toc30908"/>
      <w:bookmarkStart w:id="1087" w:name="_Toc24693"/>
      <w:bookmarkStart w:id="1088" w:name="_Toc30255"/>
      <w:r>
        <w:rPr>
          <w:rFonts w:hint="eastAsia" w:ascii="宋体" w:hAnsi="宋体" w:eastAsia="宋体" w:cs="宋体"/>
          <w:color w:val="000000"/>
          <w:sz w:val="21"/>
          <w:szCs w:val="21"/>
          <w:highlight w:val="none"/>
        </w:rPr>
        <w:t>13.5工程隐蔽部位覆盖前的检查</w:t>
      </w:r>
      <w:bookmarkEnd w:id="1082"/>
      <w:bookmarkEnd w:id="1083"/>
      <w:bookmarkEnd w:id="1084"/>
      <w:bookmarkEnd w:id="1085"/>
      <w:bookmarkEnd w:id="1086"/>
      <w:bookmarkEnd w:id="1087"/>
      <w:bookmarkEnd w:id="1088"/>
    </w:p>
    <w:p>
      <w:pPr>
        <w:pStyle w:val="163"/>
        <w:pageBreakBefore w:val="0"/>
        <w:widowControl w:val="0"/>
        <w:numPr>
          <w:ilvl w:val="0"/>
          <w:numId w:val="0"/>
        </w:numPr>
        <w:tabs>
          <w:tab w:val="left" w:pos="840"/>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sz w:val="21"/>
          <w:szCs w:val="21"/>
          <w:highlight w:val="none"/>
        </w:rPr>
      </w:pPr>
      <w:bookmarkStart w:id="1089" w:name="bookmark1245"/>
      <w:bookmarkEnd w:id="1089"/>
      <w:r>
        <w:rPr>
          <w:rFonts w:hint="eastAsia" w:ascii="宋体" w:hAnsi="宋体" w:eastAsia="宋体" w:cs="宋体"/>
          <w:color w:val="000000"/>
          <w:sz w:val="21"/>
          <w:szCs w:val="21"/>
          <w:highlight w:val="none"/>
          <w:lang w:val="en-US" w:eastAsia="zh-CN"/>
        </w:rPr>
        <w:t>13.5.1</w:t>
      </w:r>
      <w:r>
        <w:rPr>
          <w:rFonts w:hint="eastAsia" w:ascii="宋体" w:hAnsi="宋体" w:eastAsia="宋体" w:cs="宋体"/>
          <w:color w:val="000000"/>
          <w:sz w:val="21"/>
          <w:szCs w:val="21"/>
          <w:highlight w:val="none"/>
        </w:rPr>
        <w:t>通知监理人检查</w:t>
      </w:r>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13.5.2</w:t>
      </w:r>
      <w:r>
        <w:rPr>
          <w:rFonts w:hint="eastAsia" w:ascii="宋体" w:hAnsi="宋体" w:eastAsia="宋体" w:cs="宋体"/>
          <w:color w:val="000000"/>
          <w:sz w:val="21"/>
          <w:szCs w:val="21"/>
          <w:highlight w:val="none"/>
        </w:rPr>
        <w:t>监理人未到场检查</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监理人未按第</w:t>
      </w:r>
      <w:r>
        <w:rPr>
          <w:rFonts w:hint="eastAsia" w:ascii="宋体" w:hAnsi="宋体" w:eastAsia="宋体" w:cs="宋体"/>
          <w:color w:val="000000"/>
          <w:sz w:val="21"/>
          <w:szCs w:val="21"/>
          <w:highlight w:val="none"/>
          <w:lang w:val="en-US"/>
        </w:rPr>
        <w:t>13.5.1</w:t>
      </w:r>
      <w:r>
        <w:rPr>
          <w:rFonts w:hint="eastAsia" w:ascii="宋体" w:hAnsi="宋体" w:eastAsia="宋体" w:cs="宋体"/>
          <w:color w:val="000000"/>
          <w:sz w:val="21"/>
          <w:szCs w:val="21"/>
          <w:highlight w:val="none"/>
        </w:rPr>
        <w:t>项约定的时间进行检查的，除监理人另有指示外，承包人可自行完成覆盖工作，并作相应记录报送监理人，监理人应签字确认。监理人事后对检查记录有疑问的，可按第</w:t>
      </w:r>
      <w:r>
        <w:rPr>
          <w:rFonts w:hint="eastAsia" w:ascii="宋体" w:hAnsi="宋体" w:eastAsia="宋体" w:cs="宋体"/>
          <w:color w:val="000000"/>
          <w:sz w:val="21"/>
          <w:szCs w:val="21"/>
          <w:highlight w:val="none"/>
          <w:lang w:val="en-US"/>
        </w:rPr>
        <w:t>13.5.3</w:t>
      </w:r>
      <w:r>
        <w:rPr>
          <w:rFonts w:hint="eastAsia" w:ascii="宋体" w:hAnsi="宋体" w:eastAsia="宋体" w:cs="宋体"/>
          <w:color w:val="000000"/>
          <w:sz w:val="21"/>
          <w:szCs w:val="21"/>
          <w:highlight w:val="none"/>
        </w:rPr>
        <w:t>项的约定重新检查。</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13.5.3</w:t>
      </w:r>
      <w:r>
        <w:rPr>
          <w:rFonts w:hint="eastAsia" w:ascii="宋体" w:hAnsi="宋体" w:eastAsia="宋体" w:cs="宋体"/>
          <w:color w:val="000000"/>
          <w:sz w:val="21"/>
          <w:szCs w:val="21"/>
          <w:highlight w:val="none"/>
        </w:rPr>
        <w:t>监理人重新检查</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承包人按第</w:t>
      </w:r>
      <w:r>
        <w:rPr>
          <w:rFonts w:hint="eastAsia" w:ascii="宋体" w:hAnsi="宋体" w:eastAsia="宋体" w:cs="宋体"/>
          <w:color w:val="000000"/>
          <w:sz w:val="21"/>
          <w:szCs w:val="21"/>
          <w:highlight w:val="none"/>
          <w:lang w:val="en-US"/>
        </w:rPr>
        <w:t>13.5.</w:t>
      </w:r>
      <w:r>
        <w:rPr>
          <w:rFonts w:hint="eastAsia" w:ascii="宋体" w:hAnsi="宋体" w:eastAsia="宋体" w:cs="宋体"/>
          <w:color w:val="000000"/>
          <w:sz w:val="21"/>
          <w:szCs w:val="21"/>
          <w:highlight w:val="none"/>
        </w:rPr>
        <w:t>1项或第</w:t>
      </w:r>
      <w:r>
        <w:rPr>
          <w:rFonts w:hint="eastAsia" w:ascii="宋体" w:hAnsi="宋体" w:eastAsia="宋体" w:cs="宋体"/>
          <w:color w:val="000000"/>
          <w:sz w:val="21"/>
          <w:szCs w:val="21"/>
          <w:highlight w:val="none"/>
          <w:lang w:val="en-US"/>
        </w:rPr>
        <w:t>13.5.</w:t>
      </w:r>
      <w:r>
        <w:rPr>
          <w:rFonts w:hint="eastAsia" w:ascii="宋体" w:hAnsi="宋体" w:eastAsia="宋体" w:cs="宋体"/>
          <w:color w:val="000000"/>
          <w:sz w:val="21"/>
          <w:szCs w:val="21"/>
          <w:highlight w:val="none"/>
        </w:rPr>
        <w:t>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13.5.4</w:t>
      </w:r>
      <w:r>
        <w:rPr>
          <w:rFonts w:hint="eastAsia" w:ascii="宋体" w:hAnsi="宋体" w:eastAsia="宋体" w:cs="宋体"/>
          <w:color w:val="000000"/>
          <w:sz w:val="21"/>
          <w:szCs w:val="21"/>
          <w:highlight w:val="none"/>
        </w:rPr>
        <w:t>承包人私自覆盖</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承包人未通知监理人到场检查，私自将工程隐蔽部位覆盖的，监理人有权指示承包人钻孔探测或揭开检查，由此增加的费用和（或）工期延误由承包人承担。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90" w:name="_Toc655"/>
      <w:bookmarkStart w:id="1091" w:name="_Toc31851"/>
      <w:bookmarkStart w:id="1092" w:name="bookmark1248"/>
      <w:bookmarkStart w:id="1093" w:name="_Toc25764"/>
      <w:bookmarkStart w:id="1094" w:name="_Toc15553"/>
      <w:bookmarkStart w:id="1095" w:name="bookmark1247"/>
      <w:bookmarkStart w:id="1096" w:name="bookmark1246"/>
      <w:r>
        <w:rPr>
          <w:rFonts w:hint="eastAsia" w:ascii="宋体" w:hAnsi="宋体" w:eastAsia="宋体" w:cs="宋体"/>
          <w:color w:val="000000"/>
          <w:sz w:val="21"/>
          <w:szCs w:val="21"/>
          <w:highlight w:val="none"/>
        </w:rPr>
        <w:t>13.6清除不合格工程</w:t>
      </w:r>
      <w:bookmarkEnd w:id="1090"/>
      <w:bookmarkEnd w:id="1091"/>
      <w:bookmarkEnd w:id="1092"/>
      <w:bookmarkEnd w:id="1093"/>
      <w:bookmarkEnd w:id="1094"/>
      <w:bookmarkEnd w:id="1095"/>
      <w:bookmarkEnd w:id="1096"/>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13.6.1</w:t>
      </w:r>
      <w:r>
        <w:rPr>
          <w:rFonts w:hint="eastAsia" w:ascii="宋体" w:hAnsi="宋体" w:eastAsia="宋体" w:cs="宋体"/>
          <w:color w:val="000000"/>
          <w:sz w:val="21"/>
          <w:szCs w:val="21"/>
          <w:highlight w:val="none"/>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13.6.2</w:t>
      </w:r>
      <w:r>
        <w:rPr>
          <w:rFonts w:hint="eastAsia" w:ascii="宋体" w:hAnsi="宋体" w:eastAsia="宋体" w:cs="宋体"/>
          <w:color w:val="000000"/>
          <w:sz w:val="21"/>
          <w:szCs w:val="21"/>
          <w:highlight w:val="none"/>
        </w:rPr>
        <w:t>由于发包人提供的材料或工程设备不合格造成的工程不合格，需要承包人采取措施补救的，发包人应承担由此增加的费用和（或）工期延误，并支付承包人合理利润。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97" w:name="_Toc11528"/>
      <w:bookmarkStart w:id="1098" w:name="_Toc3708"/>
      <w:bookmarkStart w:id="1099" w:name="_Toc5924"/>
      <w:bookmarkStart w:id="1100" w:name="_Toc6943"/>
      <w:r>
        <w:rPr>
          <w:rFonts w:hint="eastAsia" w:ascii="宋体" w:hAnsi="宋体" w:eastAsia="宋体" w:cs="宋体"/>
          <w:color w:val="000000"/>
          <w:sz w:val="21"/>
          <w:szCs w:val="21"/>
          <w:highlight w:val="none"/>
        </w:rPr>
        <w:t>13.7质量评定</w:t>
      </w:r>
      <w:bookmarkEnd w:id="1097"/>
      <w:bookmarkEnd w:id="1098"/>
      <w:bookmarkEnd w:id="1099"/>
      <w:bookmarkEnd w:id="1100"/>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13.7.1</w:t>
      </w:r>
      <w:r>
        <w:rPr>
          <w:rFonts w:hint="eastAsia" w:ascii="宋体" w:hAnsi="宋体" w:eastAsia="宋体" w:cs="宋体"/>
          <w:color w:val="000000"/>
          <w:sz w:val="21"/>
          <w:szCs w:val="21"/>
          <w:highlight w:val="none"/>
        </w:rPr>
        <w:t>发包人应组织承包人进行工程项目划分，并确定单位工程、主要分部工程、重要隐蔽单元工程和关键部位单元工程。</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13.7.2</w:t>
      </w:r>
      <w:r>
        <w:rPr>
          <w:rFonts w:hint="eastAsia" w:ascii="宋体" w:hAnsi="宋体" w:eastAsia="宋体" w:cs="宋体"/>
          <w:color w:val="000000"/>
          <w:sz w:val="21"/>
          <w:szCs w:val="21"/>
          <w:highlight w:val="none"/>
        </w:rPr>
        <w:t>工程实施过程中，单位工程、主要分部工程、重要隐蔽单元工程和关键部位单元工程的项目划分需要调整时，承包人应报发包人确认。</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13.7.3</w:t>
      </w:r>
      <w:r>
        <w:rPr>
          <w:rFonts w:hint="eastAsia" w:ascii="宋体" w:hAnsi="宋体" w:eastAsia="宋体" w:cs="宋体"/>
          <w:color w:val="000000"/>
          <w:sz w:val="21"/>
          <w:szCs w:val="21"/>
          <w:highlight w:val="none"/>
        </w:rPr>
        <w:t>承包人应在单元（工序）工程质量自评合格后，报监理人核定质量等级并签证认可。</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13.7.4</w:t>
      </w:r>
      <w:r>
        <w:rPr>
          <w:rFonts w:hint="eastAsia" w:ascii="宋体" w:hAnsi="宋体" w:eastAsia="宋体" w:cs="宋体"/>
          <w:color w:val="000000"/>
          <w:sz w:val="21"/>
          <w:szCs w:val="21"/>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13.7.5</w:t>
      </w:r>
      <w:r>
        <w:rPr>
          <w:rFonts w:hint="eastAsia" w:ascii="宋体" w:hAnsi="宋体" w:eastAsia="宋体" w:cs="宋体"/>
          <w:color w:val="000000"/>
          <w:sz w:val="21"/>
          <w:szCs w:val="21"/>
          <w:highlight w:val="none"/>
        </w:rPr>
        <w:t>承包人应在分部工程质量自评合格后，报监理人复核和发包人认定。发包人负责按有关规定完成分部工程质量结论报工程质量监督机构核备（核定）手续。</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13.7.6</w:t>
      </w:r>
      <w:r>
        <w:rPr>
          <w:rFonts w:hint="eastAsia" w:ascii="宋体" w:hAnsi="宋体" w:eastAsia="宋体" w:cs="宋体"/>
          <w:color w:val="000000"/>
          <w:sz w:val="21"/>
          <w:szCs w:val="21"/>
          <w:highlight w:val="none"/>
        </w:rPr>
        <w:t>承包人应在单位工程质量自评合格后，报监理人复核和发包人认定。发包人负责按有关规定完成单位工程质量结论报工程质量监督机构核定手续。</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13.7.7</w:t>
      </w:r>
      <w:r>
        <w:rPr>
          <w:rFonts w:hint="eastAsia" w:ascii="宋体" w:hAnsi="宋体" w:eastAsia="宋体" w:cs="宋体"/>
          <w:color w:val="000000"/>
          <w:sz w:val="21"/>
          <w:szCs w:val="21"/>
          <w:highlight w:val="none"/>
        </w:rPr>
        <w:t>除专用合同条款另有约定外，工程质量等级分为合格和优良，应分别达到约定的标准。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01" w:name="bookmark1249"/>
      <w:bookmarkStart w:id="1102" w:name="bookmark1250"/>
      <w:bookmarkStart w:id="1103" w:name="_Toc338"/>
      <w:bookmarkStart w:id="1104" w:name="bookmark1251"/>
      <w:bookmarkStart w:id="1105" w:name="_Toc22789"/>
      <w:bookmarkStart w:id="1106" w:name="_Toc19883"/>
      <w:bookmarkStart w:id="1107" w:name="_Toc26290"/>
      <w:r>
        <w:rPr>
          <w:rFonts w:hint="eastAsia" w:ascii="宋体" w:hAnsi="宋体" w:eastAsia="宋体" w:cs="宋体"/>
          <w:color w:val="000000"/>
          <w:sz w:val="21"/>
          <w:szCs w:val="21"/>
          <w:highlight w:val="none"/>
        </w:rPr>
        <w:t>13.8质量事故处理</w:t>
      </w:r>
      <w:bookmarkEnd w:id="1101"/>
      <w:bookmarkEnd w:id="1102"/>
      <w:bookmarkEnd w:id="1103"/>
      <w:bookmarkEnd w:id="1104"/>
      <w:bookmarkEnd w:id="1105"/>
      <w:bookmarkEnd w:id="1106"/>
      <w:bookmarkEnd w:id="1107"/>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13.8.1</w:t>
      </w:r>
      <w:r>
        <w:rPr>
          <w:rFonts w:hint="eastAsia" w:ascii="宋体" w:hAnsi="宋体" w:eastAsia="宋体" w:cs="宋体"/>
          <w:color w:val="000000"/>
          <w:sz w:val="21"/>
          <w:szCs w:val="21"/>
          <w:highlight w:val="none"/>
        </w:rPr>
        <w:t>发生质量事故时，承包人应及时向发包人和监理人报告。</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13.8.2</w:t>
      </w:r>
      <w:r>
        <w:rPr>
          <w:rFonts w:hint="eastAsia" w:ascii="宋体" w:hAnsi="宋体" w:eastAsia="宋体" w:cs="宋体"/>
          <w:color w:val="000000"/>
          <w:sz w:val="21"/>
          <w:szCs w:val="21"/>
          <w:highlight w:val="none"/>
        </w:rPr>
        <w:t>质量事故调查处理由发包人按相关规定履行手续，承包人应配合。</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13.8.3</w:t>
      </w:r>
      <w:r>
        <w:rPr>
          <w:rFonts w:hint="eastAsia" w:ascii="宋体" w:hAnsi="宋体" w:eastAsia="宋体" w:cs="宋体"/>
          <w:color w:val="000000"/>
          <w:sz w:val="21"/>
          <w:szCs w:val="21"/>
          <w:highlight w:val="none"/>
        </w:rPr>
        <w:t>承包人应对质量缺陷进行备案。发包人委托监理人对质量缺陷备案情况进行监督检查并履行相关手续。</w:t>
      </w:r>
    </w:p>
    <w:p>
      <w:pPr>
        <w:pStyle w:val="163"/>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13.8.4</w:t>
      </w:r>
      <w:r>
        <w:rPr>
          <w:rFonts w:hint="eastAsia" w:ascii="宋体" w:hAnsi="宋体" w:eastAsia="宋体" w:cs="宋体"/>
          <w:color w:val="000000"/>
          <w:sz w:val="21"/>
          <w:szCs w:val="21"/>
          <w:highlight w:val="none"/>
        </w:rPr>
        <w:t>除专用合同条款另有约定外，工程竣工验收时，发包人负责向竣工验收委员会汇报并提交历次质量缺陷处理的备案资料。</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08" w:name="bookmark1254"/>
      <w:bookmarkStart w:id="1109" w:name="_Toc23035"/>
      <w:bookmarkStart w:id="1110" w:name="_Toc16689"/>
      <w:bookmarkStart w:id="1111" w:name="_Toc17645"/>
      <w:bookmarkStart w:id="1112" w:name="_Toc19329"/>
      <w:bookmarkStart w:id="1113" w:name="bookmark1253"/>
      <w:bookmarkStart w:id="1114" w:name="bookmark1252"/>
      <w:r>
        <w:rPr>
          <w:rFonts w:hint="eastAsia" w:ascii="宋体" w:hAnsi="宋体" w:eastAsia="宋体" w:cs="宋体"/>
          <w:color w:val="000000"/>
          <w:sz w:val="21"/>
          <w:szCs w:val="21"/>
          <w:highlight w:val="none"/>
        </w:rPr>
        <w:t>14 .试验和检验</w:t>
      </w:r>
      <w:bookmarkEnd w:id="1108"/>
      <w:bookmarkEnd w:id="1109"/>
      <w:bookmarkEnd w:id="1110"/>
      <w:bookmarkEnd w:id="1111"/>
      <w:bookmarkEnd w:id="1112"/>
      <w:bookmarkEnd w:id="1113"/>
      <w:bookmarkEnd w:id="1114"/>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15" w:name="bookmark1255"/>
      <w:bookmarkStart w:id="1116" w:name="_Toc1803"/>
      <w:bookmarkStart w:id="1117" w:name="bookmark1257"/>
      <w:bookmarkStart w:id="1118" w:name="_Toc30584"/>
      <w:bookmarkStart w:id="1119" w:name="_Toc16875"/>
      <w:bookmarkStart w:id="1120" w:name="_Toc16117"/>
      <w:bookmarkStart w:id="1121" w:name="bookmark1256"/>
      <w:r>
        <w:rPr>
          <w:rFonts w:hint="eastAsia" w:ascii="宋体" w:hAnsi="宋体" w:eastAsia="宋体" w:cs="宋体"/>
          <w:color w:val="000000"/>
          <w:sz w:val="21"/>
          <w:szCs w:val="21"/>
          <w:highlight w:val="none"/>
        </w:rPr>
        <w:t>14.1材料、工程设备和工程的试验和检验</w:t>
      </w:r>
      <w:bookmarkEnd w:id="1115"/>
      <w:bookmarkEnd w:id="1116"/>
      <w:bookmarkEnd w:id="1117"/>
      <w:bookmarkEnd w:id="1118"/>
      <w:bookmarkEnd w:id="1119"/>
      <w:bookmarkEnd w:id="1120"/>
      <w:bookmarkEnd w:id="1121"/>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22" w:name="bookmark1258"/>
      <w:bookmarkEnd w:id="1122"/>
      <w:r>
        <w:rPr>
          <w:rFonts w:hint="eastAsia" w:ascii="宋体" w:hAnsi="宋体" w:eastAsia="宋体" w:cs="宋体"/>
          <w:color w:val="000000"/>
          <w:sz w:val="21"/>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14.1.2</w:t>
      </w:r>
      <w:r>
        <w:rPr>
          <w:rFonts w:hint="eastAsia" w:ascii="宋体" w:hAnsi="宋体" w:eastAsia="宋体" w:cs="宋体"/>
          <w:color w:val="000000"/>
          <w:sz w:val="21"/>
          <w:szCs w:val="21"/>
          <w:highlight w:val="none"/>
        </w:rPr>
        <w:t>监理人未按合同约定派员参加试验和检验的，除监理人另有指示外，承包人可自行试验和检验，并应立即将试验和检验结果报送监理人，监理人应签字确认。</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14.1.3</w:t>
      </w:r>
      <w:r>
        <w:rPr>
          <w:rFonts w:hint="eastAsia" w:ascii="宋体" w:hAnsi="宋体" w:eastAsia="宋体" w:cs="宋体"/>
          <w:color w:val="000000"/>
          <w:sz w:val="21"/>
          <w:szCs w:val="21"/>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14.1.4</w:t>
      </w:r>
      <w:r>
        <w:rPr>
          <w:rFonts w:hint="eastAsia" w:ascii="宋体" w:hAnsi="宋体" w:eastAsia="宋体" w:cs="宋体"/>
          <w:color w:val="000000"/>
          <w:sz w:val="21"/>
          <w:szCs w:val="21"/>
          <w:highlight w:val="none"/>
        </w:rPr>
        <w:t>承包人应按相关规定和标准对水泥、钢材等原材料与中间产品质量进行检验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并报监理人复核。</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14.1.5</w:t>
      </w:r>
      <w:r>
        <w:rPr>
          <w:rFonts w:hint="eastAsia" w:ascii="宋体" w:hAnsi="宋体" w:eastAsia="宋体" w:cs="宋体"/>
          <w:color w:val="000000"/>
          <w:sz w:val="21"/>
          <w:szCs w:val="21"/>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14.1.6</w:t>
      </w:r>
      <w:r>
        <w:rPr>
          <w:rFonts w:hint="eastAsia" w:ascii="宋体" w:hAnsi="宋体" w:eastAsia="宋体" w:cs="宋体"/>
          <w:color w:val="000000"/>
          <w:sz w:val="21"/>
          <w:szCs w:val="21"/>
          <w:highlight w:val="none"/>
        </w:rPr>
        <w:t>对专用合同条款约定的试块、试件及有关材料，监理人实行见证取样。见证取样资料由承包人制备，记录应真实齐全，监理人、承包人等参与见证取样人员均应在相关文件上签字。</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23" w:name="bookmark1260"/>
      <w:bookmarkStart w:id="1124" w:name="_Toc21904"/>
      <w:bookmarkStart w:id="1125" w:name="_Toc24338"/>
      <w:bookmarkStart w:id="1126" w:name="bookmark1261"/>
      <w:bookmarkStart w:id="1127" w:name="bookmark1259"/>
      <w:bookmarkStart w:id="1128" w:name="_Toc8420"/>
      <w:bookmarkStart w:id="1129" w:name="_Toc25354"/>
      <w:r>
        <w:rPr>
          <w:rFonts w:hint="eastAsia" w:ascii="宋体" w:hAnsi="宋体" w:eastAsia="宋体" w:cs="宋体"/>
          <w:color w:val="000000"/>
          <w:sz w:val="21"/>
          <w:szCs w:val="21"/>
          <w:highlight w:val="none"/>
        </w:rPr>
        <w:t>14.2现场材料试验</w:t>
      </w:r>
      <w:bookmarkEnd w:id="1123"/>
      <w:bookmarkEnd w:id="1124"/>
      <w:bookmarkEnd w:id="1125"/>
      <w:bookmarkEnd w:id="1126"/>
      <w:bookmarkEnd w:id="1127"/>
      <w:bookmarkEnd w:id="1128"/>
      <w:bookmarkEnd w:id="1129"/>
    </w:p>
    <w:p>
      <w:pPr>
        <w:pStyle w:val="163"/>
        <w:pageBreakBefore w:val="0"/>
        <w:widowControl w:val="0"/>
        <w:tabs>
          <w:tab w:val="left" w:pos="815"/>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130" w:name="bookmark1262"/>
      <w:bookmarkEnd w:id="1130"/>
      <w:r>
        <w:rPr>
          <w:rFonts w:hint="eastAsia" w:ascii="宋体" w:hAnsi="宋体" w:eastAsia="宋体" w:cs="宋体"/>
          <w:color w:val="000000"/>
          <w:sz w:val="21"/>
          <w:szCs w:val="21"/>
          <w:highlight w:val="none"/>
          <w:lang w:val="en-US"/>
        </w:rPr>
        <w:t>14.2.</w:t>
      </w:r>
      <w:r>
        <w:rPr>
          <w:rFonts w:hint="eastAsia" w:ascii="宋体" w:hAnsi="宋体" w:eastAsia="宋体" w:cs="宋体"/>
          <w:color w:val="000000"/>
          <w:sz w:val="21"/>
          <w:szCs w:val="21"/>
          <w:highlight w:val="none"/>
        </w:rPr>
        <w:t>1承包人根据合同约定或监理人指示进行的现场材料试验，应由承包人提供试 验场所、试验人员、试验设备器材以及其他必要的试验条件。</w:t>
      </w:r>
    </w:p>
    <w:p>
      <w:pPr>
        <w:pStyle w:val="163"/>
        <w:pageBreakBefore w:val="0"/>
        <w:widowControl w:val="0"/>
        <w:tabs>
          <w:tab w:val="left" w:pos="815"/>
        </w:tabs>
        <w:kinsoku/>
        <w:wordWrap/>
        <w:overflowPunct/>
        <w:topLinePunct w:val="0"/>
        <w:autoSpaceDE/>
        <w:autoSpaceDN/>
        <w:bidi w:val="0"/>
        <w:adjustRightInd/>
        <w:snapToGrid/>
        <w:spacing w:after="120" w:line="400" w:lineRule="exact"/>
        <w:ind w:left="440" w:firstLine="0"/>
        <w:jc w:val="both"/>
        <w:textAlignment w:val="auto"/>
        <w:rPr>
          <w:rFonts w:hint="eastAsia" w:ascii="宋体" w:hAnsi="宋体" w:eastAsia="宋体" w:cs="宋体"/>
          <w:color w:val="000000"/>
          <w:sz w:val="21"/>
          <w:szCs w:val="21"/>
          <w:highlight w:val="none"/>
        </w:rPr>
      </w:pPr>
      <w:bookmarkStart w:id="1131" w:name="bookmark1263"/>
      <w:bookmarkEnd w:id="1131"/>
      <w:r>
        <w:rPr>
          <w:rFonts w:hint="eastAsia" w:ascii="宋体" w:hAnsi="宋体" w:eastAsia="宋体" w:cs="宋体"/>
          <w:color w:val="000000"/>
          <w:sz w:val="21"/>
          <w:szCs w:val="21"/>
          <w:highlight w:val="none"/>
          <w:lang w:val="en-US"/>
        </w:rPr>
        <w:t>14.2.</w:t>
      </w:r>
      <w:r>
        <w:rPr>
          <w:rFonts w:hint="eastAsia" w:ascii="宋体" w:hAnsi="宋体" w:eastAsia="宋体" w:cs="宋体"/>
          <w:color w:val="000000"/>
          <w:sz w:val="21"/>
          <w:szCs w:val="21"/>
          <w:highlight w:val="none"/>
        </w:rPr>
        <w:t>2监理人在必要时可以使用承包人的试验场所、试验设备器材以及其他试验条件，进行以工程质量检查为目的的复核性材料试验，承包人应予以协助。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32" w:name="_Toc19609"/>
      <w:bookmarkStart w:id="1133" w:name="_Toc10021"/>
      <w:bookmarkStart w:id="1134" w:name="bookmark1266"/>
      <w:bookmarkStart w:id="1135" w:name="_Toc21991"/>
      <w:bookmarkStart w:id="1136" w:name="bookmark1265"/>
      <w:bookmarkStart w:id="1137" w:name="bookmark1264"/>
      <w:bookmarkStart w:id="1138" w:name="_Toc2507"/>
      <w:r>
        <w:rPr>
          <w:rFonts w:hint="eastAsia" w:ascii="宋体" w:hAnsi="宋体" w:eastAsia="宋体" w:cs="宋体"/>
          <w:color w:val="000000"/>
          <w:sz w:val="21"/>
          <w:szCs w:val="21"/>
          <w:highlight w:val="none"/>
        </w:rPr>
        <w:t>14.3现场工艺试验</w:t>
      </w:r>
      <w:bookmarkEnd w:id="1132"/>
      <w:bookmarkEnd w:id="1133"/>
      <w:bookmarkEnd w:id="1134"/>
      <w:bookmarkEnd w:id="1135"/>
      <w:bookmarkEnd w:id="1136"/>
      <w:bookmarkEnd w:id="1137"/>
      <w:bookmarkEnd w:id="1138"/>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39" w:name="_Toc25632"/>
      <w:bookmarkStart w:id="1140" w:name="bookmark1269"/>
      <w:bookmarkStart w:id="1141" w:name="_Toc17591"/>
      <w:bookmarkStart w:id="1142" w:name="_Toc13383"/>
      <w:bookmarkStart w:id="1143" w:name="_Toc9858"/>
      <w:bookmarkStart w:id="1144" w:name="bookmark1268"/>
      <w:bookmarkStart w:id="1145" w:name="bookmark1267"/>
      <w:r>
        <w:rPr>
          <w:rFonts w:hint="eastAsia" w:ascii="宋体" w:hAnsi="宋体" w:eastAsia="宋体" w:cs="宋体"/>
          <w:color w:val="000000"/>
          <w:sz w:val="21"/>
          <w:szCs w:val="21"/>
          <w:highlight w:val="none"/>
        </w:rPr>
        <w:t>15.变更</w:t>
      </w:r>
      <w:bookmarkEnd w:id="1139"/>
      <w:bookmarkEnd w:id="1140"/>
      <w:bookmarkEnd w:id="1141"/>
      <w:bookmarkEnd w:id="1142"/>
      <w:bookmarkEnd w:id="1143"/>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46" w:name="_Toc4736"/>
      <w:bookmarkStart w:id="1147" w:name="_Toc30097"/>
      <w:bookmarkStart w:id="1148" w:name="_Toc30125"/>
      <w:bookmarkStart w:id="1149" w:name="_Toc30429"/>
      <w:bookmarkStart w:id="1150" w:name="bookmark1270"/>
      <w:r>
        <w:rPr>
          <w:rFonts w:hint="eastAsia" w:ascii="宋体" w:hAnsi="宋体" w:eastAsia="宋体" w:cs="宋体"/>
          <w:color w:val="000000"/>
          <w:sz w:val="21"/>
          <w:szCs w:val="21"/>
          <w:highlight w:val="none"/>
        </w:rPr>
        <w:t>15.1变更的范围和内容</w:t>
      </w:r>
      <w:bookmarkEnd w:id="1144"/>
      <w:bookmarkEnd w:id="1145"/>
      <w:bookmarkEnd w:id="1146"/>
      <w:bookmarkEnd w:id="1147"/>
      <w:bookmarkEnd w:id="1148"/>
      <w:bookmarkEnd w:id="1149"/>
      <w:bookmarkEnd w:id="1150"/>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在履行合同中发生以下情形之一，应按照本条规定进行变更。</w:t>
      </w:r>
    </w:p>
    <w:p>
      <w:pPr>
        <w:pStyle w:val="163"/>
        <w:pageBreakBefore w:val="0"/>
        <w:widowControl w:val="0"/>
        <w:numPr>
          <w:ilvl w:val="0"/>
          <w:numId w:val="10"/>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1" w:name="bookmark1271"/>
      <w:bookmarkEnd w:id="1151"/>
      <w:r>
        <w:rPr>
          <w:rFonts w:hint="eastAsia" w:ascii="宋体" w:hAnsi="宋体" w:eastAsia="宋体" w:cs="宋体"/>
          <w:color w:val="000000"/>
          <w:sz w:val="21"/>
          <w:szCs w:val="21"/>
          <w:highlight w:val="none"/>
        </w:rPr>
        <w:t>取消合同中任何一项工作，但被取消的工作不能转由发包人或其它人实施；</w:t>
      </w:r>
    </w:p>
    <w:p>
      <w:pPr>
        <w:pStyle w:val="163"/>
        <w:pageBreakBefore w:val="0"/>
        <w:widowControl w:val="0"/>
        <w:numPr>
          <w:ilvl w:val="0"/>
          <w:numId w:val="10"/>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2" w:name="bookmark1272"/>
      <w:bookmarkEnd w:id="1152"/>
      <w:r>
        <w:rPr>
          <w:rFonts w:hint="eastAsia" w:ascii="宋体" w:hAnsi="宋体" w:eastAsia="宋体" w:cs="宋体"/>
          <w:color w:val="000000"/>
          <w:sz w:val="21"/>
          <w:szCs w:val="21"/>
          <w:highlight w:val="none"/>
        </w:rPr>
        <w:t>改变合同中任何一项工作的质量或其它特性；</w:t>
      </w:r>
    </w:p>
    <w:p>
      <w:pPr>
        <w:pStyle w:val="163"/>
        <w:pageBreakBefore w:val="0"/>
        <w:widowControl w:val="0"/>
        <w:numPr>
          <w:ilvl w:val="0"/>
          <w:numId w:val="10"/>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3" w:name="bookmark1273"/>
      <w:bookmarkEnd w:id="1153"/>
      <w:r>
        <w:rPr>
          <w:rFonts w:hint="eastAsia" w:ascii="宋体" w:hAnsi="宋体" w:eastAsia="宋体" w:cs="宋体"/>
          <w:color w:val="000000"/>
          <w:sz w:val="21"/>
          <w:szCs w:val="21"/>
          <w:highlight w:val="none"/>
        </w:rPr>
        <w:t>改变合同工程的基线、标高、位置或尺寸；</w:t>
      </w:r>
    </w:p>
    <w:p>
      <w:pPr>
        <w:pStyle w:val="163"/>
        <w:pageBreakBefore w:val="0"/>
        <w:widowControl w:val="0"/>
        <w:numPr>
          <w:ilvl w:val="0"/>
          <w:numId w:val="10"/>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4" w:name="bookmark1274"/>
      <w:bookmarkEnd w:id="1154"/>
      <w:r>
        <w:rPr>
          <w:rFonts w:hint="eastAsia" w:ascii="宋体" w:hAnsi="宋体" w:eastAsia="宋体" w:cs="宋体"/>
          <w:color w:val="000000"/>
          <w:sz w:val="21"/>
          <w:szCs w:val="21"/>
          <w:highlight w:val="none"/>
        </w:rPr>
        <w:t>改变合同中任何一项工作的施工时间或改变已批准的施工工艺或顺序；</w:t>
      </w:r>
    </w:p>
    <w:p>
      <w:pPr>
        <w:pStyle w:val="163"/>
        <w:pageBreakBefore w:val="0"/>
        <w:widowControl w:val="0"/>
        <w:numPr>
          <w:ilvl w:val="0"/>
          <w:numId w:val="10"/>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5" w:name="bookmark1275"/>
      <w:bookmarkEnd w:id="1155"/>
      <w:r>
        <w:rPr>
          <w:rFonts w:hint="eastAsia" w:ascii="宋体" w:hAnsi="宋体" w:eastAsia="宋体" w:cs="宋体"/>
          <w:color w:val="000000"/>
          <w:sz w:val="21"/>
          <w:szCs w:val="21"/>
          <w:highlight w:val="none"/>
        </w:rPr>
        <w:t>为完成工程需要追加的额外工作；</w:t>
      </w:r>
    </w:p>
    <w:p>
      <w:pPr>
        <w:pStyle w:val="163"/>
        <w:pageBreakBefore w:val="0"/>
        <w:widowControl w:val="0"/>
        <w:numPr>
          <w:ilvl w:val="0"/>
          <w:numId w:val="10"/>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6" w:name="bookmark1276"/>
      <w:bookmarkEnd w:id="1156"/>
      <w:r>
        <w:rPr>
          <w:rFonts w:hint="eastAsia" w:ascii="宋体" w:hAnsi="宋体" w:eastAsia="宋体" w:cs="宋体"/>
          <w:color w:val="000000"/>
          <w:sz w:val="21"/>
          <w:szCs w:val="21"/>
          <w:highlight w:val="none"/>
        </w:rPr>
        <w:t>增加或减少专用合同条款中约定的关键项目工程量超过其工程总量的一定数量的百分比。</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上述第(1) </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 xml:space="preserve"> (6)目的变更内容引起工程施工组织和进度计划发生实质性变动和影响其原定的价格时，才予调整该项目的单价。第(6)目情形下单价调整方式在专用合同条款中约定。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57" w:name="bookmark1278"/>
      <w:bookmarkStart w:id="1158" w:name="_Toc25903"/>
      <w:bookmarkStart w:id="1159" w:name="_Toc12233"/>
      <w:bookmarkStart w:id="1160" w:name="bookmark1277"/>
      <w:bookmarkStart w:id="1161" w:name="_Toc21527"/>
      <w:bookmarkStart w:id="1162" w:name="bookmark1279"/>
      <w:bookmarkStart w:id="1163" w:name="_Toc10231"/>
      <w:r>
        <w:rPr>
          <w:rFonts w:hint="eastAsia" w:ascii="宋体" w:hAnsi="宋体" w:eastAsia="宋体" w:cs="宋体"/>
          <w:color w:val="000000"/>
          <w:sz w:val="21"/>
          <w:szCs w:val="21"/>
          <w:highlight w:val="none"/>
        </w:rPr>
        <w:t>15.2变更权</w:t>
      </w:r>
      <w:bookmarkEnd w:id="1157"/>
      <w:bookmarkEnd w:id="1158"/>
      <w:bookmarkEnd w:id="1159"/>
      <w:bookmarkEnd w:id="1160"/>
      <w:bookmarkEnd w:id="1161"/>
      <w:bookmarkEnd w:id="1162"/>
      <w:bookmarkEnd w:id="1163"/>
    </w:p>
    <w:p>
      <w:pPr>
        <w:pStyle w:val="163"/>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在履行合同过程中，经发包人同意，监理人可按第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3款约定的变更程序向承包人作出变更指示，承包人应遵照执行。没有监理人的变更指示，承包人不得擅自变更。</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64" w:name="_Toc25766"/>
      <w:bookmarkStart w:id="1165" w:name="bookmark1280"/>
      <w:bookmarkStart w:id="1166" w:name="bookmark1282"/>
      <w:bookmarkStart w:id="1167" w:name="_Toc24991"/>
      <w:bookmarkStart w:id="1168" w:name="_Toc4017"/>
      <w:bookmarkStart w:id="1169" w:name="bookmark1281"/>
      <w:bookmarkStart w:id="1170" w:name="_Toc15300"/>
      <w:r>
        <w:rPr>
          <w:rFonts w:hint="eastAsia" w:ascii="宋体" w:hAnsi="宋体" w:eastAsia="宋体" w:cs="宋体"/>
          <w:color w:val="000000"/>
          <w:sz w:val="21"/>
          <w:szCs w:val="21"/>
          <w:highlight w:val="none"/>
        </w:rPr>
        <w:t>15.3变更程序</w:t>
      </w:r>
      <w:bookmarkEnd w:id="1164"/>
      <w:bookmarkEnd w:id="1165"/>
      <w:bookmarkEnd w:id="1166"/>
      <w:bookmarkEnd w:id="1167"/>
      <w:bookmarkEnd w:id="1168"/>
      <w:bookmarkEnd w:id="1169"/>
      <w:bookmarkEnd w:id="1170"/>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15.3.1</w:t>
      </w:r>
      <w:r>
        <w:rPr>
          <w:rFonts w:hint="eastAsia" w:ascii="宋体" w:hAnsi="宋体" w:eastAsia="宋体" w:cs="宋体"/>
          <w:color w:val="000000"/>
          <w:sz w:val="21"/>
          <w:szCs w:val="21"/>
          <w:highlight w:val="none"/>
        </w:rPr>
        <w:t>变更的提出</w:t>
      </w:r>
    </w:p>
    <w:p>
      <w:pPr>
        <w:pStyle w:val="163"/>
        <w:pageBreakBefore w:val="0"/>
        <w:widowControl w:val="0"/>
        <w:numPr>
          <w:ilvl w:val="0"/>
          <w:numId w:val="11"/>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1" w:name="bookmark1283"/>
      <w:bookmarkEnd w:id="1171"/>
      <w:r>
        <w:rPr>
          <w:rFonts w:hint="eastAsia" w:ascii="宋体" w:hAnsi="宋体" w:eastAsia="宋体" w:cs="宋体"/>
          <w:color w:val="000000"/>
          <w:sz w:val="21"/>
          <w:szCs w:val="21"/>
          <w:highlight w:val="none"/>
        </w:rPr>
        <w:t>在合同履行过程中，可能发生第</w:t>
      </w:r>
      <w:r>
        <w:rPr>
          <w:rFonts w:hint="eastAsia" w:ascii="宋体" w:hAnsi="宋体" w:eastAsia="宋体" w:cs="宋体"/>
          <w:color w:val="000000"/>
          <w:sz w:val="21"/>
          <w:szCs w:val="21"/>
          <w:highlight w:val="none"/>
          <w:lang w:val="en-US"/>
        </w:rPr>
        <w:t>15.1</w:t>
      </w:r>
      <w:r>
        <w:rPr>
          <w:rFonts w:hint="eastAsia" w:ascii="宋体" w:hAnsi="宋体" w:eastAsia="宋体" w:cs="宋体"/>
          <w:color w:val="000000"/>
          <w:sz w:val="21"/>
          <w:szCs w:val="21"/>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lang w:val="en-US" w:eastAsia="en-US"/>
        </w:rPr>
        <w:t>3.</w:t>
      </w:r>
      <w:r>
        <w:rPr>
          <w:rFonts w:hint="eastAsia" w:ascii="宋体" w:hAnsi="宋体" w:eastAsia="宋体" w:cs="宋体"/>
          <w:color w:val="000000"/>
          <w:sz w:val="21"/>
          <w:szCs w:val="21"/>
          <w:highlight w:val="none"/>
        </w:rPr>
        <w:t>3项约定发出变更指示。</w:t>
      </w:r>
    </w:p>
    <w:p>
      <w:pPr>
        <w:pStyle w:val="163"/>
        <w:pageBreakBefore w:val="0"/>
        <w:widowControl w:val="0"/>
        <w:numPr>
          <w:ilvl w:val="0"/>
          <w:numId w:val="11"/>
        </w:numPr>
        <w:tabs>
          <w:tab w:val="left" w:pos="901"/>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2" w:name="bookmark1284"/>
      <w:bookmarkEnd w:id="1172"/>
      <w:r>
        <w:rPr>
          <w:rFonts w:hint="eastAsia" w:ascii="宋体" w:hAnsi="宋体" w:eastAsia="宋体" w:cs="宋体"/>
          <w:color w:val="000000"/>
          <w:sz w:val="21"/>
          <w:szCs w:val="21"/>
          <w:highlight w:val="none"/>
        </w:rPr>
        <w:t>在合同履行过程中，发生第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1款约定情形的，监理人应按照第</w:t>
      </w:r>
      <w:r>
        <w:rPr>
          <w:rFonts w:hint="eastAsia" w:ascii="宋体" w:hAnsi="宋体" w:eastAsia="宋体" w:cs="宋体"/>
          <w:color w:val="000000"/>
          <w:sz w:val="21"/>
          <w:szCs w:val="21"/>
          <w:highlight w:val="none"/>
          <w:lang w:val="en-US"/>
        </w:rPr>
        <w:t>15.3.</w:t>
      </w:r>
      <w:r>
        <w:rPr>
          <w:rFonts w:hint="eastAsia" w:ascii="宋体" w:hAnsi="宋体" w:eastAsia="宋体" w:cs="宋体"/>
          <w:color w:val="000000"/>
          <w:sz w:val="21"/>
          <w:szCs w:val="21"/>
          <w:highlight w:val="none"/>
        </w:rPr>
        <w:t>3项约定向承包人发出变更指示。</w:t>
      </w:r>
    </w:p>
    <w:p>
      <w:pPr>
        <w:pStyle w:val="163"/>
        <w:pageBreakBefore w:val="0"/>
        <w:widowControl w:val="0"/>
        <w:numPr>
          <w:ilvl w:val="0"/>
          <w:numId w:val="11"/>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3" w:name="bookmark1285"/>
      <w:bookmarkEnd w:id="1173"/>
      <w:r>
        <w:rPr>
          <w:rFonts w:hint="eastAsia" w:ascii="宋体" w:hAnsi="宋体" w:eastAsia="宋体" w:cs="宋体"/>
          <w:color w:val="000000"/>
          <w:sz w:val="21"/>
          <w:szCs w:val="21"/>
          <w:highlight w:val="none"/>
        </w:rPr>
        <w:t>承包人收到监理人按合同约定发出的图纸和文件，经检查认为其中存在第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Style w:val="163"/>
        <w:pageBreakBefore w:val="0"/>
        <w:widowControl w:val="0"/>
        <w:numPr>
          <w:ilvl w:val="0"/>
          <w:numId w:val="11"/>
        </w:numPr>
        <w:tabs>
          <w:tab w:val="left" w:pos="922"/>
        </w:tabs>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bookmarkStart w:id="1174" w:name="bookmark1286"/>
      <w:bookmarkEnd w:id="1174"/>
      <w:r>
        <w:rPr>
          <w:rFonts w:hint="eastAsia" w:ascii="宋体" w:hAnsi="宋体" w:eastAsia="宋体" w:cs="宋体"/>
          <w:color w:val="000000"/>
          <w:sz w:val="21"/>
          <w:szCs w:val="21"/>
          <w:highlight w:val="none"/>
        </w:rPr>
        <w:t>若承包人收到监理人的变更意向书后认为难以实施此项变更，应立即通知监理人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说明原因并附详细依据。监理人与承包人和发包人协商后确定撤销、改变或不改变原变更 意向书。</w:t>
      </w:r>
    </w:p>
    <w:p>
      <w:pPr>
        <w:pStyle w:val="164"/>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15.3.2</w:t>
      </w:r>
      <w:r>
        <w:rPr>
          <w:rFonts w:hint="eastAsia" w:ascii="宋体" w:hAnsi="宋体" w:eastAsia="宋体" w:cs="宋体"/>
          <w:color w:val="000000"/>
          <w:sz w:val="21"/>
          <w:szCs w:val="21"/>
          <w:highlight w:val="none"/>
          <w:lang w:val="zh-CN" w:eastAsia="zh-CN"/>
        </w:rPr>
        <w:t>变更估价</w:t>
      </w:r>
    </w:p>
    <w:p>
      <w:pPr>
        <w:pStyle w:val="163"/>
        <w:pageBreakBefore w:val="0"/>
        <w:widowControl w:val="0"/>
        <w:numPr>
          <w:ilvl w:val="0"/>
          <w:numId w:val="12"/>
        </w:numPr>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5" w:name="bookmark1287"/>
      <w:bookmarkEnd w:id="1175"/>
      <w:r>
        <w:rPr>
          <w:rFonts w:hint="eastAsia" w:ascii="宋体" w:hAnsi="宋体" w:eastAsia="宋体" w:cs="宋体"/>
          <w:color w:val="000000"/>
          <w:sz w:val="21"/>
          <w:szCs w:val="21"/>
          <w:highlight w:val="none"/>
        </w:rPr>
        <w:t>除专用合同条款对期限另有约定外，承包人应在收到变更指示或变更意向书后的14天内，向监理人提交变更报价书，报价内容应根据第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4款约定的估价原则，详细开列变更工作的价格组成及其依据，并附必要的施工方法说明和有关图纸。</w:t>
      </w:r>
    </w:p>
    <w:p>
      <w:pPr>
        <w:pStyle w:val="163"/>
        <w:pageBreakBefore w:val="0"/>
        <w:widowControl w:val="0"/>
        <w:numPr>
          <w:ilvl w:val="0"/>
          <w:numId w:val="12"/>
        </w:numPr>
        <w:tabs>
          <w:tab w:val="left" w:pos="915"/>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6" w:name="bookmark1288"/>
      <w:bookmarkEnd w:id="1176"/>
      <w:r>
        <w:rPr>
          <w:rFonts w:hint="eastAsia" w:ascii="宋体" w:hAnsi="宋体" w:eastAsia="宋体" w:cs="宋体"/>
          <w:color w:val="000000"/>
          <w:sz w:val="21"/>
          <w:szCs w:val="21"/>
          <w:highlight w:val="none"/>
        </w:rPr>
        <w:t>变更工作影响工期的，承包人应提出调整工期的具体细节。监理人认为有必要时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可要求承包人提交要求提前或延长工期的施工进度计划及相应施工措施等详细资料。</w:t>
      </w:r>
    </w:p>
    <w:p>
      <w:pPr>
        <w:pStyle w:val="163"/>
        <w:pageBreakBefore w:val="0"/>
        <w:widowControl w:val="0"/>
        <w:numPr>
          <w:ilvl w:val="0"/>
          <w:numId w:val="12"/>
        </w:numPr>
        <w:tabs>
          <w:tab w:val="left" w:pos="920"/>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177" w:name="bookmark1289"/>
      <w:bookmarkEnd w:id="1177"/>
      <w:r>
        <w:rPr>
          <w:rFonts w:hint="eastAsia" w:ascii="宋体" w:hAnsi="宋体" w:eastAsia="宋体" w:cs="宋体"/>
          <w:color w:val="000000"/>
          <w:sz w:val="21"/>
          <w:szCs w:val="21"/>
          <w:highlight w:val="none"/>
        </w:rPr>
        <w:t>除专用合同条款对期限另有约定外，监理人收到承包人变更报价书后的14天内，根据第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4款约定的估价原则，按照第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5款商定或确定变更价格。</w:t>
      </w:r>
    </w:p>
    <w:p>
      <w:pPr>
        <w:pStyle w:val="164"/>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15.3.3</w:t>
      </w:r>
      <w:r>
        <w:rPr>
          <w:rFonts w:hint="eastAsia" w:ascii="宋体" w:hAnsi="宋体" w:eastAsia="宋体" w:cs="宋体"/>
          <w:color w:val="000000"/>
          <w:sz w:val="21"/>
          <w:szCs w:val="21"/>
          <w:highlight w:val="none"/>
          <w:lang w:val="zh-CN" w:eastAsia="zh-CN"/>
        </w:rPr>
        <w:t>变更指示</w:t>
      </w:r>
    </w:p>
    <w:p>
      <w:pPr>
        <w:pStyle w:val="163"/>
        <w:pageBreakBefore w:val="0"/>
        <w:widowControl w:val="0"/>
        <w:numPr>
          <w:ilvl w:val="0"/>
          <w:numId w:val="13"/>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8" w:name="bookmark1290"/>
      <w:bookmarkEnd w:id="1178"/>
      <w:r>
        <w:rPr>
          <w:rFonts w:hint="eastAsia" w:ascii="宋体" w:hAnsi="宋体" w:eastAsia="宋体" w:cs="宋体"/>
          <w:color w:val="000000"/>
          <w:sz w:val="21"/>
          <w:szCs w:val="21"/>
          <w:highlight w:val="none"/>
        </w:rPr>
        <w:t>变更指示只能由监理人发出。</w:t>
      </w:r>
    </w:p>
    <w:p>
      <w:pPr>
        <w:pStyle w:val="163"/>
        <w:pageBreakBefore w:val="0"/>
        <w:widowControl w:val="0"/>
        <w:numPr>
          <w:ilvl w:val="0"/>
          <w:numId w:val="13"/>
        </w:numPr>
        <w:tabs>
          <w:tab w:val="left" w:pos="922"/>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179" w:name="bookmark1291"/>
      <w:bookmarkEnd w:id="1179"/>
      <w:r>
        <w:rPr>
          <w:rFonts w:hint="eastAsia" w:ascii="宋体" w:hAnsi="宋体" w:eastAsia="宋体" w:cs="宋体"/>
          <w:color w:val="000000"/>
          <w:sz w:val="21"/>
          <w:szCs w:val="21"/>
          <w:highlight w:val="none"/>
        </w:rPr>
        <w:t>变更指示应说明变更的目的、范围、变更内容以及变更的工程量及其进度和技术要求，并附有关图纸和文件。承包人收到变更指示后，应按变更指示进行变更工作。</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80" w:name="_Toc8695"/>
      <w:bookmarkStart w:id="1181" w:name="bookmark1294"/>
      <w:bookmarkStart w:id="1182" w:name="bookmark1292"/>
      <w:bookmarkStart w:id="1183" w:name="bookmark1293"/>
      <w:bookmarkStart w:id="1184" w:name="_Toc9569"/>
      <w:bookmarkStart w:id="1185" w:name="_Toc13494"/>
      <w:bookmarkStart w:id="1186" w:name="_Toc9648"/>
      <w:r>
        <w:rPr>
          <w:rFonts w:hint="eastAsia" w:ascii="宋体" w:hAnsi="宋体" w:eastAsia="宋体" w:cs="宋体"/>
          <w:color w:val="000000"/>
          <w:sz w:val="21"/>
          <w:szCs w:val="21"/>
          <w:highlight w:val="none"/>
        </w:rPr>
        <w:t>15.4变更的估价原则</w:t>
      </w:r>
      <w:bookmarkEnd w:id="1180"/>
      <w:bookmarkEnd w:id="1181"/>
      <w:bookmarkEnd w:id="1182"/>
      <w:bookmarkEnd w:id="1183"/>
      <w:bookmarkEnd w:id="1184"/>
      <w:bookmarkEnd w:id="1185"/>
      <w:bookmarkEnd w:id="1186"/>
    </w:p>
    <w:p>
      <w:pPr>
        <w:pStyle w:val="163"/>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除专用合同条款另有约定外，因变更引起的价格调整按照本款约定处理。</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15.4.1</w:t>
      </w:r>
      <w:r>
        <w:rPr>
          <w:rFonts w:hint="eastAsia" w:ascii="宋体" w:hAnsi="宋体" w:eastAsia="宋体" w:cs="宋体"/>
          <w:color w:val="000000"/>
          <w:sz w:val="21"/>
          <w:szCs w:val="21"/>
          <w:highlight w:val="none"/>
        </w:rPr>
        <w:t>已标价工程量清单中有适用于变更工作的子目的，采用该子目的单价。</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15.4.2</w:t>
      </w:r>
      <w:r>
        <w:rPr>
          <w:rFonts w:hint="eastAsia" w:ascii="宋体" w:hAnsi="宋体" w:eastAsia="宋体" w:cs="宋体"/>
          <w:color w:val="000000"/>
          <w:sz w:val="21"/>
          <w:szCs w:val="21"/>
          <w:highlight w:val="none"/>
        </w:rPr>
        <w:t>已标价工程量清单中无适用于变更工作的子目，但有类似子目的，可在合理范围内参照类似子目的单价，由监理人按第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5款商定或确定变更工作的单价。</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15.4.3</w:t>
      </w:r>
      <w:r>
        <w:rPr>
          <w:rFonts w:hint="eastAsia" w:ascii="宋体" w:hAnsi="宋体" w:eastAsia="宋体" w:cs="宋体"/>
          <w:color w:val="000000"/>
          <w:sz w:val="21"/>
          <w:szCs w:val="21"/>
          <w:highlight w:val="none"/>
        </w:rPr>
        <w:t>已标价工程量清单中无适用或类似子目的单价，可按照成本加利润的原则，由监理人按第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5款商定或确定变更工作的单价。</w:t>
      </w:r>
    </w:p>
    <w:p>
      <w:pPr>
        <w:pStyle w:val="165"/>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color w:val="000000"/>
          <w:sz w:val="21"/>
          <w:szCs w:val="21"/>
          <w:highlight w:val="none"/>
        </w:rPr>
      </w:pPr>
      <w:bookmarkStart w:id="1187" w:name="bookmark1295"/>
      <w:bookmarkStart w:id="1188" w:name="_Toc28669"/>
      <w:bookmarkStart w:id="1189" w:name="bookmark1296"/>
      <w:bookmarkStart w:id="1190" w:name="bookmark1297"/>
      <w:r>
        <w:rPr>
          <w:rFonts w:hint="eastAsia" w:ascii="宋体" w:hAnsi="宋体" w:eastAsia="宋体" w:cs="宋体"/>
          <w:b/>
          <w:bCs/>
          <w:color w:val="000000"/>
          <w:sz w:val="21"/>
          <w:szCs w:val="21"/>
          <w:highlight w:val="none"/>
          <w:lang w:val="en-US"/>
        </w:rPr>
        <w:t>15.5</w:t>
      </w:r>
      <w:r>
        <w:rPr>
          <w:rFonts w:hint="eastAsia" w:ascii="宋体" w:hAnsi="宋体" w:eastAsia="宋体" w:cs="宋体"/>
          <w:color w:val="000000"/>
          <w:sz w:val="21"/>
          <w:szCs w:val="21"/>
          <w:highlight w:val="none"/>
        </w:rPr>
        <w:t>承包人的合理化建议</w:t>
      </w:r>
      <w:bookmarkEnd w:id="1187"/>
      <w:bookmarkEnd w:id="1188"/>
      <w:bookmarkEnd w:id="1189"/>
      <w:bookmarkEnd w:id="1190"/>
    </w:p>
    <w:p>
      <w:pPr>
        <w:pStyle w:val="163"/>
        <w:pageBreakBefore w:val="0"/>
        <w:widowControl w:val="0"/>
        <w:tabs>
          <w:tab w:val="left" w:pos="854"/>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191" w:name="bookmark1298"/>
      <w:bookmarkEnd w:id="1191"/>
      <w:r>
        <w:rPr>
          <w:rFonts w:hint="eastAsia" w:ascii="宋体" w:hAnsi="宋体" w:eastAsia="宋体" w:cs="宋体"/>
          <w:color w:val="000000"/>
          <w:sz w:val="21"/>
          <w:szCs w:val="21"/>
          <w:highlight w:val="none"/>
          <w:lang w:val="en-US"/>
        </w:rPr>
        <w:t>15.5.</w:t>
      </w:r>
      <w:r>
        <w:rPr>
          <w:rFonts w:hint="eastAsia" w:ascii="宋体" w:hAnsi="宋体" w:eastAsia="宋体" w:cs="宋体"/>
          <w:color w:val="000000"/>
          <w:sz w:val="21"/>
          <w:szCs w:val="21"/>
          <w:highlight w:val="none"/>
        </w:rPr>
        <w:t>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eastAsia="宋体" w:cs="宋体"/>
          <w:color w:val="000000"/>
          <w:sz w:val="21"/>
          <w:szCs w:val="21"/>
          <w:highlight w:val="none"/>
          <w:lang w:val="en-US"/>
        </w:rPr>
        <w:t>15.3.</w:t>
      </w:r>
      <w:r>
        <w:rPr>
          <w:rFonts w:hint="eastAsia" w:ascii="宋体" w:hAnsi="宋体" w:eastAsia="宋体" w:cs="宋体"/>
          <w:color w:val="000000"/>
          <w:sz w:val="21"/>
          <w:szCs w:val="21"/>
          <w:highlight w:val="none"/>
        </w:rPr>
        <w:t>3项约定向承包人发出变更指示。</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15.5.2</w:t>
      </w:r>
      <w:r>
        <w:rPr>
          <w:rFonts w:hint="eastAsia" w:ascii="宋体" w:hAnsi="宋体" w:eastAsia="宋体" w:cs="宋体"/>
          <w:color w:val="000000"/>
          <w:sz w:val="21"/>
          <w:szCs w:val="21"/>
          <w:highlight w:val="none"/>
        </w:rPr>
        <w:t>承包人提出的合理化建议降低了合同价格、缩短了工期或者提高了工程经济效益的，发包人可按国家有关规定在专用合同条款中约定给予奖励。</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92" w:name="bookmark1300"/>
      <w:bookmarkStart w:id="1193" w:name="bookmark1301"/>
      <w:bookmarkStart w:id="1194" w:name="_Toc7702"/>
      <w:bookmarkStart w:id="1195" w:name="_Toc24892"/>
      <w:bookmarkStart w:id="1196" w:name="bookmark1299"/>
      <w:bookmarkStart w:id="1197" w:name="_Toc4095"/>
      <w:bookmarkStart w:id="1198" w:name="_Toc5051"/>
      <w:r>
        <w:rPr>
          <w:rFonts w:hint="eastAsia" w:ascii="宋体" w:hAnsi="宋体" w:eastAsia="宋体" w:cs="宋体"/>
          <w:color w:val="000000"/>
          <w:sz w:val="21"/>
          <w:szCs w:val="21"/>
          <w:highlight w:val="none"/>
        </w:rPr>
        <w:t>15.6暂列金额</w:t>
      </w:r>
      <w:bookmarkEnd w:id="1192"/>
      <w:bookmarkEnd w:id="1193"/>
      <w:bookmarkEnd w:id="1194"/>
      <w:bookmarkEnd w:id="1195"/>
      <w:bookmarkEnd w:id="1196"/>
      <w:bookmarkEnd w:id="1197"/>
      <w:bookmarkEnd w:id="1198"/>
    </w:p>
    <w:p>
      <w:pPr>
        <w:pStyle w:val="163"/>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暂列金额只能按照监理人的指示使用，并对合同价格进行相应调整。</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99" w:name="bookmark1304"/>
      <w:bookmarkStart w:id="1200" w:name="bookmark1302"/>
      <w:bookmarkStart w:id="1201" w:name="_Toc27045"/>
      <w:bookmarkStart w:id="1202" w:name="_Toc23161"/>
      <w:bookmarkStart w:id="1203" w:name="_Toc4098"/>
      <w:bookmarkStart w:id="1204" w:name="bookmark1303"/>
      <w:bookmarkStart w:id="1205" w:name="_Toc6641"/>
      <w:r>
        <w:rPr>
          <w:rFonts w:hint="eastAsia" w:ascii="宋体" w:hAnsi="宋体" w:eastAsia="宋体" w:cs="宋体"/>
          <w:color w:val="000000"/>
          <w:sz w:val="21"/>
          <w:szCs w:val="21"/>
          <w:highlight w:val="none"/>
        </w:rPr>
        <w:t>15.7计日工</w:t>
      </w:r>
      <w:bookmarkEnd w:id="1199"/>
      <w:bookmarkEnd w:id="1200"/>
      <w:bookmarkEnd w:id="1201"/>
      <w:bookmarkEnd w:id="1202"/>
      <w:bookmarkEnd w:id="1203"/>
      <w:bookmarkEnd w:id="1204"/>
      <w:bookmarkEnd w:id="1205"/>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15.7.1</w:t>
      </w:r>
      <w:r>
        <w:rPr>
          <w:rFonts w:hint="eastAsia" w:ascii="宋体" w:hAnsi="宋体" w:eastAsia="宋体" w:cs="宋体"/>
          <w:color w:val="000000"/>
          <w:sz w:val="21"/>
          <w:szCs w:val="21"/>
          <w:highlight w:val="none"/>
        </w:rPr>
        <w:t>发包人认为有必要时，由监理人通知承包人以计日工方式实施变更的零星工作。其价款按列入已标价工程量清单中的计日工计价子目及其单价进行计算。</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15.7.2</w:t>
      </w:r>
      <w:r>
        <w:rPr>
          <w:rFonts w:hint="eastAsia" w:ascii="宋体" w:hAnsi="宋体" w:eastAsia="宋体" w:cs="宋体"/>
          <w:color w:val="000000"/>
          <w:sz w:val="21"/>
          <w:szCs w:val="21"/>
          <w:highlight w:val="none"/>
        </w:rPr>
        <w:t>采用计日工计价的任何一项变更工作，应从暂列金额中支付，承包人应在该项变更的实施过程中，每天提交以下报表和有关凭证报送监理人审批：</w:t>
      </w:r>
    </w:p>
    <w:p>
      <w:pPr>
        <w:pStyle w:val="163"/>
        <w:pageBreakBefore w:val="0"/>
        <w:widowControl w:val="0"/>
        <w:numPr>
          <w:ilvl w:val="0"/>
          <w:numId w:val="14"/>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06" w:name="bookmark1305"/>
      <w:bookmarkEnd w:id="1206"/>
      <w:r>
        <w:rPr>
          <w:rFonts w:hint="eastAsia" w:ascii="宋体" w:hAnsi="宋体" w:eastAsia="宋体" w:cs="宋体"/>
          <w:color w:val="000000"/>
          <w:sz w:val="21"/>
          <w:szCs w:val="21"/>
          <w:highlight w:val="none"/>
        </w:rPr>
        <w:t>工作名称、内容和数量；</w:t>
      </w:r>
    </w:p>
    <w:p>
      <w:pPr>
        <w:pStyle w:val="163"/>
        <w:pageBreakBefore w:val="0"/>
        <w:widowControl w:val="0"/>
        <w:numPr>
          <w:ilvl w:val="0"/>
          <w:numId w:val="14"/>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07" w:name="bookmark1306"/>
      <w:bookmarkEnd w:id="1207"/>
      <w:r>
        <w:rPr>
          <w:rFonts w:hint="eastAsia" w:ascii="宋体" w:hAnsi="宋体" w:eastAsia="宋体" w:cs="宋体"/>
          <w:color w:val="000000"/>
          <w:sz w:val="21"/>
          <w:szCs w:val="21"/>
          <w:highlight w:val="none"/>
        </w:rPr>
        <w:t>投入该工作所有人员的姓名、工种、级别和耗用工时；</w:t>
      </w:r>
    </w:p>
    <w:p>
      <w:pPr>
        <w:pStyle w:val="163"/>
        <w:pageBreakBefore w:val="0"/>
        <w:widowControl w:val="0"/>
        <w:numPr>
          <w:ilvl w:val="0"/>
          <w:numId w:val="14"/>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08" w:name="bookmark1307"/>
      <w:bookmarkEnd w:id="1208"/>
      <w:r>
        <w:rPr>
          <w:rFonts w:hint="eastAsia" w:ascii="宋体" w:hAnsi="宋体" w:eastAsia="宋体" w:cs="宋体"/>
          <w:color w:val="000000"/>
          <w:sz w:val="21"/>
          <w:szCs w:val="21"/>
          <w:highlight w:val="none"/>
        </w:rPr>
        <w:t>投入该工作的材料类别和数量；</w:t>
      </w:r>
    </w:p>
    <w:p>
      <w:pPr>
        <w:pStyle w:val="163"/>
        <w:pageBreakBefore w:val="0"/>
        <w:widowControl w:val="0"/>
        <w:numPr>
          <w:ilvl w:val="0"/>
          <w:numId w:val="14"/>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09" w:name="bookmark1308"/>
      <w:bookmarkEnd w:id="1209"/>
      <w:r>
        <w:rPr>
          <w:rFonts w:hint="eastAsia" w:ascii="宋体" w:hAnsi="宋体" w:eastAsia="宋体" w:cs="宋体"/>
          <w:color w:val="000000"/>
          <w:sz w:val="21"/>
          <w:szCs w:val="21"/>
          <w:highlight w:val="none"/>
        </w:rPr>
        <w:t>投入该工作的施工设备型号、台数和耗用台时；</w:t>
      </w:r>
    </w:p>
    <w:p>
      <w:pPr>
        <w:pStyle w:val="163"/>
        <w:pageBreakBefore w:val="0"/>
        <w:widowControl w:val="0"/>
        <w:numPr>
          <w:ilvl w:val="0"/>
          <w:numId w:val="14"/>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10" w:name="bookmark1309"/>
      <w:bookmarkEnd w:id="1210"/>
      <w:r>
        <w:rPr>
          <w:rFonts w:hint="eastAsia" w:ascii="宋体" w:hAnsi="宋体" w:eastAsia="宋体" w:cs="宋体"/>
          <w:color w:val="000000"/>
          <w:sz w:val="21"/>
          <w:szCs w:val="21"/>
          <w:highlight w:val="none"/>
        </w:rPr>
        <w:t>监理人要求提交的其他资料和凭证。</w:t>
      </w:r>
    </w:p>
    <w:p>
      <w:pPr>
        <w:pStyle w:val="163"/>
        <w:pageBreakBefore w:val="0"/>
        <w:widowControl w:val="0"/>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15.7.3</w:t>
      </w:r>
      <w:r>
        <w:rPr>
          <w:rFonts w:hint="eastAsia" w:ascii="宋体" w:hAnsi="宋体" w:eastAsia="宋体" w:cs="宋体"/>
          <w:color w:val="000000"/>
          <w:sz w:val="21"/>
          <w:szCs w:val="21"/>
          <w:highlight w:val="none"/>
        </w:rPr>
        <w:t>计日工由承包人汇总后，按第</w:t>
      </w:r>
      <w:r>
        <w:rPr>
          <w:rFonts w:hint="eastAsia" w:ascii="宋体" w:hAnsi="宋体" w:eastAsia="宋体" w:cs="宋体"/>
          <w:color w:val="000000"/>
          <w:sz w:val="21"/>
          <w:szCs w:val="21"/>
          <w:highlight w:val="none"/>
          <w:lang w:val="en-US"/>
        </w:rPr>
        <w:t>17.3.2</w:t>
      </w:r>
      <w:r>
        <w:rPr>
          <w:rFonts w:hint="eastAsia" w:ascii="宋体" w:hAnsi="宋体" w:eastAsia="宋体" w:cs="宋体"/>
          <w:color w:val="000000"/>
          <w:sz w:val="21"/>
          <w:szCs w:val="21"/>
          <w:highlight w:val="none"/>
        </w:rPr>
        <w:t>项的约定列入进度付款申请单，由监理人复核并经发包人同意后列入进度付款。</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11" w:name="_Toc6776"/>
      <w:bookmarkStart w:id="1212" w:name="bookmark1311"/>
      <w:bookmarkStart w:id="1213" w:name="_Toc28770"/>
      <w:bookmarkStart w:id="1214" w:name="bookmark1310"/>
      <w:bookmarkStart w:id="1215" w:name="_Toc29143"/>
      <w:bookmarkStart w:id="1216" w:name="bookmark1312"/>
      <w:bookmarkStart w:id="1217" w:name="_Toc16892"/>
      <w:r>
        <w:rPr>
          <w:rFonts w:hint="eastAsia" w:ascii="宋体" w:hAnsi="宋体" w:eastAsia="宋体" w:cs="宋体"/>
          <w:color w:val="000000"/>
          <w:sz w:val="21"/>
          <w:szCs w:val="21"/>
          <w:highlight w:val="none"/>
        </w:rPr>
        <w:t>15.8暂估价</w:t>
      </w:r>
      <w:bookmarkEnd w:id="1211"/>
      <w:bookmarkEnd w:id="1212"/>
      <w:bookmarkEnd w:id="1213"/>
      <w:bookmarkEnd w:id="1214"/>
      <w:bookmarkEnd w:id="1215"/>
      <w:bookmarkEnd w:id="1216"/>
      <w:bookmarkEnd w:id="1217"/>
    </w:p>
    <w:p>
      <w:pPr>
        <w:pStyle w:val="163"/>
        <w:pageBreakBefore w:val="0"/>
        <w:widowControl w:val="0"/>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bookmarkStart w:id="1218" w:name="bookmark1313"/>
      <w:bookmarkEnd w:id="1218"/>
      <w:r>
        <w:rPr>
          <w:rFonts w:hint="eastAsia" w:ascii="宋体" w:hAnsi="宋体" w:eastAsia="宋体" w:cs="宋体"/>
          <w:color w:val="000000"/>
          <w:sz w:val="21"/>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pPr>
        <w:pStyle w:val="163"/>
        <w:pageBreakBefore w:val="0"/>
        <w:widowControl w:val="0"/>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bookmarkStart w:id="1219" w:name="bookmark1314"/>
      <w:bookmarkEnd w:id="1219"/>
      <w:r>
        <w:rPr>
          <w:rFonts w:hint="eastAsia" w:ascii="宋体" w:hAnsi="宋体" w:eastAsia="宋体" w:cs="宋体"/>
          <w:color w:val="000000"/>
          <w:sz w:val="21"/>
          <w:szCs w:val="21"/>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Style w:val="163"/>
        <w:pageBreakBefore w:val="0"/>
        <w:widowControl w:val="0"/>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bookmarkStart w:id="1220" w:name="bookmark1315"/>
      <w:bookmarkEnd w:id="1220"/>
      <w:r>
        <w:rPr>
          <w:rFonts w:hint="eastAsia" w:ascii="宋体" w:hAnsi="宋体" w:eastAsia="宋体" w:cs="宋体"/>
          <w:color w:val="000000"/>
          <w:sz w:val="21"/>
          <w:szCs w:val="21"/>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21" w:name="bookmark1316"/>
      <w:bookmarkStart w:id="1222" w:name="_Toc242"/>
      <w:bookmarkStart w:id="1223" w:name="bookmark1318"/>
      <w:bookmarkStart w:id="1224" w:name="_Toc24202"/>
      <w:bookmarkStart w:id="1225" w:name="_Toc22219"/>
      <w:bookmarkStart w:id="1226" w:name="bookmark1317"/>
      <w:bookmarkStart w:id="1227" w:name="_Toc24775"/>
      <w:r>
        <w:rPr>
          <w:rFonts w:hint="eastAsia" w:ascii="宋体" w:hAnsi="宋体" w:eastAsia="宋体" w:cs="宋体"/>
          <w:color w:val="000000"/>
          <w:sz w:val="21"/>
          <w:szCs w:val="21"/>
          <w:highlight w:val="none"/>
        </w:rPr>
        <w:t>16 .价格调整</w:t>
      </w:r>
      <w:bookmarkEnd w:id="1221"/>
      <w:bookmarkEnd w:id="1222"/>
      <w:bookmarkEnd w:id="1223"/>
      <w:bookmarkEnd w:id="1224"/>
      <w:bookmarkEnd w:id="1225"/>
      <w:bookmarkEnd w:id="1226"/>
      <w:bookmarkEnd w:id="1227"/>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28" w:name="_Toc5288"/>
      <w:bookmarkStart w:id="1229" w:name="_Toc10040"/>
      <w:bookmarkStart w:id="1230" w:name="bookmark1320"/>
      <w:bookmarkStart w:id="1231" w:name="bookmark1321"/>
      <w:bookmarkStart w:id="1232" w:name="_Toc19805"/>
      <w:bookmarkStart w:id="1233" w:name="bookmark1319"/>
      <w:bookmarkStart w:id="1234" w:name="_Toc2131"/>
      <w:r>
        <w:rPr>
          <w:rFonts w:hint="eastAsia" w:ascii="宋体" w:hAnsi="宋体" w:eastAsia="宋体" w:cs="宋体"/>
          <w:color w:val="000000"/>
          <w:sz w:val="21"/>
          <w:szCs w:val="21"/>
          <w:highlight w:val="none"/>
        </w:rPr>
        <w:t>16.1物价波动引起的价格调整</w:t>
      </w:r>
      <w:bookmarkEnd w:id="1228"/>
      <w:bookmarkEnd w:id="1229"/>
      <w:bookmarkEnd w:id="1230"/>
      <w:bookmarkEnd w:id="1231"/>
      <w:bookmarkEnd w:id="1232"/>
      <w:bookmarkEnd w:id="1233"/>
      <w:bookmarkEnd w:id="1234"/>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由于物价波动原因引起合同价格需要调整的，其价格调整方式在专用合同条款中约定；除专用合同条款另有约定外，因物价波动引起的价格调整按照本款约定处理。</w:t>
      </w:r>
    </w:p>
    <w:p>
      <w:pPr>
        <w:pStyle w:val="163"/>
        <w:pageBreakBefore w:val="0"/>
        <w:widowControl w:val="0"/>
        <w:tabs>
          <w:tab w:val="left" w:pos="839"/>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bookmarkStart w:id="1235" w:name="bookmark1322"/>
      <w:bookmarkEnd w:id="1235"/>
      <w:r>
        <w:rPr>
          <w:rFonts w:hint="eastAsia" w:ascii="宋体" w:hAnsi="宋体" w:eastAsia="宋体" w:cs="宋体"/>
          <w:color w:val="000000"/>
          <w:sz w:val="21"/>
          <w:szCs w:val="21"/>
          <w:highlight w:val="none"/>
          <w:lang w:val="en-US"/>
        </w:rPr>
        <w:t>16.1.</w:t>
      </w:r>
      <w:r>
        <w:rPr>
          <w:rFonts w:hint="eastAsia" w:ascii="宋体" w:hAnsi="宋体" w:eastAsia="宋体" w:cs="宋体"/>
          <w:color w:val="000000"/>
          <w:sz w:val="21"/>
          <w:szCs w:val="21"/>
          <w:highlight w:val="none"/>
        </w:rPr>
        <w:t>1采用价格指数调整价格差额</w:t>
      </w:r>
    </w:p>
    <w:p>
      <w:pPr>
        <w:pStyle w:val="164"/>
        <w:pageBreakBefore w:val="0"/>
        <w:widowControl w:val="0"/>
        <w:tabs>
          <w:tab w:val="left" w:pos="839"/>
        </w:tabs>
        <w:kinsoku/>
        <w:wordWrap/>
        <w:overflowPunct/>
        <w:topLinePunct w:val="0"/>
        <w:autoSpaceDE/>
        <w:autoSpaceDN/>
        <w:bidi w:val="0"/>
        <w:adjustRightInd/>
        <w:snapToGrid/>
        <w:spacing w:after="0" w:line="400" w:lineRule="exact"/>
        <w:ind w:left="420" w:firstLine="0"/>
        <w:jc w:val="both"/>
        <w:textAlignment w:val="auto"/>
        <w:rPr>
          <w:rFonts w:hint="eastAsia" w:ascii="宋体" w:hAnsi="宋体" w:eastAsia="宋体" w:cs="宋体"/>
          <w:color w:val="000000"/>
          <w:sz w:val="21"/>
          <w:szCs w:val="21"/>
          <w:highlight w:val="none"/>
          <w:lang w:eastAsia="zh-CN"/>
        </w:rPr>
      </w:pPr>
      <w:bookmarkStart w:id="1236" w:name="bookmark1323"/>
      <w:bookmarkEnd w:id="1236"/>
      <w:r>
        <w:rPr>
          <w:rFonts w:hint="eastAsia" w:ascii="宋体" w:hAnsi="宋体" w:eastAsia="宋体" w:cs="宋体"/>
          <w:color w:val="000000"/>
          <w:sz w:val="21"/>
          <w:szCs w:val="21"/>
          <w:highlight w:val="none"/>
          <w:lang w:eastAsia="zh-CN"/>
        </w:rPr>
        <w:t>16.1.1.</w:t>
      </w:r>
      <w:r>
        <w:rPr>
          <w:rFonts w:hint="eastAsia" w:ascii="宋体" w:hAnsi="宋体" w:eastAsia="宋体" w:cs="宋体"/>
          <w:color w:val="000000"/>
          <w:sz w:val="21"/>
          <w:szCs w:val="21"/>
          <w:highlight w:val="none"/>
          <w:lang w:val="zh-CN" w:eastAsia="zh-CN"/>
        </w:rPr>
        <w:t>1价格调整公式</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因人工、材料和设备等价格波动影响合同价格时，根据投标函附录中的价格指数和权重表约定的数据，按以下公式计算差额并调整合同价格。</w:t>
      </w:r>
    </w:p>
    <w:p>
      <w:pPr>
        <w:pStyle w:val="163"/>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p>
    <w:p>
      <w:pPr>
        <w:pStyle w:val="163"/>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position w:val="-34"/>
          <w:sz w:val="21"/>
          <w:szCs w:val="21"/>
          <w:highlight w:val="none"/>
        </w:rPr>
        <w:object>
          <v:shape id="_x0000_i1025" o:spt="75" type="#_x0000_t75" style="height:49.5pt;width:321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式中： △P -- 需调整的价格差额；</w:t>
      </w:r>
    </w:p>
    <w:p>
      <w:pPr>
        <w:pStyle w:val="163"/>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bookmarkStart w:id="1237" w:name="_Toc144974686"/>
      <w:bookmarkStart w:id="1238" w:name="_Toc152042495"/>
      <w:r>
        <w:rPr>
          <w:rFonts w:hint="eastAsia" w:ascii="宋体" w:hAnsi="宋体" w:eastAsia="宋体" w:cs="宋体"/>
          <w:color w:val="000000"/>
          <w:sz w:val="21"/>
          <w:szCs w:val="21"/>
          <w:highlight w:val="none"/>
          <w:lang w:val="en-US"/>
        </w:rPr>
        <w:t>A -- 定值权重(即不调部分的权重)；</w:t>
      </w:r>
      <w:bookmarkEnd w:id="1237"/>
      <w:bookmarkEnd w:id="1238"/>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B1；B2；B3·····Bn -- 各可调因子的变值权重(即可调部分的权重)为各可调因子在投标函投标总报价中所占的比例；</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Ft1；Ft2；Ft3·····Ftn -- 各可调因子的现行价格指数，指第17.3.3项、第17.5.2项和第17.6.2项约定的付款证书相关周期最后一天的前42天的各可调因子的价格指数；</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Fo1；Fo2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rPr>
        <w:t>Fo3·····Fon -- 各可调因子的基本价格指数，指基准日期的各可调因子的价格指数。</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16.1.1.2</w:t>
      </w:r>
      <w:r>
        <w:rPr>
          <w:rFonts w:hint="eastAsia" w:ascii="宋体" w:hAnsi="宋体" w:eastAsia="宋体" w:cs="宋体"/>
          <w:color w:val="000000"/>
          <w:sz w:val="21"/>
          <w:szCs w:val="21"/>
          <w:highlight w:val="none"/>
        </w:rPr>
        <w:t>暂时确定调整差额</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在计算调整差额时得不到现行价格指数的，可暂用上一次价格指数计算，并在以后的付款中再按实际价格指数进行调整。</w:t>
      </w:r>
    </w:p>
    <w:p>
      <w:pPr>
        <w:pStyle w:val="164"/>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16.1.1.3</w:t>
      </w:r>
      <w:r>
        <w:rPr>
          <w:rFonts w:hint="eastAsia" w:ascii="宋体" w:hAnsi="宋体" w:eastAsia="宋体" w:cs="宋体"/>
          <w:color w:val="000000"/>
          <w:sz w:val="21"/>
          <w:szCs w:val="21"/>
          <w:highlight w:val="none"/>
          <w:lang w:val="zh-CN" w:eastAsia="zh-CN"/>
        </w:rPr>
        <w:t>权重的调整</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1款约定的变更导致原定合同中的权重不合理时，由监理人与承包人和发包人协商后进行调整。</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16.1.1.4</w:t>
      </w:r>
      <w:r>
        <w:rPr>
          <w:rFonts w:hint="eastAsia" w:ascii="宋体" w:hAnsi="宋体" w:eastAsia="宋体" w:cs="宋体"/>
          <w:color w:val="000000"/>
          <w:sz w:val="21"/>
          <w:szCs w:val="21"/>
          <w:highlight w:val="none"/>
        </w:rPr>
        <w:t>承包人工期延误后的价格调整</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由于承包人原因未在约定的工期内竣工的，则对原约定竣工日期后继续施工的工程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在使用第</w:t>
      </w:r>
      <w:r>
        <w:rPr>
          <w:rFonts w:hint="eastAsia" w:ascii="宋体" w:hAnsi="宋体" w:eastAsia="宋体" w:cs="宋体"/>
          <w:color w:val="000000"/>
          <w:sz w:val="21"/>
          <w:szCs w:val="21"/>
          <w:highlight w:val="none"/>
          <w:lang w:val="en-US"/>
        </w:rPr>
        <w:t>16.1.1.</w:t>
      </w:r>
      <w:r>
        <w:rPr>
          <w:rFonts w:hint="eastAsia" w:ascii="宋体" w:hAnsi="宋体" w:eastAsia="宋体" w:cs="宋体"/>
          <w:color w:val="000000"/>
          <w:sz w:val="21"/>
          <w:szCs w:val="21"/>
          <w:highlight w:val="none"/>
        </w:rPr>
        <w:t>1目价格调整公式时，应采用原约定竣工日期与实际竣工日期的两个价格指数中较低的一个作为现行价格指数。</w:t>
      </w:r>
    </w:p>
    <w:p>
      <w:pPr>
        <w:pStyle w:val="163"/>
        <w:pageBreakBefore w:val="0"/>
        <w:widowControl w:val="0"/>
        <w:tabs>
          <w:tab w:val="left" w:pos="861"/>
        </w:tabs>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000000"/>
          <w:sz w:val="21"/>
          <w:szCs w:val="21"/>
          <w:highlight w:val="none"/>
        </w:rPr>
      </w:pPr>
      <w:bookmarkStart w:id="1239" w:name="bookmark1325"/>
      <w:bookmarkEnd w:id="1239"/>
      <w:r>
        <w:rPr>
          <w:rFonts w:hint="eastAsia" w:ascii="宋体" w:hAnsi="宋体" w:eastAsia="宋体" w:cs="宋体"/>
          <w:color w:val="000000"/>
          <w:sz w:val="21"/>
          <w:szCs w:val="21"/>
          <w:highlight w:val="none"/>
          <w:lang w:val="en-US"/>
        </w:rPr>
        <w:t>16.1.</w:t>
      </w:r>
      <w:r>
        <w:rPr>
          <w:rFonts w:hint="eastAsia" w:ascii="宋体" w:hAnsi="宋体" w:eastAsia="宋体" w:cs="宋体"/>
          <w:color w:val="000000"/>
          <w:sz w:val="21"/>
          <w:szCs w:val="21"/>
          <w:highlight w:val="none"/>
        </w:rPr>
        <w:t>2采用造价信息调整价格差额</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pPr>
        <w:pStyle w:val="163"/>
        <w:pageBreakBefore w:val="0"/>
        <w:widowControl w:val="0"/>
        <w:kinsoku/>
        <w:wordWrap/>
        <w:overflowPunct/>
        <w:topLinePunct w:val="0"/>
        <w:autoSpaceDE/>
        <w:autoSpaceDN/>
        <w:bidi w:val="0"/>
        <w:adjustRightInd/>
        <w:snapToGrid/>
        <w:spacing w:after="16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工程造价信息的来源以及价格调整的项目和系数在专用合同条款中约定。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40" w:name="_Toc12565"/>
      <w:bookmarkStart w:id="1241" w:name="bookmark1327"/>
      <w:bookmarkStart w:id="1242" w:name="bookmark1328"/>
      <w:bookmarkStart w:id="1243" w:name="_Toc6525"/>
      <w:bookmarkStart w:id="1244" w:name="bookmark1326"/>
      <w:bookmarkStart w:id="1245" w:name="_Toc30516"/>
      <w:bookmarkStart w:id="1246" w:name="_Toc14170"/>
      <w:r>
        <w:rPr>
          <w:rFonts w:hint="eastAsia" w:ascii="宋体" w:hAnsi="宋体" w:eastAsia="宋体" w:cs="宋体"/>
          <w:color w:val="000000"/>
          <w:sz w:val="21"/>
          <w:szCs w:val="21"/>
          <w:highlight w:val="none"/>
        </w:rPr>
        <w:t>16.2法律变化引起的价格调整</w:t>
      </w:r>
      <w:bookmarkEnd w:id="1240"/>
      <w:bookmarkEnd w:id="1241"/>
      <w:bookmarkEnd w:id="1242"/>
      <w:bookmarkEnd w:id="1243"/>
      <w:bookmarkEnd w:id="1244"/>
      <w:bookmarkEnd w:id="1245"/>
      <w:bookmarkEnd w:id="1246"/>
    </w:p>
    <w:p>
      <w:pPr>
        <w:pStyle w:val="163"/>
        <w:pageBreakBefore w:val="0"/>
        <w:widowControl w:val="0"/>
        <w:kinsoku/>
        <w:wordWrap/>
        <w:overflowPunct/>
        <w:topLinePunct w:val="0"/>
        <w:autoSpaceDE/>
        <w:autoSpaceDN/>
        <w:bidi w:val="0"/>
        <w:adjustRightInd/>
        <w:snapToGrid/>
        <w:spacing w:after="30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在基准日后，因法律变化导致承包人在合同履行中所需要的工程费用发生除第</w:t>
      </w:r>
      <w:r>
        <w:rPr>
          <w:rFonts w:hint="eastAsia" w:ascii="宋体" w:hAnsi="宋体" w:eastAsia="宋体" w:cs="宋体"/>
          <w:color w:val="000000"/>
          <w:sz w:val="21"/>
          <w:szCs w:val="21"/>
          <w:highlight w:val="none"/>
          <w:lang w:val="en-US"/>
        </w:rPr>
        <w:t>16.</w:t>
      </w:r>
      <w:r>
        <w:rPr>
          <w:rFonts w:hint="eastAsia" w:ascii="宋体" w:hAnsi="宋体" w:eastAsia="宋体" w:cs="宋体"/>
          <w:color w:val="000000"/>
          <w:sz w:val="21"/>
          <w:szCs w:val="21"/>
          <w:highlight w:val="none"/>
        </w:rPr>
        <w:t>1款约定以外的增减时，监理人应根据法律、国家或省、自治区、直辖市有关部门的规定，按第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5款商定或确定需调整的合同价款。</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47" w:name="_Toc15158"/>
      <w:bookmarkStart w:id="1248" w:name="_Toc5722"/>
      <w:bookmarkStart w:id="1249" w:name="_Toc23199"/>
      <w:bookmarkStart w:id="1250" w:name="bookmark1329"/>
      <w:bookmarkStart w:id="1251" w:name="bookmark1331"/>
      <w:bookmarkStart w:id="1252" w:name="bookmark1330"/>
      <w:bookmarkStart w:id="1253" w:name="_Toc2309"/>
      <w:r>
        <w:rPr>
          <w:rFonts w:hint="eastAsia" w:ascii="宋体" w:hAnsi="宋体" w:eastAsia="宋体" w:cs="宋体"/>
          <w:color w:val="000000"/>
          <w:sz w:val="21"/>
          <w:szCs w:val="21"/>
          <w:highlight w:val="none"/>
        </w:rPr>
        <w:t>17.计量与支付</w:t>
      </w:r>
      <w:bookmarkEnd w:id="1247"/>
      <w:bookmarkEnd w:id="1248"/>
      <w:bookmarkEnd w:id="1249"/>
      <w:bookmarkEnd w:id="1250"/>
      <w:bookmarkEnd w:id="1251"/>
      <w:bookmarkEnd w:id="1252"/>
      <w:bookmarkEnd w:id="1253"/>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54" w:name="bookmark1332"/>
      <w:bookmarkStart w:id="1255" w:name="_Toc7733"/>
      <w:bookmarkStart w:id="1256" w:name="_Toc10046"/>
      <w:bookmarkStart w:id="1257" w:name="bookmark1333"/>
      <w:bookmarkStart w:id="1258" w:name="_Toc24033"/>
      <w:bookmarkStart w:id="1259" w:name="bookmark1334"/>
      <w:bookmarkStart w:id="1260" w:name="_Toc6343"/>
      <w:r>
        <w:rPr>
          <w:rFonts w:hint="eastAsia" w:ascii="宋体" w:hAnsi="宋体" w:eastAsia="宋体" w:cs="宋体"/>
          <w:color w:val="000000"/>
          <w:sz w:val="21"/>
          <w:szCs w:val="21"/>
          <w:highlight w:val="none"/>
        </w:rPr>
        <w:t>17.1计量</w:t>
      </w:r>
      <w:bookmarkEnd w:id="1254"/>
      <w:bookmarkEnd w:id="1255"/>
      <w:bookmarkEnd w:id="1256"/>
      <w:bookmarkEnd w:id="1257"/>
      <w:bookmarkEnd w:id="1258"/>
      <w:bookmarkEnd w:id="1259"/>
      <w:bookmarkEnd w:id="1260"/>
    </w:p>
    <w:p>
      <w:pPr>
        <w:pStyle w:val="164"/>
        <w:pageBreakBefore w:val="0"/>
        <w:widowControl w:val="0"/>
        <w:tabs>
          <w:tab w:val="left" w:pos="841"/>
        </w:tabs>
        <w:kinsoku/>
        <w:wordWrap/>
        <w:overflowPunct/>
        <w:topLinePunct w:val="0"/>
        <w:autoSpaceDE/>
        <w:autoSpaceDN/>
        <w:bidi w:val="0"/>
        <w:adjustRightInd/>
        <w:snapToGrid/>
        <w:spacing w:after="0" w:line="400" w:lineRule="exact"/>
        <w:ind w:firstLine="0"/>
        <w:textAlignment w:val="auto"/>
        <w:rPr>
          <w:rFonts w:hint="eastAsia" w:ascii="宋体" w:hAnsi="宋体" w:eastAsia="宋体" w:cs="宋体"/>
          <w:color w:val="000000"/>
          <w:sz w:val="21"/>
          <w:szCs w:val="21"/>
          <w:highlight w:val="none"/>
          <w:lang w:eastAsia="zh-CN"/>
        </w:rPr>
      </w:pPr>
      <w:bookmarkStart w:id="1261" w:name="bookmark1335"/>
      <w:bookmarkEnd w:id="1261"/>
      <w:r>
        <w:rPr>
          <w:rFonts w:hint="eastAsia" w:ascii="宋体" w:hAnsi="宋体" w:eastAsia="宋体" w:cs="宋体"/>
          <w:color w:val="000000"/>
          <w:sz w:val="21"/>
          <w:szCs w:val="21"/>
          <w:highlight w:val="none"/>
          <w:lang w:eastAsia="zh-CN"/>
        </w:rPr>
        <w:t xml:space="preserve">       17.1.</w:t>
      </w:r>
      <w:r>
        <w:rPr>
          <w:rFonts w:hint="eastAsia" w:ascii="宋体" w:hAnsi="宋体" w:eastAsia="宋体" w:cs="宋体"/>
          <w:color w:val="000000"/>
          <w:sz w:val="21"/>
          <w:szCs w:val="21"/>
          <w:highlight w:val="none"/>
          <w:lang w:val="zh-CN" w:eastAsia="zh-CN"/>
        </w:rPr>
        <w:t>1计量单位</w:t>
      </w:r>
    </w:p>
    <w:p>
      <w:pPr>
        <w:pStyle w:val="163"/>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计量采用国家法定的计量单位。</w:t>
      </w:r>
    </w:p>
    <w:p>
      <w:pPr>
        <w:pStyle w:val="163"/>
        <w:pageBreakBefore w:val="0"/>
        <w:widowControl w:val="0"/>
        <w:tabs>
          <w:tab w:val="left" w:pos="841"/>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1262" w:name="bookmark1336"/>
      <w:bookmarkEnd w:id="1262"/>
      <w:r>
        <w:rPr>
          <w:rFonts w:hint="eastAsia" w:ascii="宋体" w:hAnsi="宋体" w:eastAsia="宋体" w:cs="宋体"/>
          <w:color w:val="000000"/>
          <w:sz w:val="21"/>
          <w:szCs w:val="21"/>
          <w:highlight w:val="none"/>
          <w:lang w:val="en-US"/>
        </w:rPr>
        <w:t>17.1.</w:t>
      </w:r>
      <w:r>
        <w:rPr>
          <w:rFonts w:hint="eastAsia" w:ascii="宋体" w:hAnsi="宋体" w:eastAsia="宋体" w:cs="宋体"/>
          <w:color w:val="000000"/>
          <w:sz w:val="21"/>
          <w:szCs w:val="21"/>
          <w:highlight w:val="none"/>
        </w:rPr>
        <w:t>2计量方法</w:t>
      </w:r>
    </w:p>
    <w:p>
      <w:pPr>
        <w:pStyle w:val="163"/>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结算工程量应按工程量清单中约定的方法计算。</w:t>
      </w:r>
    </w:p>
    <w:p>
      <w:pPr>
        <w:pStyle w:val="164"/>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17.1.</w:t>
      </w:r>
      <w:r>
        <w:rPr>
          <w:rFonts w:hint="eastAsia" w:ascii="宋体" w:hAnsi="宋体" w:eastAsia="宋体" w:cs="宋体"/>
          <w:color w:val="000000"/>
          <w:sz w:val="21"/>
          <w:szCs w:val="21"/>
          <w:highlight w:val="none"/>
          <w:lang w:val="zh-CN" w:eastAsia="zh-CN"/>
        </w:rPr>
        <w:t>3计量周期</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除专用合同条款另有约定外，单价子目已完成工程量按月计量，总价子目的计量周期 按批准的支付分解报告确定。</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17.1.4</w:t>
      </w:r>
      <w:r>
        <w:rPr>
          <w:rFonts w:hint="eastAsia" w:ascii="宋体" w:hAnsi="宋体" w:eastAsia="宋体" w:cs="宋体"/>
          <w:color w:val="000000"/>
          <w:sz w:val="21"/>
          <w:szCs w:val="21"/>
          <w:highlight w:val="none"/>
        </w:rPr>
        <w:t>单价子目的计量</w:t>
      </w:r>
    </w:p>
    <w:p>
      <w:pPr>
        <w:pStyle w:val="163"/>
        <w:pageBreakBefore w:val="0"/>
        <w:widowControl w:val="0"/>
        <w:numPr>
          <w:ilvl w:val="0"/>
          <w:numId w:val="15"/>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63" w:name="bookmark1337"/>
      <w:bookmarkEnd w:id="1263"/>
      <w:r>
        <w:rPr>
          <w:rFonts w:hint="eastAsia" w:ascii="宋体" w:hAnsi="宋体" w:eastAsia="宋体" w:cs="宋体"/>
          <w:color w:val="000000"/>
          <w:sz w:val="21"/>
          <w:szCs w:val="21"/>
          <w:highlight w:val="none"/>
        </w:rPr>
        <w:t>已标价工程量清单中的单价子目工程量为估算工程量。结算工程量是承包人实际完成的，并按合同约定的计量方法进行计量的工程量。</w:t>
      </w:r>
    </w:p>
    <w:p>
      <w:pPr>
        <w:pStyle w:val="163"/>
        <w:pageBreakBefore w:val="0"/>
        <w:widowControl w:val="0"/>
        <w:numPr>
          <w:ilvl w:val="0"/>
          <w:numId w:val="15"/>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64" w:name="bookmark1338"/>
      <w:bookmarkEnd w:id="1264"/>
      <w:r>
        <w:rPr>
          <w:rFonts w:hint="eastAsia" w:ascii="宋体" w:hAnsi="宋体" w:eastAsia="宋体" w:cs="宋体"/>
          <w:color w:val="000000"/>
          <w:sz w:val="21"/>
          <w:szCs w:val="21"/>
          <w:highlight w:val="none"/>
        </w:rPr>
        <w:t>承包人对已完成的工程进行计量，向监理人提交进度付款申请单、已完成工程量报表和有关计量资料。</w:t>
      </w:r>
    </w:p>
    <w:p>
      <w:pPr>
        <w:pStyle w:val="163"/>
        <w:pageBreakBefore w:val="0"/>
        <w:widowControl w:val="0"/>
        <w:numPr>
          <w:ilvl w:val="0"/>
          <w:numId w:val="15"/>
        </w:numPr>
        <w:tabs>
          <w:tab w:val="left" w:pos="48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监理人对承包人提交的工程量报表进行复核，以确定实际完成的工程量。对数量</w:t>
      </w:r>
      <w:bookmarkStart w:id="1265" w:name="bookmark1339"/>
      <w:bookmarkEnd w:id="1265"/>
      <w:r>
        <w:rPr>
          <w:rFonts w:hint="eastAsia" w:ascii="宋体" w:hAnsi="宋体" w:eastAsia="宋体" w:cs="宋体"/>
          <w:color w:val="000000"/>
          <w:sz w:val="21"/>
          <w:szCs w:val="21"/>
          <w:highlight w:val="none"/>
        </w:rPr>
        <w:t>有异议的，可要求承包人按第</w:t>
      </w:r>
      <w:r>
        <w:rPr>
          <w:rFonts w:hint="eastAsia" w:ascii="宋体" w:hAnsi="宋体" w:eastAsia="宋体" w:cs="宋体"/>
          <w:color w:val="000000"/>
          <w:sz w:val="21"/>
          <w:szCs w:val="21"/>
          <w:highlight w:val="none"/>
          <w:lang w:val="en-US"/>
        </w:rPr>
        <w:t>8.</w:t>
      </w:r>
      <w:r>
        <w:rPr>
          <w:rFonts w:hint="eastAsia" w:ascii="宋体" w:hAnsi="宋体" w:eastAsia="宋体" w:cs="宋体"/>
          <w:color w:val="000000"/>
          <w:sz w:val="21"/>
          <w:szCs w:val="21"/>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pPr>
        <w:pStyle w:val="163"/>
        <w:pageBreakBefore w:val="0"/>
        <w:widowControl w:val="0"/>
        <w:numPr>
          <w:ilvl w:val="0"/>
          <w:numId w:val="15"/>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66" w:name="bookmark1340"/>
      <w:bookmarkEnd w:id="1266"/>
      <w:r>
        <w:rPr>
          <w:rFonts w:hint="eastAsia" w:ascii="宋体" w:hAnsi="宋体" w:eastAsia="宋体" w:cs="宋体"/>
          <w:color w:val="000000"/>
          <w:sz w:val="21"/>
          <w:szCs w:val="21"/>
          <w:highlight w:val="none"/>
        </w:rPr>
        <w:t>监理人认为有必要时，可通知承包人共同进行联合测量、计量，承包人应遵照执行。</w:t>
      </w:r>
    </w:p>
    <w:p>
      <w:pPr>
        <w:pStyle w:val="163"/>
        <w:pageBreakBefore w:val="0"/>
        <w:widowControl w:val="0"/>
        <w:numPr>
          <w:ilvl w:val="0"/>
          <w:numId w:val="15"/>
        </w:numPr>
        <w:tabs>
          <w:tab w:val="left" w:pos="90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67" w:name="bookmark1341"/>
      <w:bookmarkEnd w:id="1267"/>
      <w:r>
        <w:rPr>
          <w:rFonts w:hint="eastAsia" w:ascii="宋体" w:hAnsi="宋体" w:eastAsia="宋体" w:cs="宋体"/>
          <w:color w:val="000000"/>
          <w:sz w:val="21"/>
          <w:szCs w:val="21"/>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163"/>
        <w:pageBreakBefore w:val="0"/>
        <w:widowControl w:val="0"/>
        <w:numPr>
          <w:ilvl w:val="0"/>
          <w:numId w:val="15"/>
        </w:numPr>
        <w:tabs>
          <w:tab w:val="left" w:pos="90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68" w:name="bookmark1342"/>
      <w:bookmarkEnd w:id="1268"/>
      <w:r>
        <w:rPr>
          <w:rFonts w:hint="eastAsia" w:ascii="宋体" w:hAnsi="宋体" w:eastAsia="宋体" w:cs="宋体"/>
          <w:color w:val="000000"/>
          <w:sz w:val="21"/>
          <w:szCs w:val="21"/>
          <w:highlight w:val="none"/>
        </w:rPr>
        <w:t>监理人应在收到承包人提交的工程量报表后的7天内进行复核，监理人未在约定时间内复核的，承包人提交的工程量报表中的工程量视为承包人实际完成的工程量，据此计算工程价款。</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17.1.5</w:t>
      </w:r>
      <w:r>
        <w:rPr>
          <w:rFonts w:hint="eastAsia" w:ascii="宋体" w:hAnsi="宋体" w:eastAsia="宋体" w:cs="宋体"/>
          <w:color w:val="000000"/>
          <w:sz w:val="21"/>
          <w:szCs w:val="21"/>
          <w:highlight w:val="none"/>
        </w:rPr>
        <w:t>总价子目的计量</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总价子目的分解和计量按照下述约定进行。</w:t>
      </w:r>
    </w:p>
    <w:p>
      <w:pPr>
        <w:pStyle w:val="163"/>
        <w:pageBreakBefore w:val="0"/>
        <w:widowControl w:val="0"/>
        <w:numPr>
          <w:ilvl w:val="0"/>
          <w:numId w:val="16"/>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69" w:name="bookmark1343"/>
      <w:bookmarkEnd w:id="1269"/>
      <w:r>
        <w:rPr>
          <w:rFonts w:hint="eastAsia" w:ascii="宋体" w:hAnsi="宋体" w:eastAsia="宋体" w:cs="宋体"/>
          <w:color w:val="000000"/>
          <w:sz w:val="21"/>
          <w:szCs w:val="21"/>
          <w:highlight w:val="none"/>
        </w:rPr>
        <w:t>总价子目的计量和支付应以总价为基础，不因第</w:t>
      </w:r>
      <w:r>
        <w:rPr>
          <w:rFonts w:hint="eastAsia" w:ascii="宋体" w:hAnsi="宋体" w:eastAsia="宋体" w:cs="宋体"/>
          <w:color w:val="000000"/>
          <w:sz w:val="21"/>
          <w:szCs w:val="21"/>
          <w:highlight w:val="none"/>
          <w:lang w:val="en-US"/>
        </w:rPr>
        <w:t>16.1</w:t>
      </w:r>
      <w:r>
        <w:rPr>
          <w:rFonts w:hint="eastAsia" w:ascii="宋体" w:hAnsi="宋体" w:eastAsia="宋体" w:cs="宋体"/>
          <w:color w:val="000000"/>
          <w:sz w:val="21"/>
          <w:szCs w:val="21"/>
          <w:highlight w:val="none"/>
        </w:rPr>
        <w:t>款中的因素而进行调整。承包人实际完成的工程量，是进行工程目标管理和控制进度支付的依据。</w:t>
      </w:r>
    </w:p>
    <w:p>
      <w:pPr>
        <w:pStyle w:val="163"/>
        <w:pageBreakBefore w:val="0"/>
        <w:widowControl w:val="0"/>
        <w:numPr>
          <w:ilvl w:val="0"/>
          <w:numId w:val="16"/>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70" w:name="bookmark1344"/>
      <w:bookmarkEnd w:id="1270"/>
      <w:r>
        <w:rPr>
          <w:rFonts w:hint="eastAsia" w:ascii="宋体" w:hAnsi="宋体" w:eastAsia="宋体" w:cs="宋体"/>
          <w:color w:val="000000"/>
          <w:sz w:val="21"/>
          <w:szCs w:val="21"/>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163"/>
        <w:pageBreakBefore w:val="0"/>
        <w:widowControl w:val="0"/>
        <w:numPr>
          <w:ilvl w:val="0"/>
          <w:numId w:val="16"/>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71" w:name="bookmark1345"/>
      <w:bookmarkEnd w:id="1271"/>
      <w:r>
        <w:rPr>
          <w:rFonts w:hint="eastAsia" w:ascii="宋体" w:hAnsi="宋体" w:eastAsia="宋体" w:cs="宋体"/>
          <w:color w:val="000000"/>
          <w:sz w:val="21"/>
          <w:szCs w:val="21"/>
          <w:highlight w:val="none"/>
        </w:rPr>
        <w:t>监理人对承包人提交的上述资料进行复核，以确定分阶段实际完成的工程量和工程形象目标。对其有异议的，可要求承包人按第</w:t>
      </w:r>
      <w:r>
        <w:rPr>
          <w:rFonts w:hint="eastAsia" w:ascii="宋体" w:hAnsi="宋体" w:eastAsia="宋体" w:cs="宋体"/>
          <w:color w:val="000000"/>
          <w:sz w:val="21"/>
          <w:szCs w:val="21"/>
          <w:highlight w:val="none"/>
          <w:lang w:val="en-US"/>
        </w:rPr>
        <w:t>8.</w:t>
      </w:r>
      <w:r>
        <w:rPr>
          <w:rFonts w:hint="eastAsia" w:ascii="宋体" w:hAnsi="宋体" w:eastAsia="宋体" w:cs="宋体"/>
          <w:color w:val="000000"/>
          <w:sz w:val="21"/>
          <w:szCs w:val="21"/>
          <w:highlight w:val="none"/>
        </w:rPr>
        <w:t>2款约定进行共同复核和抽样复测。</w:t>
      </w:r>
    </w:p>
    <w:p>
      <w:pPr>
        <w:pStyle w:val="163"/>
        <w:pageBreakBefore w:val="0"/>
        <w:widowControl w:val="0"/>
        <w:numPr>
          <w:ilvl w:val="0"/>
          <w:numId w:val="16"/>
        </w:numPr>
        <w:tabs>
          <w:tab w:val="left" w:pos="899"/>
        </w:tabs>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bookmarkStart w:id="1272" w:name="bookmark1346"/>
      <w:bookmarkEnd w:id="1272"/>
      <w:r>
        <w:rPr>
          <w:rFonts w:hint="eastAsia" w:ascii="宋体" w:hAnsi="宋体" w:eastAsia="宋体" w:cs="宋体"/>
          <w:color w:val="000000"/>
          <w:sz w:val="21"/>
          <w:szCs w:val="21"/>
          <w:highlight w:val="none"/>
        </w:rPr>
        <w:t>除按照第15条约定的变更外，总价子目的工程量是承包人用于结算的最终工程量。</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73" w:name="_Toc26469"/>
      <w:bookmarkStart w:id="1274" w:name="bookmark1347"/>
      <w:bookmarkStart w:id="1275" w:name="bookmark1348"/>
      <w:bookmarkStart w:id="1276" w:name="_Toc1366"/>
      <w:bookmarkStart w:id="1277" w:name="_Toc18522"/>
      <w:bookmarkStart w:id="1278" w:name="bookmark1349"/>
      <w:bookmarkStart w:id="1279" w:name="_Toc9317"/>
      <w:r>
        <w:rPr>
          <w:rFonts w:hint="eastAsia" w:ascii="宋体" w:hAnsi="宋体" w:eastAsia="宋体" w:cs="宋体"/>
          <w:color w:val="000000"/>
          <w:sz w:val="21"/>
          <w:szCs w:val="21"/>
          <w:highlight w:val="none"/>
        </w:rPr>
        <w:t>17.2预付款</w:t>
      </w:r>
      <w:bookmarkEnd w:id="1273"/>
      <w:bookmarkEnd w:id="1274"/>
      <w:bookmarkEnd w:id="1275"/>
      <w:bookmarkEnd w:id="1276"/>
      <w:bookmarkEnd w:id="1277"/>
      <w:bookmarkEnd w:id="1278"/>
      <w:bookmarkEnd w:id="1279"/>
    </w:p>
    <w:p>
      <w:pPr>
        <w:pStyle w:val="164"/>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17.2.1</w:t>
      </w:r>
      <w:r>
        <w:rPr>
          <w:rFonts w:hint="eastAsia" w:ascii="宋体" w:hAnsi="宋体" w:eastAsia="宋体" w:cs="宋体"/>
          <w:color w:val="000000"/>
          <w:sz w:val="21"/>
          <w:szCs w:val="21"/>
          <w:highlight w:val="none"/>
          <w:lang w:val="zh-CN" w:eastAsia="zh-CN"/>
        </w:rPr>
        <w:t>预付款</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17.2.2</w:t>
      </w:r>
      <w:r>
        <w:rPr>
          <w:rFonts w:hint="eastAsia" w:ascii="宋体" w:hAnsi="宋体" w:eastAsia="宋体" w:cs="宋体"/>
          <w:color w:val="000000"/>
          <w:sz w:val="21"/>
          <w:szCs w:val="21"/>
          <w:highlight w:val="none"/>
        </w:rPr>
        <w:t>预付款保函(担保)</w:t>
      </w:r>
    </w:p>
    <w:p>
      <w:pPr>
        <w:pStyle w:val="163"/>
        <w:pageBreakBefore w:val="0"/>
        <w:widowControl w:val="0"/>
        <w:numPr>
          <w:ilvl w:val="0"/>
          <w:numId w:val="17"/>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80" w:name="bookmark1350"/>
      <w:bookmarkEnd w:id="1280"/>
      <w:r>
        <w:rPr>
          <w:rFonts w:hint="eastAsia" w:ascii="宋体" w:hAnsi="宋体" w:eastAsia="宋体" w:cs="宋体"/>
          <w:color w:val="000000"/>
          <w:sz w:val="21"/>
          <w:szCs w:val="21"/>
          <w:highlight w:val="none"/>
        </w:rPr>
        <w:t>承包人应在收到第一次工程预付款的同时向发包人提交工程预付款担保，担保金额应与第一次工程预付款金额相同，工程预付款担保在第一次工程预付款被发包人扣回前一直有效。</w:t>
      </w:r>
    </w:p>
    <w:p>
      <w:pPr>
        <w:pStyle w:val="163"/>
        <w:pageBreakBefore w:val="0"/>
        <w:widowControl w:val="0"/>
        <w:numPr>
          <w:ilvl w:val="0"/>
          <w:numId w:val="17"/>
        </w:numPr>
        <w:tabs>
          <w:tab w:val="left" w:pos="90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81" w:name="bookmark1351"/>
      <w:bookmarkEnd w:id="1281"/>
      <w:r>
        <w:rPr>
          <w:rFonts w:hint="eastAsia" w:ascii="宋体" w:hAnsi="宋体" w:eastAsia="宋体" w:cs="宋体"/>
          <w:color w:val="000000"/>
          <w:sz w:val="21"/>
          <w:szCs w:val="21"/>
          <w:highlight w:val="none"/>
        </w:rPr>
        <w:t>工程材料预付款的担保在专用合同条款中约定。</w:t>
      </w:r>
    </w:p>
    <w:p>
      <w:pPr>
        <w:pStyle w:val="163"/>
        <w:pageBreakBefore w:val="0"/>
        <w:widowControl w:val="0"/>
        <w:numPr>
          <w:ilvl w:val="0"/>
          <w:numId w:val="17"/>
        </w:numPr>
        <w:tabs>
          <w:tab w:val="left" w:pos="88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82" w:name="bookmark1352"/>
      <w:bookmarkEnd w:id="1282"/>
      <w:r>
        <w:rPr>
          <w:rFonts w:hint="eastAsia" w:ascii="宋体" w:hAnsi="宋体" w:eastAsia="宋体" w:cs="宋体"/>
          <w:color w:val="000000"/>
          <w:sz w:val="21"/>
          <w:szCs w:val="21"/>
          <w:highlight w:val="none"/>
        </w:rPr>
        <w:t>预付款担保的担保金额可根据预付款扣回的金额相应递减。</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17.2.3</w:t>
      </w:r>
      <w:r>
        <w:rPr>
          <w:rFonts w:hint="eastAsia" w:ascii="宋体" w:hAnsi="宋体" w:eastAsia="宋体" w:cs="宋体"/>
          <w:color w:val="000000"/>
          <w:sz w:val="21"/>
          <w:szCs w:val="21"/>
          <w:highlight w:val="none"/>
        </w:rPr>
        <w:t>预付款的扣回与还清</w:t>
      </w:r>
    </w:p>
    <w:p>
      <w:pPr>
        <w:pStyle w:val="163"/>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83" w:name="_Toc16765"/>
      <w:bookmarkStart w:id="1284" w:name="bookmark1355"/>
      <w:bookmarkStart w:id="1285" w:name="_Toc2053"/>
      <w:bookmarkStart w:id="1286" w:name="bookmark1354"/>
      <w:bookmarkStart w:id="1287" w:name="_Toc1961"/>
      <w:bookmarkStart w:id="1288" w:name="bookmark1353"/>
      <w:bookmarkStart w:id="1289" w:name="_Toc28523"/>
      <w:r>
        <w:rPr>
          <w:rFonts w:hint="eastAsia" w:ascii="宋体" w:hAnsi="宋体" w:eastAsia="宋体" w:cs="宋体"/>
          <w:color w:val="000000"/>
          <w:sz w:val="21"/>
          <w:szCs w:val="21"/>
          <w:highlight w:val="none"/>
        </w:rPr>
        <w:t>17.3工程进度付款</w:t>
      </w:r>
      <w:bookmarkEnd w:id="1283"/>
      <w:bookmarkEnd w:id="1284"/>
      <w:bookmarkEnd w:id="1285"/>
      <w:bookmarkEnd w:id="1286"/>
      <w:bookmarkEnd w:id="1287"/>
      <w:bookmarkEnd w:id="1288"/>
      <w:bookmarkEnd w:id="1289"/>
    </w:p>
    <w:p>
      <w:pPr>
        <w:pStyle w:val="164"/>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17.3.1</w:t>
      </w:r>
      <w:r>
        <w:rPr>
          <w:rFonts w:hint="eastAsia" w:ascii="宋体" w:hAnsi="宋体" w:eastAsia="宋体" w:cs="宋体"/>
          <w:color w:val="000000"/>
          <w:sz w:val="21"/>
          <w:szCs w:val="21"/>
          <w:highlight w:val="none"/>
          <w:lang w:val="zh-CN" w:eastAsia="zh-CN"/>
        </w:rPr>
        <w:t>付款周期</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付款周期同计量周期。</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17.3.2</w:t>
      </w:r>
      <w:r>
        <w:rPr>
          <w:rFonts w:hint="eastAsia" w:ascii="宋体" w:hAnsi="宋体" w:eastAsia="宋体" w:cs="宋体"/>
          <w:color w:val="000000"/>
          <w:sz w:val="21"/>
          <w:szCs w:val="21"/>
          <w:highlight w:val="none"/>
        </w:rPr>
        <w:t>进度付款申请单</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163"/>
        <w:pageBreakBefore w:val="0"/>
        <w:widowControl w:val="0"/>
        <w:numPr>
          <w:ilvl w:val="0"/>
          <w:numId w:val="1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0" w:name="bookmark1356"/>
      <w:bookmarkEnd w:id="1290"/>
      <w:r>
        <w:rPr>
          <w:rFonts w:hint="eastAsia" w:ascii="宋体" w:hAnsi="宋体" w:eastAsia="宋体" w:cs="宋体"/>
          <w:color w:val="000000"/>
          <w:sz w:val="21"/>
          <w:szCs w:val="21"/>
          <w:highlight w:val="none"/>
        </w:rPr>
        <w:t>截至本次付款周期末已实施工程的价款；</w:t>
      </w:r>
    </w:p>
    <w:p>
      <w:pPr>
        <w:pStyle w:val="163"/>
        <w:pageBreakBefore w:val="0"/>
        <w:widowControl w:val="0"/>
        <w:numPr>
          <w:ilvl w:val="0"/>
          <w:numId w:val="1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1" w:name="bookmark1357"/>
      <w:bookmarkEnd w:id="1291"/>
      <w:r>
        <w:rPr>
          <w:rFonts w:hint="eastAsia" w:ascii="宋体" w:hAnsi="宋体" w:eastAsia="宋体" w:cs="宋体"/>
          <w:color w:val="000000"/>
          <w:sz w:val="21"/>
          <w:szCs w:val="21"/>
          <w:highlight w:val="none"/>
        </w:rPr>
        <w:t>根据第15条应增加和扣减的变更金额；</w:t>
      </w:r>
    </w:p>
    <w:p>
      <w:pPr>
        <w:pStyle w:val="163"/>
        <w:pageBreakBefore w:val="0"/>
        <w:widowControl w:val="0"/>
        <w:numPr>
          <w:ilvl w:val="0"/>
          <w:numId w:val="1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2" w:name="bookmark1358"/>
      <w:bookmarkEnd w:id="1292"/>
      <w:r>
        <w:rPr>
          <w:rFonts w:hint="eastAsia" w:ascii="宋体" w:hAnsi="宋体" w:eastAsia="宋体" w:cs="宋体"/>
          <w:color w:val="000000"/>
          <w:sz w:val="21"/>
          <w:szCs w:val="21"/>
          <w:highlight w:val="none"/>
        </w:rPr>
        <w:t>根据第23条应增加和扣减的索赔金额；</w:t>
      </w:r>
    </w:p>
    <w:p>
      <w:pPr>
        <w:pStyle w:val="163"/>
        <w:pageBreakBefore w:val="0"/>
        <w:widowControl w:val="0"/>
        <w:numPr>
          <w:ilvl w:val="0"/>
          <w:numId w:val="1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3" w:name="bookmark1359"/>
      <w:bookmarkEnd w:id="1293"/>
      <w:r>
        <w:rPr>
          <w:rFonts w:hint="eastAsia" w:ascii="宋体" w:hAnsi="宋体" w:eastAsia="宋体" w:cs="宋体"/>
          <w:color w:val="000000"/>
          <w:sz w:val="21"/>
          <w:szCs w:val="21"/>
          <w:highlight w:val="none"/>
        </w:rPr>
        <w:t>根据第</w:t>
      </w:r>
      <w:r>
        <w:rPr>
          <w:rFonts w:hint="eastAsia" w:ascii="宋体" w:hAnsi="宋体" w:eastAsia="宋体" w:cs="宋体"/>
          <w:color w:val="000000"/>
          <w:sz w:val="21"/>
          <w:szCs w:val="21"/>
          <w:highlight w:val="none"/>
          <w:lang w:val="en-US"/>
        </w:rPr>
        <w:t>17.</w:t>
      </w:r>
      <w:r>
        <w:rPr>
          <w:rFonts w:hint="eastAsia" w:ascii="宋体" w:hAnsi="宋体" w:eastAsia="宋体" w:cs="宋体"/>
          <w:color w:val="000000"/>
          <w:sz w:val="21"/>
          <w:szCs w:val="21"/>
          <w:highlight w:val="none"/>
        </w:rPr>
        <w:t>2款约定应支付的预付款和扣减的返还预付款；</w:t>
      </w:r>
    </w:p>
    <w:p>
      <w:pPr>
        <w:pStyle w:val="163"/>
        <w:pageBreakBefore w:val="0"/>
        <w:widowControl w:val="0"/>
        <w:numPr>
          <w:ilvl w:val="0"/>
          <w:numId w:val="1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4" w:name="bookmark1360"/>
      <w:bookmarkEnd w:id="1294"/>
      <w:r>
        <w:rPr>
          <w:rFonts w:hint="eastAsia" w:ascii="宋体" w:hAnsi="宋体" w:eastAsia="宋体" w:cs="宋体"/>
          <w:color w:val="000000"/>
          <w:sz w:val="21"/>
          <w:szCs w:val="21"/>
          <w:highlight w:val="none"/>
        </w:rPr>
        <w:t>根据第</w:t>
      </w:r>
      <w:r>
        <w:rPr>
          <w:rFonts w:hint="eastAsia" w:ascii="宋体" w:hAnsi="宋体" w:eastAsia="宋体" w:cs="宋体"/>
          <w:color w:val="000000"/>
          <w:sz w:val="21"/>
          <w:szCs w:val="21"/>
          <w:highlight w:val="none"/>
          <w:lang w:val="en-US"/>
        </w:rPr>
        <w:t>17.4.</w:t>
      </w:r>
      <w:r>
        <w:rPr>
          <w:rFonts w:hint="eastAsia" w:ascii="宋体" w:hAnsi="宋体" w:eastAsia="宋体" w:cs="宋体"/>
          <w:color w:val="000000"/>
          <w:sz w:val="21"/>
          <w:szCs w:val="21"/>
          <w:highlight w:val="none"/>
        </w:rPr>
        <w:t>1项约定应扣减的质量保证金；</w:t>
      </w:r>
    </w:p>
    <w:p>
      <w:pPr>
        <w:pStyle w:val="163"/>
        <w:pageBreakBefore w:val="0"/>
        <w:widowControl w:val="0"/>
        <w:numPr>
          <w:ilvl w:val="0"/>
          <w:numId w:val="1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5" w:name="bookmark1361"/>
      <w:bookmarkEnd w:id="1295"/>
      <w:r>
        <w:rPr>
          <w:rFonts w:hint="eastAsia" w:ascii="宋体" w:hAnsi="宋体" w:eastAsia="宋体" w:cs="宋体"/>
          <w:color w:val="000000"/>
          <w:sz w:val="21"/>
          <w:szCs w:val="21"/>
          <w:highlight w:val="none"/>
        </w:rPr>
        <w:t>根据合同应增加和扣减的其他金额。</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进度付款证书和支付时间</w:t>
      </w:r>
    </w:p>
    <w:p>
      <w:pPr>
        <w:pStyle w:val="163"/>
        <w:pageBreakBefore w:val="0"/>
        <w:widowControl w:val="0"/>
        <w:numPr>
          <w:ilvl w:val="0"/>
          <w:numId w:val="19"/>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96" w:name="bookmark1362"/>
      <w:bookmarkEnd w:id="1296"/>
      <w:r>
        <w:rPr>
          <w:rFonts w:hint="eastAsia" w:ascii="宋体" w:hAnsi="宋体" w:eastAsia="宋体" w:cs="宋体"/>
          <w:color w:val="000000"/>
          <w:sz w:val="21"/>
          <w:szCs w:val="21"/>
          <w:highlight w:val="none"/>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163"/>
        <w:pageBreakBefore w:val="0"/>
        <w:widowControl w:val="0"/>
        <w:numPr>
          <w:ilvl w:val="0"/>
          <w:numId w:val="19"/>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97" w:name="bookmark1363"/>
      <w:bookmarkEnd w:id="1297"/>
      <w:r>
        <w:rPr>
          <w:rFonts w:hint="eastAsia" w:ascii="宋体" w:hAnsi="宋体" w:eastAsia="宋体" w:cs="宋体"/>
          <w:color w:val="000000"/>
          <w:sz w:val="21"/>
          <w:szCs w:val="21"/>
          <w:highlight w:val="none"/>
        </w:rPr>
        <w:t>发包人应在监理人收到进度付款申请单后的28天内，将进度应付款支付给承包人。发包人不按期支付的，按专用合同条款的约定支付逾期付款违约金。</w:t>
      </w:r>
    </w:p>
    <w:p>
      <w:pPr>
        <w:pStyle w:val="163"/>
        <w:pageBreakBefore w:val="0"/>
        <w:widowControl w:val="0"/>
        <w:numPr>
          <w:ilvl w:val="0"/>
          <w:numId w:val="19"/>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98" w:name="bookmark1364"/>
      <w:bookmarkEnd w:id="1298"/>
      <w:r>
        <w:rPr>
          <w:rFonts w:hint="eastAsia" w:ascii="宋体" w:hAnsi="宋体" w:eastAsia="宋体" w:cs="宋体"/>
          <w:color w:val="000000"/>
          <w:sz w:val="21"/>
          <w:szCs w:val="21"/>
          <w:highlight w:val="none"/>
        </w:rPr>
        <w:t>监理人出具进度付款证书，不应视为监理人已同意、批准或接受了承包人完成的该部分工作。</w:t>
      </w:r>
    </w:p>
    <w:p>
      <w:pPr>
        <w:pStyle w:val="163"/>
        <w:pageBreakBefore w:val="0"/>
        <w:widowControl w:val="0"/>
        <w:numPr>
          <w:ilvl w:val="0"/>
          <w:numId w:val="19"/>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99" w:name="bookmark1365"/>
      <w:bookmarkEnd w:id="1299"/>
      <w:r>
        <w:rPr>
          <w:rFonts w:hint="eastAsia" w:ascii="宋体" w:hAnsi="宋体" w:eastAsia="宋体" w:cs="宋体"/>
          <w:color w:val="000000"/>
          <w:sz w:val="21"/>
          <w:szCs w:val="21"/>
          <w:highlight w:val="none"/>
        </w:rPr>
        <w:t>进度付款涉及政府投资资金的，按照国库集中支付等国家相关规定和专用合同条款的约定办理。</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17.3.4</w:t>
      </w:r>
      <w:r>
        <w:rPr>
          <w:rFonts w:hint="eastAsia" w:ascii="宋体" w:hAnsi="宋体" w:eastAsia="宋体" w:cs="宋体"/>
          <w:color w:val="000000"/>
          <w:sz w:val="21"/>
          <w:szCs w:val="21"/>
          <w:highlight w:val="none"/>
        </w:rPr>
        <w:t>工程进度付款的修正</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00" w:name="_Toc15623"/>
      <w:bookmarkStart w:id="1301" w:name="_Toc19063"/>
      <w:bookmarkStart w:id="1302" w:name="bookmark1368"/>
      <w:bookmarkStart w:id="1303" w:name="_Toc26407"/>
      <w:bookmarkStart w:id="1304" w:name="_Toc24179"/>
      <w:bookmarkStart w:id="1305" w:name="bookmark1366"/>
      <w:bookmarkStart w:id="1306" w:name="bookmark1367"/>
      <w:r>
        <w:rPr>
          <w:rFonts w:hint="eastAsia" w:ascii="宋体" w:hAnsi="宋体" w:eastAsia="宋体" w:cs="宋体"/>
          <w:color w:val="000000"/>
          <w:sz w:val="21"/>
          <w:szCs w:val="21"/>
          <w:highlight w:val="none"/>
        </w:rPr>
        <w:t>17.4质量保证金</w:t>
      </w:r>
      <w:bookmarkEnd w:id="1300"/>
      <w:bookmarkEnd w:id="1301"/>
      <w:bookmarkEnd w:id="1302"/>
      <w:bookmarkEnd w:id="1303"/>
      <w:bookmarkEnd w:id="1304"/>
      <w:bookmarkEnd w:id="1305"/>
      <w:bookmarkEnd w:id="1306"/>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17.4.1</w:t>
      </w:r>
      <w:r>
        <w:rPr>
          <w:rFonts w:hint="eastAsia" w:ascii="宋体" w:hAnsi="宋体" w:eastAsia="宋体" w:cs="宋体"/>
          <w:color w:val="000000"/>
          <w:sz w:val="21"/>
          <w:szCs w:val="21"/>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17.4.2</w:t>
      </w:r>
      <w:r>
        <w:rPr>
          <w:rFonts w:hint="eastAsia" w:ascii="宋体" w:hAnsi="宋体" w:eastAsia="宋体" w:cs="宋体"/>
          <w:color w:val="000000"/>
          <w:sz w:val="21"/>
          <w:szCs w:val="21"/>
          <w:highlight w:val="none"/>
        </w:rPr>
        <w:t>竣工验收鉴定书签署后14天内，发包人将质量保证金总额的一半支付给承包人。在第</w:t>
      </w: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5目约定的缺陷责任期(工程质量保修期)满时，发包人将在30个工作日内会同承包人按照合同约定的内容核实承包人是否完成保修责任。如无异议，发包人应当在核实后将剩余的质量保证金支付给承包人。</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17.4.3</w:t>
      </w:r>
      <w:r>
        <w:rPr>
          <w:rFonts w:hint="eastAsia" w:ascii="宋体" w:hAnsi="宋体" w:eastAsia="宋体" w:cs="宋体"/>
          <w:color w:val="000000"/>
          <w:sz w:val="21"/>
          <w:szCs w:val="21"/>
          <w:highlight w:val="none"/>
        </w:rPr>
        <w:t>在第</w:t>
      </w: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5目约定的缺陷责任期满时，承包人没有完成缺陷责任的，发包人有权扣留与未履行责任剩余工作所需金额相应的质量保证金余额，并有权根据第</w:t>
      </w:r>
      <w:r>
        <w:rPr>
          <w:rFonts w:hint="eastAsia" w:ascii="宋体" w:hAnsi="宋体" w:eastAsia="宋体" w:cs="宋体"/>
          <w:color w:val="000000"/>
          <w:sz w:val="21"/>
          <w:szCs w:val="21"/>
          <w:highlight w:val="none"/>
          <w:lang w:val="en-US"/>
        </w:rPr>
        <w:t>19.</w:t>
      </w:r>
      <w:r>
        <w:rPr>
          <w:rFonts w:hint="eastAsia" w:ascii="宋体" w:hAnsi="宋体" w:eastAsia="宋体" w:cs="宋体"/>
          <w:color w:val="000000"/>
          <w:sz w:val="21"/>
          <w:szCs w:val="21"/>
          <w:highlight w:val="none"/>
        </w:rPr>
        <w:t>3款约定要求延长缺陷责任期，直至完成剩余工作为止。</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07" w:name="_Toc14391"/>
      <w:bookmarkStart w:id="1308" w:name="_Toc27561"/>
      <w:bookmarkStart w:id="1309" w:name="_Toc7993"/>
      <w:bookmarkStart w:id="1310" w:name="bookmark1369"/>
      <w:bookmarkStart w:id="1311" w:name="bookmark1370"/>
      <w:bookmarkStart w:id="1312" w:name="_Toc8320"/>
      <w:bookmarkStart w:id="1313" w:name="bookmark1371"/>
      <w:r>
        <w:rPr>
          <w:rFonts w:hint="eastAsia" w:ascii="宋体" w:hAnsi="宋体" w:eastAsia="宋体" w:cs="宋体"/>
          <w:color w:val="000000"/>
          <w:sz w:val="21"/>
          <w:szCs w:val="21"/>
          <w:highlight w:val="none"/>
        </w:rPr>
        <w:t>17.5竣工结算(完工结算)</w:t>
      </w:r>
      <w:bookmarkEnd w:id="1307"/>
      <w:bookmarkEnd w:id="1308"/>
      <w:bookmarkEnd w:id="1309"/>
      <w:bookmarkEnd w:id="1310"/>
      <w:bookmarkEnd w:id="1311"/>
      <w:bookmarkEnd w:id="1312"/>
      <w:bookmarkEnd w:id="1313"/>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17.5.1</w:t>
      </w:r>
      <w:r>
        <w:rPr>
          <w:rFonts w:hint="eastAsia" w:ascii="宋体" w:hAnsi="宋体" w:eastAsia="宋体" w:cs="宋体"/>
          <w:color w:val="000000"/>
          <w:sz w:val="21"/>
          <w:szCs w:val="21"/>
          <w:highlight w:val="none"/>
        </w:rPr>
        <w:t>竣工(完工)付款申请单</w:t>
      </w:r>
    </w:p>
    <w:p>
      <w:pPr>
        <w:pStyle w:val="163"/>
        <w:pageBreakBefore w:val="0"/>
        <w:widowControl w:val="0"/>
        <w:numPr>
          <w:ilvl w:val="0"/>
          <w:numId w:val="20"/>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14" w:name="bookmark1372"/>
      <w:bookmarkEnd w:id="1314"/>
      <w:r>
        <w:rPr>
          <w:rFonts w:hint="eastAsia" w:ascii="宋体" w:hAnsi="宋体" w:eastAsia="宋体" w:cs="宋体"/>
          <w:color w:val="000000"/>
          <w:sz w:val="21"/>
          <w:szCs w:val="21"/>
          <w:highlight w:val="none"/>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Style w:val="163"/>
        <w:pageBreakBefore w:val="0"/>
        <w:widowControl w:val="0"/>
        <w:numPr>
          <w:ilvl w:val="0"/>
          <w:numId w:val="20"/>
        </w:numPr>
        <w:tabs>
          <w:tab w:val="left" w:pos="916"/>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315" w:name="bookmark1373"/>
      <w:bookmarkEnd w:id="1315"/>
      <w:r>
        <w:rPr>
          <w:rFonts w:hint="eastAsia" w:ascii="宋体" w:hAnsi="宋体" w:eastAsia="宋体" w:cs="宋体"/>
          <w:color w:val="000000"/>
          <w:sz w:val="21"/>
          <w:szCs w:val="21"/>
          <w:highlight w:val="none"/>
        </w:rPr>
        <w:t>监理人对完工付款申请单有异议的，有权要求承包人进行修正和提供补充资料。经监理人和承包人协商后，由承包人向监理人提交修正后的完工付款申请单。</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17.5.2</w:t>
      </w:r>
      <w:r>
        <w:rPr>
          <w:rFonts w:hint="eastAsia" w:ascii="宋体" w:hAnsi="宋体" w:eastAsia="宋体" w:cs="宋体"/>
          <w:color w:val="000000"/>
          <w:sz w:val="21"/>
          <w:szCs w:val="21"/>
          <w:highlight w:val="none"/>
        </w:rPr>
        <w:t>竣工(完工)付款证书及支付时间</w:t>
      </w:r>
    </w:p>
    <w:p>
      <w:pPr>
        <w:pStyle w:val="163"/>
        <w:pageBreakBefore w:val="0"/>
        <w:widowControl w:val="0"/>
        <w:numPr>
          <w:ilvl w:val="0"/>
          <w:numId w:val="21"/>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16" w:name="bookmark1374"/>
      <w:bookmarkEnd w:id="1316"/>
      <w:r>
        <w:rPr>
          <w:rFonts w:hint="eastAsia" w:ascii="宋体" w:hAnsi="宋体" w:eastAsia="宋体" w:cs="宋体"/>
          <w:color w:val="000000"/>
          <w:sz w:val="21"/>
          <w:szCs w:val="21"/>
          <w:highlight w:val="none"/>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又未提出具体意见的，视为承包人提交的完工付款申请单已经监理人核查同意。发包人未 在约定时间内审核又未提出具体意见的，监理人提出发包人到期应支付给承包人的价款视 为已经发包人同意。</w:t>
      </w:r>
    </w:p>
    <w:p>
      <w:pPr>
        <w:pStyle w:val="163"/>
        <w:pageBreakBefore w:val="0"/>
        <w:widowControl w:val="0"/>
        <w:numPr>
          <w:ilvl w:val="0"/>
          <w:numId w:val="21"/>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17" w:name="bookmark1375"/>
      <w:bookmarkEnd w:id="1317"/>
      <w:r>
        <w:rPr>
          <w:rFonts w:hint="eastAsia" w:ascii="宋体" w:hAnsi="宋体" w:eastAsia="宋体" w:cs="宋体"/>
          <w:color w:val="000000"/>
          <w:sz w:val="21"/>
          <w:szCs w:val="21"/>
          <w:highlight w:val="none"/>
        </w:rPr>
        <w:t>发包人应在监理人出具完工付款证书后的14天内，将应支付款支付给承包人。发包人不按期支付的，按第</w:t>
      </w: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(2)目的约定，将逾期付款违约金支付给承包人。</w:t>
      </w:r>
    </w:p>
    <w:p>
      <w:pPr>
        <w:pStyle w:val="163"/>
        <w:pageBreakBefore w:val="0"/>
        <w:widowControl w:val="0"/>
        <w:numPr>
          <w:ilvl w:val="0"/>
          <w:numId w:val="21"/>
        </w:numPr>
        <w:tabs>
          <w:tab w:val="left" w:pos="914"/>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318" w:name="bookmark1376"/>
      <w:bookmarkEnd w:id="1318"/>
      <w:r>
        <w:rPr>
          <w:rFonts w:hint="eastAsia" w:ascii="宋体" w:hAnsi="宋体" w:eastAsia="宋体" w:cs="宋体"/>
          <w:color w:val="000000"/>
          <w:sz w:val="21"/>
          <w:szCs w:val="21"/>
          <w:highlight w:val="none"/>
        </w:rPr>
        <w:t>承包人对发包人签认的完工付款证书有异议的，发包人可出具完工付款申请单中承包人已同意部分的临时付款证书。存在争议的部分，按第24条的约定办理。</w:t>
      </w:r>
    </w:p>
    <w:p>
      <w:pPr>
        <w:pStyle w:val="163"/>
        <w:pageBreakBefore w:val="0"/>
        <w:widowControl w:val="0"/>
        <w:numPr>
          <w:ilvl w:val="0"/>
          <w:numId w:val="21"/>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19" w:name="bookmark1377"/>
      <w:bookmarkEnd w:id="1319"/>
      <w:r>
        <w:rPr>
          <w:rFonts w:hint="eastAsia" w:ascii="宋体" w:hAnsi="宋体" w:eastAsia="宋体" w:cs="宋体"/>
          <w:color w:val="000000"/>
          <w:sz w:val="21"/>
          <w:szCs w:val="21"/>
          <w:highlight w:val="none"/>
        </w:rPr>
        <w:t>完工付款涉及政府投资资金的，按第</w:t>
      </w: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(4)目的约定办理。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20" w:name="bookmark1379"/>
      <w:bookmarkStart w:id="1321" w:name="_Toc10653"/>
      <w:bookmarkStart w:id="1322" w:name="_Toc20149"/>
      <w:bookmarkStart w:id="1323" w:name="_Toc7489"/>
      <w:bookmarkStart w:id="1324" w:name="bookmark1378"/>
      <w:bookmarkStart w:id="1325" w:name="_Toc20968"/>
      <w:bookmarkStart w:id="1326" w:name="bookmark1380"/>
      <w:r>
        <w:rPr>
          <w:rFonts w:hint="eastAsia" w:ascii="宋体" w:hAnsi="宋体" w:eastAsia="宋体" w:cs="宋体"/>
          <w:color w:val="000000"/>
          <w:sz w:val="21"/>
          <w:szCs w:val="21"/>
          <w:highlight w:val="none"/>
        </w:rPr>
        <w:t>17.6最终结清</w:t>
      </w:r>
      <w:bookmarkEnd w:id="1320"/>
      <w:bookmarkEnd w:id="1321"/>
      <w:bookmarkEnd w:id="1322"/>
      <w:bookmarkEnd w:id="1323"/>
      <w:bookmarkEnd w:id="1324"/>
      <w:bookmarkEnd w:id="1325"/>
      <w:bookmarkEnd w:id="1326"/>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17.6.1</w:t>
      </w:r>
      <w:r>
        <w:rPr>
          <w:rFonts w:hint="eastAsia" w:ascii="宋体" w:hAnsi="宋体" w:eastAsia="宋体" w:cs="宋体"/>
          <w:color w:val="000000"/>
          <w:sz w:val="21"/>
          <w:szCs w:val="21"/>
          <w:highlight w:val="none"/>
        </w:rPr>
        <w:t>最终结清申请单</w:t>
      </w:r>
    </w:p>
    <w:p>
      <w:pPr>
        <w:pStyle w:val="163"/>
        <w:pageBreakBefore w:val="0"/>
        <w:widowControl w:val="0"/>
        <w:numPr>
          <w:ilvl w:val="0"/>
          <w:numId w:val="22"/>
        </w:numPr>
        <w:tabs>
          <w:tab w:val="left" w:pos="894"/>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27" w:name="bookmark1381"/>
      <w:bookmarkEnd w:id="1327"/>
      <w:r>
        <w:rPr>
          <w:rFonts w:hint="eastAsia" w:ascii="宋体" w:hAnsi="宋体" w:eastAsia="宋体" w:cs="宋体"/>
          <w:color w:val="000000"/>
          <w:sz w:val="21"/>
          <w:szCs w:val="21"/>
          <w:highlight w:val="none"/>
        </w:rPr>
        <w:t>工程质量保修责任终止证书签发后，承包人应按监理人批准的格式提交最终结清申请单。提交最终结清申请单的份数在专用合同条款中约定。</w:t>
      </w:r>
    </w:p>
    <w:p>
      <w:pPr>
        <w:pStyle w:val="163"/>
        <w:pageBreakBefore w:val="0"/>
        <w:widowControl w:val="0"/>
        <w:numPr>
          <w:ilvl w:val="0"/>
          <w:numId w:val="22"/>
        </w:numPr>
        <w:tabs>
          <w:tab w:val="left" w:pos="918"/>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328" w:name="bookmark1382"/>
      <w:bookmarkEnd w:id="1328"/>
      <w:r>
        <w:rPr>
          <w:rFonts w:hint="eastAsia" w:ascii="宋体" w:hAnsi="宋体" w:eastAsia="宋体" w:cs="宋体"/>
          <w:color w:val="000000"/>
          <w:sz w:val="21"/>
          <w:szCs w:val="21"/>
          <w:highlight w:val="none"/>
        </w:rPr>
        <w:t>发包人对最终结清申请单内容有异议的，有权要求承包人进行修正和提供补充资料，由承包人向监理人提交修正后的最终结清申请单。</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17.6.2</w:t>
      </w:r>
      <w:r>
        <w:rPr>
          <w:rFonts w:hint="eastAsia" w:ascii="宋体" w:hAnsi="宋体" w:eastAsia="宋体" w:cs="宋体"/>
          <w:color w:val="000000"/>
          <w:sz w:val="21"/>
          <w:szCs w:val="21"/>
          <w:highlight w:val="none"/>
        </w:rPr>
        <w:t>最终结清证书和支付时间</w:t>
      </w:r>
    </w:p>
    <w:p>
      <w:pPr>
        <w:pStyle w:val="163"/>
        <w:pageBreakBefore w:val="0"/>
        <w:widowControl w:val="0"/>
        <w:numPr>
          <w:ilvl w:val="0"/>
          <w:numId w:val="23"/>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29" w:name="bookmark1383"/>
      <w:bookmarkEnd w:id="1329"/>
      <w:r>
        <w:rPr>
          <w:rFonts w:hint="eastAsia" w:ascii="宋体" w:hAnsi="宋体" w:eastAsia="宋体" w:cs="宋体"/>
          <w:color w:val="000000"/>
          <w:sz w:val="21"/>
          <w:szCs w:val="21"/>
          <w:highlight w:val="none"/>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Style w:val="163"/>
        <w:pageBreakBefore w:val="0"/>
        <w:widowControl w:val="0"/>
        <w:numPr>
          <w:ilvl w:val="0"/>
          <w:numId w:val="23"/>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30" w:name="bookmark1384"/>
      <w:bookmarkEnd w:id="1330"/>
      <w:r>
        <w:rPr>
          <w:rFonts w:hint="eastAsia" w:ascii="宋体" w:hAnsi="宋体" w:eastAsia="宋体" w:cs="宋体"/>
          <w:color w:val="000000"/>
          <w:sz w:val="21"/>
          <w:szCs w:val="21"/>
          <w:highlight w:val="none"/>
        </w:rPr>
        <w:t>发包人应在监理人出具最终结清证书后的14天内，将应支付款支付给承包人。发包人不按期支付的，按第</w:t>
      </w: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(2)目的约定，将逾期付款违约金支付给承包人。</w:t>
      </w:r>
    </w:p>
    <w:p>
      <w:pPr>
        <w:pStyle w:val="163"/>
        <w:pageBreakBefore w:val="0"/>
        <w:widowControl w:val="0"/>
        <w:numPr>
          <w:ilvl w:val="0"/>
          <w:numId w:val="23"/>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31" w:name="bookmark1385"/>
      <w:bookmarkEnd w:id="1331"/>
      <w:r>
        <w:rPr>
          <w:rFonts w:hint="eastAsia" w:ascii="宋体" w:hAnsi="宋体" w:eastAsia="宋体" w:cs="宋体"/>
          <w:color w:val="000000"/>
          <w:sz w:val="21"/>
          <w:szCs w:val="21"/>
          <w:highlight w:val="none"/>
        </w:rPr>
        <w:t>承包人对发包人签认的最终结清证书有异议的，按第24条的约定办理。</w:t>
      </w:r>
    </w:p>
    <w:p>
      <w:pPr>
        <w:pStyle w:val="163"/>
        <w:pageBreakBefore w:val="0"/>
        <w:widowControl w:val="0"/>
        <w:numPr>
          <w:ilvl w:val="0"/>
          <w:numId w:val="23"/>
        </w:numPr>
        <w:tabs>
          <w:tab w:val="left" w:pos="922"/>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332" w:name="bookmark1386"/>
      <w:bookmarkEnd w:id="1332"/>
      <w:r>
        <w:rPr>
          <w:rFonts w:hint="eastAsia" w:ascii="宋体" w:hAnsi="宋体" w:eastAsia="宋体" w:cs="宋体"/>
          <w:color w:val="000000"/>
          <w:sz w:val="21"/>
          <w:szCs w:val="21"/>
          <w:highlight w:val="none"/>
        </w:rPr>
        <w:t>最终结清付款涉及政府投资资金的，按第</w:t>
      </w: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(4)目的约定办理。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33" w:name="bookmark1389"/>
      <w:bookmarkStart w:id="1334" w:name="_Toc25660"/>
      <w:bookmarkStart w:id="1335" w:name="bookmark1387"/>
      <w:bookmarkStart w:id="1336" w:name="_Toc13960"/>
      <w:bookmarkStart w:id="1337" w:name="bookmark1388"/>
      <w:bookmarkStart w:id="1338" w:name="_Toc26750"/>
      <w:bookmarkStart w:id="1339" w:name="_Toc4347"/>
      <w:r>
        <w:rPr>
          <w:rFonts w:hint="eastAsia" w:ascii="宋体" w:hAnsi="宋体" w:eastAsia="宋体" w:cs="宋体"/>
          <w:color w:val="000000"/>
          <w:sz w:val="21"/>
          <w:szCs w:val="21"/>
          <w:highlight w:val="none"/>
        </w:rPr>
        <w:t>17.7竣工财务决算</w:t>
      </w:r>
      <w:bookmarkEnd w:id="1333"/>
      <w:bookmarkEnd w:id="1334"/>
      <w:bookmarkEnd w:id="1335"/>
      <w:bookmarkEnd w:id="1336"/>
      <w:bookmarkEnd w:id="1337"/>
      <w:bookmarkEnd w:id="1338"/>
      <w:bookmarkEnd w:id="1339"/>
    </w:p>
    <w:p>
      <w:pPr>
        <w:pStyle w:val="163"/>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发包人负责编制本工程项目竣工财务决算，承包人应按专用合同条款的约定提供竣工财务决算编制所需的相关材料。</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40" w:name="_Toc21747"/>
      <w:bookmarkStart w:id="1341" w:name="bookmark1392"/>
      <w:bookmarkStart w:id="1342" w:name="_Toc10896"/>
      <w:bookmarkStart w:id="1343" w:name="bookmark1391"/>
      <w:bookmarkStart w:id="1344" w:name="_Toc32579"/>
      <w:bookmarkStart w:id="1345" w:name="bookmark1390"/>
      <w:bookmarkStart w:id="1346" w:name="_Toc9623"/>
      <w:r>
        <w:rPr>
          <w:rFonts w:hint="eastAsia" w:ascii="宋体" w:hAnsi="宋体" w:eastAsia="宋体" w:cs="宋体"/>
          <w:color w:val="000000"/>
          <w:sz w:val="21"/>
          <w:szCs w:val="21"/>
          <w:highlight w:val="none"/>
        </w:rPr>
        <w:t>17.8竣工审计</w:t>
      </w:r>
      <w:bookmarkEnd w:id="1340"/>
      <w:bookmarkEnd w:id="1341"/>
      <w:bookmarkEnd w:id="1342"/>
      <w:bookmarkEnd w:id="1343"/>
      <w:bookmarkEnd w:id="1344"/>
      <w:bookmarkEnd w:id="1345"/>
      <w:bookmarkEnd w:id="1346"/>
    </w:p>
    <w:p>
      <w:pPr>
        <w:pStyle w:val="163"/>
        <w:pageBreakBefore w:val="0"/>
        <w:widowControl w:val="0"/>
        <w:kinsoku/>
        <w:wordWrap/>
        <w:overflowPunct/>
        <w:topLinePunct w:val="0"/>
        <w:autoSpaceDE/>
        <w:autoSpaceDN/>
        <w:bidi w:val="0"/>
        <w:adjustRightInd/>
        <w:snapToGrid/>
        <w:spacing w:after="30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发包人负责完成本工程竣工审计手续，承包人应完成相关配合工作。</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47" w:name="bookmark1395"/>
      <w:bookmarkStart w:id="1348" w:name="bookmark1394"/>
      <w:bookmarkStart w:id="1349" w:name="bookmark1393"/>
      <w:bookmarkStart w:id="1350" w:name="_Toc15468"/>
      <w:bookmarkStart w:id="1351" w:name="_Toc1208"/>
      <w:bookmarkStart w:id="1352" w:name="_Toc883"/>
      <w:r>
        <w:rPr>
          <w:rFonts w:hint="eastAsia" w:ascii="宋体" w:hAnsi="宋体" w:eastAsia="宋体" w:cs="宋体"/>
          <w:color w:val="000000"/>
          <w:sz w:val="21"/>
          <w:szCs w:val="21"/>
          <w:highlight w:val="none"/>
        </w:rPr>
        <w:t>18.竣工验收（验收）</w:t>
      </w:r>
      <w:bookmarkEnd w:id="1347"/>
      <w:bookmarkEnd w:id="1348"/>
      <w:bookmarkEnd w:id="1349"/>
      <w:bookmarkEnd w:id="1350"/>
      <w:bookmarkEnd w:id="1351"/>
      <w:bookmarkEnd w:id="1352"/>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53" w:name="bookmark1396"/>
      <w:bookmarkStart w:id="1354" w:name="bookmark1397"/>
      <w:bookmarkStart w:id="1355" w:name="_Toc1314"/>
      <w:bookmarkStart w:id="1356" w:name="_Toc18889"/>
      <w:bookmarkStart w:id="1357" w:name="_Toc15719"/>
      <w:bookmarkStart w:id="1358" w:name="_Toc27200"/>
      <w:bookmarkStart w:id="1359" w:name="bookmark1398"/>
      <w:r>
        <w:rPr>
          <w:rFonts w:hint="eastAsia" w:ascii="宋体" w:hAnsi="宋体" w:eastAsia="宋体" w:cs="宋体"/>
          <w:color w:val="000000"/>
          <w:sz w:val="21"/>
          <w:szCs w:val="21"/>
          <w:highlight w:val="none"/>
        </w:rPr>
        <w:t>18.1验收工作分类</w:t>
      </w:r>
      <w:bookmarkEnd w:id="1353"/>
      <w:bookmarkEnd w:id="1354"/>
      <w:bookmarkEnd w:id="1355"/>
      <w:bookmarkEnd w:id="1356"/>
      <w:bookmarkEnd w:id="1357"/>
      <w:bookmarkEnd w:id="1358"/>
      <w:bookmarkEnd w:id="1359"/>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60" w:name="_Toc28904"/>
      <w:bookmarkStart w:id="1361" w:name="_Toc4642"/>
      <w:bookmarkStart w:id="1362" w:name="bookmark1399"/>
      <w:bookmarkStart w:id="1363" w:name="bookmark1400"/>
      <w:bookmarkStart w:id="1364" w:name="_Toc8655"/>
      <w:bookmarkStart w:id="1365" w:name="_Toc29691"/>
      <w:bookmarkStart w:id="1366" w:name="bookmark1401"/>
      <w:r>
        <w:rPr>
          <w:rFonts w:hint="eastAsia" w:ascii="宋体" w:hAnsi="宋体" w:eastAsia="宋体" w:cs="宋体"/>
          <w:color w:val="000000"/>
          <w:sz w:val="21"/>
          <w:szCs w:val="21"/>
          <w:highlight w:val="none"/>
        </w:rPr>
        <w:t>18.2分部工程验收</w:t>
      </w:r>
      <w:bookmarkEnd w:id="1360"/>
      <w:bookmarkEnd w:id="1361"/>
      <w:bookmarkEnd w:id="1362"/>
      <w:bookmarkEnd w:id="1363"/>
      <w:bookmarkEnd w:id="1364"/>
      <w:bookmarkEnd w:id="1365"/>
      <w:bookmarkEnd w:id="1366"/>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18.2.1</w:t>
      </w:r>
      <w:r>
        <w:rPr>
          <w:rFonts w:hint="eastAsia" w:ascii="宋体" w:hAnsi="宋体" w:eastAsia="宋体" w:cs="宋体"/>
          <w:color w:val="000000"/>
          <w:sz w:val="21"/>
          <w:szCs w:val="21"/>
          <w:highlight w:val="none"/>
        </w:rPr>
        <w:t>分部工程具备验收条件时，承包人应向发包人提交验收申请报告，发包人应在收到验收申请报告之日起10个工作日内决定是否同意进行验收。</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18.2.2</w:t>
      </w:r>
      <w:r>
        <w:rPr>
          <w:rFonts w:hint="eastAsia" w:ascii="宋体" w:hAnsi="宋体" w:eastAsia="宋体" w:cs="宋体"/>
          <w:color w:val="000000"/>
          <w:sz w:val="21"/>
          <w:szCs w:val="21"/>
          <w:highlight w:val="none"/>
        </w:rPr>
        <w:t>除专用合同条款另有约定外，监理人主持分部工程验收，承包人应派符合条件的代表参加验收工作组。</w:t>
      </w:r>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18.2.3</w:t>
      </w:r>
      <w:r>
        <w:rPr>
          <w:rFonts w:hint="eastAsia" w:ascii="宋体" w:hAnsi="宋体" w:eastAsia="宋体" w:cs="宋体"/>
          <w:color w:val="000000"/>
          <w:sz w:val="21"/>
          <w:szCs w:val="21"/>
          <w:highlight w:val="none"/>
        </w:rPr>
        <w:t>分部工程验收通过后，发包人向承包人发送分部工程验收鉴定书。承包人应及时完成分部工程验收鉴定书载明应由承包人处理的遗留问题。</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67" w:name="bookmark1403"/>
      <w:bookmarkStart w:id="1368" w:name="_Toc19460"/>
      <w:bookmarkStart w:id="1369" w:name="_Toc13782"/>
      <w:bookmarkStart w:id="1370" w:name="_Toc27956"/>
      <w:bookmarkStart w:id="1371" w:name="_Toc18892"/>
      <w:bookmarkStart w:id="1372" w:name="bookmark1402"/>
      <w:bookmarkStart w:id="1373" w:name="bookmark1404"/>
      <w:r>
        <w:rPr>
          <w:rFonts w:hint="eastAsia" w:ascii="宋体" w:hAnsi="宋体" w:eastAsia="宋体" w:cs="宋体"/>
          <w:color w:val="000000"/>
          <w:sz w:val="21"/>
          <w:szCs w:val="21"/>
          <w:highlight w:val="none"/>
        </w:rPr>
        <w:t>18.3单位工程验收</w:t>
      </w:r>
      <w:bookmarkEnd w:id="1367"/>
      <w:bookmarkEnd w:id="1368"/>
      <w:bookmarkEnd w:id="1369"/>
      <w:bookmarkEnd w:id="1370"/>
      <w:bookmarkEnd w:id="1371"/>
      <w:bookmarkEnd w:id="1372"/>
      <w:bookmarkEnd w:id="1373"/>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18.3.1</w:t>
      </w:r>
      <w:r>
        <w:rPr>
          <w:rFonts w:hint="eastAsia" w:ascii="宋体" w:hAnsi="宋体" w:eastAsia="宋体" w:cs="宋体"/>
          <w:color w:val="000000"/>
          <w:sz w:val="21"/>
          <w:szCs w:val="21"/>
          <w:highlight w:val="none"/>
        </w:rPr>
        <w:t>单位工程具备验收条件时，承包人应向发包人提交验收申请报告，发包人应在收到验收申请报告之日起10个工作日内决定是否同意进行验收。</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18.3.2</w:t>
      </w:r>
      <w:r>
        <w:rPr>
          <w:rFonts w:hint="eastAsia" w:ascii="宋体" w:hAnsi="宋体" w:eastAsia="宋体" w:cs="宋体"/>
          <w:color w:val="000000"/>
          <w:sz w:val="21"/>
          <w:szCs w:val="21"/>
          <w:highlight w:val="none"/>
        </w:rPr>
        <w:t>发包人主持单位工程验收，承包人应派符合条件的代表参加验收工作组。</w:t>
      </w:r>
    </w:p>
    <w:p>
      <w:pPr>
        <w:pStyle w:val="163"/>
        <w:pageBreakBefore w:val="0"/>
        <w:widowControl w:val="0"/>
        <w:kinsoku/>
        <w:wordWrap/>
        <w:overflowPunct/>
        <w:topLinePunct w:val="0"/>
        <w:autoSpaceDE/>
        <w:autoSpaceDN/>
        <w:bidi w:val="0"/>
        <w:adjustRightInd/>
        <w:snapToGrid/>
        <w:spacing w:after="10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18.3.3</w:t>
      </w:r>
      <w:r>
        <w:rPr>
          <w:rFonts w:hint="eastAsia" w:ascii="宋体" w:hAnsi="宋体" w:eastAsia="宋体" w:cs="宋体"/>
          <w:color w:val="000000"/>
          <w:sz w:val="21"/>
          <w:szCs w:val="21"/>
          <w:highlight w:val="none"/>
        </w:rPr>
        <w:t>单位工程验收通过后，发包人向承包人发送单位工程验收鉴定书。承包人应及时完成单位工程验收鉴定书载明应由承包人处理的遗留问题。</w:t>
      </w:r>
    </w:p>
    <w:p>
      <w:pPr>
        <w:pStyle w:val="163"/>
        <w:pageBreakBefore w:val="0"/>
        <w:widowControl w:val="0"/>
        <w:kinsoku/>
        <w:wordWrap/>
        <w:overflowPunct/>
        <w:topLinePunct w:val="0"/>
        <w:autoSpaceDE/>
        <w:autoSpaceDN/>
        <w:bidi w:val="0"/>
        <w:adjustRightInd/>
        <w:snapToGrid/>
        <w:spacing w:after="16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18.3.4</w:t>
      </w:r>
      <w:r>
        <w:rPr>
          <w:rFonts w:hint="eastAsia" w:ascii="宋体" w:hAnsi="宋体" w:eastAsia="宋体" w:cs="宋体"/>
          <w:color w:val="000000"/>
          <w:sz w:val="21"/>
          <w:szCs w:val="21"/>
          <w:highlight w:val="none"/>
        </w:rPr>
        <w:t>需提前投入使用的单位工程在专用合同条款中明确。</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74" w:name="bookmark1405"/>
      <w:bookmarkStart w:id="1375" w:name="bookmark1406"/>
      <w:bookmarkStart w:id="1376" w:name="bookmark1407"/>
      <w:bookmarkStart w:id="1377" w:name="_Toc24227"/>
      <w:bookmarkStart w:id="1378" w:name="_Toc25743"/>
      <w:bookmarkStart w:id="1379" w:name="_Toc10923"/>
      <w:bookmarkStart w:id="1380" w:name="_Toc3015"/>
      <w:r>
        <w:rPr>
          <w:rFonts w:hint="eastAsia" w:ascii="宋体" w:hAnsi="宋体" w:eastAsia="宋体" w:cs="宋体"/>
          <w:color w:val="000000"/>
          <w:sz w:val="21"/>
          <w:szCs w:val="21"/>
          <w:highlight w:val="none"/>
        </w:rPr>
        <w:t>18.4合同工程完工验收</w:t>
      </w:r>
      <w:bookmarkEnd w:id="1374"/>
      <w:bookmarkEnd w:id="1375"/>
      <w:bookmarkEnd w:id="1376"/>
      <w:bookmarkEnd w:id="1377"/>
      <w:bookmarkEnd w:id="1378"/>
      <w:bookmarkEnd w:id="1379"/>
      <w:bookmarkEnd w:id="1380"/>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18.4.1</w:t>
      </w:r>
      <w:r>
        <w:rPr>
          <w:rFonts w:hint="eastAsia" w:ascii="宋体" w:hAnsi="宋体" w:eastAsia="宋体" w:cs="宋体"/>
          <w:color w:val="000000"/>
          <w:sz w:val="21"/>
          <w:szCs w:val="21"/>
          <w:highlight w:val="none"/>
        </w:rPr>
        <w:t>合同工程具备验收条件时，承包人应向发包人提交验收申请报告，发包人应在收到验收申请报告之日起20个工作日内决定是否同意进行验收。</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18.4.2</w:t>
      </w:r>
      <w:r>
        <w:rPr>
          <w:rFonts w:hint="eastAsia" w:ascii="宋体" w:hAnsi="宋体" w:eastAsia="宋体" w:cs="宋体"/>
          <w:color w:val="000000"/>
          <w:sz w:val="21"/>
          <w:szCs w:val="21"/>
          <w:highlight w:val="none"/>
        </w:rPr>
        <w:t>发包人主持合同工程完工验收，承包人应派项目经理参加验收工作组。</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18.4.3</w:t>
      </w:r>
      <w:r>
        <w:rPr>
          <w:rFonts w:hint="eastAsia" w:ascii="宋体" w:hAnsi="宋体" w:eastAsia="宋体" w:cs="宋体"/>
          <w:color w:val="000000"/>
          <w:sz w:val="21"/>
          <w:szCs w:val="21"/>
          <w:highlight w:val="none"/>
        </w:rPr>
        <w:t>合同工程完工验收通过后，发包人向承包人发送合同工程完工验收鉴定书。承包人应及时完成合同工程完工验收鉴定书载明应由承包人处理的遗留问题。</w:t>
      </w:r>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18.4.4</w:t>
      </w:r>
      <w:r>
        <w:rPr>
          <w:rFonts w:hint="eastAsia" w:ascii="宋体" w:hAnsi="宋体" w:eastAsia="宋体" w:cs="宋体"/>
          <w:color w:val="000000"/>
          <w:sz w:val="21"/>
          <w:szCs w:val="21"/>
          <w:highlight w:val="none"/>
        </w:rPr>
        <w:t>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81" w:name="bookmark1408"/>
      <w:bookmarkStart w:id="1382" w:name="_Toc32064"/>
      <w:bookmarkStart w:id="1383" w:name="_Toc31813"/>
      <w:bookmarkStart w:id="1384" w:name="_Toc1866"/>
      <w:bookmarkStart w:id="1385" w:name="_Toc13351"/>
      <w:bookmarkStart w:id="1386" w:name="bookmark1410"/>
      <w:bookmarkStart w:id="1387" w:name="bookmark1409"/>
      <w:r>
        <w:rPr>
          <w:rFonts w:hint="eastAsia" w:ascii="宋体" w:hAnsi="宋体" w:eastAsia="宋体" w:cs="宋体"/>
          <w:color w:val="000000"/>
          <w:sz w:val="21"/>
          <w:szCs w:val="21"/>
          <w:highlight w:val="none"/>
        </w:rPr>
        <w:t>18.5阶段验收</w:t>
      </w:r>
      <w:bookmarkEnd w:id="1381"/>
      <w:bookmarkEnd w:id="1382"/>
      <w:bookmarkEnd w:id="1383"/>
      <w:bookmarkEnd w:id="1384"/>
      <w:bookmarkEnd w:id="1385"/>
      <w:bookmarkEnd w:id="1386"/>
      <w:bookmarkEnd w:id="1387"/>
    </w:p>
    <w:p>
      <w:pPr>
        <w:pStyle w:val="163"/>
        <w:pageBreakBefore w:val="0"/>
        <w:widowControl w:val="0"/>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18.5.1</w:t>
      </w:r>
      <w:r>
        <w:rPr>
          <w:rFonts w:hint="eastAsia" w:ascii="宋体" w:hAnsi="宋体" w:eastAsia="宋体" w:cs="宋体"/>
          <w:color w:val="000000"/>
          <w:sz w:val="21"/>
          <w:szCs w:val="21"/>
          <w:highlight w:val="none"/>
        </w:rPr>
        <w:t>工程建设具备阶段验收条件时，发包人负责提出阶段验收申请报告。承包人应派代表参加阶段验收，并作为被验收单位在验收鉴定书上签字。阶段验收的具体类别在专用合同条款中约定。</w:t>
      </w:r>
    </w:p>
    <w:p>
      <w:pPr>
        <w:pStyle w:val="163"/>
        <w:pageBreakBefore w:val="0"/>
        <w:widowControl w:val="0"/>
        <w:tabs>
          <w:tab w:val="left" w:pos="841"/>
        </w:tabs>
        <w:kinsoku/>
        <w:wordWrap/>
        <w:overflowPunct/>
        <w:topLinePunct w:val="0"/>
        <w:autoSpaceDE/>
        <w:autoSpaceDN/>
        <w:bidi w:val="0"/>
        <w:adjustRightInd/>
        <w:snapToGrid/>
        <w:spacing w:after="140" w:line="400" w:lineRule="exact"/>
        <w:ind w:left="420"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18.5.</w:t>
      </w:r>
      <w:r>
        <w:rPr>
          <w:rFonts w:hint="eastAsia" w:ascii="宋体" w:hAnsi="宋体" w:eastAsia="宋体" w:cs="宋体"/>
          <w:color w:val="000000"/>
          <w:sz w:val="21"/>
          <w:szCs w:val="21"/>
          <w:highlight w:val="none"/>
        </w:rPr>
        <w:t>2承包人应及时完成阶段验收鉴定书载明应由承包人处理的遗留问题。</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88" w:name="_Toc2138"/>
      <w:bookmarkStart w:id="1389" w:name="_Toc16235"/>
      <w:bookmarkStart w:id="1390" w:name="bookmark1414"/>
      <w:bookmarkStart w:id="1391" w:name="bookmark1412"/>
      <w:bookmarkStart w:id="1392" w:name="_Toc23574"/>
      <w:bookmarkStart w:id="1393" w:name="_Toc17753"/>
      <w:bookmarkStart w:id="1394" w:name="bookmark1413"/>
      <w:r>
        <w:rPr>
          <w:rFonts w:hint="eastAsia" w:ascii="宋体" w:hAnsi="宋体" w:eastAsia="宋体" w:cs="宋体"/>
          <w:color w:val="000000"/>
          <w:sz w:val="21"/>
          <w:szCs w:val="21"/>
          <w:highlight w:val="none"/>
        </w:rPr>
        <w:t>18.6专项验收</w:t>
      </w:r>
      <w:bookmarkEnd w:id="1388"/>
      <w:bookmarkEnd w:id="1389"/>
      <w:bookmarkEnd w:id="1390"/>
      <w:bookmarkEnd w:id="1391"/>
      <w:bookmarkEnd w:id="1392"/>
      <w:bookmarkEnd w:id="1393"/>
      <w:bookmarkEnd w:id="1394"/>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18.6.1</w:t>
      </w:r>
      <w:r>
        <w:rPr>
          <w:rFonts w:hint="eastAsia" w:ascii="宋体" w:hAnsi="宋体" w:eastAsia="宋体" w:cs="宋体"/>
          <w:color w:val="000000"/>
          <w:sz w:val="21"/>
          <w:szCs w:val="21"/>
          <w:highlight w:val="none"/>
        </w:rPr>
        <w:t>发包人负责提出专项验收申请报告。承包人应按专项验收的相关规定参加专项验收。专项验收的具体类别在专用合同条款中约定。</w:t>
      </w:r>
    </w:p>
    <w:p>
      <w:pPr>
        <w:pStyle w:val="163"/>
        <w:pageBreakBefore w:val="0"/>
        <w:widowControl w:val="0"/>
        <w:kinsoku/>
        <w:wordWrap/>
        <w:overflowPunct/>
        <w:topLinePunct w:val="0"/>
        <w:autoSpaceDE/>
        <w:autoSpaceDN/>
        <w:bidi w:val="0"/>
        <w:adjustRightInd/>
        <w:snapToGrid/>
        <w:spacing w:after="1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18.6.</w:t>
      </w:r>
      <w:r>
        <w:rPr>
          <w:rFonts w:hint="eastAsia" w:ascii="宋体" w:hAnsi="宋体" w:eastAsia="宋体" w:cs="宋体"/>
          <w:color w:val="000000"/>
          <w:sz w:val="21"/>
          <w:szCs w:val="21"/>
          <w:highlight w:val="none"/>
        </w:rPr>
        <w:t>2承包应及时完成专项验收成果性文件载明应由承包人处理的遗留问题。</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95" w:name="bookmark1415"/>
      <w:bookmarkStart w:id="1396" w:name="bookmark1416"/>
      <w:bookmarkStart w:id="1397" w:name="_Toc23781"/>
      <w:bookmarkStart w:id="1398" w:name="_Toc2478"/>
      <w:bookmarkStart w:id="1399" w:name="_Toc6910"/>
      <w:bookmarkStart w:id="1400" w:name="_Toc31377"/>
      <w:bookmarkStart w:id="1401" w:name="bookmark1417"/>
      <w:r>
        <w:rPr>
          <w:rFonts w:hint="eastAsia" w:ascii="宋体" w:hAnsi="宋体" w:eastAsia="宋体" w:cs="宋体"/>
          <w:color w:val="000000"/>
          <w:sz w:val="21"/>
          <w:szCs w:val="21"/>
          <w:highlight w:val="none"/>
        </w:rPr>
        <w:t>18.7竣工验收</w:t>
      </w:r>
      <w:bookmarkEnd w:id="1395"/>
      <w:bookmarkEnd w:id="1396"/>
      <w:bookmarkEnd w:id="1397"/>
      <w:bookmarkEnd w:id="1398"/>
      <w:bookmarkEnd w:id="1399"/>
      <w:bookmarkEnd w:id="1400"/>
      <w:bookmarkEnd w:id="1401"/>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18.7.1</w:t>
      </w:r>
      <w:r>
        <w:rPr>
          <w:rFonts w:hint="eastAsia" w:ascii="宋体" w:hAnsi="宋体" w:eastAsia="宋体" w:cs="宋体"/>
          <w:color w:val="000000"/>
          <w:sz w:val="21"/>
          <w:szCs w:val="21"/>
          <w:highlight w:val="none"/>
        </w:rPr>
        <w:t>申请竣工验收前，发包人组织竣工验收自查，承包人应派项目经理或技术负责人参加。</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18.7.2</w:t>
      </w:r>
      <w:r>
        <w:rPr>
          <w:rFonts w:hint="eastAsia" w:ascii="宋体" w:hAnsi="宋体" w:eastAsia="宋体" w:cs="宋体"/>
          <w:color w:val="000000"/>
          <w:sz w:val="21"/>
          <w:szCs w:val="21"/>
          <w:highlight w:val="none"/>
        </w:rPr>
        <w:t>竣工验收分为竣工技术预验收和竣工验收两个阶段，发包人应通知承包人派法定代表人或项目经理参加技术预验收和竣工验收。</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18.7.3</w:t>
      </w:r>
      <w:r>
        <w:rPr>
          <w:rFonts w:hint="eastAsia" w:ascii="宋体" w:hAnsi="宋体" w:eastAsia="宋体" w:cs="宋体"/>
          <w:color w:val="000000"/>
          <w:sz w:val="21"/>
          <w:szCs w:val="21"/>
          <w:highlight w:val="none"/>
        </w:rPr>
        <w:t>专用合同条款约定工程需要进行技术鉴定的，承包人应提交有关资料并完成配合工作。</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18.7.4</w:t>
      </w:r>
      <w:r>
        <w:rPr>
          <w:rFonts w:hint="eastAsia" w:ascii="宋体" w:hAnsi="宋体" w:eastAsia="宋体" w:cs="宋体"/>
          <w:color w:val="000000"/>
          <w:sz w:val="21"/>
          <w:szCs w:val="21"/>
          <w:highlight w:val="none"/>
        </w:rPr>
        <w:t>竣工验收需要进行质量检测的，所需费用由发包人承担，但因承包人原因造成质量不合格的除外。</w:t>
      </w:r>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18.7.5</w:t>
      </w:r>
      <w:r>
        <w:rPr>
          <w:rFonts w:hint="eastAsia" w:ascii="宋体" w:hAnsi="宋体" w:eastAsia="宋体" w:cs="宋体"/>
          <w:color w:val="000000"/>
          <w:sz w:val="21"/>
          <w:szCs w:val="21"/>
          <w:highlight w:val="none"/>
        </w:rPr>
        <w:t>工程质量保修期满以及竣工验收遗留问题和尾工处理完成并通过验收后，发包人负责将处理情况和验收成果报送竣工验收主持单位，申请领取工程竣工证书，并发送承包人。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02" w:name="bookmark1420"/>
      <w:bookmarkStart w:id="1403" w:name="bookmark1419"/>
      <w:bookmarkStart w:id="1404" w:name="bookmark1418"/>
      <w:bookmarkStart w:id="1405" w:name="_Toc5152"/>
      <w:bookmarkStart w:id="1406" w:name="_Toc20939"/>
      <w:bookmarkStart w:id="1407" w:name="_Toc13980"/>
      <w:bookmarkStart w:id="1408" w:name="_Toc28956"/>
      <w:r>
        <w:rPr>
          <w:rFonts w:hint="eastAsia" w:ascii="宋体" w:hAnsi="宋体" w:eastAsia="宋体" w:cs="宋体"/>
          <w:color w:val="000000"/>
          <w:sz w:val="21"/>
          <w:szCs w:val="21"/>
          <w:highlight w:val="none"/>
        </w:rPr>
        <w:t>18.8施工期运行</w:t>
      </w:r>
      <w:bookmarkEnd w:id="1402"/>
      <w:bookmarkEnd w:id="1403"/>
      <w:bookmarkEnd w:id="1404"/>
      <w:bookmarkEnd w:id="1405"/>
      <w:bookmarkEnd w:id="1406"/>
      <w:bookmarkEnd w:id="1407"/>
      <w:bookmarkEnd w:id="1408"/>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18.8.1</w:t>
      </w:r>
      <w:r>
        <w:rPr>
          <w:rFonts w:hint="eastAsia" w:ascii="宋体" w:hAnsi="宋体" w:eastAsia="宋体" w:cs="宋体"/>
          <w:color w:val="000000"/>
          <w:sz w:val="21"/>
          <w:szCs w:val="21"/>
          <w:highlight w:val="none"/>
        </w:rPr>
        <w:t>施工期运行是指合同工程尚未全部完工，其中某单位工程或部分工程已完工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需要投入施工期运行的，经发包人按第</w:t>
      </w:r>
      <w:r>
        <w:rPr>
          <w:rFonts w:hint="eastAsia" w:ascii="宋体" w:hAnsi="宋体" w:eastAsia="宋体" w:cs="宋体"/>
          <w:color w:val="000000"/>
          <w:sz w:val="21"/>
          <w:szCs w:val="21"/>
          <w:highlight w:val="none"/>
          <w:lang w:val="en-US"/>
        </w:rPr>
        <w:t>18.</w:t>
      </w:r>
      <w:r>
        <w:rPr>
          <w:rFonts w:hint="eastAsia" w:ascii="宋体" w:hAnsi="宋体" w:eastAsia="宋体" w:cs="宋体"/>
          <w:color w:val="000000"/>
          <w:sz w:val="21"/>
          <w:szCs w:val="21"/>
          <w:highlight w:val="none"/>
        </w:rPr>
        <w:t>2款或第</w:t>
      </w:r>
      <w:r>
        <w:rPr>
          <w:rFonts w:hint="eastAsia" w:ascii="宋体" w:hAnsi="宋体" w:eastAsia="宋体" w:cs="宋体"/>
          <w:color w:val="000000"/>
          <w:sz w:val="21"/>
          <w:szCs w:val="21"/>
          <w:highlight w:val="none"/>
          <w:lang w:val="en-US"/>
        </w:rPr>
        <w:t>18.</w:t>
      </w:r>
      <w:r>
        <w:rPr>
          <w:rFonts w:hint="eastAsia" w:ascii="宋体" w:hAnsi="宋体" w:eastAsia="宋体" w:cs="宋体"/>
          <w:color w:val="000000"/>
          <w:sz w:val="21"/>
          <w:szCs w:val="21"/>
          <w:highlight w:val="none"/>
        </w:rPr>
        <w:t>3款的约定验收合格，证明能确保安全后，才能在施工期投入运行。需要在施工期运行的单位工程或部分工程在专用合同条款中约定。</w:t>
      </w:r>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18.8.2</w:t>
      </w:r>
      <w:r>
        <w:rPr>
          <w:rFonts w:hint="eastAsia" w:ascii="宋体" w:hAnsi="宋体" w:eastAsia="宋体" w:cs="宋体"/>
          <w:color w:val="000000"/>
          <w:sz w:val="21"/>
          <w:szCs w:val="21"/>
          <w:highlight w:val="none"/>
        </w:rPr>
        <w:t>在施工期运行中发现工程或工程设备损坏或存在缺陷的，由承包人按第</w:t>
      </w:r>
      <w:r>
        <w:rPr>
          <w:rFonts w:hint="eastAsia" w:ascii="宋体" w:hAnsi="宋体" w:eastAsia="宋体" w:cs="宋体"/>
          <w:color w:val="000000"/>
          <w:sz w:val="21"/>
          <w:szCs w:val="21"/>
          <w:highlight w:val="none"/>
          <w:lang w:val="en-US"/>
        </w:rPr>
        <w:t>19.</w:t>
      </w:r>
      <w:r>
        <w:rPr>
          <w:rFonts w:hint="eastAsia" w:ascii="宋体" w:hAnsi="宋体" w:eastAsia="宋体" w:cs="宋体"/>
          <w:color w:val="000000"/>
          <w:sz w:val="21"/>
          <w:szCs w:val="21"/>
          <w:highlight w:val="none"/>
        </w:rPr>
        <w:t>2 款约定进行修复。</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09" w:name="bookmark1423"/>
      <w:bookmarkStart w:id="1410" w:name="_Toc19428"/>
      <w:bookmarkStart w:id="1411" w:name="_Toc13702"/>
      <w:bookmarkStart w:id="1412" w:name="bookmark1421"/>
      <w:bookmarkStart w:id="1413" w:name="_Toc7761"/>
      <w:bookmarkStart w:id="1414" w:name="_Toc20150"/>
      <w:bookmarkStart w:id="1415" w:name="bookmark1422"/>
      <w:r>
        <w:rPr>
          <w:rFonts w:hint="eastAsia" w:ascii="宋体" w:hAnsi="宋体" w:eastAsia="宋体" w:cs="宋体"/>
          <w:color w:val="000000"/>
          <w:sz w:val="21"/>
          <w:szCs w:val="21"/>
          <w:highlight w:val="none"/>
        </w:rPr>
        <w:t>18.9试运行</w:t>
      </w:r>
      <w:bookmarkEnd w:id="1409"/>
      <w:bookmarkEnd w:id="1410"/>
      <w:bookmarkEnd w:id="1411"/>
      <w:bookmarkEnd w:id="1412"/>
      <w:bookmarkEnd w:id="1413"/>
      <w:bookmarkEnd w:id="1414"/>
      <w:bookmarkEnd w:id="1415"/>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18.9.1</w:t>
      </w:r>
      <w:r>
        <w:rPr>
          <w:rFonts w:hint="eastAsia" w:ascii="宋体" w:hAnsi="宋体" w:eastAsia="宋体" w:cs="宋体"/>
          <w:color w:val="000000"/>
          <w:sz w:val="21"/>
          <w:szCs w:val="21"/>
          <w:highlight w:val="none"/>
        </w:rPr>
        <w:t>除专用合同条款另有约定外，承包人应按规定进行工程及工程设备试运行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负责提供试运行所需的人员、器材和必要的条件，并承担全部试运行费用。</w:t>
      </w:r>
    </w:p>
    <w:p>
      <w:pPr>
        <w:pStyle w:val="163"/>
        <w:pageBreakBefore w:val="0"/>
        <w:widowControl w:val="0"/>
        <w:kinsoku/>
        <w:wordWrap/>
        <w:overflowPunct/>
        <w:topLinePunct w:val="0"/>
        <w:autoSpaceDE/>
        <w:autoSpaceDN/>
        <w:bidi w:val="0"/>
        <w:adjustRightInd/>
        <w:snapToGrid/>
        <w:spacing w:after="240" w:line="400" w:lineRule="exact"/>
        <w:ind w:firstLine="447" w:firstLineChars="213"/>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18.9.2</w:t>
      </w:r>
      <w:r>
        <w:rPr>
          <w:rFonts w:hint="eastAsia" w:ascii="宋体" w:hAnsi="宋体" w:eastAsia="宋体" w:cs="宋体"/>
          <w:color w:val="000000"/>
          <w:sz w:val="21"/>
          <w:szCs w:val="21"/>
          <w:highlight w:val="none"/>
        </w:rPr>
        <w:t>由于承包人的原因导致试运行失败的，承包人应采取措施保证试运行合格</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并承担相应费用。由于发包人的原因导致试运行失败的，承包人应当采取措施保证试运行合格，发包人应承担由此产生的费用，并支付承包人合理利润。</w:t>
      </w:r>
      <w:bookmarkStart w:id="1416" w:name="bookmark1411"/>
      <w:bookmarkEnd w:id="1416"/>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17" w:name="_Toc523"/>
      <w:bookmarkStart w:id="1418" w:name="_Toc18133"/>
      <w:bookmarkStart w:id="1419" w:name="bookmark1424"/>
      <w:bookmarkStart w:id="1420" w:name="bookmark1426"/>
      <w:bookmarkStart w:id="1421" w:name="_Toc1706"/>
      <w:bookmarkStart w:id="1422" w:name="_Toc24528"/>
      <w:bookmarkStart w:id="1423" w:name="bookmark1425"/>
      <w:r>
        <w:rPr>
          <w:rFonts w:hint="eastAsia" w:ascii="宋体" w:hAnsi="宋体" w:eastAsia="宋体" w:cs="宋体"/>
          <w:color w:val="000000"/>
          <w:sz w:val="21"/>
          <w:szCs w:val="21"/>
          <w:highlight w:val="none"/>
        </w:rPr>
        <w:t>18.10竣工（完工）清场</w:t>
      </w:r>
      <w:bookmarkEnd w:id="1417"/>
      <w:bookmarkEnd w:id="1418"/>
      <w:bookmarkEnd w:id="1419"/>
      <w:bookmarkEnd w:id="1420"/>
      <w:bookmarkEnd w:id="1421"/>
      <w:bookmarkEnd w:id="1422"/>
      <w:bookmarkEnd w:id="1423"/>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18.10.1</w:t>
      </w:r>
      <w:r>
        <w:rPr>
          <w:rFonts w:hint="eastAsia" w:ascii="宋体" w:hAnsi="宋体" w:eastAsia="宋体" w:cs="宋体"/>
          <w:color w:val="000000"/>
          <w:sz w:val="21"/>
          <w:szCs w:val="21"/>
          <w:highlight w:val="none"/>
        </w:rPr>
        <w:t>工程项目竣工（完工）清场的工作范围和内容在技术标准和要求（合同技术条款）中约定。</w:t>
      </w:r>
    </w:p>
    <w:p>
      <w:pPr>
        <w:pStyle w:val="163"/>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18.10.2</w:t>
      </w:r>
      <w:r>
        <w:rPr>
          <w:rFonts w:hint="eastAsia" w:ascii="宋体" w:hAnsi="宋体" w:eastAsia="宋体" w:cs="宋体"/>
          <w:color w:val="000000"/>
          <w:sz w:val="21"/>
          <w:szCs w:val="21"/>
          <w:highlight w:val="none"/>
        </w:rPr>
        <w:t>承包未按监理人的要求恢复临时占地，或者场地清理未达到合同约定的，发包人有权委托其它人恢复或清理，所发生的金额从拟支付给承包人的款项中扣除。</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24" w:name="bookmark1428"/>
      <w:bookmarkStart w:id="1425" w:name="_Toc881"/>
      <w:bookmarkStart w:id="1426" w:name="_Toc28474"/>
      <w:bookmarkStart w:id="1427" w:name="bookmark1427"/>
      <w:bookmarkStart w:id="1428" w:name="_Toc12911"/>
      <w:bookmarkStart w:id="1429" w:name="_Toc13266"/>
      <w:bookmarkStart w:id="1430" w:name="bookmark1429"/>
      <w:r>
        <w:rPr>
          <w:rFonts w:hint="eastAsia" w:ascii="宋体" w:hAnsi="宋体" w:eastAsia="宋体" w:cs="宋体"/>
          <w:color w:val="000000"/>
          <w:sz w:val="21"/>
          <w:szCs w:val="21"/>
          <w:highlight w:val="none"/>
        </w:rPr>
        <w:t>18.11施工队伍的撤离</w:t>
      </w:r>
      <w:bookmarkEnd w:id="1424"/>
      <w:bookmarkEnd w:id="1425"/>
      <w:bookmarkEnd w:id="1426"/>
      <w:bookmarkEnd w:id="1427"/>
      <w:bookmarkEnd w:id="1428"/>
      <w:bookmarkEnd w:id="1429"/>
      <w:bookmarkEnd w:id="1430"/>
    </w:p>
    <w:p>
      <w:pPr>
        <w:pStyle w:val="163"/>
        <w:pageBreakBefore w:val="0"/>
        <w:widowControl w:val="0"/>
        <w:kinsoku/>
        <w:wordWrap/>
        <w:overflowPunct/>
        <w:topLinePunct w:val="0"/>
        <w:autoSpaceDE/>
        <w:autoSpaceDN/>
        <w:bidi w:val="0"/>
        <w:adjustRightInd/>
        <w:snapToGrid/>
        <w:spacing w:after="30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承包人的人员和施工设备应全部撤离施工场地。</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31" w:name="bookmark1432"/>
      <w:bookmarkStart w:id="1432" w:name="_Toc10282"/>
      <w:bookmarkStart w:id="1433" w:name="_Toc15410"/>
      <w:bookmarkStart w:id="1434" w:name="bookmark1430"/>
      <w:bookmarkStart w:id="1435" w:name="_Toc1854"/>
      <w:bookmarkStart w:id="1436" w:name="_Toc26867"/>
      <w:bookmarkStart w:id="1437" w:name="bookmark1431"/>
      <w:r>
        <w:rPr>
          <w:rFonts w:hint="eastAsia" w:ascii="宋体" w:hAnsi="宋体" w:eastAsia="宋体" w:cs="宋体"/>
          <w:color w:val="000000"/>
          <w:sz w:val="21"/>
          <w:szCs w:val="21"/>
          <w:highlight w:val="none"/>
        </w:rPr>
        <w:t>19.缺陷责任与保修责任</w:t>
      </w:r>
      <w:bookmarkEnd w:id="1431"/>
      <w:bookmarkEnd w:id="1432"/>
      <w:bookmarkEnd w:id="1433"/>
      <w:bookmarkEnd w:id="1434"/>
      <w:bookmarkEnd w:id="1435"/>
      <w:bookmarkEnd w:id="1436"/>
      <w:bookmarkEnd w:id="1437"/>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38" w:name="_Toc22913"/>
      <w:bookmarkStart w:id="1439" w:name="_Toc27959"/>
      <w:bookmarkStart w:id="1440" w:name="_Toc1138"/>
      <w:bookmarkStart w:id="1441" w:name="bookmark1435"/>
      <w:bookmarkStart w:id="1442" w:name="bookmark1433"/>
      <w:bookmarkStart w:id="1443" w:name="_Toc1593"/>
      <w:bookmarkStart w:id="1444" w:name="bookmark1434"/>
      <w:r>
        <w:rPr>
          <w:rFonts w:hint="eastAsia" w:ascii="宋体" w:hAnsi="宋体" w:eastAsia="宋体" w:cs="宋体"/>
          <w:color w:val="000000"/>
          <w:sz w:val="21"/>
          <w:szCs w:val="21"/>
          <w:highlight w:val="none"/>
        </w:rPr>
        <w:t>19.1缺陷责任期（工程质量保修期）的起算时间</w:t>
      </w:r>
      <w:bookmarkEnd w:id="1438"/>
      <w:bookmarkEnd w:id="1439"/>
      <w:bookmarkEnd w:id="1440"/>
      <w:bookmarkEnd w:id="1441"/>
      <w:bookmarkEnd w:id="1442"/>
      <w:bookmarkEnd w:id="1443"/>
      <w:bookmarkEnd w:id="1444"/>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除专用合同条款另有约定外，缺陷责任期（工程质量保修期）从工程通过合同工程完 工验收后开始计算。在合同工程完工验收前，已经发包人提前验收的单位工程或部分工程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45" w:name="bookmark1436"/>
      <w:bookmarkStart w:id="1446" w:name="_Toc18046"/>
      <w:bookmarkStart w:id="1447" w:name="bookmark1438"/>
      <w:bookmarkStart w:id="1448" w:name="_Toc27743"/>
      <w:bookmarkStart w:id="1449" w:name="bookmark1437"/>
      <w:bookmarkStart w:id="1450" w:name="_Toc28386"/>
      <w:bookmarkStart w:id="1451" w:name="_Toc9626"/>
      <w:r>
        <w:rPr>
          <w:rFonts w:hint="eastAsia" w:ascii="宋体" w:hAnsi="宋体" w:eastAsia="宋体" w:cs="宋体"/>
          <w:color w:val="000000"/>
          <w:sz w:val="21"/>
          <w:szCs w:val="21"/>
          <w:highlight w:val="none"/>
        </w:rPr>
        <w:t>19.2缺陷责任</w:t>
      </w:r>
      <w:bookmarkEnd w:id="1445"/>
      <w:bookmarkEnd w:id="1446"/>
      <w:bookmarkEnd w:id="1447"/>
      <w:bookmarkEnd w:id="1448"/>
      <w:bookmarkEnd w:id="1449"/>
      <w:bookmarkEnd w:id="1450"/>
      <w:bookmarkEnd w:id="1451"/>
    </w:p>
    <w:p>
      <w:pPr>
        <w:pStyle w:val="163"/>
        <w:pageBreakBefore w:val="0"/>
        <w:widowControl w:val="0"/>
        <w:tabs>
          <w:tab w:val="left" w:pos="853"/>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452" w:name="bookmark1439"/>
      <w:bookmarkEnd w:id="1452"/>
      <w:r>
        <w:rPr>
          <w:rFonts w:hint="eastAsia" w:ascii="宋体" w:hAnsi="宋体" w:eastAsia="宋体" w:cs="宋体"/>
          <w:color w:val="000000"/>
          <w:sz w:val="21"/>
          <w:szCs w:val="21"/>
          <w:highlight w:val="none"/>
          <w:lang w:val="en-US"/>
        </w:rPr>
        <w:t>19.2.</w:t>
      </w:r>
      <w:r>
        <w:rPr>
          <w:rFonts w:hint="eastAsia" w:ascii="宋体" w:hAnsi="宋体" w:eastAsia="宋体" w:cs="宋体"/>
          <w:color w:val="000000"/>
          <w:sz w:val="21"/>
          <w:szCs w:val="21"/>
          <w:highlight w:val="none"/>
        </w:rPr>
        <w:t>1承包人应在缺陷责任期内对已交付使用的工程承担缺陷责任。</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19.2.2</w:t>
      </w:r>
      <w:r>
        <w:rPr>
          <w:rFonts w:hint="eastAsia" w:ascii="宋体" w:hAnsi="宋体" w:eastAsia="宋体" w:cs="宋体"/>
          <w:color w:val="000000"/>
          <w:sz w:val="21"/>
          <w:szCs w:val="21"/>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19.2.3</w:t>
      </w:r>
      <w:r>
        <w:rPr>
          <w:rFonts w:hint="eastAsia" w:ascii="宋体" w:hAnsi="宋体" w:eastAsia="宋体" w:cs="宋体"/>
          <w:color w:val="000000"/>
          <w:sz w:val="21"/>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19.2.4</w:t>
      </w:r>
      <w:r>
        <w:rPr>
          <w:rFonts w:hint="eastAsia" w:ascii="宋体" w:hAnsi="宋体" w:eastAsia="宋体" w:cs="宋体"/>
          <w:color w:val="000000"/>
          <w:sz w:val="21"/>
          <w:szCs w:val="21"/>
          <w:highlight w:val="none"/>
        </w:rPr>
        <w:t>承包人不能在合理时间内修复缺陷的，发包人可自行修复或委托其他人修复</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所需费用和利润的承担，按第</w:t>
      </w:r>
      <w:r>
        <w:rPr>
          <w:rFonts w:hint="eastAsia" w:ascii="宋体" w:hAnsi="宋体" w:eastAsia="宋体" w:cs="宋体"/>
          <w:color w:val="000000"/>
          <w:sz w:val="21"/>
          <w:szCs w:val="21"/>
          <w:highlight w:val="none"/>
          <w:lang w:val="en-US"/>
        </w:rPr>
        <w:t>19.2.</w:t>
      </w:r>
      <w:r>
        <w:rPr>
          <w:rFonts w:hint="eastAsia" w:ascii="宋体" w:hAnsi="宋体" w:eastAsia="宋体" w:cs="宋体"/>
          <w:color w:val="000000"/>
          <w:sz w:val="21"/>
          <w:szCs w:val="21"/>
          <w:highlight w:val="none"/>
        </w:rPr>
        <w:t>3项约定办理。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53" w:name="bookmark1442"/>
      <w:bookmarkStart w:id="1454" w:name="_Toc30835"/>
      <w:bookmarkStart w:id="1455" w:name="_Toc30734"/>
      <w:bookmarkStart w:id="1456" w:name="_Toc19734"/>
      <w:bookmarkStart w:id="1457" w:name="bookmark1440"/>
      <w:bookmarkStart w:id="1458" w:name="_Toc6733"/>
      <w:bookmarkStart w:id="1459" w:name="bookmark1441"/>
      <w:r>
        <w:rPr>
          <w:rFonts w:hint="eastAsia" w:ascii="宋体" w:hAnsi="宋体" w:eastAsia="宋体" w:cs="宋体"/>
          <w:color w:val="000000"/>
          <w:sz w:val="21"/>
          <w:szCs w:val="21"/>
          <w:highlight w:val="none"/>
        </w:rPr>
        <w:t>19.3缺陷责任期的延长</w:t>
      </w:r>
      <w:bookmarkEnd w:id="1453"/>
      <w:bookmarkEnd w:id="1454"/>
      <w:bookmarkEnd w:id="1455"/>
      <w:bookmarkEnd w:id="1456"/>
      <w:bookmarkEnd w:id="1457"/>
      <w:bookmarkEnd w:id="1458"/>
      <w:bookmarkEnd w:id="1459"/>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60" w:name="_Toc17141"/>
      <w:bookmarkStart w:id="1461" w:name="bookmark1445"/>
      <w:bookmarkStart w:id="1462" w:name="bookmark1444"/>
      <w:bookmarkStart w:id="1463" w:name="_Toc23138"/>
      <w:bookmarkStart w:id="1464" w:name="bookmark1443"/>
      <w:bookmarkStart w:id="1465" w:name="_Toc30507"/>
      <w:bookmarkStart w:id="1466" w:name="_Toc4593"/>
      <w:r>
        <w:rPr>
          <w:rFonts w:hint="eastAsia" w:ascii="宋体" w:hAnsi="宋体" w:eastAsia="宋体" w:cs="宋体"/>
          <w:color w:val="000000"/>
          <w:sz w:val="21"/>
          <w:szCs w:val="21"/>
          <w:highlight w:val="none"/>
        </w:rPr>
        <w:t>19.4进一步试验和试运行</w:t>
      </w:r>
      <w:bookmarkEnd w:id="1460"/>
      <w:bookmarkEnd w:id="1461"/>
      <w:bookmarkEnd w:id="1462"/>
      <w:bookmarkEnd w:id="1463"/>
      <w:bookmarkEnd w:id="1464"/>
      <w:bookmarkEnd w:id="1465"/>
      <w:bookmarkEnd w:id="1466"/>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任何一项缺陷或损坏修复后，经检查证明其影响了工程或工程设备的使用性能，承包人应重新进行合同约定的试验和试运行，试验和试运行的全部费用应由责任方承担。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67" w:name="bookmark1447"/>
      <w:bookmarkStart w:id="1468" w:name="_Toc6752"/>
      <w:bookmarkStart w:id="1469" w:name="_Toc13710"/>
      <w:bookmarkStart w:id="1470" w:name="bookmark1446"/>
      <w:bookmarkStart w:id="1471" w:name="bookmark1448"/>
      <w:bookmarkStart w:id="1472" w:name="_Toc10300"/>
      <w:bookmarkStart w:id="1473" w:name="_Toc15239"/>
      <w:r>
        <w:rPr>
          <w:rFonts w:hint="eastAsia" w:ascii="宋体" w:hAnsi="宋体" w:eastAsia="宋体" w:cs="宋体"/>
          <w:color w:val="000000"/>
          <w:sz w:val="21"/>
          <w:szCs w:val="21"/>
          <w:highlight w:val="none"/>
        </w:rPr>
        <w:t>19.5承包人的进入权</w:t>
      </w:r>
      <w:bookmarkEnd w:id="1467"/>
      <w:bookmarkEnd w:id="1468"/>
      <w:bookmarkEnd w:id="1469"/>
      <w:bookmarkEnd w:id="1470"/>
      <w:bookmarkEnd w:id="1471"/>
      <w:bookmarkEnd w:id="1472"/>
      <w:bookmarkEnd w:id="1473"/>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缺陷责任期内承包人为缺陷修复工作需要，有权进入工程现场，但应遵守发包人的保安和保密规定。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74" w:name="_Toc14383"/>
      <w:bookmarkStart w:id="1475" w:name="_Toc26"/>
      <w:bookmarkStart w:id="1476" w:name="bookmark1449"/>
      <w:bookmarkStart w:id="1477" w:name="bookmark1450"/>
      <w:bookmarkStart w:id="1478" w:name="_Toc16024"/>
      <w:bookmarkStart w:id="1479" w:name="_Toc15822"/>
      <w:bookmarkStart w:id="1480" w:name="bookmark1451"/>
      <w:r>
        <w:rPr>
          <w:rFonts w:hint="eastAsia" w:ascii="宋体" w:hAnsi="宋体" w:eastAsia="宋体" w:cs="宋体"/>
          <w:color w:val="000000"/>
          <w:sz w:val="21"/>
          <w:szCs w:val="21"/>
          <w:highlight w:val="none"/>
        </w:rPr>
        <w:t>19.6缺陷责任期终止证书（工程质量保修责任终止证书）</w:t>
      </w:r>
      <w:bookmarkEnd w:id="1474"/>
      <w:bookmarkEnd w:id="1475"/>
      <w:bookmarkEnd w:id="1476"/>
      <w:bookmarkEnd w:id="1477"/>
      <w:bookmarkEnd w:id="1478"/>
      <w:bookmarkEnd w:id="1479"/>
      <w:bookmarkEnd w:id="1480"/>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合同工程完工验收后，发包人与承包人应办理工程交接手续，承包人应向发包人递交工程质量保修书。</w:t>
      </w:r>
    </w:p>
    <w:p>
      <w:pPr>
        <w:pStyle w:val="163"/>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缺陷责任期（工程质量保修期）满后30个工作日内，发包人应向承包人颁发工程质量保修责任终止证书，并退还剩余的质量保证金，但保修责任范围内的质量缺陷未处理完成的应除外。</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81" w:name="_Toc10377"/>
      <w:bookmarkStart w:id="1482" w:name="_Toc8273"/>
      <w:bookmarkStart w:id="1483" w:name="_Toc26882"/>
      <w:bookmarkStart w:id="1484" w:name="bookmark1452"/>
      <w:bookmarkStart w:id="1485" w:name="bookmark1453"/>
      <w:bookmarkStart w:id="1486" w:name="bookmark1454"/>
      <w:bookmarkStart w:id="1487" w:name="_Toc21969"/>
      <w:r>
        <w:rPr>
          <w:rFonts w:hint="eastAsia" w:ascii="宋体" w:hAnsi="宋体" w:eastAsia="宋体" w:cs="宋体"/>
          <w:color w:val="000000"/>
          <w:sz w:val="21"/>
          <w:szCs w:val="21"/>
          <w:highlight w:val="none"/>
        </w:rPr>
        <w:t>19.7保修责任</w:t>
      </w:r>
      <w:bookmarkEnd w:id="1481"/>
      <w:bookmarkEnd w:id="1482"/>
      <w:bookmarkEnd w:id="1483"/>
      <w:bookmarkEnd w:id="1484"/>
      <w:bookmarkEnd w:id="1485"/>
      <w:bookmarkEnd w:id="1486"/>
      <w:bookmarkEnd w:id="1487"/>
    </w:p>
    <w:p>
      <w:pPr>
        <w:pStyle w:val="163"/>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88" w:name="_Toc30357"/>
      <w:bookmarkStart w:id="1489" w:name="_Toc6157"/>
      <w:bookmarkStart w:id="1490" w:name="_Toc31099"/>
      <w:bookmarkStart w:id="1491" w:name="bookmark1457"/>
      <w:bookmarkStart w:id="1492" w:name="_Toc4659"/>
      <w:bookmarkStart w:id="1493" w:name="bookmark1456"/>
      <w:bookmarkStart w:id="1494" w:name="bookmark1455"/>
      <w:r>
        <w:rPr>
          <w:rFonts w:hint="eastAsia" w:ascii="宋体" w:hAnsi="宋体" w:eastAsia="宋体" w:cs="宋体"/>
          <w:color w:val="000000"/>
          <w:sz w:val="21"/>
          <w:szCs w:val="21"/>
          <w:highlight w:val="none"/>
        </w:rPr>
        <w:t>20.保险</w:t>
      </w:r>
      <w:bookmarkEnd w:id="1488"/>
      <w:bookmarkEnd w:id="1489"/>
      <w:bookmarkEnd w:id="1490"/>
      <w:bookmarkEnd w:id="1491"/>
      <w:bookmarkEnd w:id="1492"/>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95" w:name="_Toc15910"/>
      <w:bookmarkStart w:id="1496" w:name="_Toc3536"/>
      <w:bookmarkStart w:id="1497" w:name="_Toc16520"/>
      <w:bookmarkStart w:id="1498" w:name="bookmark1458"/>
      <w:bookmarkStart w:id="1499" w:name="_Toc14646"/>
      <w:r>
        <w:rPr>
          <w:rFonts w:hint="eastAsia" w:ascii="宋体" w:hAnsi="宋体" w:eastAsia="宋体" w:cs="宋体"/>
          <w:color w:val="000000"/>
          <w:sz w:val="21"/>
          <w:szCs w:val="21"/>
          <w:highlight w:val="none"/>
        </w:rPr>
        <w:t>20.1工程保险</w:t>
      </w:r>
      <w:bookmarkEnd w:id="1493"/>
      <w:bookmarkEnd w:id="1494"/>
      <w:bookmarkEnd w:id="1495"/>
      <w:bookmarkEnd w:id="1496"/>
      <w:bookmarkEnd w:id="1497"/>
      <w:bookmarkEnd w:id="1498"/>
      <w:bookmarkEnd w:id="1499"/>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00" w:name="bookmark1461"/>
      <w:bookmarkStart w:id="1501" w:name="_Toc32702"/>
      <w:bookmarkStart w:id="1502" w:name="_Toc9432"/>
      <w:bookmarkStart w:id="1503" w:name="_Toc19236"/>
      <w:bookmarkStart w:id="1504" w:name="bookmark1459"/>
      <w:bookmarkStart w:id="1505" w:name="bookmark1460"/>
      <w:bookmarkStart w:id="1506" w:name="_Toc8354"/>
      <w:r>
        <w:rPr>
          <w:rFonts w:hint="eastAsia" w:ascii="宋体" w:hAnsi="宋体" w:eastAsia="宋体" w:cs="宋体"/>
          <w:color w:val="000000"/>
          <w:sz w:val="21"/>
          <w:szCs w:val="21"/>
          <w:highlight w:val="none"/>
        </w:rPr>
        <w:t>20.2人员工伤事故的保险</w:t>
      </w:r>
      <w:bookmarkEnd w:id="1500"/>
      <w:bookmarkEnd w:id="1501"/>
      <w:bookmarkEnd w:id="1502"/>
      <w:bookmarkEnd w:id="1503"/>
      <w:bookmarkEnd w:id="1504"/>
      <w:bookmarkEnd w:id="1505"/>
      <w:bookmarkEnd w:id="1506"/>
    </w:p>
    <w:p>
      <w:pPr>
        <w:pStyle w:val="163"/>
        <w:pageBreakBefore w:val="0"/>
        <w:widowControl w:val="0"/>
        <w:tabs>
          <w:tab w:val="left" w:pos="878"/>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507" w:name="bookmark1462"/>
      <w:bookmarkEnd w:id="1507"/>
      <w:r>
        <w:rPr>
          <w:rFonts w:hint="eastAsia" w:ascii="宋体" w:hAnsi="宋体" w:eastAsia="宋体" w:cs="宋体"/>
          <w:color w:val="000000"/>
          <w:sz w:val="21"/>
          <w:szCs w:val="21"/>
          <w:highlight w:val="none"/>
          <w:lang w:val="en-US"/>
        </w:rPr>
        <w:t>20.2.</w:t>
      </w:r>
      <w:r>
        <w:rPr>
          <w:rFonts w:hint="eastAsia" w:ascii="宋体" w:hAnsi="宋体" w:eastAsia="宋体" w:cs="宋体"/>
          <w:color w:val="000000"/>
          <w:sz w:val="21"/>
          <w:szCs w:val="21"/>
          <w:highlight w:val="none"/>
        </w:rPr>
        <w:t>1承包人员工伤事故的保险</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承包人应依照有关法律规定参加工伤保险，为其履行合同所雇佣的全部人员，缴纳工 伤保险费，并要求其分包人也进行此项保险。</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20.2.</w:t>
      </w:r>
      <w:r>
        <w:rPr>
          <w:rFonts w:hint="eastAsia" w:ascii="宋体" w:hAnsi="宋体" w:eastAsia="宋体" w:cs="宋体"/>
          <w:color w:val="000000"/>
          <w:sz w:val="21"/>
          <w:szCs w:val="21"/>
          <w:highlight w:val="none"/>
        </w:rPr>
        <w:t>2发包人员工伤事故的保险</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发包人应依照有关法律规定参加工伤保险，为其现场机构雇佣的全部人员，缴纳工伤保险费，并要求其监理人也进行此项保险。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08" w:name="bookmark1464"/>
      <w:bookmarkStart w:id="1509" w:name="bookmark1465"/>
      <w:bookmarkStart w:id="1510" w:name="_Toc9891"/>
      <w:bookmarkStart w:id="1511" w:name="bookmark1463"/>
      <w:bookmarkStart w:id="1512" w:name="_Toc26947"/>
      <w:bookmarkStart w:id="1513" w:name="_Toc9146"/>
      <w:bookmarkStart w:id="1514" w:name="_Toc12807"/>
      <w:r>
        <w:rPr>
          <w:rFonts w:hint="eastAsia" w:ascii="宋体" w:hAnsi="宋体" w:eastAsia="宋体" w:cs="宋体"/>
          <w:color w:val="000000"/>
          <w:sz w:val="21"/>
          <w:szCs w:val="21"/>
          <w:highlight w:val="none"/>
        </w:rPr>
        <w:t>20.3人身意外伤害险</w:t>
      </w:r>
      <w:bookmarkEnd w:id="1508"/>
      <w:bookmarkEnd w:id="1509"/>
      <w:bookmarkEnd w:id="1510"/>
      <w:bookmarkEnd w:id="1511"/>
      <w:bookmarkEnd w:id="1512"/>
      <w:bookmarkEnd w:id="1513"/>
      <w:bookmarkEnd w:id="1514"/>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20.3.1</w:t>
      </w:r>
      <w:r>
        <w:rPr>
          <w:rFonts w:hint="eastAsia" w:ascii="宋体" w:hAnsi="宋体" w:eastAsia="宋体" w:cs="宋体"/>
          <w:color w:val="000000"/>
          <w:sz w:val="21"/>
          <w:szCs w:val="21"/>
          <w:highlight w:val="none"/>
        </w:rPr>
        <w:t>发包人应在整个施工期间为其现场机构雇用的全部人员，投保人身意外伤害险，缴纳保险费，并要求其监理人也进行此项保险。</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20.3.2</w:t>
      </w:r>
      <w:r>
        <w:rPr>
          <w:rFonts w:hint="eastAsia" w:ascii="宋体" w:hAnsi="宋体" w:eastAsia="宋体" w:cs="宋体"/>
          <w:color w:val="000000"/>
          <w:sz w:val="21"/>
          <w:szCs w:val="21"/>
          <w:highlight w:val="none"/>
        </w:rPr>
        <w:t>承包人应在整个施工期间为其现场机构雇用的全部人员，投保人身意外伤害险，缴纳保险费，并要求其分包人也进行此项保险。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15" w:name="bookmark1466"/>
      <w:bookmarkStart w:id="1516" w:name="_Toc13265"/>
      <w:bookmarkStart w:id="1517" w:name="_Toc13858"/>
      <w:bookmarkStart w:id="1518" w:name="bookmark1467"/>
      <w:bookmarkStart w:id="1519" w:name="_Toc24349"/>
      <w:bookmarkStart w:id="1520" w:name="bookmark1468"/>
      <w:bookmarkStart w:id="1521" w:name="_Toc10666"/>
      <w:r>
        <w:rPr>
          <w:rFonts w:hint="eastAsia" w:ascii="宋体" w:hAnsi="宋体" w:eastAsia="宋体" w:cs="宋体"/>
          <w:color w:val="000000"/>
          <w:sz w:val="21"/>
          <w:szCs w:val="21"/>
          <w:highlight w:val="none"/>
        </w:rPr>
        <w:t>20.4第三者责任险</w:t>
      </w:r>
      <w:bookmarkEnd w:id="1515"/>
      <w:bookmarkEnd w:id="1516"/>
      <w:bookmarkEnd w:id="1517"/>
      <w:bookmarkEnd w:id="1518"/>
      <w:bookmarkEnd w:id="1519"/>
      <w:bookmarkEnd w:id="1520"/>
      <w:bookmarkEnd w:id="1521"/>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20.4.1</w:t>
      </w:r>
      <w:r>
        <w:rPr>
          <w:rFonts w:hint="eastAsia" w:ascii="宋体" w:hAnsi="宋体" w:eastAsia="宋体" w:cs="宋体"/>
          <w:color w:val="000000"/>
          <w:sz w:val="21"/>
          <w:szCs w:val="21"/>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20.4.2</w:t>
      </w:r>
      <w:r>
        <w:rPr>
          <w:rFonts w:hint="eastAsia" w:ascii="宋体" w:hAnsi="宋体" w:eastAsia="宋体" w:cs="宋体"/>
          <w:color w:val="000000"/>
          <w:sz w:val="21"/>
          <w:szCs w:val="21"/>
          <w:highlight w:val="none"/>
        </w:rPr>
        <w:t>在缺陷责任期终止证书颁发前，承包人应以承包人和发包人的共同名义，投保第</w:t>
      </w:r>
      <w:r>
        <w:rPr>
          <w:rFonts w:hint="eastAsia" w:ascii="宋体" w:hAnsi="宋体" w:eastAsia="宋体" w:cs="宋体"/>
          <w:color w:val="000000"/>
          <w:sz w:val="21"/>
          <w:szCs w:val="21"/>
          <w:highlight w:val="none"/>
          <w:lang w:val="en-US"/>
        </w:rPr>
        <w:t>20.4.1</w:t>
      </w:r>
      <w:r>
        <w:rPr>
          <w:rFonts w:hint="eastAsia" w:ascii="宋体" w:hAnsi="宋体" w:eastAsia="宋体" w:cs="宋体"/>
          <w:color w:val="000000"/>
          <w:sz w:val="21"/>
          <w:szCs w:val="21"/>
          <w:highlight w:val="none"/>
        </w:rPr>
        <w:t>项约定的第三者责任险，其保险费率、保险金额等有关内容在专用合同条款中约定。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22" w:name="bookmark1470"/>
      <w:bookmarkStart w:id="1523" w:name="_Toc6225"/>
      <w:bookmarkStart w:id="1524" w:name="_Toc32604"/>
      <w:bookmarkStart w:id="1525" w:name="_Toc17970"/>
      <w:bookmarkStart w:id="1526" w:name="_Toc15855"/>
      <w:bookmarkStart w:id="1527" w:name="bookmark1469"/>
      <w:bookmarkStart w:id="1528" w:name="bookmark1471"/>
      <w:r>
        <w:rPr>
          <w:rFonts w:hint="eastAsia" w:ascii="宋体" w:hAnsi="宋体" w:eastAsia="宋体" w:cs="宋体"/>
          <w:color w:val="000000"/>
          <w:sz w:val="21"/>
          <w:szCs w:val="21"/>
          <w:highlight w:val="none"/>
        </w:rPr>
        <w:t>20.5其他保险</w:t>
      </w:r>
      <w:bookmarkEnd w:id="1522"/>
      <w:bookmarkEnd w:id="1523"/>
      <w:bookmarkEnd w:id="1524"/>
      <w:bookmarkEnd w:id="1525"/>
      <w:bookmarkEnd w:id="1526"/>
      <w:bookmarkEnd w:id="1527"/>
      <w:bookmarkEnd w:id="1528"/>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除专用合同条款另有约定外，承包人应为其施工设备、进场的材料和工程设备等办理保险。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29" w:name="bookmark1474"/>
      <w:bookmarkStart w:id="1530" w:name="_Toc20306"/>
      <w:bookmarkStart w:id="1531" w:name="_Toc28604"/>
      <w:bookmarkStart w:id="1532" w:name="_Toc12345"/>
      <w:bookmarkStart w:id="1533" w:name="_Toc2680"/>
      <w:bookmarkStart w:id="1534" w:name="bookmark1473"/>
      <w:bookmarkStart w:id="1535" w:name="bookmark1472"/>
      <w:r>
        <w:rPr>
          <w:rFonts w:hint="eastAsia" w:ascii="宋体" w:hAnsi="宋体" w:eastAsia="宋体" w:cs="宋体"/>
          <w:color w:val="000000"/>
          <w:sz w:val="21"/>
          <w:szCs w:val="21"/>
          <w:highlight w:val="none"/>
        </w:rPr>
        <w:t>20.6对各项保险的一般要求</w:t>
      </w:r>
      <w:bookmarkEnd w:id="1529"/>
      <w:bookmarkEnd w:id="1530"/>
      <w:bookmarkEnd w:id="1531"/>
      <w:bookmarkEnd w:id="1532"/>
      <w:bookmarkEnd w:id="1533"/>
      <w:bookmarkEnd w:id="1534"/>
      <w:bookmarkEnd w:id="1535"/>
    </w:p>
    <w:p>
      <w:pPr>
        <w:pStyle w:val="164"/>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20.6.</w:t>
      </w:r>
      <w:r>
        <w:rPr>
          <w:rFonts w:hint="eastAsia" w:ascii="宋体" w:hAnsi="宋体" w:eastAsia="宋体" w:cs="宋体"/>
          <w:color w:val="000000"/>
          <w:sz w:val="21"/>
          <w:szCs w:val="21"/>
          <w:highlight w:val="none"/>
          <w:lang w:val="zh-CN" w:eastAsia="zh-CN"/>
        </w:rPr>
        <w:t>1保险凭证</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承包人应在专用合同条款约定的期限内向发包人提交各项保险生效的证据和保险单副本，保险单必须与专用合同条款约定的条件保持一致。</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20.6.2</w:t>
      </w:r>
      <w:r>
        <w:rPr>
          <w:rFonts w:hint="eastAsia" w:ascii="宋体" w:hAnsi="宋体" w:eastAsia="宋体" w:cs="宋体"/>
          <w:color w:val="000000"/>
          <w:sz w:val="21"/>
          <w:szCs w:val="21"/>
          <w:highlight w:val="none"/>
        </w:rPr>
        <w:t>保险合同条款的变动</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承包人需要变动保险合同条款时，应事先征得发包人同意，并通知监理人。保险人作出变动的，承包人应在收到保险人通知后立即通知发包人和监理人。</w:t>
      </w:r>
    </w:p>
    <w:p>
      <w:pPr>
        <w:pStyle w:val="164"/>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20.6.</w:t>
      </w:r>
      <w:r>
        <w:rPr>
          <w:rFonts w:hint="eastAsia" w:ascii="宋体" w:hAnsi="宋体" w:eastAsia="宋体" w:cs="宋体"/>
          <w:color w:val="000000"/>
          <w:sz w:val="21"/>
          <w:szCs w:val="21"/>
          <w:highlight w:val="none"/>
          <w:lang w:val="zh-CN" w:eastAsia="zh-CN"/>
        </w:rPr>
        <w:t>3持续保险</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承包人应与保险人保持联系，使保险人能够随时了解工程实施中的变动，并确保按保险合同条款要求持续保险。</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20.6.4</w:t>
      </w:r>
      <w:r>
        <w:rPr>
          <w:rFonts w:hint="eastAsia" w:ascii="宋体" w:hAnsi="宋体" w:eastAsia="宋体" w:cs="宋体"/>
          <w:color w:val="000000"/>
          <w:sz w:val="21"/>
          <w:szCs w:val="21"/>
          <w:highlight w:val="none"/>
        </w:rPr>
        <w:t>保险金不足的补偿</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保险金不足以补偿损失时，应由承包人和发包人各自负责补偿的范围和金额在专用合 同条款中约定。</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20.6.</w:t>
      </w:r>
      <w:r>
        <w:rPr>
          <w:rFonts w:hint="eastAsia" w:ascii="宋体" w:hAnsi="宋体" w:eastAsia="宋体" w:cs="宋体"/>
          <w:color w:val="000000"/>
          <w:sz w:val="21"/>
          <w:szCs w:val="21"/>
          <w:highlight w:val="none"/>
        </w:rPr>
        <w:t>5未按约定投保的补救</w:t>
      </w:r>
    </w:p>
    <w:p>
      <w:pPr>
        <w:pStyle w:val="163"/>
        <w:pageBreakBefore w:val="0"/>
        <w:widowControl w:val="0"/>
        <w:numPr>
          <w:ilvl w:val="0"/>
          <w:numId w:val="24"/>
        </w:numPr>
        <w:tabs>
          <w:tab w:val="left" w:pos="90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36" w:name="bookmark1475"/>
      <w:bookmarkEnd w:id="1536"/>
      <w:r>
        <w:rPr>
          <w:rFonts w:hint="eastAsia" w:ascii="宋体" w:hAnsi="宋体" w:eastAsia="宋体" w:cs="宋体"/>
          <w:color w:val="000000"/>
          <w:sz w:val="21"/>
          <w:szCs w:val="21"/>
          <w:highlight w:val="none"/>
        </w:rPr>
        <w:t>由于负有投保义务的一方当事人未按合同约定办理保险，或未能使保险持续有效的，另一方当事人可代为办理，所需费用由对方当事人承担。</w:t>
      </w:r>
    </w:p>
    <w:p>
      <w:pPr>
        <w:pStyle w:val="163"/>
        <w:pageBreakBefore w:val="0"/>
        <w:widowControl w:val="0"/>
        <w:numPr>
          <w:ilvl w:val="0"/>
          <w:numId w:val="24"/>
        </w:numPr>
        <w:tabs>
          <w:tab w:val="left" w:pos="915"/>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37" w:name="bookmark1476"/>
      <w:bookmarkEnd w:id="1537"/>
      <w:r>
        <w:rPr>
          <w:rFonts w:hint="eastAsia" w:ascii="宋体" w:hAnsi="宋体" w:eastAsia="宋体" w:cs="宋体"/>
          <w:color w:val="000000"/>
          <w:sz w:val="21"/>
          <w:szCs w:val="21"/>
          <w:highlight w:val="none"/>
        </w:rPr>
        <w:t>由于负有投保义务的一方当事人未按合同约定办理某项保险，导致受益人未能得到保险人的赔偿，原应从该项保险得到的保险金应由负有投保义务的一方当事人支付。</w:t>
      </w:r>
    </w:p>
    <w:p>
      <w:pPr>
        <w:pStyle w:val="164"/>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20.6.6</w:t>
      </w:r>
      <w:r>
        <w:rPr>
          <w:rFonts w:hint="eastAsia" w:ascii="宋体" w:hAnsi="宋体" w:eastAsia="宋体" w:cs="宋体"/>
          <w:color w:val="000000"/>
          <w:sz w:val="21"/>
          <w:szCs w:val="21"/>
          <w:highlight w:val="none"/>
          <w:lang w:val="zh-CN" w:eastAsia="zh-CN"/>
        </w:rPr>
        <w:t>报告义务</w:t>
      </w:r>
    </w:p>
    <w:p>
      <w:pPr>
        <w:pStyle w:val="163"/>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当保险事故发生时，投保人应按照保险单规定的条件和期限及时向保险人报告。</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38" w:name="bookmark1478"/>
      <w:bookmarkStart w:id="1539" w:name="_Toc5218"/>
      <w:bookmarkStart w:id="1540" w:name="bookmark1479"/>
      <w:bookmarkStart w:id="1541" w:name="_Toc12103"/>
      <w:bookmarkStart w:id="1542" w:name="bookmark1477"/>
      <w:bookmarkStart w:id="1543" w:name="_Toc7078"/>
      <w:bookmarkStart w:id="1544" w:name="_Toc29634"/>
      <w:r>
        <w:rPr>
          <w:rFonts w:hint="eastAsia" w:ascii="宋体" w:hAnsi="宋体" w:eastAsia="宋体" w:cs="宋体"/>
          <w:color w:val="000000"/>
          <w:sz w:val="21"/>
          <w:szCs w:val="21"/>
          <w:highlight w:val="none"/>
        </w:rPr>
        <w:t>20.7风险责任的转移</w:t>
      </w:r>
      <w:bookmarkEnd w:id="1538"/>
      <w:bookmarkEnd w:id="1539"/>
      <w:bookmarkEnd w:id="1540"/>
      <w:bookmarkEnd w:id="1541"/>
      <w:bookmarkEnd w:id="1542"/>
      <w:bookmarkEnd w:id="1543"/>
      <w:bookmarkEnd w:id="1544"/>
    </w:p>
    <w:p>
      <w:pPr>
        <w:pStyle w:val="163"/>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工程通过合同工程完工验收并移交给发包人后，原由承包人应承担的风险责任，以及保险的责任、权利和义务同时转移给发包人，但承包人在缺陷责任期(工程质量保修期) 前造成损失和损坏情形除外</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45" w:name="_Toc4740"/>
      <w:bookmarkStart w:id="1546" w:name="_Toc30540"/>
      <w:bookmarkStart w:id="1547" w:name="bookmark1480"/>
      <w:bookmarkStart w:id="1548" w:name="bookmark1481"/>
      <w:bookmarkStart w:id="1549" w:name="bookmark1482"/>
      <w:bookmarkStart w:id="1550" w:name="_Toc5879"/>
      <w:bookmarkStart w:id="1551" w:name="_Toc1761"/>
      <w:r>
        <w:rPr>
          <w:rFonts w:hint="eastAsia" w:ascii="宋体" w:hAnsi="宋体" w:eastAsia="宋体" w:cs="宋体"/>
          <w:color w:val="000000"/>
          <w:sz w:val="21"/>
          <w:szCs w:val="21"/>
          <w:highlight w:val="none"/>
        </w:rPr>
        <w:t>21.不可抗力</w:t>
      </w:r>
      <w:bookmarkEnd w:id="1545"/>
      <w:bookmarkEnd w:id="1546"/>
      <w:bookmarkEnd w:id="1547"/>
      <w:bookmarkEnd w:id="1548"/>
      <w:bookmarkEnd w:id="1549"/>
      <w:bookmarkEnd w:id="1550"/>
      <w:bookmarkEnd w:id="1551"/>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52" w:name="bookmark1485"/>
      <w:bookmarkStart w:id="1553" w:name="_Toc28557"/>
      <w:bookmarkStart w:id="1554" w:name="_Toc10203"/>
      <w:bookmarkStart w:id="1555" w:name="_Toc1388"/>
      <w:bookmarkStart w:id="1556" w:name="_Toc15722"/>
      <w:bookmarkStart w:id="1557" w:name="bookmark1484"/>
      <w:bookmarkStart w:id="1558" w:name="bookmark1483"/>
      <w:r>
        <w:rPr>
          <w:rFonts w:hint="eastAsia" w:ascii="宋体" w:hAnsi="宋体" w:eastAsia="宋体" w:cs="宋体"/>
          <w:color w:val="000000"/>
          <w:sz w:val="21"/>
          <w:szCs w:val="21"/>
          <w:highlight w:val="none"/>
        </w:rPr>
        <w:t>21.1不可抗力的确认</w:t>
      </w:r>
      <w:bookmarkEnd w:id="1552"/>
      <w:bookmarkEnd w:id="1553"/>
      <w:bookmarkEnd w:id="1554"/>
      <w:bookmarkEnd w:id="1555"/>
      <w:bookmarkEnd w:id="1556"/>
      <w:bookmarkEnd w:id="1557"/>
      <w:bookmarkEnd w:id="1558"/>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21.1.1</w:t>
      </w:r>
      <w:r>
        <w:rPr>
          <w:rFonts w:hint="eastAsia" w:ascii="宋体" w:hAnsi="宋体" w:eastAsia="宋体" w:cs="宋体"/>
          <w:color w:val="000000"/>
          <w:sz w:val="21"/>
          <w:szCs w:val="21"/>
          <w:highlight w:val="none"/>
        </w:rPr>
        <w:t>不可抗力是指承包人和发包人在订立合同时不可预见，在工程施工过程中不可避免发生并不能克服的自然灾害和社会性突发事件，如地震、海啸、瘟疫、水灾、骚乱、 暴动、战争和专用合同条款约定的其他情形。</w:t>
      </w:r>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21.1.2</w:t>
      </w:r>
      <w:r>
        <w:rPr>
          <w:rFonts w:hint="eastAsia" w:ascii="宋体" w:hAnsi="宋体" w:eastAsia="宋体" w:cs="宋体"/>
          <w:color w:val="000000"/>
          <w:sz w:val="21"/>
          <w:szCs w:val="21"/>
          <w:highlight w:val="none"/>
        </w:rPr>
        <w:t>不可抗力发生后，发包人和承包人应及时认真统计所造成的损失，收集不可抗力造成损失的证据。合同双方对是否属于不可抗力或其损失的意见不一致的，由监理人按第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5款商定或确定。发生争议时，按第24条的约定办理。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59" w:name="_Toc4344"/>
      <w:bookmarkStart w:id="1560" w:name="bookmark1487"/>
      <w:bookmarkStart w:id="1561" w:name="bookmark1488"/>
      <w:bookmarkStart w:id="1562" w:name="bookmark1486"/>
      <w:bookmarkStart w:id="1563" w:name="_Toc5372"/>
      <w:bookmarkStart w:id="1564" w:name="_Toc31269"/>
      <w:bookmarkStart w:id="1565" w:name="_Toc6999"/>
      <w:r>
        <w:rPr>
          <w:rFonts w:hint="eastAsia" w:ascii="宋体" w:hAnsi="宋体" w:eastAsia="宋体" w:cs="宋体"/>
          <w:color w:val="000000"/>
          <w:sz w:val="21"/>
          <w:szCs w:val="21"/>
          <w:highlight w:val="none"/>
        </w:rPr>
        <w:t>21.2不可抗力的通知</w:t>
      </w:r>
      <w:bookmarkEnd w:id="1559"/>
      <w:bookmarkEnd w:id="1560"/>
      <w:bookmarkEnd w:id="1561"/>
      <w:bookmarkEnd w:id="1562"/>
      <w:bookmarkEnd w:id="1563"/>
      <w:bookmarkEnd w:id="1564"/>
      <w:bookmarkEnd w:id="1565"/>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21.2.1</w:t>
      </w:r>
      <w:r>
        <w:rPr>
          <w:rFonts w:hint="eastAsia" w:ascii="宋体" w:hAnsi="宋体" w:eastAsia="宋体" w:cs="宋体"/>
          <w:color w:val="000000"/>
          <w:sz w:val="21"/>
          <w:szCs w:val="21"/>
          <w:highlight w:val="none"/>
        </w:rPr>
        <w:t>合同一方当事人遇到不可抗力事件，使其履行合同义务受到阻碍时，应立即通知合同另一方当事人和监理人，书面说明不可抗力和受阻碍的详细情况，并提供必要的证明。</w:t>
      </w:r>
    </w:p>
    <w:p>
      <w:pPr>
        <w:pStyle w:val="163"/>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21.2.2</w:t>
      </w:r>
      <w:r>
        <w:rPr>
          <w:rFonts w:hint="eastAsia" w:ascii="宋体" w:hAnsi="宋体" w:eastAsia="宋体" w:cs="宋体"/>
          <w:color w:val="000000"/>
          <w:sz w:val="21"/>
          <w:szCs w:val="21"/>
          <w:highlight w:val="none"/>
        </w:rPr>
        <w:t>如不可抗力持续发生，合同一方当事人应及时向合同另一方当事人和监理人提交中间报告，说明不可抗力和履行合同受阻的情况，并于不可抗力事件结束后28天内提交最终报告及有关资料。</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66" w:name="_Toc5592"/>
      <w:bookmarkStart w:id="1567" w:name="bookmark1490"/>
      <w:bookmarkStart w:id="1568" w:name="_Toc13215"/>
      <w:bookmarkStart w:id="1569" w:name="_Toc17208"/>
      <w:bookmarkStart w:id="1570" w:name="bookmark1489"/>
      <w:bookmarkStart w:id="1571" w:name="bookmark1491"/>
      <w:bookmarkStart w:id="1572" w:name="_Toc599"/>
      <w:r>
        <w:rPr>
          <w:rFonts w:hint="eastAsia" w:ascii="宋体" w:hAnsi="宋体" w:eastAsia="宋体" w:cs="宋体"/>
          <w:color w:val="000000"/>
          <w:sz w:val="21"/>
          <w:szCs w:val="21"/>
          <w:highlight w:val="none"/>
        </w:rPr>
        <w:t>21.3不可抗力后果及其处理</w:t>
      </w:r>
      <w:bookmarkEnd w:id="1566"/>
      <w:bookmarkEnd w:id="1567"/>
      <w:bookmarkEnd w:id="1568"/>
      <w:bookmarkEnd w:id="1569"/>
      <w:bookmarkEnd w:id="1570"/>
      <w:bookmarkEnd w:id="1571"/>
      <w:bookmarkEnd w:id="1572"/>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21.3.1</w:t>
      </w:r>
      <w:r>
        <w:rPr>
          <w:rFonts w:hint="eastAsia" w:ascii="宋体" w:hAnsi="宋体" w:eastAsia="宋体" w:cs="宋体"/>
          <w:color w:val="000000"/>
          <w:sz w:val="21"/>
          <w:szCs w:val="21"/>
          <w:highlight w:val="none"/>
        </w:rPr>
        <w:t>不可抗力造成损害的责任</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除专用合同条款另有约定外，不可抗力导致的人员伤亡、财产损失、费用增加和(或) 工期延误等后果，由合同双方按以下原则承担：</w:t>
      </w:r>
    </w:p>
    <w:p>
      <w:pPr>
        <w:pStyle w:val="163"/>
        <w:pageBreakBefore w:val="0"/>
        <w:widowControl w:val="0"/>
        <w:numPr>
          <w:ilvl w:val="0"/>
          <w:numId w:val="25"/>
        </w:numPr>
        <w:tabs>
          <w:tab w:val="left" w:pos="90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73" w:name="bookmark1492"/>
      <w:bookmarkEnd w:id="1573"/>
      <w:r>
        <w:rPr>
          <w:rFonts w:hint="eastAsia" w:ascii="宋体" w:hAnsi="宋体" w:eastAsia="宋体" w:cs="宋体"/>
          <w:color w:val="000000"/>
          <w:sz w:val="21"/>
          <w:szCs w:val="21"/>
          <w:highlight w:val="none"/>
        </w:rPr>
        <w:t>永久工程，包括已运至施工场地的材料和工程设备的损害，以及因工程损害造成的第三者人员伤亡和财产损失由发包人承担；</w:t>
      </w:r>
    </w:p>
    <w:p>
      <w:pPr>
        <w:pStyle w:val="163"/>
        <w:pageBreakBefore w:val="0"/>
        <w:widowControl w:val="0"/>
        <w:numPr>
          <w:ilvl w:val="0"/>
          <w:numId w:val="25"/>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74" w:name="bookmark1493"/>
      <w:bookmarkEnd w:id="1574"/>
      <w:r>
        <w:rPr>
          <w:rFonts w:hint="eastAsia" w:ascii="宋体" w:hAnsi="宋体" w:eastAsia="宋体" w:cs="宋体"/>
          <w:color w:val="000000"/>
          <w:sz w:val="21"/>
          <w:szCs w:val="21"/>
          <w:highlight w:val="none"/>
        </w:rPr>
        <w:t>承包人设备的损坏由承包人承担；</w:t>
      </w:r>
    </w:p>
    <w:p>
      <w:pPr>
        <w:pStyle w:val="163"/>
        <w:pageBreakBefore w:val="0"/>
        <w:widowControl w:val="0"/>
        <w:numPr>
          <w:ilvl w:val="0"/>
          <w:numId w:val="25"/>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75" w:name="bookmark1494"/>
      <w:bookmarkEnd w:id="1575"/>
      <w:r>
        <w:rPr>
          <w:rFonts w:hint="eastAsia" w:ascii="宋体" w:hAnsi="宋体" w:eastAsia="宋体" w:cs="宋体"/>
          <w:color w:val="000000"/>
          <w:sz w:val="21"/>
          <w:szCs w:val="21"/>
          <w:highlight w:val="none"/>
        </w:rPr>
        <w:t>发包人和承包人各自承担其人员伤亡和其他财产损失及其相关费用；</w:t>
      </w:r>
    </w:p>
    <w:p>
      <w:pPr>
        <w:pStyle w:val="163"/>
        <w:pageBreakBefore w:val="0"/>
        <w:widowControl w:val="0"/>
        <w:numPr>
          <w:ilvl w:val="0"/>
          <w:numId w:val="25"/>
        </w:numPr>
        <w:tabs>
          <w:tab w:val="left" w:pos="915"/>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76" w:name="bookmark1495"/>
      <w:bookmarkEnd w:id="1576"/>
      <w:r>
        <w:rPr>
          <w:rFonts w:hint="eastAsia" w:ascii="宋体" w:hAnsi="宋体" w:eastAsia="宋体" w:cs="宋体"/>
          <w:color w:val="000000"/>
          <w:sz w:val="21"/>
          <w:szCs w:val="21"/>
          <w:highlight w:val="none"/>
        </w:rPr>
        <w:t>承包人的停工损失由承包人承担，但停工期间应监理人要求照管工程和清理、修复工程的金额由发包人承担；</w:t>
      </w:r>
    </w:p>
    <w:p>
      <w:pPr>
        <w:pStyle w:val="163"/>
        <w:pageBreakBefore w:val="0"/>
        <w:widowControl w:val="0"/>
        <w:numPr>
          <w:ilvl w:val="0"/>
          <w:numId w:val="25"/>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77" w:name="bookmark1496"/>
      <w:bookmarkEnd w:id="1577"/>
      <w:r>
        <w:rPr>
          <w:rFonts w:hint="eastAsia" w:ascii="宋体" w:hAnsi="宋体" w:eastAsia="宋体" w:cs="宋体"/>
          <w:color w:val="000000"/>
          <w:sz w:val="21"/>
          <w:szCs w:val="21"/>
          <w:highlight w:val="none"/>
        </w:rPr>
        <w:t>不能按期竣工的，应合理延长工期，承包人不需支付逾期竣工违约金。发包人要求赶工的，承包人应采取赶工措施，赶工费用由发包人承担。</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21.3.2</w:t>
      </w:r>
      <w:r>
        <w:rPr>
          <w:rFonts w:hint="eastAsia" w:ascii="宋体" w:hAnsi="宋体" w:eastAsia="宋体" w:cs="宋体"/>
          <w:color w:val="000000"/>
          <w:sz w:val="21"/>
          <w:szCs w:val="21"/>
          <w:highlight w:val="none"/>
        </w:rPr>
        <w:t>延迟履行期间发生的不可抗力</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合同一方当事人延迟履行，在延迟履行期间发生不可抗力的，不免除其责任。</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578" w:name="_Toc8559"/>
      <w:r>
        <w:rPr>
          <w:rFonts w:hint="eastAsia" w:ascii="宋体" w:hAnsi="宋体" w:eastAsia="宋体" w:cs="宋体"/>
          <w:color w:val="000000"/>
          <w:sz w:val="21"/>
          <w:szCs w:val="21"/>
          <w:highlight w:val="none"/>
          <w:lang w:val="en-US"/>
        </w:rPr>
        <w:t>21.3.3</w:t>
      </w:r>
      <w:r>
        <w:rPr>
          <w:rFonts w:hint="eastAsia" w:ascii="宋体" w:hAnsi="宋体" w:eastAsia="宋体" w:cs="宋体"/>
          <w:color w:val="000000"/>
          <w:sz w:val="21"/>
          <w:szCs w:val="21"/>
          <w:highlight w:val="none"/>
        </w:rPr>
        <w:t>避免和减少不可抗力损失</w:t>
      </w:r>
      <w:bookmarkEnd w:id="1578"/>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不可抗力发生后，发包人和承包人均应采取措施尽量避免和减少损失的扩大，任何一 方没有采取有效措施导致损失扩大的，应对扩大的损失承担责任。</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579" w:name="_Toc9657"/>
      <w:r>
        <w:rPr>
          <w:rFonts w:hint="eastAsia" w:ascii="宋体" w:hAnsi="宋体" w:eastAsia="宋体" w:cs="宋体"/>
          <w:color w:val="000000"/>
          <w:sz w:val="21"/>
          <w:szCs w:val="21"/>
          <w:highlight w:val="none"/>
          <w:lang w:val="en-US"/>
        </w:rPr>
        <w:t>21.3.4</w:t>
      </w:r>
      <w:r>
        <w:rPr>
          <w:rFonts w:hint="eastAsia" w:ascii="宋体" w:hAnsi="宋体" w:eastAsia="宋体" w:cs="宋体"/>
          <w:color w:val="000000"/>
          <w:sz w:val="21"/>
          <w:szCs w:val="21"/>
          <w:highlight w:val="none"/>
        </w:rPr>
        <w:t>因不可抗力解除合同</w:t>
      </w:r>
      <w:bookmarkEnd w:id="1579"/>
    </w:p>
    <w:p>
      <w:pPr>
        <w:pStyle w:val="163"/>
        <w:pageBreakBefore w:val="0"/>
        <w:widowControl w:val="0"/>
        <w:kinsoku/>
        <w:wordWrap/>
        <w:overflowPunct/>
        <w:topLinePunct w:val="0"/>
        <w:autoSpaceDE/>
        <w:autoSpaceDN/>
        <w:bidi w:val="0"/>
        <w:adjustRightInd/>
        <w:snapToGrid/>
        <w:spacing w:after="2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合同一方当事人因不可抗力不能履行合同的，应当及时通知对方解除合同。合同解除后，承包人应按照第</w:t>
      </w:r>
      <w:r>
        <w:rPr>
          <w:rFonts w:hint="eastAsia" w:ascii="宋体" w:hAnsi="宋体" w:eastAsia="宋体" w:cs="宋体"/>
          <w:color w:val="000000"/>
          <w:sz w:val="21"/>
          <w:szCs w:val="21"/>
          <w:highlight w:val="none"/>
          <w:lang w:val="en-US"/>
        </w:rPr>
        <w:t>22.2.5</w:t>
      </w:r>
      <w:r>
        <w:rPr>
          <w:rFonts w:hint="eastAsia" w:ascii="宋体" w:hAnsi="宋体" w:eastAsia="宋体" w:cs="宋体"/>
          <w:color w:val="000000"/>
          <w:sz w:val="21"/>
          <w:szCs w:val="21"/>
          <w:highlight w:val="none"/>
        </w:rPr>
        <w:t>项约定撤离施工场地。已经订货的材料、设备由订货方负责退货或解除订货合同，不能退还的货款和因退货、解除订货合同发生的费用，由发包人承担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因未及时退货造成的损失由责任方承担。合同解除后的付款，参照第</w:t>
      </w:r>
      <w:r>
        <w:rPr>
          <w:rFonts w:hint="eastAsia" w:ascii="宋体" w:hAnsi="宋体" w:eastAsia="宋体" w:cs="宋体"/>
          <w:color w:val="000000"/>
          <w:sz w:val="21"/>
          <w:szCs w:val="21"/>
          <w:highlight w:val="none"/>
          <w:lang w:val="en-US"/>
        </w:rPr>
        <w:t>22.2.4</w:t>
      </w:r>
      <w:r>
        <w:rPr>
          <w:rFonts w:hint="eastAsia" w:ascii="宋体" w:hAnsi="宋体" w:eastAsia="宋体" w:cs="宋体"/>
          <w:color w:val="000000"/>
          <w:sz w:val="21"/>
          <w:szCs w:val="21"/>
          <w:highlight w:val="none"/>
        </w:rPr>
        <w:t>项约定，由监理人按第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80" w:name="bookmark1499"/>
      <w:bookmarkStart w:id="1581" w:name="_Toc6747"/>
      <w:bookmarkStart w:id="1582" w:name="_Toc31468"/>
      <w:bookmarkStart w:id="1583" w:name="_Toc21443"/>
      <w:bookmarkStart w:id="1584" w:name="_Toc6299"/>
      <w:bookmarkStart w:id="1585" w:name="bookmark1497"/>
      <w:bookmarkStart w:id="1586" w:name="bookmark1498"/>
      <w:r>
        <w:rPr>
          <w:rFonts w:hint="eastAsia" w:ascii="宋体" w:hAnsi="宋体" w:eastAsia="宋体" w:cs="宋体"/>
          <w:color w:val="000000"/>
          <w:sz w:val="21"/>
          <w:szCs w:val="21"/>
          <w:highlight w:val="none"/>
        </w:rPr>
        <w:t>22.违约</w:t>
      </w:r>
      <w:bookmarkEnd w:id="1580"/>
      <w:bookmarkEnd w:id="1581"/>
      <w:bookmarkEnd w:id="1582"/>
      <w:bookmarkEnd w:id="1583"/>
      <w:bookmarkEnd w:id="1584"/>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87" w:name="bookmark1500"/>
      <w:bookmarkStart w:id="1588" w:name="_Toc14309"/>
      <w:bookmarkStart w:id="1589" w:name="_Toc15198"/>
      <w:bookmarkStart w:id="1590" w:name="_Toc26787"/>
      <w:bookmarkStart w:id="1591" w:name="_Toc23692"/>
      <w:r>
        <w:rPr>
          <w:rFonts w:hint="eastAsia" w:ascii="宋体" w:hAnsi="宋体" w:eastAsia="宋体" w:cs="宋体"/>
          <w:color w:val="000000"/>
          <w:sz w:val="21"/>
          <w:szCs w:val="21"/>
          <w:highlight w:val="none"/>
        </w:rPr>
        <w:t>22.1承包人违约</w:t>
      </w:r>
      <w:bookmarkEnd w:id="1585"/>
      <w:bookmarkEnd w:id="1586"/>
      <w:bookmarkEnd w:id="1587"/>
      <w:bookmarkEnd w:id="1588"/>
      <w:bookmarkEnd w:id="1589"/>
      <w:bookmarkEnd w:id="1590"/>
      <w:bookmarkEnd w:id="1591"/>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22.1.1</w:t>
      </w:r>
      <w:r>
        <w:rPr>
          <w:rFonts w:hint="eastAsia" w:ascii="宋体" w:hAnsi="宋体" w:eastAsia="宋体" w:cs="宋体"/>
          <w:color w:val="000000"/>
          <w:sz w:val="21"/>
          <w:szCs w:val="21"/>
          <w:highlight w:val="none"/>
        </w:rPr>
        <w:t>承包人违约的情形</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在履行合同过程中发生的下列情况属承包人违约：</w:t>
      </w:r>
    </w:p>
    <w:p>
      <w:pPr>
        <w:pStyle w:val="163"/>
        <w:pageBreakBefore w:val="0"/>
        <w:widowControl w:val="0"/>
        <w:numPr>
          <w:ilvl w:val="0"/>
          <w:numId w:val="26"/>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2" w:name="bookmark1501"/>
      <w:bookmarkEnd w:id="1592"/>
      <w:r>
        <w:rPr>
          <w:rFonts w:hint="eastAsia" w:ascii="宋体" w:hAnsi="宋体" w:eastAsia="宋体" w:cs="宋体"/>
          <w:color w:val="000000"/>
          <w:sz w:val="21"/>
          <w:szCs w:val="21"/>
          <w:highlight w:val="none"/>
        </w:rPr>
        <w:t>承包人违反第</w:t>
      </w:r>
      <w:r>
        <w:rPr>
          <w:rFonts w:hint="eastAsia" w:ascii="宋体" w:hAnsi="宋体" w:eastAsia="宋体" w:cs="宋体"/>
          <w:color w:val="000000"/>
          <w:sz w:val="21"/>
          <w:szCs w:val="21"/>
          <w:highlight w:val="none"/>
          <w:lang w:val="en-US"/>
        </w:rPr>
        <w:t>1.8</w:t>
      </w:r>
      <w:r>
        <w:rPr>
          <w:rFonts w:hint="eastAsia" w:ascii="宋体" w:hAnsi="宋体" w:eastAsia="宋体" w:cs="宋体"/>
          <w:color w:val="000000"/>
          <w:sz w:val="21"/>
          <w:szCs w:val="21"/>
          <w:highlight w:val="none"/>
        </w:rPr>
        <w:t>款或第</w:t>
      </w:r>
      <w:r>
        <w:rPr>
          <w:rFonts w:hint="eastAsia" w:ascii="宋体" w:hAnsi="宋体" w:eastAsia="宋体" w:cs="宋体"/>
          <w:color w:val="000000"/>
          <w:sz w:val="21"/>
          <w:szCs w:val="21"/>
          <w:highlight w:val="none"/>
          <w:lang w:val="en-US"/>
        </w:rPr>
        <w:t>4.</w:t>
      </w:r>
      <w:r>
        <w:rPr>
          <w:rFonts w:hint="eastAsia" w:ascii="宋体" w:hAnsi="宋体" w:eastAsia="宋体" w:cs="宋体"/>
          <w:color w:val="000000"/>
          <w:sz w:val="21"/>
          <w:szCs w:val="21"/>
          <w:highlight w:val="none"/>
        </w:rPr>
        <w:t>3款的约定，私自将合同的全部或部分权利转让给其他人，或私自将合同的全部或部分义务转移给其他人；</w:t>
      </w:r>
    </w:p>
    <w:p>
      <w:pPr>
        <w:pStyle w:val="163"/>
        <w:pageBreakBefore w:val="0"/>
        <w:widowControl w:val="0"/>
        <w:numPr>
          <w:ilvl w:val="0"/>
          <w:numId w:val="26"/>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3" w:name="bookmark1502"/>
      <w:bookmarkEnd w:id="1593"/>
      <w:r>
        <w:rPr>
          <w:rFonts w:hint="eastAsia" w:ascii="宋体" w:hAnsi="宋体" w:eastAsia="宋体" w:cs="宋体"/>
          <w:color w:val="000000"/>
          <w:sz w:val="21"/>
          <w:szCs w:val="21"/>
          <w:highlight w:val="none"/>
        </w:rPr>
        <w:t>承包人违反第</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rPr>
        <w:t>3款或第</w:t>
      </w:r>
      <w:r>
        <w:rPr>
          <w:rFonts w:hint="eastAsia" w:ascii="宋体" w:hAnsi="宋体" w:eastAsia="宋体" w:cs="宋体"/>
          <w:color w:val="000000"/>
          <w:sz w:val="21"/>
          <w:szCs w:val="21"/>
          <w:highlight w:val="none"/>
          <w:lang w:val="en-US"/>
        </w:rPr>
        <w:t>6.</w:t>
      </w:r>
      <w:r>
        <w:rPr>
          <w:rFonts w:hint="eastAsia" w:ascii="宋体" w:hAnsi="宋体" w:eastAsia="宋体" w:cs="宋体"/>
          <w:color w:val="000000"/>
          <w:sz w:val="21"/>
          <w:szCs w:val="21"/>
          <w:highlight w:val="none"/>
        </w:rPr>
        <w:t>4款的约定，未经监理人批准，私自将已按合同约定进入施工场地的施工设备、临时设施或材料撤离施工场地；</w:t>
      </w:r>
    </w:p>
    <w:p>
      <w:pPr>
        <w:pStyle w:val="163"/>
        <w:pageBreakBefore w:val="0"/>
        <w:widowControl w:val="0"/>
        <w:numPr>
          <w:ilvl w:val="0"/>
          <w:numId w:val="26"/>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4" w:name="bookmark1503"/>
      <w:bookmarkEnd w:id="1594"/>
      <w:r>
        <w:rPr>
          <w:rFonts w:hint="eastAsia" w:ascii="宋体" w:hAnsi="宋体" w:eastAsia="宋体" w:cs="宋体"/>
          <w:color w:val="000000"/>
          <w:sz w:val="21"/>
          <w:szCs w:val="21"/>
          <w:highlight w:val="none"/>
        </w:rPr>
        <w:t>承包人违反第</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rPr>
        <w:t>4款的约定使用了不合格材料或工程设备，工程质量达不到标准要求，又拒绝清除不合格工程；</w:t>
      </w:r>
    </w:p>
    <w:p>
      <w:pPr>
        <w:pStyle w:val="163"/>
        <w:pageBreakBefore w:val="0"/>
        <w:widowControl w:val="0"/>
        <w:numPr>
          <w:ilvl w:val="0"/>
          <w:numId w:val="26"/>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5" w:name="bookmark1504"/>
      <w:bookmarkEnd w:id="1595"/>
      <w:r>
        <w:rPr>
          <w:rFonts w:hint="eastAsia" w:ascii="宋体" w:hAnsi="宋体" w:eastAsia="宋体" w:cs="宋体"/>
          <w:color w:val="000000"/>
          <w:sz w:val="21"/>
          <w:szCs w:val="21"/>
          <w:highlight w:val="none"/>
        </w:rPr>
        <w:t>承包人未能按合同进度计划及时完成合同约定的工作，已造成或预期造成工期延误；</w:t>
      </w:r>
    </w:p>
    <w:p>
      <w:pPr>
        <w:pStyle w:val="163"/>
        <w:pageBreakBefore w:val="0"/>
        <w:widowControl w:val="0"/>
        <w:numPr>
          <w:ilvl w:val="0"/>
          <w:numId w:val="26"/>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6" w:name="bookmark1505"/>
      <w:bookmarkEnd w:id="1596"/>
      <w:r>
        <w:rPr>
          <w:rFonts w:hint="eastAsia" w:ascii="宋体" w:hAnsi="宋体" w:eastAsia="宋体" w:cs="宋体"/>
          <w:color w:val="000000"/>
          <w:sz w:val="21"/>
          <w:szCs w:val="21"/>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pPr>
        <w:pStyle w:val="163"/>
        <w:pageBreakBefore w:val="0"/>
        <w:widowControl w:val="0"/>
        <w:numPr>
          <w:ilvl w:val="0"/>
          <w:numId w:val="26"/>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597" w:name="bookmark1506"/>
      <w:bookmarkEnd w:id="1597"/>
      <w:r>
        <w:rPr>
          <w:rFonts w:hint="eastAsia" w:ascii="宋体" w:hAnsi="宋体" w:eastAsia="宋体" w:cs="宋体"/>
          <w:color w:val="000000"/>
          <w:sz w:val="21"/>
          <w:szCs w:val="21"/>
          <w:highlight w:val="none"/>
        </w:rPr>
        <w:t>承包人无法继续履行或明确表示不履行或实质上已停止履行合同；</w:t>
      </w:r>
    </w:p>
    <w:p>
      <w:pPr>
        <w:pStyle w:val="163"/>
        <w:pageBreakBefore w:val="0"/>
        <w:widowControl w:val="0"/>
        <w:numPr>
          <w:ilvl w:val="0"/>
          <w:numId w:val="26"/>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598" w:name="bookmark1507"/>
      <w:bookmarkEnd w:id="1598"/>
      <w:r>
        <w:rPr>
          <w:rFonts w:hint="eastAsia" w:ascii="宋体" w:hAnsi="宋体" w:eastAsia="宋体" w:cs="宋体"/>
          <w:color w:val="000000"/>
          <w:sz w:val="21"/>
          <w:szCs w:val="21"/>
          <w:highlight w:val="none"/>
        </w:rPr>
        <w:t>承包人不按合同约定履行义务的其他情况。</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22.1.2</w:t>
      </w:r>
      <w:r>
        <w:rPr>
          <w:rFonts w:hint="eastAsia" w:ascii="宋体" w:hAnsi="宋体" w:eastAsia="宋体" w:cs="宋体"/>
          <w:color w:val="000000"/>
          <w:sz w:val="21"/>
          <w:szCs w:val="21"/>
          <w:highlight w:val="none"/>
        </w:rPr>
        <w:t>对承包人违约的处理</w:t>
      </w:r>
    </w:p>
    <w:p>
      <w:pPr>
        <w:pStyle w:val="163"/>
        <w:pageBreakBefore w:val="0"/>
        <w:widowControl w:val="0"/>
        <w:numPr>
          <w:ilvl w:val="0"/>
          <w:numId w:val="27"/>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9" w:name="bookmark1508"/>
      <w:bookmarkEnd w:id="1599"/>
      <w:r>
        <w:rPr>
          <w:rFonts w:hint="eastAsia" w:ascii="宋体" w:hAnsi="宋体" w:eastAsia="宋体" w:cs="宋体"/>
          <w:color w:val="000000"/>
          <w:sz w:val="21"/>
          <w:szCs w:val="21"/>
          <w:highlight w:val="none"/>
        </w:rPr>
        <w:t>承包人发生第</w:t>
      </w:r>
      <w:r>
        <w:rPr>
          <w:rFonts w:hint="eastAsia" w:ascii="宋体" w:hAnsi="宋体" w:eastAsia="宋体" w:cs="宋体"/>
          <w:color w:val="000000"/>
          <w:sz w:val="21"/>
          <w:szCs w:val="21"/>
          <w:highlight w:val="none"/>
          <w:lang w:val="en-US"/>
        </w:rPr>
        <w:t>22.1.1</w:t>
      </w:r>
      <w:r>
        <w:rPr>
          <w:rFonts w:hint="eastAsia" w:ascii="宋体" w:hAnsi="宋体" w:eastAsia="宋体" w:cs="宋体"/>
          <w:color w:val="000000"/>
          <w:sz w:val="21"/>
          <w:szCs w:val="21"/>
          <w:highlight w:val="none"/>
        </w:rPr>
        <w:t>(6)目约定的违约情况时，发包人可通知承包人立即解除合同，并按有关法律处理。</w:t>
      </w:r>
    </w:p>
    <w:p>
      <w:pPr>
        <w:pStyle w:val="163"/>
        <w:pageBreakBefore w:val="0"/>
        <w:widowControl w:val="0"/>
        <w:numPr>
          <w:ilvl w:val="0"/>
          <w:numId w:val="27"/>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0" w:name="bookmark1509"/>
      <w:bookmarkEnd w:id="1600"/>
      <w:r>
        <w:rPr>
          <w:rFonts w:hint="eastAsia" w:ascii="宋体" w:hAnsi="宋体" w:eastAsia="宋体" w:cs="宋体"/>
          <w:color w:val="000000"/>
          <w:sz w:val="21"/>
          <w:szCs w:val="21"/>
          <w:highlight w:val="none"/>
        </w:rPr>
        <w:t>承包人发生除第</w:t>
      </w:r>
      <w:r>
        <w:rPr>
          <w:rFonts w:hint="eastAsia" w:ascii="宋体" w:hAnsi="宋体" w:eastAsia="宋体" w:cs="宋体"/>
          <w:color w:val="000000"/>
          <w:sz w:val="21"/>
          <w:szCs w:val="21"/>
          <w:highlight w:val="none"/>
          <w:lang w:val="en-US"/>
        </w:rPr>
        <w:t>22.1.</w:t>
      </w:r>
      <w:r>
        <w:rPr>
          <w:rFonts w:hint="eastAsia" w:ascii="宋体" w:hAnsi="宋体" w:eastAsia="宋体" w:cs="宋体"/>
          <w:color w:val="000000"/>
          <w:sz w:val="21"/>
          <w:szCs w:val="21"/>
          <w:highlight w:val="none"/>
        </w:rPr>
        <w:t>1(6)目约定以外的其他违约情况时，监理人可向承包人发出整改通知，要求其在指定的期限内改正。承包人应承担其违约所引起的费用增加和 (或)工期延误。</w:t>
      </w:r>
    </w:p>
    <w:p>
      <w:pPr>
        <w:pStyle w:val="163"/>
        <w:pageBreakBefore w:val="0"/>
        <w:widowControl w:val="0"/>
        <w:numPr>
          <w:ilvl w:val="0"/>
          <w:numId w:val="27"/>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1" w:name="bookmark1510"/>
      <w:bookmarkEnd w:id="1601"/>
      <w:r>
        <w:rPr>
          <w:rFonts w:hint="eastAsia" w:ascii="宋体" w:hAnsi="宋体" w:eastAsia="宋体" w:cs="宋体"/>
          <w:color w:val="000000"/>
          <w:sz w:val="21"/>
          <w:szCs w:val="21"/>
          <w:highlight w:val="none"/>
        </w:rPr>
        <w:t>经检查证明承包人已采取了有效措施纠正违约行为，具备复工条件的，可由监理人签发复工通知复工。</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22.1.3</w:t>
      </w:r>
      <w:r>
        <w:rPr>
          <w:rFonts w:hint="eastAsia" w:ascii="宋体" w:hAnsi="宋体" w:eastAsia="宋体" w:cs="宋体"/>
          <w:color w:val="000000"/>
          <w:sz w:val="21"/>
          <w:szCs w:val="21"/>
          <w:highlight w:val="none"/>
        </w:rPr>
        <w:t>承包人违约解除合同</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602" w:name="_Toc11552"/>
      <w:r>
        <w:rPr>
          <w:rFonts w:hint="eastAsia" w:ascii="宋体" w:hAnsi="宋体" w:eastAsia="宋体" w:cs="宋体"/>
          <w:color w:val="000000"/>
          <w:sz w:val="21"/>
          <w:szCs w:val="21"/>
          <w:highlight w:val="none"/>
          <w:lang w:val="en-US"/>
        </w:rPr>
        <w:t>22.1.4</w:t>
      </w:r>
      <w:r>
        <w:rPr>
          <w:rFonts w:hint="eastAsia" w:ascii="宋体" w:hAnsi="宋体" w:eastAsia="宋体" w:cs="宋体"/>
          <w:color w:val="000000"/>
          <w:sz w:val="21"/>
          <w:szCs w:val="21"/>
          <w:highlight w:val="none"/>
        </w:rPr>
        <w:t>合同解除后的估价、付款和结清</w:t>
      </w:r>
      <w:bookmarkEnd w:id="1602"/>
    </w:p>
    <w:p>
      <w:pPr>
        <w:pStyle w:val="163"/>
        <w:pageBreakBefore w:val="0"/>
        <w:widowControl w:val="0"/>
        <w:numPr>
          <w:ilvl w:val="0"/>
          <w:numId w:val="28"/>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3" w:name="bookmark1511"/>
      <w:bookmarkEnd w:id="1603"/>
      <w:r>
        <w:rPr>
          <w:rFonts w:hint="eastAsia" w:ascii="宋体" w:hAnsi="宋体" w:eastAsia="宋体" w:cs="宋体"/>
          <w:color w:val="000000"/>
          <w:sz w:val="21"/>
          <w:szCs w:val="21"/>
          <w:highlight w:val="none"/>
        </w:rPr>
        <w:t>合同解除后，监理人按第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5款商定或确定承包人实际完成工作的价值，以及承包人已提供的材料、施工设备、工程设备和临时工程等的价值。</w:t>
      </w:r>
    </w:p>
    <w:p>
      <w:pPr>
        <w:pStyle w:val="163"/>
        <w:pageBreakBefore w:val="0"/>
        <w:widowControl w:val="0"/>
        <w:numPr>
          <w:ilvl w:val="0"/>
          <w:numId w:val="28"/>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4" w:name="bookmark1512"/>
      <w:bookmarkEnd w:id="1604"/>
      <w:r>
        <w:rPr>
          <w:rFonts w:hint="eastAsia" w:ascii="宋体" w:hAnsi="宋体" w:eastAsia="宋体" w:cs="宋体"/>
          <w:color w:val="000000"/>
          <w:sz w:val="21"/>
          <w:szCs w:val="21"/>
          <w:highlight w:val="none"/>
        </w:rPr>
        <w:t>合同解除后，发包人应暂停对承包人的一切付款，查清各项付款和已扣款金额</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包括承包人应支付的违约金。</w:t>
      </w:r>
    </w:p>
    <w:p>
      <w:pPr>
        <w:pStyle w:val="163"/>
        <w:pageBreakBefore w:val="0"/>
        <w:widowControl w:val="0"/>
        <w:numPr>
          <w:ilvl w:val="0"/>
          <w:numId w:val="28"/>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5" w:name="bookmark1513"/>
      <w:bookmarkEnd w:id="1605"/>
      <w:r>
        <w:rPr>
          <w:rFonts w:hint="eastAsia" w:ascii="宋体" w:hAnsi="宋体" w:eastAsia="宋体" w:cs="宋体"/>
          <w:color w:val="000000"/>
          <w:sz w:val="21"/>
          <w:szCs w:val="21"/>
          <w:highlight w:val="none"/>
        </w:rPr>
        <w:t>合同解除后，发包人应按第</w:t>
      </w:r>
      <w:r>
        <w:rPr>
          <w:rFonts w:hint="eastAsia" w:ascii="宋体" w:hAnsi="宋体" w:eastAsia="宋体" w:cs="宋体"/>
          <w:color w:val="000000"/>
          <w:sz w:val="21"/>
          <w:szCs w:val="21"/>
          <w:highlight w:val="none"/>
          <w:lang w:val="en-US"/>
        </w:rPr>
        <w:t>23.</w:t>
      </w:r>
      <w:r>
        <w:rPr>
          <w:rFonts w:hint="eastAsia" w:ascii="宋体" w:hAnsi="宋体" w:eastAsia="宋体" w:cs="宋体"/>
          <w:color w:val="000000"/>
          <w:sz w:val="21"/>
          <w:szCs w:val="21"/>
          <w:highlight w:val="none"/>
        </w:rPr>
        <w:t>4款的约定向承包人索赔由于解除合同给发包人造成的损失。</w:t>
      </w:r>
    </w:p>
    <w:p>
      <w:pPr>
        <w:pStyle w:val="163"/>
        <w:pageBreakBefore w:val="0"/>
        <w:widowControl w:val="0"/>
        <w:numPr>
          <w:ilvl w:val="0"/>
          <w:numId w:val="28"/>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606" w:name="bookmark1514"/>
      <w:bookmarkEnd w:id="1606"/>
      <w:r>
        <w:rPr>
          <w:rFonts w:hint="eastAsia" w:ascii="宋体" w:hAnsi="宋体" w:eastAsia="宋体" w:cs="宋体"/>
          <w:color w:val="000000"/>
          <w:sz w:val="21"/>
          <w:szCs w:val="21"/>
          <w:highlight w:val="none"/>
        </w:rPr>
        <w:t>合同双方确认上述往来款项后，出具最终结清付款证书，结清全部合同款项。</w:t>
      </w:r>
    </w:p>
    <w:p>
      <w:pPr>
        <w:pStyle w:val="163"/>
        <w:pageBreakBefore w:val="0"/>
        <w:widowControl w:val="0"/>
        <w:numPr>
          <w:ilvl w:val="0"/>
          <w:numId w:val="28"/>
        </w:numPr>
        <w:tabs>
          <w:tab w:val="left" w:pos="922"/>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607" w:name="bookmark1515"/>
      <w:bookmarkEnd w:id="1607"/>
      <w:r>
        <w:rPr>
          <w:rFonts w:hint="eastAsia" w:ascii="宋体" w:hAnsi="宋体" w:eastAsia="宋体" w:cs="宋体"/>
          <w:color w:val="000000"/>
          <w:sz w:val="21"/>
          <w:szCs w:val="21"/>
          <w:highlight w:val="none"/>
        </w:rPr>
        <w:t>发包人和承包人未能就解除合同后的结清达成一致而形成争议的，按第24条的约定办理。</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22.1.5</w:t>
      </w:r>
      <w:r>
        <w:rPr>
          <w:rFonts w:hint="eastAsia" w:ascii="宋体" w:hAnsi="宋体" w:eastAsia="宋体" w:cs="宋体"/>
          <w:color w:val="000000"/>
          <w:sz w:val="21"/>
          <w:szCs w:val="21"/>
          <w:highlight w:val="none"/>
        </w:rPr>
        <w:t>协议利益的转让</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因承包人违约解除合同的，发包人有权要求承包人将其为实施合同而签订的材料和设备的订货协议或任何服务协议利益转让给发包人，并在解除合同后的14天内，依法办理转让手续。</w:t>
      </w:r>
    </w:p>
    <w:p>
      <w:pPr>
        <w:pStyle w:val="163"/>
        <w:pageBreakBefore w:val="0"/>
        <w:widowControl w:val="0"/>
        <w:tabs>
          <w:tab w:val="left" w:pos="878"/>
        </w:tabs>
        <w:kinsoku/>
        <w:wordWrap/>
        <w:overflowPunct/>
        <w:topLinePunct w:val="0"/>
        <w:autoSpaceDE/>
        <w:autoSpaceDN/>
        <w:bidi w:val="0"/>
        <w:adjustRightInd/>
        <w:snapToGrid/>
        <w:spacing w:line="400" w:lineRule="exact"/>
        <w:ind w:left="440" w:firstLine="0"/>
        <w:jc w:val="both"/>
        <w:textAlignment w:val="auto"/>
        <w:outlineLvl w:val="0"/>
        <w:rPr>
          <w:rFonts w:hint="eastAsia" w:ascii="宋体" w:hAnsi="宋体" w:eastAsia="宋体" w:cs="宋体"/>
          <w:color w:val="000000"/>
          <w:sz w:val="21"/>
          <w:szCs w:val="21"/>
          <w:highlight w:val="none"/>
        </w:rPr>
      </w:pPr>
      <w:bookmarkStart w:id="1608" w:name="bookmark1516"/>
      <w:bookmarkEnd w:id="1608"/>
      <w:bookmarkStart w:id="1609" w:name="_Toc25428"/>
      <w:r>
        <w:rPr>
          <w:rFonts w:hint="eastAsia" w:ascii="宋体" w:hAnsi="宋体" w:eastAsia="宋体" w:cs="宋体"/>
          <w:color w:val="000000"/>
          <w:sz w:val="21"/>
          <w:szCs w:val="21"/>
          <w:highlight w:val="none"/>
          <w:lang w:val="en-US"/>
        </w:rPr>
        <w:t>22.1.6</w:t>
      </w:r>
      <w:r>
        <w:rPr>
          <w:rFonts w:hint="eastAsia" w:ascii="宋体" w:hAnsi="宋体" w:eastAsia="宋体" w:cs="宋体"/>
          <w:color w:val="000000"/>
          <w:sz w:val="21"/>
          <w:szCs w:val="21"/>
          <w:highlight w:val="none"/>
        </w:rPr>
        <w:t>紧急情况下无能力或不愿进行抢救</w:t>
      </w:r>
      <w:bookmarkEnd w:id="1609"/>
    </w:p>
    <w:p>
      <w:pPr>
        <w:pStyle w:val="163"/>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610" w:name="_Toc10997"/>
      <w:bookmarkStart w:id="1611" w:name="_Toc16897"/>
      <w:bookmarkStart w:id="1612" w:name="bookmark1517"/>
      <w:bookmarkStart w:id="1613" w:name="bookmark1518"/>
      <w:bookmarkStart w:id="1614" w:name="bookmark1519"/>
      <w:bookmarkStart w:id="1615" w:name="_Toc24772"/>
      <w:bookmarkStart w:id="1616" w:name="_Toc16571"/>
      <w:r>
        <w:rPr>
          <w:rFonts w:hint="eastAsia" w:ascii="宋体" w:hAnsi="宋体" w:eastAsia="宋体" w:cs="宋体"/>
          <w:color w:val="000000"/>
          <w:sz w:val="21"/>
          <w:szCs w:val="21"/>
          <w:highlight w:val="none"/>
        </w:rPr>
        <w:t>22.2发包人违约</w:t>
      </w:r>
      <w:bookmarkEnd w:id="1610"/>
      <w:bookmarkEnd w:id="1611"/>
      <w:bookmarkEnd w:id="1612"/>
      <w:bookmarkEnd w:id="1613"/>
      <w:bookmarkEnd w:id="1614"/>
      <w:bookmarkEnd w:id="1615"/>
      <w:bookmarkEnd w:id="1616"/>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22.2.1</w:t>
      </w:r>
      <w:r>
        <w:rPr>
          <w:rFonts w:hint="eastAsia" w:ascii="宋体" w:hAnsi="宋体" w:eastAsia="宋体" w:cs="宋体"/>
          <w:color w:val="000000"/>
          <w:sz w:val="21"/>
          <w:szCs w:val="21"/>
          <w:highlight w:val="none"/>
        </w:rPr>
        <w:t>发包人违约的情形</w:t>
      </w:r>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在履行合同过程中发生的下列情形，属发包人违约：</w:t>
      </w:r>
    </w:p>
    <w:p>
      <w:pPr>
        <w:pStyle w:val="163"/>
        <w:pageBreakBefore w:val="0"/>
        <w:widowControl w:val="0"/>
        <w:numPr>
          <w:ilvl w:val="0"/>
          <w:numId w:val="29"/>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617" w:name="bookmark1520"/>
      <w:bookmarkEnd w:id="1617"/>
      <w:r>
        <w:rPr>
          <w:rFonts w:hint="eastAsia" w:ascii="宋体" w:hAnsi="宋体" w:eastAsia="宋体" w:cs="宋体"/>
          <w:color w:val="000000"/>
          <w:sz w:val="21"/>
          <w:szCs w:val="21"/>
          <w:highlight w:val="none"/>
        </w:rPr>
        <w:t>发包人未能按合同约定支付预付款或合同价款，或拖延、拒绝批准付款申请和支付凭证，导致付款延误的；</w:t>
      </w:r>
    </w:p>
    <w:p>
      <w:pPr>
        <w:pStyle w:val="163"/>
        <w:pageBreakBefore w:val="0"/>
        <w:widowControl w:val="0"/>
        <w:numPr>
          <w:ilvl w:val="0"/>
          <w:numId w:val="29"/>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18" w:name="bookmark1521"/>
      <w:bookmarkEnd w:id="1618"/>
      <w:r>
        <w:rPr>
          <w:rFonts w:hint="eastAsia" w:ascii="宋体" w:hAnsi="宋体" w:eastAsia="宋体" w:cs="宋体"/>
          <w:color w:val="000000"/>
          <w:sz w:val="21"/>
          <w:szCs w:val="21"/>
          <w:highlight w:val="none"/>
        </w:rPr>
        <w:t>发包人原因造成停工的；</w:t>
      </w:r>
    </w:p>
    <w:p>
      <w:pPr>
        <w:pStyle w:val="163"/>
        <w:pageBreakBefore w:val="0"/>
        <w:widowControl w:val="0"/>
        <w:numPr>
          <w:ilvl w:val="0"/>
          <w:numId w:val="29"/>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19" w:name="bookmark1522"/>
      <w:bookmarkEnd w:id="1619"/>
      <w:r>
        <w:rPr>
          <w:rFonts w:hint="eastAsia" w:ascii="宋体" w:hAnsi="宋体" w:eastAsia="宋体" w:cs="宋体"/>
          <w:color w:val="000000"/>
          <w:sz w:val="21"/>
          <w:szCs w:val="21"/>
          <w:highlight w:val="none"/>
        </w:rPr>
        <w:t>监理人无正当理由没有在约定期限内发出复工指示，导致承包人无法复工的；</w:t>
      </w:r>
    </w:p>
    <w:p>
      <w:pPr>
        <w:pStyle w:val="163"/>
        <w:pageBreakBefore w:val="0"/>
        <w:widowControl w:val="0"/>
        <w:numPr>
          <w:ilvl w:val="0"/>
          <w:numId w:val="29"/>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0" w:name="bookmark1523"/>
      <w:bookmarkEnd w:id="1620"/>
      <w:r>
        <w:rPr>
          <w:rFonts w:hint="eastAsia" w:ascii="宋体" w:hAnsi="宋体" w:eastAsia="宋体" w:cs="宋体"/>
          <w:color w:val="000000"/>
          <w:sz w:val="21"/>
          <w:szCs w:val="21"/>
          <w:highlight w:val="none"/>
        </w:rPr>
        <w:t>发包人无法继续履行或明确表示不履行或实质上已停止履行合同的；</w:t>
      </w:r>
    </w:p>
    <w:p>
      <w:pPr>
        <w:pStyle w:val="163"/>
        <w:pageBreakBefore w:val="0"/>
        <w:widowControl w:val="0"/>
        <w:numPr>
          <w:ilvl w:val="0"/>
          <w:numId w:val="29"/>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1" w:name="bookmark1524"/>
      <w:bookmarkEnd w:id="1621"/>
      <w:r>
        <w:rPr>
          <w:rFonts w:hint="eastAsia" w:ascii="宋体" w:hAnsi="宋体" w:eastAsia="宋体" w:cs="宋体"/>
          <w:color w:val="000000"/>
          <w:sz w:val="21"/>
          <w:szCs w:val="21"/>
          <w:highlight w:val="none"/>
        </w:rPr>
        <w:t>发包人不履行合同约定其他义务的。</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22.2.2</w:t>
      </w:r>
      <w:r>
        <w:rPr>
          <w:rFonts w:hint="eastAsia" w:ascii="宋体" w:hAnsi="宋体" w:eastAsia="宋体" w:cs="宋体"/>
          <w:color w:val="000000"/>
          <w:sz w:val="21"/>
          <w:szCs w:val="21"/>
          <w:highlight w:val="none"/>
        </w:rPr>
        <w:t>承包人有权暂停施工</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发包人发生除第</w:t>
      </w:r>
      <w:r>
        <w:rPr>
          <w:rFonts w:hint="eastAsia" w:ascii="宋体" w:hAnsi="宋体" w:eastAsia="宋体" w:cs="宋体"/>
          <w:color w:val="000000"/>
          <w:sz w:val="21"/>
          <w:szCs w:val="21"/>
          <w:highlight w:val="none"/>
          <w:lang w:val="en-US"/>
        </w:rPr>
        <w:t>22.2.1</w:t>
      </w:r>
      <w:r>
        <w:rPr>
          <w:rFonts w:hint="eastAsia" w:ascii="宋体" w:hAnsi="宋体" w:eastAsia="宋体" w:cs="宋体"/>
          <w:color w:val="000000"/>
          <w:sz w:val="21"/>
          <w:szCs w:val="21"/>
          <w:highlight w:val="none"/>
        </w:rPr>
        <w:t>(4)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622" w:name="_Toc9073"/>
      <w:r>
        <w:rPr>
          <w:rFonts w:hint="eastAsia" w:ascii="宋体" w:hAnsi="宋体" w:eastAsia="宋体" w:cs="宋体"/>
          <w:color w:val="000000"/>
          <w:sz w:val="21"/>
          <w:szCs w:val="21"/>
          <w:highlight w:val="none"/>
          <w:lang w:val="en-US" w:eastAsia="en-US"/>
        </w:rPr>
        <w:t>22.2.3</w:t>
      </w:r>
      <w:r>
        <w:rPr>
          <w:rFonts w:hint="eastAsia" w:ascii="宋体" w:hAnsi="宋体" w:eastAsia="宋体" w:cs="宋体"/>
          <w:color w:val="000000"/>
          <w:sz w:val="21"/>
          <w:szCs w:val="21"/>
          <w:highlight w:val="none"/>
        </w:rPr>
        <w:t>发包人违约解除合同</w:t>
      </w:r>
      <w:bookmarkEnd w:id="1622"/>
    </w:p>
    <w:p>
      <w:pPr>
        <w:pStyle w:val="163"/>
        <w:pageBreakBefore w:val="0"/>
        <w:widowControl w:val="0"/>
        <w:numPr>
          <w:ilvl w:val="0"/>
          <w:numId w:val="30"/>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23" w:name="bookmark1525"/>
      <w:bookmarkEnd w:id="1623"/>
      <w:r>
        <w:rPr>
          <w:rFonts w:hint="eastAsia" w:ascii="宋体" w:hAnsi="宋体" w:eastAsia="宋体" w:cs="宋体"/>
          <w:color w:val="000000"/>
          <w:sz w:val="21"/>
          <w:szCs w:val="21"/>
          <w:highlight w:val="none"/>
        </w:rPr>
        <w:t>发生第</w:t>
      </w:r>
      <w:r>
        <w:rPr>
          <w:rFonts w:hint="eastAsia" w:ascii="宋体" w:hAnsi="宋体" w:eastAsia="宋体" w:cs="宋体"/>
          <w:color w:val="000000"/>
          <w:sz w:val="21"/>
          <w:szCs w:val="21"/>
          <w:highlight w:val="none"/>
          <w:lang w:val="en-US"/>
        </w:rPr>
        <w:t>22.2.1</w:t>
      </w:r>
      <w:r>
        <w:rPr>
          <w:rFonts w:hint="eastAsia" w:ascii="宋体" w:hAnsi="宋体" w:eastAsia="宋体" w:cs="宋体"/>
          <w:color w:val="000000"/>
          <w:sz w:val="21"/>
          <w:szCs w:val="21"/>
          <w:highlight w:val="none"/>
        </w:rPr>
        <w:t>(4)目的违约情况时，承包人可书面通知发包人解除合同。</w:t>
      </w:r>
    </w:p>
    <w:p>
      <w:pPr>
        <w:pStyle w:val="163"/>
        <w:pageBreakBefore w:val="0"/>
        <w:widowControl w:val="0"/>
        <w:numPr>
          <w:ilvl w:val="0"/>
          <w:numId w:val="30"/>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24" w:name="bookmark1526"/>
      <w:bookmarkEnd w:id="1624"/>
      <w:r>
        <w:rPr>
          <w:rFonts w:hint="eastAsia" w:ascii="宋体" w:hAnsi="宋体" w:eastAsia="宋体" w:cs="宋体"/>
          <w:color w:val="000000"/>
          <w:sz w:val="21"/>
          <w:szCs w:val="21"/>
          <w:highlight w:val="none"/>
        </w:rPr>
        <w:t>承包人按</w:t>
      </w:r>
      <w:r>
        <w:rPr>
          <w:rFonts w:hint="eastAsia" w:ascii="宋体" w:hAnsi="宋体" w:eastAsia="宋体" w:cs="宋体"/>
          <w:color w:val="000000"/>
          <w:sz w:val="21"/>
          <w:szCs w:val="21"/>
          <w:highlight w:val="none"/>
          <w:lang w:val="en-US"/>
        </w:rPr>
        <w:t>22.2.</w:t>
      </w:r>
      <w:r>
        <w:rPr>
          <w:rFonts w:hint="eastAsia" w:ascii="宋体" w:hAnsi="宋体" w:eastAsia="宋体" w:cs="宋体"/>
          <w:color w:val="000000"/>
          <w:sz w:val="21"/>
          <w:szCs w:val="21"/>
          <w:highlight w:val="none"/>
        </w:rPr>
        <w:t>2项暂停施工28天后，发包人仍不纠正违约行为的，承包人可向发包人发出解除合同通知。但承包人的这一行动不免除发包人承担的违约责任，也不影响承包人根据合同约定享有的索赔权利。</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22.2.4</w:t>
      </w:r>
      <w:r>
        <w:rPr>
          <w:rFonts w:hint="eastAsia" w:ascii="宋体" w:hAnsi="宋体" w:eastAsia="宋体" w:cs="宋体"/>
          <w:color w:val="000000"/>
          <w:sz w:val="21"/>
          <w:szCs w:val="21"/>
          <w:highlight w:val="none"/>
        </w:rPr>
        <w:t>解除合同后的付款</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因发包人违约解除合同的，发包人应在解除合同后28天内向承包人支付下列金额，承包人应在此期限内及时向发包人提交要求支付下列金额的有关资料和凭证：</w:t>
      </w:r>
    </w:p>
    <w:p>
      <w:pPr>
        <w:pStyle w:val="163"/>
        <w:pageBreakBefore w:val="0"/>
        <w:widowControl w:val="0"/>
        <w:numPr>
          <w:ilvl w:val="0"/>
          <w:numId w:val="31"/>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5" w:name="bookmark1527"/>
      <w:bookmarkEnd w:id="1625"/>
      <w:r>
        <w:rPr>
          <w:rFonts w:hint="eastAsia" w:ascii="宋体" w:hAnsi="宋体" w:eastAsia="宋体" w:cs="宋体"/>
          <w:color w:val="000000"/>
          <w:sz w:val="21"/>
          <w:szCs w:val="21"/>
          <w:highlight w:val="none"/>
        </w:rPr>
        <w:t>合同解除日以前所完成工作的价款；</w:t>
      </w:r>
    </w:p>
    <w:p>
      <w:pPr>
        <w:pStyle w:val="163"/>
        <w:pageBreakBefore w:val="0"/>
        <w:widowControl w:val="0"/>
        <w:numPr>
          <w:ilvl w:val="0"/>
          <w:numId w:val="31"/>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26" w:name="bookmark1528"/>
      <w:bookmarkEnd w:id="1626"/>
      <w:r>
        <w:rPr>
          <w:rFonts w:hint="eastAsia" w:ascii="宋体" w:hAnsi="宋体" w:eastAsia="宋体" w:cs="宋体"/>
          <w:color w:val="000000"/>
          <w:sz w:val="21"/>
          <w:szCs w:val="21"/>
          <w:highlight w:val="none"/>
        </w:rPr>
        <w:t>承包人为该工程施工订购并已付款的材料、工程设备和其他物品的金额。发包人付还后，该材料、工程设备和其他物品归发包人所有；</w:t>
      </w:r>
    </w:p>
    <w:p>
      <w:pPr>
        <w:pStyle w:val="163"/>
        <w:pageBreakBefore w:val="0"/>
        <w:widowControl w:val="0"/>
        <w:numPr>
          <w:ilvl w:val="0"/>
          <w:numId w:val="31"/>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7" w:name="bookmark1529"/>
      <w:bookmarkEnd w:id="1627"/>
      <w:r>
        <w:rPr>
          <w:rFonts w:hint="eastAsia" w:ascii="宋体" w:hAnsi="宋体" w:eastAsia="宋体" w:cs="宋体"/>
          <w:color w:val="000000"/>
          <w:sz w:val="21"/>
          <w:szCs w:val="21"/>
          <w:highlight w:val="none"/>
        </w:rPr>
        <w:t>承包人为完成工程所发生的，而发包人未支付的金额；</w:t>
      </w:r>
    </w:p>
    <w:p>
      <w:pPr>
        <w:pStyle w:val="163"/>
        <w:pageBreakBefore w:val="0"/>
        <w:widowControl w:val="0"/>
        <w:numPr>
          <w:ilvl w:val="0"/>
          <w:numId w:val="31"/>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8" w:name="bookmark1530"/>
      <w:bookmarkEnd w:id="1628"/>
      <w:r>
        <w:rPr>
          <w:rFonts w:hint="eastAsia" w:ascii="宋体" w:hAnsi="宋体" w:eastAsia="宋体" w:cs="宋体"/>
          <w:color w:val="000000"/>
          <w:sz w:val="21"/>
          <w:szCs w:val="21"/>
          <w:highlight w:val="none"/>
        </w:rPr>
        <w:t>承包人撤离施工场地以及遣散承包人人员的金额；</w:t>
      </w:r>
    </w:p>
    <w:p>
      <w:pPr>
        <w:pStyle w:val="163"/>
        <w:pageBreakBefore w:val="0"/>
        <w:widowControl w:val="0"/>
        <w:numPr>
          <w:ilvl w:val="0"/>
          <w:numId w:val="31"/>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9" w:name="bookmark1531"/>
      <w:bookmarkEnd w:id="1629"/>
      <w:r>
        <w:rPr>
          <w:rFonts w:hint="eastAsia" w:ascii="宋体" w:hAnsi="宋体" w:eastAsia="宋体" w:cs="宋体"/>
          <w:color w:val="000000"/>
          <w:sz w:val="21"/>
          <w:szCs w:val="21"/>
          <w:highlight w:val="none"/>
        </w:rPr>
        <w:t>由于解除合同应赔偿的承包人损失；</w:t>
      </w:r>
    </w:p>
    <w:p>
      <w:pPr>
        <w:pStyle w:val="163"/>
        <w:pageBreakBefore w:val="0"/>
        <w:widowControl w:val="0"/>
        <w:numPr>
          <w:ilvl w:val="0"/>
          <w:numId w:val="31"/>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30" w:name="bookmark1532"/>
      <w:bookmarkEnd w:id="1630"/>
      <w:r>
        <w:rPr>
          <w:rFonts w:hint="eastAsia" w:ascii="宋体" w:hAnsi="宋体" w:eastAsia="宋体" w:cs="宋体"/>
          <w:color w:val="000000"/>
          <w:sz w:val="21"/>
          <w:szCs w:val="21"/>
          <w:highlight w:val="none"/>
        </w:rPr>
        <w:t>按合同约定在合同解除日前应支付给承包人的其他金额。</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发包人应按本项约定支付上述金额并退还质量保证金和履约担保，但有权要求承包人支付应偿还给发包人的各项金额。</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631" w:name="_Toc22977"/>
      <w:r>
        <w:rPr>
          <w:rFonts w:hint="eastAsia" w:ascii="宋体" w:hAnsi="宋体" w:eastAsia="宋体" w:cs="宋体"/>
          <w:color w:val="000000"/>
          <w:sz w:val="21"/>
          <w:szCs w:val="21"/>
          <w:highlight w:val="none"/>
          <w:lang w:val="en-US"/>
        </w:rPr>
        <w:t>22.2.5</w:t>
      </w:r>
      <w:r>
        <w:rPr>
          <w:rFonts w:hint="eastAsia" w:ascii="宋体" w:hAnsi="宋体" w:eastAsia="宋体" w:cs="宋体"/>
          <w:color w:val="000000"/>
          <w:sz w:val="21"/>
          <w:szCs w:val="21"/>
          <w:highlight w:val="none"/>
        </w:rPr>
        <w:t>解除合同后的承包人撤离</w:t>
      </w:r>
      <w:bookmarkEnd w:id="1631"/>
    </w:p>
    <w:p>
      <w:pPr>
        <w:pStyle w:val="163"/>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因发包人违约而解除合同后，承包人应妥善做好已竣工工程和已购材料、设备的保护和移交工作，按发包人要求将承包人设备和人员撤出施工场地。承包人撤出施工场地应遵守第</w:t>
      </w:r>
      <w:r>
        <w:rPr>
          <w:rFonts w:hint="eastAsia" w:ascii="宋体" w:hAnsi="宋体" w:eastAsia="宋体" w:cs="宋体"/>
          <w:color w:val="000000"/>
          <w:sz w:val="21"/>
          <w:szCs w:val="21"/>
          <w:highlight w:val="none"/>
          <w:lang w:val="en-US"/>
        </w:rPr>
        <w:t>18.7.</w:t>
      </w:r>
      <w:r>
        <w:rPr>
          <w:rFonts w:hint="eastAsia" w:ascii="宋体" w:hAnsi="宋体" w:eastAsia="宋体" w:cs="宋体"/>
          <w:color w:val="000000"/>
          <w:sz w:val="21"/>
          <w:szCs w:val="21"/>
          <w:highlight w:val="none"/>
        </w:rPr>
        <w:t>1项的约定，发包人应为承包人撤出提供必要条件。</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32" w:name="_Toc31717"/>
      <w:bookmarkStart w:id="1633" w:name="_Toc979"/>
      <w:bookmarkStart w:id="1634" w:name="bookmark1535"/>
      <w:bookmarkStart w:id="1635" w:name="_Toc28139"/>
      <w:bookmarkStart w:id="1636" w:name="bookmark1533"/>
      <w:bookmarkStart w:id="1637" w:name="_Toc9266"/>
      <w:bookmarkStart w:id="1638" w:name="bookmark1534"/>
      <w:r>
        <w:rPr>
          <w:rFonts w:hint="eastAsia" w:ascii="宋体" w:hAnsi="宋体" w:eastAsia="宋体" w:cs="宋体"/>
          <w:color w:val="000000"/>
          <w:sz w:val="21"/>
          <w:szCs w:val="21"/>
          <w:highlight w:val="none"/>
        </w:rPr>
        <w:t>22.3第三人造成的违约</w:t>
      </w:r>
      <w:bookmarkEnd w:id="1632"/>
      <w:bookmarkEnd w:id="1633"/>
      <w:bookmarkEnd w:id="1634"/>
      <w:bookmarkEnd w:id="1635"/>
      <w:bookmarkEnd w:id="1636"/>
      <w:bookmarkEnd w:id="1637"/>
      <w:bookmarkEnd w:id="1638"/>
    </w:p>
    <w:p>
      <w:pPr>
        <w:pStyle w:val="163"/>
        <w:pageBreakBefore w:val="0"/>
        <w:widowControl w:val="0"/>
        <w:kinsoku/>
        <w:wordWrap/>
        <w:overflowPunct/>
        <w:topLinePunct w:val="0"/>
        <w:autoSpaceDE/>
        <w:autoSpaceDN/>
        <w:bidi w:val="0"/>
        <w:adjustRightInd/>
        <w:snapToGrid/>
        <w:spacing w:after="26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在履行合同过程中，一方当事人因第三人的原因造成违约的，应当向对方当事人承担违约责任。一方当事人和第三人之间的纠纷，依照法律规定或者按照约定解决。</w:t>
      </w:r>
    </w:p>
    <w:p>
      <w:pPr>
        <w:pStyle w:val="4"/>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39" w:name="_Toc13034"/>
      <w:bookmarkStart w:id="1640" w:name="_Toc21711"/>
      <w:bookmarkStart w:id="1641" w:name="_Toc4702"/>
      <w:bookmarkStart w:id="1642" w:name="_Toc26868"/>
      <w:r>
        <w:rPr>
          <w:rFonts w:hint="eastAsia" w:ascii="宋体" w:hAnsi="宋体" w:eastAsia="宋体" w:cs="宋体"/>
          <w:color w:val="000000"/>
          <w:sz w:val="21"/>
          <w:szCs w:val="21"/>
          <w:highlight w:val="none"/>
        </w:rPr>
        <w:t>23.索赔</w:t>
      </w:r>
      <w:bookmarkEnd w:id="1639"/>
      <w:bookmarkEnd w:id="1640"/>
      <w:bookmarkEnd w:id="1641"/>
      <w:bookmarkEnd w:id="1642"/>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43" w:name="_Toc7152"/>
      <w:bookmarkStart w:id="1644" w:name="_Toc27904"/>
      <w:bookmarkStart w:id="1645" w:name="_Toc14775"/>
      <w:bookmarkStart w:id="1646" w:name="bookmark1537"/>
      <w:bookmarkStart w:id="1647" w:name="bookmark1538"/>
      <w:bookmarkStart w:id="1648" w:name="bookmark1536"/>
      <w:bookmarkStart w:id="1649" w:name="_Toc12223"/>
      <w:r>
        <w:rPr>
          <w:rFonts w:hint="eastAsia" w:ascii="宋体" w:hAnsi="宋体" w:eastAsia="宋体" w:cs="宋体"/>
          <w:color w:val="000000"/>
          <w:sz w:val="21"/>
          <w:szCs w:val="21"/>
          <w:highlight w:val="none"/>
        </w:rPr>
        <w:t>23.1承包人索赔的提出</w:t>
      </w:r>
      <w:bookmarkEnd w:id="1643"/>
      <w:bookmarkEnd w:id="1644"/>
      <w:bookmarkEnd w:id="1645"/>
      <w:bookmarkEnd w:id="1646"/>
      <w:bookmarkEnd w:id="1647"/>
      <w:bookmarkEnd w:id="1648"/>
      <w:bookmarkEnd w:id="1649"/>
    </w:p>
    <w:p>
      <w:pPr>
        <w:pStyle w:val="163"/>
        <w:pageBreakBefore w:val="0"/>
        <w:widowControl w:val="0"/>
        <w:kinsoku/>
        <w:wordWrap/>
        <w:overflowPunct/>
        <w:topLinePunct w:val="0"/>
        <w:autoSpaceDE/>
        <w:autoSpaceDN/>
        <w:bidi w:val="0"/>
        <w:adjustRightInd/>
        <w:snapToGrid/>
        <w:spacing w:line="380" w:lineRule="atLeast"/>
        <w:ind w:firstLine="420"/>
        <w:jc w:val="both"/>
        <w:textAlignment w:val="auto"/>
        <w:outlineLvl w:val="0"/>
        <w:rPr>
          <w:rFonts w:hint="eastAsia" w:ascii="宋体" w:hAnsi="宋体" w:eastAsia="宋体" w:cs="宋体"/>
          <w:color w:val="000000"/>
          <w:sz w:val="21"/>
          <w:szCs w:val="21"/>
          <w:highlight w:val="none"/>
        </w:rPr>
      </w:pPr>
      <w:bookmarkStart w:id="1650" w:name="_Toc24914"/>
      <w:bookmarkStart w:id="1651" w:name="_Toc16545"/>
      <w:r>
        <w:rPr>
          <w:rFonts w:hint="eastAsia" w:ascii="宋体" w:hAnsi="宋体" w:eastAsia="宋体" w:cs="宋体"/>
          <w:color w:val="000000"/>
          <w:sz w:val="21"/>
          <w:szCs w:val="21"/>
          <w:highlight w:val="none"/>
        </w:rPr>
        <w:t>根据合同约定，承包人认为有权得到追加付款和(或)延长工期的，应按以下程序向发包人提出索赔：</w:t>
      </w:r>
      <w:bookmarkEnd w:id="1650"/>
      <w:bookmarkEnd w:id="1651"/>
    </w:p>
    <w:p>
      <w:pPr>
        <w:pStyle w:val="163"/>
        <w:pageBreakBefore w:val="0"/>
        <w:widowControl w:val="0"/>
        <w:numPr>
          <w:ilvl w:val="0"/>
          <w:numId w:val="32"/>
        </w:numPr>
        <w:tabs>
          <w:tab w:val="left" w:pos="918"/>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52" w:name="bookmark1539"/>
      <w:bookmarkEnd w:id="1652"/>
      <w:r>
        <w:rPr>
          <w:rFonts w:hint="eastAsia" w:ascii="宋体" w:hAnsi="宋体" w:eastAsia="宋体" w:cs="宋体"/>
          <w:color w:val="000000"/>
          <w:sz w:val="21"/>
          <w:szCs w:val="21"/>
          <w:highlight w:val="none"/>
        </w:rPr>
        <w:t>承包人应在知道或应当知道索赔事件发生后28天内，向监理人递交索赔意向通知书，并说明发生索赔事件的事由。承包人未在前述28天内发出索赔意向通知书的，丧失要求追加付款和(或)延长工期的权利；</w:t>
      </w:r>
    </w:p>
    <w:p>
      <w:pPr>
        <w:pStyle w:val="163"/>
        <w:pageBreakBefore w:val="0"/>
        <w:widowControl w:val="0"/>
        <w:numPr>
          <w:ilvl w:val="0"/>
          <w:numId w:val="32"/>
        </w:numPr>
        <w:tabs>
          <w:tab w:val="left" w:pos="918"/>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53" w:name="bookmark1540"/>
      <w:bookmarkEnd w:id="1653"/>
      <w:r>
        <w:rPr>
          <w:rFonts w:hint="eastAsia" w:ascii="宋体" w:hAnsi="宋体" w:eastAsia="宋体" w:cs="宋体"/>
          <w:color w:val="000000"/>
          <w:sz w:val="21"/>
          <w:szCs w:val="21"/>
          <w:highlight w:val="none"/>
        </w:rPr>
        <w:t>承包人应在发出索赔意向通知书后28天内，向监理人正式递交索赔通知书。索赔通知书应详细说明索赔理由以及要求追加的付款金额和(或)延长的工期，并附必要的记 录和证明材料；</w:t>
      </w:r>
    </w:p>
    <w:p>
      <w:pPr>
        <w:pStyle w:val="163"/>
        <w:pageBreakBefore w:val="0"/>
        <w:widowControl w:val="0"/>
        <w:numPr>
          <w:ilvl w:val="0"/>
          <w:numId w:val="32"/>
        </w:numPr>
        <w:tabs>
          <w:tab w:val="left" w:pos="903"/>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54" w:name="bookmark1541"/>
      <w:bookmarkEnd w:id="1654"/>
      <w:r>
        <w:rPr>
          <w:rFonts w:hint="eastAsia" w:ascii="宋体" w:hAnsi="宋体" w:eastAsia="宋体" w:cs="宋体"/>
          <w:color w:val="000000"/>
          <w:sz w:val="21"/>
          <w:szCs w:val="21"/>
          <w:highlight w:val="none"/>
        </w:rPr>
        <w:t>索赔事件具有连续影响的，承包人应按合理时间间隔继续递交延续索赔通知，说明连续影响的实际情况和记录，列出累计的追加付款金额和(或)工期延长天数；</w:t>
      </w:r>
    </w:p>
    <w:p>
      <w:pPr>
        <w:pStyle w:val="163"/>
        <w:pageBreakBefore w:val="0"/>
        <w:widowControl w:val="0"/>
        <w:numPr>
          <w:ilvl w:val="0"/>
          <w:numId w:val="32"/>
        </w:numPr>
        <w:tabs>
          <w:tab w:val="left" w:pos="920"/>
        </w:tabs>
        <w:kinsoku/>
        <w:wordWrap/>
        <w:overflowPunct/>
        <w:topLinePunct w:val="0"/>
        <w:autoSpaceDE/>
        <w:autoSpaceDN/>
        <w:bidi w:val="0"/>
        <w:adjustRightInd/>
        <w:snapToGrid/>
        <w:spacing w:after="120" w:line="380" w:lineRule="atLeast"/>
        <w:ind w:firstLine="440"/>
        <w:jc w:val="both"/>
        <w:textAlignment w:val="auto"/>
        <w:rPr>
          <w:rFonts w:hint="eastAsia" w:ascii="宋体" w:hAnsi="宋体" w:eastAsia="宋体" w:cs="宋体"/>
          <w:color w:val="000000"/>
          <w:sz w:val="21"/>
          <w:szCs w:val="21"/>
          <w:highlight w:val="none"/>
        </w:rPr>
      </w:pPr>
      <w:bookmarkStart w:id="1655" w:name="bookmark1542"/>
      <w:bookmarkEnd w:id="1655"/>
      <w:r>
        <w:rPr>
          <w:rFonts w:hint="eastAsia" w:ascii="宋体" w:hAnsi="宋体" w:eastAsia="宋体" w:cs="宋体"/>
          <w:color w:val="000000"/>
          <w:sz w:val="21"/>
          <w:szCs w:val="21"/>
          <w:highlight w:val="none"/>
        </w:rPr>
        <w:t>在索赔事件影响结束后的28天内，承包人应向监理人递交最终索赔通知书，说明最终要求索赔的追加付款金额和延长的工期，并附必要的记录和证明材料。</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56" w:name="_Toc22088"/>
      <w:bookmarkStart w:id="1657" w:name="_Toc7631"/>
      <w:bookmarkStart w:id="1658" w:name="_Toc5534"/>
      <w:bookmarkStart w:id="1659" w:name="_Toc8762"/>
      <w:bookmarkStart w:id="1660" w:name="bookmark1544"/>
      <w:bookmarkStart w:id="1661" w:name="bookmark1543"/>
      <w:bookmarkStart w:id="1662" w:name="bookmark1545"/>
      <w:r>
        <w:rPr>
          <w:rFonts w:hint="eastAsia" w:ascii="宋体" w:hAnsi="宋体" w:eastAsia="宋体" w:cs="宋体"/>
          <w:color w:val="000000"/>
          <w:sz w:val="21"/>
          <w:szCs w:val="21"/>
          <w:highlight w:val="none"/>
        </w:rPr>
        <w:t>23.2承包人索赔处理程序</w:t>
      </w:r>
      <w:bookmarkEnd w:id="1656"/>
      <w:bookmarkEnd w:id="1657"/>
      <w:bookmarkEnd w:id="1658"/>
      <w:bookmarkEnd w:id="1659"/>
      <w:bookmarkEnd w:id="1660"/>
      <w:bookmarkEnd w:id="1661"/>
      <w:bookmarkEnd w:id="1662"/>
    </w:p>
    <w:p>
      <w:pPr>
        <w:pStyle w:val="163"/>
        <w:pageBreakBefore w:val="0"/>
        <w:widowControl w:val="0"/>
        <w:numPr>
          <w:ilvl w:val="0"/>
          <w:numId w:val="33"/>
        </w:numPr>
        <w:tabs>
          <w:tab w:val="left" w:pos="922"/>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63" w:name="bookmark1546"/>
      <w:bookmarkEnd w:id="1663"/>
      <w:r>
        <w:rPr>
          <w:rFonts w:hint="eastAsia" w:ascii="宋体" w:hAnsi="宋体" w:eastAsia="宋体" w:cs="宋体"/>
          <w:color w:val="000000"/>
          <w:sz w:val="21"/>
          <w:szCs w:val="21"/>
          <w:highlight w:val="none"/>
        </w:rPr>
        <w:t>监理人收到承包人提交的索赔通知书后，应及时审查索赔通知书的内容、查验承包人的记录和证明材料，必要时监理人可要求承包人提交全部原始记录副本。</w:t>
      </w:r>
    </w:p>
    <w:p>
      <w:pPr>
        <w:pStyle w:val="163"/>
        <w:pageBreakBefore w:val="0"/>
        <w:widowControl w:val="0"/>
        <w:numPr>
          <w:ilvl w:val="0"/>
          <w:numId w:val="33"/>
        </w:numPr>
        <w:tabs>
          <w:tab w:val="left" w:pos="918"/>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64" w:name="bookmark1547"/>
      <w:bookmarkEnd w:id="1664"/>
      <w:r>
        <w:rPr>
          <w:rFonts w:hint="eastAsia" w:ascii="宋体" w:hAnsi="宋体" w:eastAsia="宋体" w:cs="宋体"/>
          <w:color w:val="000000"/>
          <w:sz w:val="21"/>
          <w:szCs w:val="21"/>
          <w:highlight w:val="none"/>
        </w:rPr>
        <w:t>监理人应按第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5款商定或确定追加的付款和(或)延长的工期，并在收到上述索赔通知书或有关索赔的进一步证明材料后的42天内，将索赔处理结果答复承包人。</w:t>
      </w:r>
    </w:p>
    <w:p>
      <w:pPr>
        <w:pStyle w:val="163"/>
        <w:pageBreakBefore w:val="0"/>
        <w:widowControl w:val="0"/>
        <w:numPr>
          <w:ilvl w:val="0"/>
          <w:numId w:val="33"/>
        </w:numPr>
        <w:tabs>
          <w:tab w:val="left" w:pos="920"/>
        </w:tabs>
        <w:kinsoku/>
        <w:wordWrap/>
        <w:overflowPunct/>
        <w:topLinePunct w:val="0"/>
        <w:autoSpaceDE/>
        <w:autoSpaceDN/>
        <w:bidi w:val="0"/>
        <w:adjustRightInd/>
        <w:snapToGrid/>
        <w:spacing w:after="120" w:line="380" w:lineRule="atLeast"/>
        <w:ind w:firstLine="440"/>
        <w:jc w:val="both"/>
        <w:textAlignment w:val="auto"/>
        <w:rPr>
          <w:rFonts w:hint="eastAsia" w:ascii="宋体" w:hAnsi="宋体" w:eastAsia="宋体" w:cs="宋体"/>
          <w:color w:val="000000"/>
          <w:sz w:val="21"/>
          <w:szCs w:val="21"/>
          <w:highlight w:val="none"/>
        </w:rPr>
      </w:pPr>
      <w:bookmarkStart w:id="1665" w:name="bookmark1548"/>
      <w:bookmarkEnd w:id="1665"/>
      <w:r>
        <w:rPr>
          <w:rFonts w:hint="eastAsia" w:ascii="宋体" w:hAnsi="宋体" w:eastAsia="宋体" w:cs="宋体"/>
          <w:color w:val="000000"/>
          <w:sz w:val="21"/>
          <w:szCs w:val="21"/>
          <w:highlight w:val="none"/>
        </w:rPr>
        <w:t>承包人接受索赔处理结果的，发包人应在作出索赔处理结果答复后28天内完成赔付。承包人不接受索赔处理结果的，按第24条的约定办理。</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66" w:name="bookmark1550"/>
      <w:bookmarkStart w:id="1667" w:name="bookmark1551"/>
      <w:bookmarkStart w:id="1668" w:name="_Toc2285"/>
      <w:bookmarkStart w:id="1669" w:name="_Toc10180"/>
      <w:bookmarkStart w:id="1670" w:name="_Toc21450"/>
      <w:bookmarkStart w:id="1671" w:name="bookmark1549"/>
      <w:bookmarkStart w:id="1672" w:name="_Toc16356"/>
      <w:r>
        <w:rPr>
          <w:rFonts w:hint="eastAsia" w:ascii="宋体" w:hAnsi="宋体" w:eastAsia="宋体" w:cs="宋体"/>
          <w:color w:val="000000"/>
          <w:sz w:val="21"/>
          <w:szCs w:val="21"/>
          <w:highlight w:val="none"/>
        </w:rPr>
        <w:t>23.3承包人提出索赔的期限</w:t>
      </w:r>
      <w:bookmarkEnd w:id="1666"/>
      <w:bookmarkEnd w:id="1667"/>
      <w:bookmarkEnd w:id="1668"/>
      <w:bookmarkEnd w:id="1669"/>
      <w:bookmarkEnd w:id="1670"/>
      <w:bookmarkEnd w:id="1671"/>
      <w:bookmarkEnd w:id="1672"/>
    </w:p>
    <w:p>
      <w:pPr>
        <w:pStyle w:val="163"/>
        <w:pageBreakBefore w:val="0"/>
        <w:widowControl w:val="0"/>
        <w:numPr>
          <w:ilvl w:val="0"/>
          <w:numId w:val="0"/>
        </w:numPr>
        <w:tabs>
          <w:tab w:val="left" w:pos="855"/>
        </w:tabs>
        <w:kinsoku/>
        <w:wordWrap/>
        <w:overflowPunct/>
        <w:topLinePunct w:val="0"/>
        <w:autoSpaceDE/>
        <w:autoSpaceDN/>
        <w:bidi w:val="0"/>
        <w:adjustRightInd/>
        <w:snapToGrid/>
        <w:spacing w:line="380" w:lineRule="atLeast"/>
        <w:ind w:firstLine="420" w:firstLineChars="200"/>
        <w:jc w:val="both"/>
        <w:textAlignment w:val="auto"/>
        <w:rPr>
          <w:rFonts w:hint="eastAsia" w:ascii="宋体" w:hAnsi="宋体" w:eastAsia="宋体" w:cs="宋体"/>
          <w:color w:val="000000"/>
          <w:sz w:val="21"/>
          <w:szCs w:val="21"/>
          <w:highlight w:val="none"/>
        </w:rPr>
      </w:pPr>
      <w:bookmarkStart w:id="1673" w:name="bookmark1552"/>
      <w:bookmarkEnd w:id="1673"/>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1承包人按第</w:t>
      </w:r>
      <w:r>
        <w:rPr>
          <w:rFonts w:hint="eastAsia" w:ascii="宋体" w:hAnsi="宋体" w:eastAsia="宋体" w:cs="宋体"/>
          <w:color w:val="000000"/>
          <w:sz w:val="21"/>
          <w:szCs w:val="21"/>
          <w:highlight w:val="none"/>
          <w:lang w:val="en-US"/>
        </w:rPr>
        <w:t>17.</w:t>
      </w:r>
      <w:r>
        <w:rPr>
          <w:rFonts w:hint="eastAsia" w:ascii="宋体" w:hAnsi="宋体" w:eastAsia="宋体" w:cs="宋体"/>
          <w:color w:val="000000"/>
          <w:sz w:val="21"/>
          <w:szCs w:val="21"/>
          <w:highlight w:val="none"/>
        </w:rPr>
        <w:t>5款的约定接受了完工付款证书后，应被认为已无权再提出在合同工程完工证书颁发前所发生的任何索赔。</w:t>
      </w:r>
    </w:p>
    <w:p>
      <w:pPr>
        <w:pStyle w:val="163"/>
        <w:pageBreakBefore w:val="0"/>
        <w:widowControl w:val="0"/>
        <w:kinsoku/>
        <w:wordWrap/>
        <w:overflowPunct/>
        <w:topLinePunct w:val="0"/>
        <w:autoSpaceDE/>
        <w:autoSpaceDN/>
        <w:bidi w:val="0"/>
        <w:adjustRightInd/>
        <w:snapToGrid/>
        <w:spacing w:after="12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23.3.2</w:t>
      </w:r>
      <w:r>
        <w:rPr>
          <w:rFonts w:hint="eastAsia" w:ascii="宋体" w:hAnsi="宋体" w:eastAsia="宋体" w:cs="宋体"/>
          <w:color w:val="000000"/>
          <w:sz w:val="21"/>
          <w:szCs w:val="21"/>
          <w:highlight w:val="none"/>
        </w:rPr>
        <w:t>承包人按第</w:t>
      </w:r>
      <w:r>
        <w:rPr>
          <w:rFonts w:hint="eastAsia" w:ascii="宋体" w:hAnsi="宋体" w:eastAsia="宋体" w:cs="宋体"/>
          <w:color w:val="000000"/>
          <w:sz w:val="21"/>
          <w:szCs w:val="21"/>
          <w:highlight w:val="none"/>
          <w:lang w:val="en-US"/>
        </w:rPr>
        <w:t>17.</w:t>
      </w:r>
      <w:r>
        <w:rPr>
          <w:rFonts w:hint="eastAsia" w:ascii="宋体" w:hAnsi="宋体" w:eastAsia="宋体" w:cs="宋体"/>
          <w:color w:val="000000"/>
          <w:sz w:val="21"/>
          <w:szCs w:val="21"/>
          <w:highlight w:val="none"/>
        </w:rPr>
        <w:t>6款的约定提交的最终结清申请单中，只限于提出合同工程完工证书颁发后发生的索赔。提出索赔的期限自接受最终结清证书时终止。</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74" w:name="_Toc22473"/>
      <w:bookmarkStart w:id="1675" w:name="bookmark1553"/>
      <w:bookmarkStart w:id="1676" w:name="bookmark1555"/>
      <w:bookmarkStart w:id="1677" w:name="_Toc25388"/>
      <w:bookmarkStart w:id="1678" w:name="_Toc30977"/>
      <w:bookmarkStart w:id="1679" w:name="_Toc1321"/>
      <w:bookmarkStart w:id="1680" w:name="bookmark1554"/>
      <w:r>
        <w:rPr>
          <w:rFonts w:hint="eastAsia" w:ascii="宋体" w:hAnsi="宋体" w:eastAsia="宋体" w:cs="宋体"/>
          <w:color w:val="000000"/>
          <w:sz w:val="21"/>
          <w:szCs w:val="21"/>
          <w:highlight w:val="none"/>
        </w:rPr>
        <w:t>23.4发包人的索赔</w:t>
      </w:r>
      <w:bookmarkEnd w:id="1674"/>
      <w:bookmarkEnd w:id="1675"/>
      <w:bookmarkEnd w:id="1676"/>
      <w:bookmarkEnd w:id="1677"/>
      <w:bookmarkEnd w:id="1678"/>
      <w:bookmarkEnd w:id="1679"/>
      <w:bookmarkEnd w:id="1680"/>
    </w:p>
    <w:p>
      <w:pPr>
        <w:pStyle w:val="163"/>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23.4.1</w:t>
      </w:r>
      <w:r>
        <w:rPr>
          <w:rFonts w:hint="eastAsia" w:ascii="宋体" w:hAnsi="宋体" w:eastAsia="宋体" w:cs="宋体"/>
          <w:color w:val="000000"/>
          <w:sz w:val="21"/>
          <w:szCs w:val="21"/>
          <w:highlight w:val="none"/>
        </w:rPr>
        <w:t>发生索赔事件后，监理人应及时书面通知承包人，详细说明发包人有权得到的索赔金额和(或)延长缺陷责任期的细节和依据。发包人提出索赔的期限和要求与第</w:t>
      </w:r>
      <w:bookmarkStart w:id="1681" w:name="bookmark1556"/>
      <w:bookmarkEnd w:id="1681"/>
      <w:r>
        <w:rPr>
          <w:rFonts w:hint="eastAsia" w:ascii="宋体" w:hAnsi="宋体" w:eastAsia="宋体" w:cs="宋体"/>
          <w:color w:val="000000"/>
          <w:sz w:val="21"/>
          <w:szCs w:val="21"/>
          <w:highlight w:val="none"/>
          <w:lang w:val="en-US"/>
        </w:rPr>
        <w:t>23.</w:t>
      </w:r>
      <w:r>
        <w:rPr>
          <w:rFonts w:hint="eastAsia" w:ascii="宋体" w:hAnsi="宋体" w:eastAsia="宋体" w:cs="宋体"/>
          <w:color w:val="000000"/>
          <w:sz w:val="21"/>
          <w:szCs w:val="21"/>
          <w:highlight w:val="none"/>
        </w:rPr>
        <w:t>3款的约定相同，延长缺陷责任期的通知应在缺陷责任期届满前发出。</w:t>
      </w:r>
    </w:p>
    <w:p>
      <w:pPr>
        <w:pStyle w:val="163"/>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23.4.2</w:t>
      </w:r>
      <w:r>
        <w:rPr>
          <w:rFonts w:hint="eastAsia" w:ascii="宋体" w:hAnsi="宋体" w:eastAsia="宋体" w:cs="宋体"/>
          <w:color w:val="000000"/>
          <w:sz w:val="21"/>
          <w:szCs w:val="21"/>
          <w:highlight w:val="none"/>
        </w:rPr>
        <w:t>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5款商定或确定发包人从承包人处得到赔付的金额和(或)缺陷责任期的延长期。承包人应付给发包人的金额可从拟支付给承包人的合同价款中扣除</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或由承包人以其他方式支付给发包人。</w:t>
      </w:r>
    </w:p>
    <w:p>
      <w:pPr>
        <w:pStyle w:val="163"/>
        <w:pageBreakBefore w:val="0"/>
        <w:widowControl w:val="0"/>
        <w:kinsoku/>
        <w:wordWrap/>
        <w:overflowPunct/>
        <w:topLinePunct w:val="0"/>
        <w:autoSpaceDE/>
        <w:autoSpaceDN/>
        <w:bidi w:val="0"/>
        <w:adjustRightInd/>
        <w:snapToGrid/>
        <w:spacing w:after="26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23.4.</w:t>
      </w:r>
      <w:r>
        <w:rPr>
          <w:rFonts w:hint="eastAsia" w:ascii="宋体" w:hAnsi="宋体" w:eastAsia="宋体" w:cs="宋体"/>
          <w:color w:val="000000"/>
          <w:sz w:val="21"/>
          <w:szCs w:val="21"/>
          <w:highlight w:val="none"/>
        </w:rPr>
        <w:t>3承包人对监理人按第</w:t>
      </w:r>
      <w:r>
        <w:rPr>
          <w:rFonts w:hint="eastAsia" w:ascii="宋体" w:hAnsi="宋体" w:eastAsia="宋体" w:cs="宋体"/>
          <w:color w:val="000000"/>
          <w:sz w:val="21"/>
          <w:szCs w:val="21"/>
          <w:highlight w:val="none"/>
          <w:lang w:val="en-US"/>
        </w:rPr>
        <w:t>23.4.</w:t>
      </w:r>
      <w:r>
        <w:rPr>
          <w:rFonts w:hint="eastAsia" w:ascii="宋体" w:hAnsi="宋体" w:eastAsia="宋体" w:cs="宋体"/>
          <w:color w:val="000000"/>
          <w:sz w:val="21"/>
          <w:szCs w:val="21"/>
          <w:highlight w:val="none"/>
        </w:rPr>
        <w:t>1项发出的索赔书面通知内容持异议时，应在收到书面通知后的14天内，将持有异议的书面报告及其证明材料提交监理人。监理人应在收到 承包人书面报告后的14天内，将异议的处理意见通知承包人，并按第</w:t>
      </w:r>
      <w:r>
        <w:rPr>
          <w:rFonts w:hint="eastAsia" w:ascii="宋体" w:hAnsi="宋体" w:eastAsia="宋体" w:cs="宋体"/>
          <w:color w:val="000000"/>
          <w:sz w:val="21"/>
          <w:szCs w:val="21"/>
          <w:highlight w:val="none"/>
          <w:lang w:val="en-US"/>
        </w:rPr>
        <w:t>23.4.2</w:t>
      </w:r>
      <w:r>
        <w:rPr>
          <w:rFonts w:hint="eastAsia" w:ascii="宋体" w:hAnsi="宋体" w:eastAsia="宋体" w:cs="宋体"/>
          <w:color w:val="000000"/>
          <w:sz w:val="21"/>
          <w:szCs w:val="21"/>
          <w:highlight w:val="none"/>
        </w:rPr>
        <w:t>项的约定执 行赔付。若承包人不接受监理人的索赔处理意见，可按本合同第24条的规定办理。</w:t>
      </w:r>
    </w:p>
    <w:p>
      <w:pPr>
        <w:pStyle w:val="4"/>
        <w:pageBreakBefore w:val="0"/>
        <w:widowControl w:val="0"/>
        <w:kinsoku/>
        <w:wordWrap/>
        <w:overflowPunct/>
        <w:topLinePunct w:val="0"/>
        <w:autoSpaceDE/>
        <w:autoSpaceDN/>
        <w:bidi w:val="0"/>
        <w:adjustRightInd/>
        <w:snapToGrid/>
        <w:spacing w:before="0" w:after="0" w:line="380" w:lineRule="atLeast"/>
        <w:textAlignment w:val="auto"/>
        <w:rPr>
          <w:rFonts w:hint="eastAsia" w:ascii="宋体" w:hAnsi="宋体" w:eastAsia="宋体" w:cs="宋体"/>
          <w:color w:val="000000"/>
          <w:sz w:val="21"/>
          <w:szCs w:val="21"/>
          <w:highlight w:val="none"/>
        </w:rPr>
      </w:pPr>
      <w:bookmarkStart w:id="1682" w:name="bookmark1559"/>
      <w:bookmarkEnd w:id="1682"/>
      <w:bookmarkStart w:id="1683" w:name="bookmark1557"/>
      <w:bookmarkStart w:id="1684" w:name="_Toc7818"/>
      <w:bookmarkStart w:id="1685" w:name="bookmark1558"/>
      <w:bookmarkStart w:id="1686" w:name="_Toc10774"/>
      <w:bookmarkStart w:id="1687" w:name="bookmark1560"/>
      <w:bookmarkStart w:id="1688" w:name="_Toc32550"/>
      <w:bookmarkStart w:id="1689" w:name="_Toc30496"/>
      <w:r>
        <w:rPr>
          <w:rFonts w:hint="eastAsia" w:ascii="宋体" w:hAnsi="宋体" w:eastAsia="宋体" w:cs="宋体"/>
          <w:color w:val="000000"/>
          <w:sz w:val="21"/>
          <w:szCs w:val="21"/>
          <w:highlight w:val="none"/>
        </w:rPr>
        <w:t>24.争议的解决</w:t>
      </w:r>
      <w:bookmarkEnd w:id="1683"/>
      <w:bookmarkEnd w:id="1684"/>
      <w:bookmarkEnd w:id="1685"/>
      <w:bookmarkEnd w:id="1686"/>
      <w:bookmarkEnd w:id="1687"/>
      <w:bookmarkEnd w:id="1688"/>
      <w:bookmarkEnd w:id="1689"/>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90" w:name="_Toc4635"/>
      <w:bookmarkStart w:id="1691" w:name="_Toc12687"/>
      <w:bookmarkStart w:id="1692" w:name="bookmark1563"/>
      <w:bookmarkStart w:id="1693" w:name="bookmark1561"/>
      <w:bookmarkStart w:id="1694" w:name="_Toc30452"/>
      <w:bookmarkStart w:id="1695" w:name="_Toc27674"/>
      <w:bookmarkStart w:id="1696" w:name="bookmark1562"/>
      <w:r>
        <w:rPr>
          <w:rFonts w:hint="eastAsia" w:ascii="宋体" w:hAnsi="宋体" w:eastAsia="宋体" w:cs="宋体"/>
          <w:color w:val="000000"/>
          <w:sz w:val="21"/>
          <w:szCs w:val="21"/>
          <w:highlight w:val="none"/>
        </w:rPr>
        <w:t>24.1争议的解决方式</w:t>
      </w:r>
      <w:bookmarkEnd w:id="1690"/>
      <w:bookmarkEnd w:id="1691"/>
      <w:bookmarkEnd w:id="1692"/>
      <w:bookmarkEnd w:id="1693"/>
      <w:bookmarkEnd w:id="1694"/>
      <w:bookmarkEnd w:id="1695"/>
      <w:bookmarkEnd w:id="1696"/>
    </w:p>
    <w:p>
      <w:pPr>
        <w:pStyle w:val="163"/>
        <w:pageBreakBefore w:val="0"/>
        <w:widowControl w:val="0"/>
        <w:kinsoku/>
        <w:wordWrap/>
        <w:overflowPunct/>
        <w:topLinePunct w:val="0"/>
        <w:autoSpaceDE/>
        <w:autoSpaceDN/>
        <w:bidi w:val="0"/>
        <w:adjustRightInd/>
        <w:snapToGrid/>
        <w:spacing w:after="80" w:line="380" w:lineRule="atLeas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163"/>
        <w:pageBreakBefore w:val="0"/>
        <w:widowControl w:val="0"/>
        <w:numPr>
          <w:ilvl w:val="0"/>
          <w:numId w:val="34"/>
        </w:numPr>
        <w:tabs>
          <w:tab w:val="left" w:pos="901"/>
        </w:tabs>
        <w:kinsoku/>
        <w:wordWrap/>
        <w:overflowPunct/>
        <w:topLinePunct w:val="0"/>
        <w:autoSpaceDE/>
        <w:autoSpaceDN/>
        <w:bidi w:val="0"/>
        <w:adjustRightInd/>
        <w:snapToGrid/>
        <w:spacing w:line="380" w:lineRule="atLeast"/>
        <w:ind w:firstLine="420"/>
        <w:jc w:val="both"/>
        <w:textAlignment w:val="auto"/>
        <w:rPr>
          <w:rFonts w:hint="eastAsia" w:ascii="宋体" w:hAnsi="宋体" w:eastAsia="宋体" w:cs="宋体"/>
          <w:color w:val="000000"/>
          <w:sz w:val="21"/>
          <w:szCs w:val="21"/>
          <w:highlight w:val="none"/>
        </w:rPr>
      </w:pPr>
      <w:bookmarkStart w:id="1697" w:name="bookmark1564"/>
      <w:bookmarkEnd w:id="1697"/>
      <w:r>
        <w:rPr>
          <w:rFonts w:hint="eastAsia" w:ascii="宋体" w:hAnsi="宋体" w:eastAsia="宋体" w:cs="宋体"/>
          <w:color w:val="000000"/>
          <w:sz w:val="21"/>
          <w:szCs w:val="21"/>
          <w:highlight w:val="none"/>
        </w:rPr>
        <w:t>向约定的仲裁委员会申请仲裁；</w:t>
      </w:r>
    </w:p>
    <w:p>
      <w:pPr>
        <w:pStyle w:val="163"/>
        <w:pageBreakBefore w:val="0"/>
        <w:widowControl w:val="0"/>
        <w:numPr>
          <w:ilvl w:val="0"/>
          <w:numId w:val="34"/>
        </w:numPr>
        <w:tabs>
          <w:tab w:val="left" w:pos="901"/>
        </w:tabs>
        <w:kinsoku/>
        <w:wordWrap/>
        <w:overflowPunct/>
        <w:topLinePunct w:val="0"/>
        <w:autoSpaceDE/>
        <w:autoSpaceDN/>
        <w:bidi w:val="0"/>
        <w:adjustRightInd/>
        <w:snapToGrid/>
        <w:spacing w:line="380" w:lineRule="atLeast"/>
        <w:ind w:firstLine="420"/>
        <w:jc w:val="both"/>
        <w:textAlignment w:val="auto"/>
        <w:rPr>
          <w:rFonts w:hint="eastAsia" w:ascii="宋体" w:hAnsi="宋体" w:eastAsia="宋体" w:cs="宋体"/>
          <w:color w:val="000000"/>
          <w:sz w:val="21"/>
          <w:szCs w:val="21"/>
          <w:highlight w:val="none"/>
        </w:rPr>
      </w:pPr>
      <w:bookmarkStart w:id="1698" w:name="bookmark1565"/>
      <w:bookmarkEnd w:id="1698"/>
      <w:r>
        <w:rPr>
          <w:rFonts w:hint="eastAsia" w:ascii="宋体" w:hAnsi="宋体" w:eastAsia="宋体" w:cs="宋体"/>
          <w:color w:val="000000"/>
          <w:sz w:val="21"/>
          <w:szCs w:val="21"/>
          <w:highlight w:val="none"/>
        </w:rPr>
        <w:t>向有管辖权的人民法院提起诉讼。</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99" w:name="bookmark1567"/>
      <w:bookmarkStart w:id="1700" w:name="_Toc4075"/>
      <w:bookmarkStart w:id="1701" w:name="_Toc27422"/>
      <w:bookmarkStart w:id="1702" w:name="bookmark1566"/>
      <w:bookmarkStart w:id="1703" w:name="_Toc25887"/>
      <w:bookmarkStart w:id="1704" w:name="bookmark1568"/>
      <w:bookmarkStart w:id="1705" w:name="_Toc13288"/>
      <w:r>
        <w:rPr>
          <w:rFonts w:hint="eastAsia" w:ascii="宋体" w:hAnsi="宋体" w:eastAsia="宋体" w:cs="宋体"/>
          <w:color w:val="000000"/>
          <w:sz w:val="21"/>
          <w:szCs w:val="21"/>
          <w:highlight w:val="none"/>
        </w:rPr>
        <w:t>24.2友好解决</w:t>
      </w:r>
      <w:bookmarkEnd w:id="1699"/>
      <w:bookmarkEnd w:id="1700"/>
      <w:bookmarkEnd w:id="1701"/>
      <w:bookmarkEnd w:id="1702"/>
      <w:bookmarkEnd w:id="1703"/>
      <w:bookmarkEnd w:id="1704"/>
      <w:bookmarkEnd w:id="1705"/>
    </w:p>
    <w:p>
      <w:pPr>
        <w:pStyle w:val="163"/>
        <w:pageBreakBefore w:val="0"/>
        <w:widowControl w:val="0"/>
        <w:kinsoku/>
        <w:wordWrap/>
        <w:overflowPunct/>
        <w:topLinePunct w:val="0"/>
        <w:autoSpaceDE/>
        <w:autoSpaceDN/>
        <w:bidi w:val="0"/>
        <w:adjustRightInd/>
        <w:snapToGrid/>
        <w:spacing w:after="14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在提请争议评审、仲裁或者诉讼前，以及在争议评审、仲裁或诉讼过程中，发包人和承包人均可共同努力友好协商解决争议。</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706" w:name="_Toc17131"/>
      <w:bookmarkStart w:id="1707" w:name="_Toc15827"/>
      <w:bookmarkStart w:id="1708" w:name="bookmark1570"/>
      <w:bookmarkStart w:id="1709" w:name="bookmark1569"/>
      <w:bookmarkStart w:id="1710" w:name="_Toc12305"/>
      <w:bookmarkStart w:id="1711" w:name="_Toc31766"/>
      <w:bookmarkStart w:id="1712" w:name="bookmark1571"/>
      <w:r>
        <w:rPr>
          <w:rFonts w:hint="eastAsia" w:ascii="宋体" w:hAnsi="宋体" w:eastAsia="宋体" w:cs="宋体"/>
          <w:color w:val="000000"/>
          <w:sz w:val="21"/>
          <w:szCs w:val="21"/>
          <w:highlight w:val="none"/>
        </w:rPr>
        <w:t>24.3争议评审</w:t>
      </w:r>
      <w:bookmarkEnd w:id="1706"/>
      <w:bookmarkEnd w:id="1707"/>
      <w:bookmarkEnd w:id="1708"/>
      <w:bookmarkEnd w:id="1709"/>
      <w:bookmarkEnd w:id="1710"/>
      <w:bookmarkEnd w:id="1711"/>
      <w:bookmarkEnd w:id="1712"/>
    </w:p>
    <w:p>
      <w:pPr>
        <w:pStyle w:val="163"/>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24.3.1</w:t>
      </w:r>
      <w:r>
        <w:rPr>
          <w:rFonts w:hint="eastAsia" w:ascii="宋体" w:hAnsi="宋体" w:eastAsia="宋体" w:cs="宋体"/>
          <w:color w:val="000000"/>
          <w:sz w:val="21"/>
          <w:szCs w:val="21"/>
          <w:highlight w:val="none"/>
        </w:rPr>
        <w:t>采用争议评审的，发包人和承包人应在开工日后的28天内或在争议发生后</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协商成立争议评审组。争议评审组由有合同管理和工程实践经验的专家组成。</w:t>
      </w:r>
    </w:p>
    <w:p>
      <w:pPr>
        <w:pStyle w:val="163"/>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24.3.2</w:t>
      </w:r>
      <w:r>
        <w:rPr>
          <w:rFonts w:hint="eastAsia" w:ascii="宋体" w:hAnsi="宋体" w:eastAsia="宋体" w:cs="宋体"/>
          <w:color w:val="000000"/>
          <w:sz w:val="21"/>
          <w:szCs w:val="21"/>
          <w:highlight w:val="none"/>
        </w:rPr>
        <w:t>合同双方的争议，应首先由申请人向争议评审组提交一份详细的评审申请报告，并附必要的文件、图纸和证明材料，申请人还应将上述报告的副本同时提交给被申请人和监理人。</w:t>
      </w:r>
    </w:p>
    <w:p>
      <w:pPr>
        <w:pStyle w:val="163"/>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24.3.3</w:t>
      </w:r>
      <w:r>
        <w:rPr>
          <w:rFonts w:hint="eastAsia" w:ascii="宋体" w:hAnsi="宋体" w:eastAsia="宋体" w:cs="宋体"/>
          <w:color w:val="000000"/>
          <w:sz w:val="21"/>
          <w:szCs w:val="21"/>
          <w:highlight w:val="none"/>
        </w:rPr>
        <w:t>被申请人在收到申请人评审申请报告副本后的28天内，向争议评审组提交一份答辩报告，并附证明材料。被申请人应将答辩报告的副本同时提交给申请人和监理人。</w:t>
      </w:r>
    </w:p>
    <w:p>
      <w:pPr>
        <w:pStyle w:val="163"/>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24.3.4</w:t>
      </w:r>
      <w:r>
        <w:rPr>
          <w:rFonts w:hint="eastAsia" w:ascii="宋体" w:hAnsi="宋体" w:eastAsia="宋体" w:cs="宋体"/>
          <w:color w:val="000000"/>
          <w:sz w:val="21"/>
          <w:szCs w:val="21"/>
          <w:highlight w:val="none"/>
        </w:rPr>
        <w:t>除专用合同条款另有约定外，争议评审组在收到合同双方报告后的14天内， 邀请双方代表和有关人员举行调查会，向双方调查争议细节；必要时争议评审组可要求双方进一步提供补充材料。</w:t>
      </w:r>
    </w:p>
    <w:p>
      <w:pPr>
        <w:pStyle w:val="163"/>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713" w:name="bookmark1572"/>
      <w:bookmarkEnd w:id="1713"/>
      <w:r>
        <w:rPr>
          <w:rFonts w:hint="eastAsia" w:ascii="宋体" w:hAnsi="宋体" w:eastAsia="宋体" w:cs="宋体"/>
          <w:color w:val="000000"/>
          <w:sz w:val="21"/>
          <w:szCs w:val="21"/>
          <w:highlight w:val="none"/>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pPr>
        <w:pStyle w:val="163"/>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24.3.6</w:t>
      </w:r>
      <w:r>
        <w:rPr>
          <w:rFonts w:hint="eastAsia" w:ascii="宋体" w:hAnsi="宋体" w:eastAsia="宋体" w:cs="宋体"/>
          <w:color w:val="000000"/>
          <w:sz w:val="21"/>
          <w:szCs w:val="21"/>
          <w:highlight w:val="none"/>
        </w:rPr>
        <w:t>发包人和承包人接受评审意见的，由监理人根据评审意见拟定执行协议，经争议双方签字后作为合同的补充文件，并遵照执行。</w:t>
      </w:r>
    </w:p>
    <w:p>
      <w:pPr>
        <w:pStyle w:val="163"/>
        <w:pageBreakBefore w:val="0"/>
        <w:widowControl w:val="0"/>
        <w:kinsoku/>
        <w:wordWrap/>
        <w:overflowPunct/>
        <w:topLinePunct w:val="0"/>
        <w:autoSpaceDE/>
        <w:autoSpaceDN/>
        <w:bidi w:val="0"/>
        <w:adjustRightInd/>
        <w:snapToGrid/>
        <w:spacing w:after="14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24.3.7</w:t>
      </w:r>
      <w:r>
        <w:rPr>
          <w:rFonts w:hint="eastAsia" w:ascii="宋体" w:hAnsi="宋体" w:eastAsia="宋体" w:cs="宋体"/>
          <w:color w:val="000000"/>
          <w:sz w:val="21"/>
          <w:szCs w:val="21"/>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714" w:name="_Toc21369"/>
      <w:bookmarkStart w:id="1715" w:name="_Toc548"/>
      <w:bookmarkStart w:id="1716" w:name="bookmark1574"/>
      <w:bookmarkStart w:id="1717" w:name="bookmark1575"/>
      <w:bookmarkStart w:id="1718" w:name="bookmark1573"/>
      <w:bookmarkStart w:id="1719" w:name="_Toc9029"/>
      <w:bookmarkStart w:id="1720" w:name="_Toc22823"/>
      <w:r>
        <w:rPr>
          <w:rFonts w:hint="eastAsia" w:ascii="宋体" w:hAnsi="宋体" w:eastAsia="宋体" w:cs="宋体"/>
          <w:color w:val="000000"/>
          <w:sz w:val="21"/>
          <w:szCs w:val="21"/>
          <w:highlight w:val="none"/>
        </w:rPr>
        <w:t>24.4仲裁</w:t>
      </w:r>
      <w:bookmarkEnd w:id="1714"/>
      <w:bookmarkEnd w:id="1715"/>
      <w:bookmarkEnd w:id="1716"/>
      <w:bookmarkEnd w:id="1717"/>
      <w:bookmarkEnd w:id="1718"/>
      <w:bookmarkEnd w:id="1719"/>
      <w:bookmarkEnd w:id="1720"/>
    </w:p>
    <w:p>
      <w:pPr>
        <w:pStyle w:val="163"/>
        <w:pageBreakBefore w:val="0"/>
        <w:widowControl w:val="0"/>
        <w:kinsoku/>
        <w:wordWrap/>
        <w:overflowPunct/>
        <w:topLinePunct w:val="0"/>
        <w:autoSpaceDE/>
        <w:autoSpaceDN/>
        <w:bidi w:val="0"/>
        <w:adjustRightInd/>
        <w:snapToGrid/>
        <w:spacing w:line="380" w:lineRule="atLeas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24.4.1</w:t>
      </w:r>
      <w:r>
        <w:rPr>
          <w:rFonts w:hint="eastAsia" w:ascii="宋体" w:hAnsi="宋体" w:eastAsia="宋体" w:cs="宋体"/>
          <w:color w:val="000000"/>
          <w:sz w:val="21"/>
          <w:szCs w:val="21"/>
          <w:highlight w:val="none"/>
        </w:rPr>
        <w:t>若合同双方商定直接向仲裁机构申请仲裁，应签订仲裁协议并约定仲裁机构。</w:t>
      </w:r>
    </w:p>
    <w:p>
      <w:pPr>
        <w:pStyle w:val="163"/>
        <w:pageBreakBefore w:val="0"/>
        <w:widowControl w:val="0"/>
        <w:kinsoku/>
        <w:wordWrap/>
        <w:overflowPunct/>
        <w:topLinePunct w:val="0"/>
        <w:autoSpaceDE/>
        <w:autoSpaceDN/>
        <w:bidi w:val="0"/>
        <w:adjustRightInd/>
        <w:snapToGrid/>
        <w:spacing w:after="14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24.4.2</w:t>
      </w:r>
      <w:r>
        <w:rPr>
          <w:rFonts w:hint="eastAsia" w:ascii="宋体" w:hAnsi="宋体" w:eastAsia="宋体" w:cs="宋体"/>
          <w:color w:val="000000"/>
          <w:sz w:val="21"/>
          <w:szCs w:val="21"/>
          <w:highlight w:val="none"/>
        </w:rPr>
        <w:t>若合同双方未能达成仲裁协议，则本合同的仲裁条款无效，任一方均有权向人民法院提起诉讼。</w:t>
      </w:r>
    </w:p>
    <w:p>
      <w:pPr>
        <w:pStyle w:val="3"/>
        <w:jc w:val="center"/>
        <w:rPr>
          <w:rFonts w:hint="eastAsia" w:ascii="宋体" w:hAnsi="宋体" w:eastAsia="宋体" w:cs="宋体"/>
          <w:color w:val="000000"/>
          <w:highlight w:val="none"/>
        </w:rPr>
      </w:pPr>
      <w:bookmarkStart w:id="1721" w:name="_Toc13794"/>
      <w:bookmarkStart w:id="1722" w:name="bookmark1577"/>
      <w:bookmarkStart w:id="1723" w:name="_Toc30316"/>
      <w:bookmarkStart w:id="1724" w:name="_Toc10488"/>
      <w:bookmarkStart w:id="1725" w:name="_Toc1972"/>
      <w:bookmarkStart w:id="1726" w:name="_Toc27368"/>
      <w:bookmarkStart w:id="1727" w:name="bookmark1578"/>
      <w:bookmarkStart w:id="1728" w:name="_Toc38474927"/>
      <w:bookmarkStart w:id="1729" w:name="bookmark1576"/>
      <w:r>
        <w:rPr>
          <w:rFonts w:hint="eastAsia" w:ascii="宋体" w:hAnsi="宋体" w:eastAsia="宋体" w:cs="宋体"/>
          <w:color w:val="000000"/>
          <w:highlight w:val="none"/>
        </w:rPr>
        <w:t>第二节 专用合同条款</w:t>
      </w:r>
      <w:bookmarkEnd w:id="1721"/>
      <w:bookmarkEnd w:id="1722"/>
      <w:bookmarkEnd w:id="1723"/>
      <w:bookmarkEnd w:id="1724"/>
      <w:bookmarkEnd w:id="1725"/>
      <w:bookmarkEnd w:id="1726"/>
      <w:bookmarkEnd w:id="1727"/>
      <w:bookmarkEnd w:id="1728"/>
      <w:bookmarkEnd w:id="1729"/>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730" w:name="bookmark1581"/>
      <w:bookmarkEnd w:id="1730"/>
      <w:bookmarkStart w:id="1731" w:name="bookmark1580"/>
      <w:bookmarkStart w:id="1732" w:name="_Toc21852"/>
      <w:bookmarkStart w:id="1733" w:name="_Toc17376"/>
      <w:bookmarkStart w:id="1734" w:name="_Toc32682"/>
      <w:bookmarkStart w:id="1735" w:name="bookmark1579"/>
      <w:bookmarkStart w:id="1736" w:name="bookmark1582"/>
      <w:bookmarkStart w:id="1737" w:name="_Toc22641"/>
      <w:bookmarkStart w:id="1738" w:name="_Toc38474928"/>
      <w:bookmarkStart w:id="1739" w:name="_Toc30818"/>
      <w:r>
        <w:rPr>
          <w:rFonts w:hint="eastAsia" w:ascii="宋体" w:hAnsi="宋体" w:eastAsia="宋体" w:cs="宋体"/>
          <w:color w:val="000000"/>
          <w:sz w:val="21"/>
          <w:szCs w:val="21"/>
          <w:highlight w:val="none"/>
        </w:rPr>
        <w:t>1. 一般约定</w:t>
      </w:r>
      <w:bookmarkEnd w:id="1731"/>
      <w:bookmarkEnd w:id="1732"/>
      <w:bookmarkEnd w:id="1733"/>
      <w:bookmarkEnd w:id="1734"/>
      <w:bookmarkEnd w:id="1735"/>
      <w:bookmarkEnd w:id="1736"/>
      <w:bookmarkEnd w:id="1737"/>
      <w:bookmarkEnd w:id="1738"/>
      <w:bookmarkEnd w:id="1739"/>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kern w:val="0"/>
          <w:sz w:val="21"/>
          <w:szCs w:val="21"/>
          <w:highlight w:val="none"/>
        </w:rPr>
      </w:pPr>
      <w:bookmarkStart w:id="1740" w:name="bookmark1584"/>
      <w:bookmarkStart w:id="1741" w:name="bookmark1585"/>
      <w:bookmarkStart w:id="1742" w:name="bookmark1583"/>
      <w:r>
        <w:rPr>
          <w:rFonts w:hint="eastAsia" w:ascii="宋体" w:hAnsi="宋体" w:eastAsia="宋体" w:cs="宋体"/>
          <w:b/>
          <w:bCs/>
          <w:color w:val="000000"/>
          <w:kern w:val="0"/>
          <w:sz w:val="21"/>
          <w:szCs w:val="21"/>
          <w:highlight w:val="none"/>
        </w:rPr>
        <w:t>1.1词语定义</w:t>
      </w:r>
      <w:bookmarkEnd w:id="1740"/>
      <w:bookmarkEnd w:id="1741"/>
      <w:bookmarkEnd w:id="1742"/>
    </w:p>
    <w:p>
      <w:pPr>
        <w:pStyle w:val="163"/>
        <w:pageBreakBefore w:val="0"/>
        <w:widowControl w:val="0"/>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w:t>
      </w:r>
      <w:r>
        <w:rPr>
          <w:rFonts w:hint="eastAsia" w:ascii="宋体" w:hAnsi="宋体" w:eastAsia="宋体" w:cs="宋体"/>
          <w:color w:val="000000"/>
          <w:sz w:val="21"/>
          <w:szCs w:val="21"/>
          <w:highlight w:val="none"/>
        </w:rPr>
        <w:t>合同当事人和人员</w:t>
      </w:r>
    </w:p>
    <w:p>
      <w:pPr>
        <w:pStyle w:val="164"/>
        <w:pageBreakBefore w:val="0"/>
        <w:widowControl w:val="0"/>
        <w:tabs>
          <w:tab w:val="left" w:pos="4064"/>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1. 1. 2. </w:t>
      </w:r>
      <w:r>
        <w:rPr>
          <w:rFonts w:hint="eastAsia" w:ascii="宋体" w:hAnsi="宋体" w:eastAsia="宋体" w:cs="宋体"/>
          <w:color w:val="000000"/>
          <w:sz w:val="21"/>
          <w:szCs w:val="21"/>
          <w:highlight w:val="none"/>
          <w:lang w:val="zh-CN"/>
        </w:rPr>
        <w:t>2 发包人：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pPr>
        <w:pStyle w:val="164"/>
        <w:pageBreakBefore w:val="0"/>
        <w:widowControl w:val="0"/>
        <w:tabs>
          <w:tab w:val="left" w:pos="4066"/>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1. 1. 2. </w:t>
      </w:r>
      <w:r>
        <w:rPr>
          <w:rFonts w:hint="eastAsia" w:ascii="宋体" w:hAnsi="宋体" w:eastAsia="宋体" w:cs="宋体"/>
          <w:color w:val="000000"/>
          <w:sz w:val="21"/>
          <w:szCs w:val="21"/>
          <w:highlight w:val="none"/>
          <w:lang w:val="zh-CN"/>
        </w:rPr>
        <w:t>3 承包人：</w:t>
      </w:r>
      <w:r>
        <w:rPr>
          <w:rFonts w:hint="eastAsia" w:ascii="宋体" w:hAnsi="宋体" w:eastAsia="宋体" w:cs="宋体"/>
          <w:color w:val="000000"/>
          <w:spacing w:val="-1"/>
          <w:sz w:val="21"/>
          <w:szCs w:val="21"/>
          <w:highlight w:val="none"/>
          <w:u w:val="single"/>
        </w:rPr>
        <w:t>(签约后填入承包人的名称)</w:t>
      </w:r>
      <w:r>
        <w:rPr>
          <w:rFonts w:hint="eastAsia" w:ascii="宋体" w:hAnsi="宋体" w:eastAsia="宋体" w:cs="宋体"/>
          <w:color w:val="000000"/>
          <w:sz w:val="21"/>
          <w:szCs w:val="21"/>
          <w:highlight w:val="none"/>
        </w:rPr>
        <w:t>。</w:t>
      </w:r>
    </w:p>
    <w:p>
      <w:pPr>
        <w:pStyle w:val="164"/>
        <w:pageBreakBefore w:val="0"/>
        <w:widowControl w:val="0"/>
        <w:tabs>
          <w:tab w:val="left" w:pos="4064"/>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1. 1. 2. </w:t>
      </w:r>
      <w:r>
        <w:rPr>
          <w:rFonts w:hint="eastAsia" w:ascii="宋体" w:hAnsi="宋体" w:eastAsia="宋体" w:cs="宋体"/>
          <w:color w:val="000000"/>
          <w:sz w:val="21"/>
          <w:szCs w:val="21"/>
          <w:highlight w:val="none"/>
          <w:lang w:val="zh-CN"/>
        </w:rPr>
        <w:t>5 分包人:</w:t>
      </w:r>
      <w:r>
        <w:rPr>
          <w:rFonts w:hint="eastAsia" w:ascii="宋体" w:hAnsi="宋体" w:eastAsia="宋体" w:cs="宋体"/>
          <w:color w:val="000000"/>
          <w:spacing w:val="12"/>
          <w:sz w:val="21"/>
          <w:szCs w:val="21"/>
          <w:highlight w:val="none"/>
          <w:u w:val="single"/>
        </w:rPr>
        <w:t xml:space="preserve"> (填入项目经理名称)</w:t>
      </w:r>
      <w:r>
        <w:rPr>
          <w:rFonts w:hint="eastAsia" w:ascii="宋体" w:hAnsi="宋体" w:eastAsia="宋体" w:cs="宋体"/>
          <w:color w:val="000000"/>
          <w:sz w:val="21"/>
          <w:szCs w:val="21"/>
          <w:highlight w:val="none"/>
        </w:rPr>
        <w:t>。</w:t>
      </w:r>
    </w:p>
    <w:p>
      <w:pPr>
        <w:pStyle w:val="164"/>
        <w:pageBreakBefore w:val="0"/>
        <w:widowControl w:val="0"/>
        <w:tabs>
          <w:tab w:val="left" w:pos="4064"/>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1. 1.2.6 </w:t>
      </w:r>
      <w:r>
        <w:rPr>
          <w:rFonts w:hint="eastAsia" w:ascii="宋体" w:hAnsi="宋体" w:eastAsia="宋体" w:cs="宋体"/>
          <w:color w:val="000000"/>
          <w:sz w:val="21"/>
          <w:szCs w:val="21"/>
          <w:highlight w:val="none"/>
          <w:lang w:val="zh-CN"/>
        </w:rPr>
        <w:t>监理人：</w:t>
      </w:r>
      <w:r>
        <w:rPr>
          <w:rFonts w:hint="eastAsia" w:ascii="宋体" w:hAnsi="宋体" w:eastAsia="宋体" w:cs="宋体"/>
          <w:color w:val="000000"/>
          <w:spacing w:val="9"/>
          <w:sz w:val="21"/>
          <w:szCs w:val="21"/>
          <w:highlight w:val="none"/>
          <w:u w:val="single"/>
        </w:rPr>
        <w:t>(填入监理人名称)</w:t>
      </w:r>
      <w:r>
        <w:rPr>
          <w:rFonts w:hint="eastAsia" w:ascii="宋体" w:hAnsi="宋体" w:eastAsia="宋体" w:cs="宋体"/>
          <w:color w:val="000000"/>
          <w:sz w:val="21"/>
          <w:szCs w:val="21"/>
          <w:highlight w:val="none"/>
        </w:rPr>
        <w:t>。</w:t>
      </w:r>
    </w:p>
    <w:p>
      <w:pPr>
        <w:pStyle w:val="164"/>
        <w:pageBreakBefore w:val="0"/>
        <w:widowControl w:val="0"/>
        <w:tabs>
          <w:tab w:val="left" w:pos="3649"/>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1.1.4 </w:t>
      </w:r>
      <w:r>
        <w:rPr>
          <w:rFonts w:hint="eastAsia" w:ascii="宋体" w:hAnsi="宋体" w:eastAsia="宋体" w:cs="宋体"/>
          <w:color w:val="000000"/>
          <w:sz w:val="21"/>
          <w:szCs w:val="21"/>
          <w:highlight w:val="none"/>
          <w:lang w:val="zh-CN"/>
        </w:rPr>
        <w:t>日期：</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w:t>
      </w:r>
    </w:p>
    <w:p>
      <w:pPr>
        <w:pStyle w:val="163"/>
        <w:pageBreakBefore w:val="0"/>
        <w:widowControl w:val="0"/>
        <w:tabs>
          <w:tab w:val="left" w:pos="6303"/>
        </w:tabs>
        <w:kinsoku/>
        <w:wordWrap/>
        <w:overflowPunct/>
        <w:topLinePunct w:val="0"/>
        <w:autoSpaceDE/>
        <w:autoSpaceDN/>
        <w:bidi w:val="0"/>
        <w:adjustRightInd/>
        <w:snapToGrid/>
        <w:spacing w:after="240" w:line="400" w:lineRule="exact"/>
        <w:ind w:firstLine="44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rPr>
        <w:t xml:space="preserve">1. 1.4. </w:t>
      </w:r>
      <w:r>
        <w:rPr>
          <w:rFonts w:hint="eastAsia" w:ascii="宋体" w:hAnsi="宋体" w:eastAsia="宋体" w:cs="宋体"/>
          <w:color w:val="000000"/>
          <w:sz w:val="21"/>
          <w:szCs w:val="21"/>
          <w:highlight w:val="none"/>
        </w:rPr>
        <w:t xml:space="preserve">5缺陷责任期(工程质量保修期): </w:t>
      </w:r>
      <w:r>
        <w:rPr>
          <w:rFonts w:hint="eastAsia" w:ascii="宋体" w:hAnsi="宋体" w:eastAsia="宋体" w:cs="宋体"/>
          <w:color w:val="000000"/>
          <w:sz w:val="21"/>
          <w:szCs w:val="21"/>
          <w:highlight w:val="none"/>
          <w:u w:val="single"/>
        </w:rPr>
        <w:t>工程竣工验收日后一年（竣工验收日期：在承包人完成工程竣工验收资料和工程结算资料并提交符合规范要求的竣工验收材料给发包人之日起，发包人于二个月内完成竣工验收）</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kern w:val="0"/>
          <w:sz w:val="21"/>
          <w:szCs w:val="21"/>
          <w:highlight w:val="none"/>
        </w:rPr>
      </w:pPr>
      <w:bookmarkStart w:id="1743" w:name="bookmark1586"/>
      <w:bookmarkStart w:id="1744" w:name="bookmark1587"/>
      <w:bookmarkStart w:id="1745" w:name="bookmark1588"/>
      <w:r>
        <w:rPr>
          <w:rFonts w:hint="eastAsia" w:ascii="宋体" w:hAnsi="宋体" w:eastAsia="宋体" w:cs="宋体"/>
          <w:b/>
          <w:bCs/>
          <w:color w:val="000000"/>
          <w:kern w:val="0"/>
          <w:sz w:val="21"/>
          <w:szCs w:val="21"/>
          <w:highlight w:val="none"/>
        </w:rPr>
        <w:t>1.4合同文件的优先顺序</w:t>
      </w:r>
      <w:bookmarkEnd w:id="1743"/>
      <w:bookmarkEnd w:id="1744"/>
      <w:bookmarkEnd w:id="1745"/>
    </w:p>
    <w:p>
      <w:pPr>
        <w:pStyle w:val="163"/>
        <w:pageBreakBefore w:val="0"/>
        <w:widowControl w:val="0"/>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进入合同的各项文件及其优先顺序如下：</w:t>
      </w:r>
    </w:p>
    <w:p>
      <w:pPr>
        <w:pStyle w:val="163"/>
        <w:pageBreakBefore w:val="0"/>
        <w:widowControl w:val="0"/>
        <w:numPr>
          <w:ilvl w:val="0"/>
          <w:numId w:val="35"/>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46" w:name="bookmark1589"/>
      <w:bookmarkEnd w:id="1746"/>
      <w:r>
        <w:rPr>
          <w:rFonts w:hint="eastAsia" w:ascii="宋体" w:hAnsi="宋体" w:eastAsia="宋体" w:cs="宋体"/>
          <w:color w:val="000000"/>
          <w:sz w:val="21"/>
          <w:szCs w:val="21"/>
          <w:highlight w:val="none"/>
        </w:rPr>
        <w:t>合同协议书(包括补充协议、合同谈判备忘录)；</w:t>
      </w:r>
    </w:p>
    <w:p>
      <w:pPr>
        <w:pStyle w:val="163"/>
        <w:pageBreakBefore w:val="0"/>
        <w:widowControl w:val="0"/>
        <w:numPr>
          <w:ilvl w:val="0"/>
          <w:numId w:val="35"/>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47" w:name="bookmark1590"/>
      <w:bookmarkEnd w:id="1747"/>
      <w:r>
        <w:rPr>
          <w:rFonts w:hint="eastAsia" w:ascii="宋体" w:hAnsi="宋体" w:eastAsia="宋体" w:cs="宋体"/>
          <w:color w:val="000000"/>
          <w:sz w:val="21"/>
          <w:szCs w:val="21"/>
          <w:highlight w:val="none"/>
        </w:rPr>
        <w:t>中标通知书；</w:t>
      </w:r>
    </w:p>
    <w:p>
      <w:pPr>
        <w:pStyle w:val="163"/>
        <w:pageBreakBefore w:val="0"/>
        <w:widowControl w:val="0"/>
        <w:numPr>
          <w:ilvl w:val="0"/>
          <w:numId w:val="35"/>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48" w:name="bookmark1591"/>
      <w:bookmarkEnd w:id="1748"/>
      <w:r>
        <w:rPr>
          <w:rFonts w:hint="eastAsia" w:ascii="宋体" w:hAnsi="宋体" w:eastAsia="宋体" w:cs="宋体"/>
          <w:color w:val="000000"/>
          <w:sz w:val="21"/>
          <w:szCs w:val="21"/>
          <w:highlight w:val="none"/>
        </w:rPr>
        <w:t>投标函及投标函附录；</w:t>
      </w:r>
    </w:p>
    <w:p>
      <w:pPr>
        <w:pStyle w:val="163"/>
        <w:pageBreakBefore w:val="0"/>
        <w:widowControl w:val="0"/>
        <w:numPr>
          <w:ilvl w:val="0"/>
          <w:numId w:val="35"/>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49" w:name="bookmark1592"/>
      <w:bookmarkEnd w:id="1749"/>
      <w:r>
        <w:rPr>
          <w:rFonts w:hint="eastAsia" w:ascii="宋体" w:hAnsi="宋体" w:eastAsia="宋体" w:cs="宋体"/>
          <w:color w:val="000000"/>
          <w:sz w:val="21"/>
          <w:szCs w:val="21"/>
          <w:highlight w:val="none"/>
        </w:rPr>
        <w:t>通用合同条款(含附加条款)；</w:t>
      </w:r>
    </w:p>
    <w:p>
      <w:pPr>
        <w:pStyle w:val="163"/>
        <w:pageBreakBefore w:val="0"/>
        <w:widowControl w:val="0"/>
        <w:numPr>
          <w:ilvl w:val="0"/>
          <w:numId w:val="35"/>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0" w:name="bookmark1593"/>
      <w:bookmarkEnd w:id="1750"/>
      <w:r>
        <w:rPr>
          <w:rFonts w:hint="eastAsia" w:ascii="宋体" w:hAnsi="宋体" w:eastAsia="宋体" w:cs="宋体"/>
          <w:color w:val="000000"/>
          <w:sz w:val="21"/>
          <w:szCs w:val="21"/>
          <w:highlight w:val="none"/>
        </w:rPr>
        <w:t>专用合同条款；</w:t>
      </w:r>
    </w:p>
    <w:p>
      <w:pPr>
        <w:pStyle w:val="163"/>
        <w:pageBreakBefore w:val="0"/>
        <w:widowControl w:val="0"/>
        <w:numPr>
          <w:ilvl w:val="0"/>
          <w:numId w:val="35"/>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1" w:name="bookmark1594"/>
      <w:bookmarkEnd w:id="1751"/>
      <w:r>
        <w:rPr>
          <w:rFonts w:hint="eastAsia" w:ascii="宋体" w:hAnsi="宋体" w:eastAsia="宋体" w:cs="宋体"/>
          <w:color w:val="000000"/>
          <w:sz w:val="21"/>
          <w:szCs w:val="21"/>
          <w:highlight w:val="none"/>
        </w:rPr>
        <w:t>技术标准和要求(合同技术条款)；</w:t>
      </w:r>
    </w:p>
    <w:p>
      <w:pPr>
        <w:pStyle w:val="163"/>
        <w:pageBreakBefore w:val="0"/>
        <w:widowControl w:val="0"/>
        <w:numPr>
          <w:ilvl w:val="0"/>
          <w:numId w:val="35"/>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2" w:name="bookmark1595"/>
      <w:bookmarkEnd w:id="1752"/>
      <w:r>
        <w:rPr>
          <w:rFonts w:hint="eastAsia" w:ascii="宋体" w:hAnsi="宋体" w:eastAsia="宋体" w:cs="宋体"/>
          <w:color w:val="000000"/>
          <w:sz w:val="21"/>
          <w:szCs w:val="21"/>
          <w:highlight w:val="none"/>
        </w:rPr>
        <w:t>图纸；</w:t>
      </w:r>
    </w:p>
    <w:p>
      <w:pPr>
        <w:pStyle w:val="163"/>
        <w:pageBreakBefore w:val="0"/>
        <w:widowControl w:val="0"/>
        <w:numPr>
          <w:ilvl w:val="0"/>
          <w:numId w:val="35"/>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3" w:name="bookmark1596"/>
      <w:bookmarkEnd w:id="1753"/>
      <w:r>
        <w:rPr>
          <w:rFonts w:hint="eastAsia" w:ascii="宋体" w:hAnsi="宋体" w:eastAsia="宋体" w:cs="宋体"/>
          <w:color w:val="000000"/>
          <w:sz w:val="21"/>
          <w:szCs w:val="21"/>
          <w:highlight w:val="none"/>
        </w:rPr>
        <w:t>已标价工程量清单；</w:t>
      </w:r>
    </w:p>
    <w:p>
      <w:pPr>
        <w:pStyle w:val="163"/>
        <w:pageBreakBefore w:val="0"/>
        <w:widowControl w:val="0"/>
        <w:numPr>
          <w:ilvl w:val="0"/>
          <w:numId w:val="35"/>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4" w:name="bookmark1597"/>
      <w:bookmarkEnd w:id="1754"/>
      <w:r>
        <w:rPr>
          <w:rFonts w:hint="eastAsia" w:ascii="宋体" w:hAnsi="宋体" w:eastAsia="宋体" w:cs="宋体"/>
          <w:color w:val="000000"/>
          <w:sz w:val="21"/>
          <w:szCs w:val="21"/>
          <w:highlight w:val="none"/>
        </w:rPr>
        <w:t>投标文件其他内容；</w:t>
      </w:r>
    </w:p>
    <w:p>
      <w:pPr>
        <w:pStyle w:val="163"/>
        <w:pageBreakBefore w:val="0"/>
        <w:widowControl w:val="0"/>
        <w:numPr>
          <w:ilvl w:val="0"/>
          <w:numId w:val="35"/>
        </w:numPr>
        <w:tabs>
          <w:tab w:val="left" w:pos="1026"/>
        </w:tabs>
        <w:kinsoku/>
        <w:wordWrap/>
        <w:overflowPunct/>
        <w:topLinePunct w:val="0"/>
        <w:autoSpaceDE/>
        <w:autoSpaceDN/>
        <w:bidi w:val="0"/>
        <w:adjustRightInd/>
        <w:snapToGrid/>
        <w:spacing w:after="240" w:line="400" w:lineRule="exact"/>
        <w:ind w:firstLine="440"/>
        <w:textAlignment w:val="auto"/>
        <w:rPr>
          <w:rFonts w:hint="eastAsia" w:ascii="宋体" w:hAnsi="宋体" w:eastAsia="宋体" w:cs="宋体"/>
          <w:color w:val="000000"/>
          <w:sz w:val="21"/>
          <w:szCs w:val="21"/>
          <w:highlight w:val="none"/>
        </w:rPr>
      </w:pPr>
      <w:bookmarkStart w:id="1755" w:name="bookmark1598"/>
      <w:bookmarkEnd w:id="1755"/>
      <w:r>
        <w:rPr>
          <w:rFonts w:hint="eastAsia" w:ascii="宋体" w:hAnsi="宋体" w:eastAsia="宋体" w:cs="宋体"/>
          <w:color w:val="000000"/>
          <w:sz w:val="21"/>
          <w:szCs w:val="21"/>
          <w:highlight w:val="none"/>
        </w:rPr>
        <w:t>其他合同文件。</w:t>
      </w:r>
    </w:p>
    <w:p>
      <w:pPr>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b/>
          <w:bCs/>
          <w:color w:val="000000"/>
          <w:kern w:val="0"/>
          <w:sz w:val="21"/>
          <w:szCs w:val="21"/>
          <w:highlight w:val="none"/>
        </w:rPr>
      </w:pPr>
      <w:bookmarkStart w:id="1756" w:name="bookmark1600"/>
      <w:bookmarkStart w:id="1757" w:name="bookmark1601"/>
      <w:bookmarkStart w:id="1758" w:name="_Toc28692"/>
      <w:bookmarkStart w:id="1759" w:name="bookmark1599"/>
      <w:r>
        <w:rPr>
          <w:rFonts w:hint="eastAsia" w:ascii="宋体" w:hAnsi="宋体" w:eastAsia="宋体" w:cs="宋体"/>
          <w:b/>
          <w:bCs/>
          <w:color w:val="000000"/>
          <w:kern w:val="0"/>
          <w:sz w:val="21"/>
          <w:szCs w:val="21"/>
          <w:highlight w:val="none"/>
        </w:rPr>
        <w:t>1.7联络</w:t>
      </w:r>
      <w:bookmarkEnd w:id="1756"/>
      <w:bookmarkEnd w:id="1757"/>
      <w:bookmarkEnd w:id="1758"/>
      <w:bookmarkEnd w:id="1759"/>
    </w:p>
    <w:p>
      <w:pPr>
        <w:pStyle w:val="163"/>
        <w:pageBreakBefore w:val="0"/>
        <w:widowControl w:val="0"/>
        <w:tabs>
          <w:tab w:val="left" w:pos="2074"/>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rPr>
        <w:t>1.7.2</w:t>
      </w:r>
      <w:r>
        <w:rPr>
          <w:rFonts w:hint="eastAsia" w:ascii="宋体" w:hAnsi="宋体" w:eastAsia="宋体" w:cs="宋体"/>
          <w:color w:val="000000"/>
          <w:sz w:val="21"/>
          <w:szCs w:val="21"/>
          <w:highlight w:val="none"/>
        </w:rPr>
        <w:t>来往函件均应按技术标准和要求(合同技术条款)约定的期限送</w:t>
      </w:r>
      <w:r>
        <w:rPr>
          <w:rFonts w:hint="eastAsia" w:ascii="宋体" w:hAnsi="宋体" w:eastAsia="宋体" w:cs="宋体"/>
          <w:color w:val="000000"/>
          <w:sz w:val="21"/>
          <w:szCs w:val="21"/>
          <w:highlight w:val="none"/>
          <w:u w:val="single"/>
        </w:rPr>
        <w:t>招标人所在地</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760" w:name="bookmark1604"/>
      <w:bookmarkEnd w:id="1760"/>
      <w:bookmarkStart w:id="1761" w:name="bookmark1603"/>
      <w:bookmarkStart w:id="1762" w:name="_Toc7249"/>
      <w:bookmarkStart w:id="1763" w:name="_Toc11394"/>
      <w:bookmarkStart w:id="1764" w:name="bookmark1605"/>
      <w:bookmarkStart w:id="1765" w:name="bookmark1602"/>
      <w:bookmarkStart w:id="1766" w:name="_Toc27866"/>
      <w:bookmarkStart w:id="1767" w:name="_Toc16187"/>
      <w:bookmarkStart w:id="1768" w:name="_Toc38474929"/>
      <w:bookmarkStart w:id="1769" w:name="_Toc23640"/>
      <w:bookmarkStart w:id="1770" w:name="_Toc22214"/>
      <w:r>
        <w:rPr>
          <w:rFonts w:hint="eastAsia" w:ascii="宋体" w:hAnsi="宋体" w:eastAsia="宋体" w:cs="宋体"/>
          <w:color w:val="000000"/>
          <w:sz w:val="21"/>
          <w:szCs w:val="21"/>
          <w:highlight w:val="none"/>
        </w:rPr>
        <w:t>2. 发包人义务</w:t>
      </w:r>
      <w:bookmarkEnd w:id="1761"/>
      <w:bookmarkEnd w:id="1762"/>
      <w:bookmarkEnd w:id="1763"/>
      <w:bookmarkEnd w:id="1764"/>
      <w:bookmarkEnd w:id="1765"/>
      <w:bookmarkEnd w:id="1766"/>
      <w:bookmarkEnd w:id="1767"/>
      <w:bookmarkEnd w:id="1768"/>
      <w:bookmarkEnd w:id="1769"/>
      <w:bookmarkEnd w:id="1770"/>
    </w:p>
    <w:p>
      <w:pPr>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b/>
          <w:bCs/>
          <w:color w:val="000000"/>
          <w:kern w:val="0"/>
          <w:sz w:val="21"/>
          <w:szCs w:val="21"/>
          <w:highlight w:val="none"/>
        </w:rPr>
      </w:pPr>
      <w:bookmarkStart w:id="1771" w:name="bookmark1607"/>
      <w:bookmarkStart w:id="1772" w:name="_Toc18627"/>
      <w:bookmarkStart w:id="1773" w:name="_Toc19619"/>
      <w:bookmarkStart w:id="1774" w:name="bookmark1606"/>
      <w:bookmarkStart w:id="1775" w:name="bookmark1608"/>
      <w:r>
        <w:rPr>
          <w:rFonts w:hint="eastAsia" w:ascii="宋体" w:hAnsi="宋体" w:eastAsia="宋体" w:cs="宋体"/>
          <w:b/>
          <w:bCs/>
          <w:color w:val="000000"/>
          <w:kern w:val="0"/>
          <w:sz w:val="21"/>
          <w:szCs w:val="21"/>
          <w:highlight w:val="none"/>
        </w:rPr>
        <w:t>2. 3提供施工场地</w:t>
      </w:r>
      <w:bookmarkEnd w:id="1771"/>
      <w:bookmarkEnd w:id="1772"/>
      <w:bookmarkEnd w:id="1773"/>
      <w:bookmarkEnd w:id="1774"/>
      <w:bookmarkEnd w:id="1775"/>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u w:val="single"/>
        </w:rPr>
      </w:pPr>
      <w:bookmarkStart w:id="1776" w:name="_Toc221951133"/>
      <w:r>
        <w:rPr>
          <w:rFonts w:hint="eastAsia" w:ascii="宋体" w:hAnsi="宋体" w:eastAsia="宋体" w:cs="宋体"/>
          <w:color w:val="000000"/>
          <w:sz w:val="21"/>
          <w:szCs w:val="21"/>
          <w:highlight w:val="none"/>
        </w:rPr>
        <w:t>2.3.2本条款修改为：发包人提供“三通一平”的施工场地范围为</w:t>
      </w:r>
      <w:bookmarkEnd w:id="1776"/>
      <w:r>
        <w:rPr>
          <w:rFonts w:hint="eastAsia" w:ascii="宋体" w:hAnsi="宋体" w:eastAsia="宋体" w:cs="宋体"/>
          <w:color w:val="000000"/>
          <w:sz w:val="21"/>
          <w:szCs w:val="21"/>
          <w:highlight w:val="none"/>
          <w:u w:val="single"/>
        </w:rPr>
        <w:t>发包人负责办理工地范围内的征地、拆迁和移民等有关手续，向承包人提供施工用地；发包人提供永久征地和施工临时用地红线图及坐标，承包人自行测量边界并标示，按文明施工要求对施工场地进行围挡；承包人应无条件接受现场条件并对施工场地进行维护。</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如果承包人出于任何正当的理由，要求使用任何额外的施工用地，他应至少提前90天向监理人提出报告，请求发包人协助以获得其所需之用地，报告应阐明所需额外用地的理由。发包人将协助承包商获得其所需的任何用地，但所有有关的费用都应由承包人负担。发包人不承诺保证获得或提供承包人要求的任何用地。</w:t>
      </w:r>
      <w:r>
        <w:rPr>
          <w:rFonts w:hint="eastAsia" w:ascii="宋体" w:hAnsi="宋体" w:eastAsia="宋体" w:cs="宋体"/>
          <w:b/>
          <w:bCs/>
          <w:color w:val="000000"/>
          <w:sz w:val="21"/>
          <w:szCs w:val="21"/>
          <w:highlight w:val="none"/>
        </w:rPr>
        <w:t xml:space="preserve">  </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2.3.3承包人自行勘察的施工场地范围为：</w:t>
      </w:r>
      <w:r>
        <w:rPr>
          <w:rFonts w:hint="eastAsia" w:ascii="宋体" w:hAnsi="宋体" w:eastAsia="宋体" w:cs="宋体"/>
          <w:color w:val="000000"/>
          <w:sz w:val="21"/>
          <w:szCs w:val="21"/>
          <w:highlight w:val="none"/>
          <w:u w:val="single"/>
        </w:rPr>
        <w:t>完成合同工程施工建设任务所涉及的所有范围</w:t>
      </w:r>
      <w:r>
        <w:rPr>
          <w:rFonts w:hint="eastAsia" w:ascii="宋体" w:hAnsi="宋体" w:eastAsia="宋体" w:cs="宋体"/>
          <w:color w:val="000000"/>
          <w:sz w:val="21"/>
          <w:szCs w:val="21"/>
          <w:highlight w:val="none"/>
        </w:rPr>
        <w:t>。</w:t>
      </w:r>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lang w:val="en-US"/>
        </w:rPr>
        <w:t>2.8其它义务</w:t>
      </w:r>
    </w:p>
    <w:p>
      <w:pPr>
        <w:pStyle w:val="163"/>
        <w:pageBreakBefore w:val="0"/>
        <w:widowControl w:val="0"/>
        <w:tabs>
          <w:tab w:val="left" w:pos="8227"/>
        </w:tabs>
        <w:kinsoku/>
        <w:wordWrap/>
        <w:overflowPunct/>
        <w:topLinePunct w:val="0"/>
        <w:autoSpaceDE/>
        <w:autoSpaceDN/>
        <w:bidi w:val="0"/>
        <w:adjustRightInd/>
        <w:snapToGrid/>
        <w:spacing w:after="180" w:line="400" w:lineRule="exact"/>
        <w:textAlignment w:val="auto"/>
        <w:rPr>
          <w:rFonts w:hint="eastAsia" w:ascii="宋体" w:hAnsi="宋体" w:eastAsia="宋体" w:cs="宋体"/>
          <w:color w:val="000000"/>
          <w:sz w:val="21"/>
          <w:szCs w:val="21"/>
          <w:highlight w:val="none"/>
          <w:lang w:val="en-US"/>
        </w:rPr>
      </w:pPr>
      <w:bookmarkStart w:id="1777" w:name="_Toc221951139"/>
      <w:bookmarkStart w:id="1778" w:name="_Toc222031031"/>
      <w:bookmarkStart w:id="1779" w:name="_Toc222032698"/>
      <w:bookmarkStart w:id="1780" w:name="_Toc229305389"/>
      <w:bookmarkStart w:id="1781" w:name="_Toc221951140"/>
      <w:bookmarkStart w:id="1782" w:name="_Toc222033880"/>
      <w:bookmarkStart w:id="1783" w:name="_Toc222029529"/>
      <w:r>
        <w:rPr>
          <w:rFonts w:hint="eastAsia" w:ascii="宋体" w:hAnsi="宋体" w:eastAsia="宋体" w:cs="宋体"/>
          <w:color w:val="000000"/>
          <w:sz w:val="21"/>
          <w:szCs w:val="21"/>
          <w:highlight w:val="none"/>
          <w:lang w:val="en-US"/>
        </w:rPr>
        <w:t>其他未尽事宜，在施工过程中双方再协商。</w:t>
      </w:r>
      <w:bookmarkEnd w:id="1777"/>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lang w:val="en-US"/>
        </w:rPr>
        <w:t>3. 监理人</w:t>
      </w:r>
      <w:bookmarkEnd w:id="1778"/>
      <w:bookmarkEnd w:id="1779"/>
      <w:bookmarkEnd w:id="1780"/>
      <w:bookmarkEnd w:id="1781"/>
      <w:bookmarkEnd w:id="1782"/>
      <w:bookmarkEnd w:id="1783"/>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color w:val="000000"/>
          <w:sz w:val="21"/>
          <w:szCs w:val="21"/>
          <w:highlight w:val="none"/>
          <w:lang w:val="en-US"/>
        </w:rPr>
      </w:pPr>
      <w:bookmarkStart w:id="1784" w:name="_Toc221951141"/>
      <w:r>
        <w:rPr>
          <w:rFonts w:hint="eastAsia" w:ascii="宋体" w:hAnsi="宋体" w:eastAsia="宋体" w:cs="宋体"/>
          <w:color w:val="000000"/>
          <w:sz w:val="21"/>
          <w:szCs w:val="21"/>
          <w:highlight w:val="none"/>
          <w:lang w:val="en-US"/>
        </w:rPr>
        <w:t>3.1 监理人的职责和权力</w:t>
      </w:r>
      <w:bookmarkEnd w:id="1784"/>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color w:val="000000"/>
          <w:sz w:val="21"/>
          <w:szCs w:val="21"/>
          <w:highlight w:val="none"/>
          <w:lang w:val="en-US"/>
        </w:rPr>
      </w:pPr>
      <w:bookmarkStart w:id="1785" w:name="_Toc221951142"/>
      <w:r>
        <w:rPr>
          <w:rFonts w:hint="eastAsia" w:ascii="宋体" w:hAnsi="宋体" w:eastAsia="宋体" w:cs="宋体"/>
          <w:color w:val="000000"/>
          <w:sz w:val="21"/>
          <w:szCs w:val="21"/>
          <w:highlight w:val="none"/>
          <w:lang w:val="en-US"/>
        </w:rPr>
        <w:t>3.1.1</w:t>
      </w:r>
      <w:bookmarkEnd w:id="1785"/>
      <w:r>
        <w:rPr>
          <w:rFonts w:hint="eastAsia" w:ascii="宋体" w:hAnsi="宋体" w:eastAsia="宋体" w:cs="宋体"/>
          <w:color w:val="000000"/>
          <w:sz w:val="21"/>
          <w:szCs w:val="21"/>
          <w:highlight w:val="none"/>
          <w:lang w:val="en-US"/>
        </w:rPr>
        <w:t>　</w:t>
      </w:r>
      <w:bookmarkStart w:id="1786" w:name="_Toc221951143"/>
      <w:r>
        <w:rPr>
          <w:rFonts w:hint="eastAsia" w:ascii="宋体" w:hAnsi="宋体" w:eastAsia="宋体" w:cs="宋体"/>
          <w:color w:val="000000"/>
          <w:sz w:val="21"/>
          <w:szCs w:val="21"/>
          <w:highlight w:val="none"/>
          <w:lang w:val="en-US"/>
        </w:rPr>
        <w:t>监理人须根据发包人事先批准的权力范围行使权力，发包人批准的权力范围：</w:t>
      </w:r>
      <w:bookmarkEnd w:id="1786"/>
      <w:r>
        <w:rPr>
          <w:rFonts w:hint="eastAsia" w:ascii="宋体" w:hAnsi="宋体" w:eastAsia="宋体" w:cs="宋体"/>
          <w:color w:val="000000"/>
          <w:sz w:val="21"/>
          <w:szCs w:val="21"/>
          <w:highlight w:val="none"/>
          <w:lang w:val="en-US"/>
        </w:rPr>
        <w:t>按本工程委托监理合同。</w:t>
      </w:r>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b/>
          <w:bCs/>
          <w:color w:val="000000"/>
          <w:sz w:val="21"/>
          <w:szCs w:val="21"/>
          <w:highlight w:val="none"/>
          <w:lang w:val="en-US"/>
        </w:rPr>
      </w:pPr>
      <w:bookmarkStart w:id="1787" w:name="_Toc222029530"/>
      <w:bookmarkStart w:id="1788" w:name="_Toc229305390"/>
      <w:bookmarkStart w:id="1789" w:name="_Toc221951150"/>
      <w:bookmarkStart w:id="1790" w:name="_Toc222031032"/>
      <w:bookmarkStart w:id="1791" w:name="_Toc222032699"/>
      <w:bookmarkStart w:id="1792" w:name="_Toc222033881"/>
      <w:r>
        <w:rPr>
          <w:rFonts w:hint="eastAsia" w:ascii="宋体" w:hAnsi="宋体" w:eastAsia="宋体" w:cs="宋体"/>
          <w:b/>
          <w:bCs/>
          <w:color w:val="000000"/>
          <w:sz w:val="21"/>
          <w:szCs w:val="21"/>
          <w:highlight w:val="none"/>
          <w:lang w:val="en-US"/>
        </w:rPr>
        <w:t>4. 承包人</w:t>
      </w:r>
      <w:bookmarkEnd w:id="1787"/>
      <w:bookmarkEnd w:id="1788"/>
      <w:bookmarkEnd w:id="1789"/>
      <w:bookmarkEnd w:id="1790"/>
      <w:bookmarkEnd w:id="1791"/>
      <w:bookmarkEnd w:id="1792"/>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outlineLvl w:val="0"/>
        <w:rPr>
          <w:rFonts w:hint="eastAsia" w:ascii="宋体" w:hAnsi="宋体" w:eastAsia="宋体" w:cs="宋体"/>
          <w:b/>
          <w:bCs/>
          <w:color w:val="000000"/>
          <w:sz w:val="21"/>
          <w:szCs w:val="21"/>
          <w:highlight w:val="none"/>
          <w:lang w:val="en-US"/>
        </w:rPr>
      </w:pPr>
      <w:bookmarkStart w:id="1793" w:name="_Toc12468"/>
      <w:bookmarkStart w:id="1794" w:name="_Toc221951151"/>
      <w:r>
        <w:rPr>
          <w:rFonts w:hint="eastAsia" w:ascii="宋体" w:hAnsi="宋体" w:eastAsia="宋体" w:cs="宋体"/>
          <w:b/>
          <w:bCs/>
          <w:color w:val="000000"/>
          <w:sz w:val="21"/>
          <w:szCs w:val="21"/>
          <w:highlight w:val="none"/>
          <w:lang w:val="en-US"/>
        </w:rPr>
        <w:t>4.1 承包人的一般义务</w:t>
      </w:r>
      <w:bookmarkEnd w:id="1793"/>
      <w:bookmarkEnd w:id="1794"/>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b/>
          <w:bCs/>
          <w:color w:val="000000"/>
          <w:sz w:val="21"/>
          <w:szCs w:val="21"/>
          <w:highlight w:val="none"/>
          <w:lang w:val="en-US"/>
        </w:rPr>
      </w:pPr>
      <w:bookmarkStart w:id="1795" w:name="_Toc221951152"/>
      <w:r>
        <w:rPr>
          <w:rFonts w:hint="eastAsia" w:ascii="宋体" w:hAnsi="宋体" w:eastAsia="宋体" w:cs="宋体"/>
          <w:b/>
          <w:bCs/>
          <w:color w:val="000000"/>
          <w:sz w:val="21"/>
          <w:szCs w:val="21"/>
          <w:highlight w:val="none"/>
          <w:lang w:val="en-US"/>
        </w:rPr>
        <w:t>4.1.10 其他义务</w:t>
      </w:r>
      <w:bookmarkEnd w:id="1795"/>
    </w:p>
    <w:p>
      <w:pPr>
        <w:pStyle w:val="163"/>
        <w:keepNext w:val="0"/>
        <w:keepLines w:val="0"/>
        <w:pageBreakBefore w:val="0"/>
        <w:widowControl w:val="0"/>
        <w:numPr>
          <w:ilvl w:val="0"/>
          <w:numId w:val="36"/>
        </w:numPr>
        <w:shd w:val="clear" w:color="auto" w:fill="auto"/>
        <w:tabs>
          <w:tab w:val="left" w:pos="1031"/>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b/>
          <w:bCs/>
          <w:color w:val="000000"/>
          <w:sz w:val="21"/>
          <w:szCs w:val="21"/>
          <w:highlight w:val="none"/>
        </w:rPr>
      </w:pPr>
      <w:bookmarkStart w:id="1796" w:name="_Toc11298"/>
      <w:r>
        <w:rPr>
          <w:rFonts w:hint="eastAsia" w:ascii="宋体" w:hAnsi="宋体" w:eastAsia="宋体" w:cs="宋体"/>
          <w:b/>
          <w:bCs/>
          <w:color w:val="000000"/>
          <w:spacing w:val="0"/>
          <w:w w:val="100"/>
          <w:position w:val="0"/>
          <w:sz w:val="21"/>
          <w:szCs w:val="21"/>
          <w:highlight w:val="none"/>
        </w:rPr>
        <w:t>办理有关保险。</w:t>
      </w:r>
    </w:p>
    <w:p>
      <w:pPr>
        <w:pStyle w:val="16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按照《建筑法》规定，必须在工程开工前，为参加本合同工程现场施工的所有作业人 员及管理人员，包括参加工程建设的管理人员、监理人员、施工人员(含民工)办理工伤保险，并缴纳工伤保险费。保险期限自投保之日(工程开工之日)起至工程竣工验收时止, 时间上涵盖施工全过程的任一时段。</w:t>
      </w:r>
    </w:p>
    <w:p>
      <w:pPr>
        <w:pStyle w:val="16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按照《建筑法》规定，鼓励为从事危险作业的职工办理意外伤害保险。</w:t>
      </w:r>
    </w:p>
    <w:p>
      <w:pPr>
        <w:pStyle w:val="163"/>
        <w:keepNext w:val="0"/>
        <w:keepLines w:val="0"/>
        <w:pageBreakBefore w:val="0"/>
        <w:widowControl w:val="0"/>
        <w:numPr>
          <w:ilvl w:val="0"/>
          <w:numId w:val="36"/>
        </w:numPr>
        <w:shd w:val="clear" w:color="auto" w:fill="auto"/>
        <w:tabs>
          <w:tab w:val="left" w:pos="1028"/>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执行广西壮族自治区解决企业拖欠工资问题联席会议关于保障农民工工资支付的有关规定，确保农民工工资无拖欠。</w:t>
      </w:r>
    </w:p>
    <w:p>
      <w:pPr>
        <w:pStyle w:val="16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依法与招用的农民工签订并履行劳动合同，建立职工名册，及时办理劳动用工备案。实行农民工工资专用账户管理、银行代发农民工工资制度和农民工工资保证金制度。</w:t>
      </w:r>
    </w:p>
    <w:p>
      <w:pPr>
        <w:pStyle w:val="163"/>
        <w:keepNext w:val="0"/>
        <w:keepLines w:val="0"/>
        <w:pageBreakBefore w:val="0"/>
        <w:widowControl w:val="0"/>
        <w:numPr>
          <w:ilvl w:val="0"/>
          <w:numId w:val="36"/>
        </w:numPr>
        <w:shd w:val="clear" w:color="auto" w:fill="auto"/>
        <w:tabs>
          <w:tab w:val="left" w:pos="1031"/>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工程施工的义务和责任</w:t>
      </w:r>
    </w:p>
    <w:p>
      <w:pPr>
        <w:pStyle w:val="163"/>
        <w:keepNext w:val="0"/>
        <w:keepLines w:val="0"/>
        <w:pageBreakBefore w:val="0"/>
        <w:widowControl w:val="0"/>
        <w:numPr>
          <w:ilvl w:val="0"/>
          <w:numId w:val="37"/>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承包人应负责施工场地内部的水、电等施工管、线路的铺、架设及其费用，并按 供电部门规定向供电部门(或发包人)交纳水、电费。发包人提供的接电点在签订合同时 明确。另外，施工通讯及设施由承包人负责并承担费用。</w:t>
      </w:r>
    </w:p>
    <w:p>
      <w:pPr>
        <w:pStyle w:val="163"/>
        <w:keepNext w:val="0"/>
        <w:keepLines w:val="0"/>
        <w:pageBreakBefore w:val="0"/>
        <w:widowControl w:val="0"/>
        <w:numPr>
          <w:ilvl w:val="0"/>
          <w:numId w:val="37"/>
        </w:numPr>
        <w:shd w:val="clear" w:color="auto" w:fill="auto"/>
        <w:tabs>
          <w:tab w:val="left" w:pos="918"/>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除民房外，承包人应按监理人的指示负责拆除、清理已征用土地上的杂物、灌木、树木、树根、杂</w:t>
      </w:r>
      <w:r>
        <w:rPr>
          <w:rFonts w:hint="eastAsia" w:ascii="宋体" w:hAnsi="宋体" w:eastAsia="宋体" w:cs="宋体"/>
          <w:color w:val="000000"/>
          <w:spacing w:val="0"/>
          <w:w w:val="100"/>
          <w:position w:val="0"/>
          <w:sz w:val="21"/>
          <w:szCs w:val="21"/>
          <w:highlight w:val="none"/>
          <w:lang w:val="zh-CN" w:eastAsia="zh-CN" w:bidi="zh-CN"/>
        </w:rPr>
        <w:t>草等。</w:t>
      </w:r>
    </w:p>
    <w:p>
      <w:pPr>
        <w:pStyle w:val="163"/>
        <w:keepNext w:val="0"/>
        <w:keepLines w:val="0"/>
        <w:pageBreakBefore w:val="0"/>
        <w:widowControl w:val="0"/>
        <w:numPr>
          <w:ilvl w:val="0"/>
          <w:numId w:val="37"/>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承包人应充分理解有一些设施(如施工道路、桥梁)可能会有其它人和单位使用 通行，在使用过程中发生干扰时，应立即通知监理人并服从监理人的决定。</w:t>
      </w:r>
    </w:p>
    <w:p>
      <w:pPr>
        <w:pStyle w:val="163"/>
        <w:keepNext w:val="0"/>
        <w:keepLines w:val="0"/>
        <w:pageBreakBefore w:val="0"/>
        <w:widowControl w:val="0"/>
        <w:numPr>
          <w:ilvl w:val="0"/>
          <w:numId w:val="37"/>
        </w:numPr>
        <w:shd w:val="clear" w:color="auto" w:fill="auto"/>
        <w:tabs>
          <w:tab w:val="left" w:pos="922"/>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承包人应为监理人、发包人现场代表对施工现场的检查监督提供必要的配合，并对这种配合对施工的影响应有充分的考虑。</w:t>
      </w:r>
    </w:p>
    <w:p>
      <w:pPr>
        <w:pStyle w:val="163"/>
        <w:keepNext w:val="0"/>
        <w:keepLines w:val="0"/>
        <w:pageBreakBefore w:val="0"/>
        <w:widowControl w:val="0"/>
        <w:numPr>
          <w:ilvl w:val="0"/>
          <w:numId w:val="37"/>
        </w:numPr>
        <w:shd w:val="clear" w:color="auto" w:fill="auto"/>
        <w:tabs>
          <w:tab w:val="left" w:pos="915"/>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工程竣工后，承包人应按监理人的指示清理施工现场直至监理人、发包人满意为止。</w:t>
      </w:r>
    </w:p>
    <w:p>
      <w:pPr>
        <w:pStyle w:val="163"/>
        <w:keepNext w:val="0"/>
        <w:keepLines w:val="0"/>
        <w:pageBreakBefore w:val="0"/>
        <w:widowControl w:val="0"/>
        <w:numPr>
          <w:ilvl w:val="0"/>
          <w:numId w:val="37"/>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对上述(1) ~(5)项工作，费用已包括在有关单价和总价中，发包人不再另行 支付由此所发生的一切费用。</w:t>
      </w:r>
    </w:p>
    <w:p>
      <w:pPr>
        <w:pStyle w:val="163"/>
        <w:keepNext w:val="0"/>
        <w:keepLines w:val="0"/>
        <w:pageBreakBefore w:val="0"/>
        <w:widowControl w:val="0"/>
        <w:numPr>
          <w:ilvl w:val="0"/>
          <w:numId w:val="37"/>
        </w:numPr>
        <w:shd w:val="clear" w:color="auto" w:fill="auto"/>
        <w:tabs>
          <w:tab w:val="left" w:pos="922"/>
        </w:tabs>
        <w:kinsoku/>
        <w:wordWrap/>
        <w:overflowPunct/>
        <w:topLinePunct w:val="0"/>
        <w:autoSpaceDE/>
        <w:autoSpaceDN/>
        <w:bidi w:val="0"/>
        <w:adjustRightInd/>
        <w:snapToGrid/>
        <w:spacing w:before="0" w:after="6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经过公路、城市道路的施工车辆，必须按交警、城管、环保、环卫等部门规定执 行。施工车辆的营运手续办理、清洗等一切费用由承包人承担。由于车辆超载、带泥或洒 漏造成的道路损坏、环境污染等，其责任和费用均由承包人承担。</w:t>
      </w:r>
    </w:p>
    <w:p>
      <w:pPr>
        <w:pStyle w:val="163"/>
        <w:keepNext w:val="0"/>
        <w:keepLines w:val="0"/>
        <w:pageBreakBefore w:val="0"/>
        <w:widowControl w:val="0"/>
        <w:numPr>
          <w:ilvl w:val="0"/>
          <w:numId w:val="37"/>
        </w:numPr>
        <w:shd w:val="clear" w:color="auto" w:fill="auto"/>
        <w:tabs>
          <w:tab w:val="left" w:pos="922"/>
        </w:tabs>
        <w:kinsoku/>
        <w:wordWrap/>
        <w:overflowPunct/>
        <w:topLinePunct w:val="0"/>
        <w:autoSpaceDE/>
        <w:autoSpaceDN/>
        <w:bidi w:val="0"/>
        <w:adjustRightInd/>
        <w:snapToGrid/>
        <w:spacing w:before="0" w:after="6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承包人必须文明、安全施工，在施工期间发生的一切人员伤亡和财产损失等责任 事故和所发生的一切费用概由承包人承担。</w:t>
      </w:r>
    </w:p>
    <w:p>
      <w:pPr>
        <w:pStyle w:val="163"/>
        <w:keepNext w:val="0"/>
        <w:keepLines w:val="0"/>
        <w:pageBreakBefore w:val="0"/>
        <w:widowControl w:val="0"/>
        <w:numPr>
          <w:ilvl w:val="0"/>
          <w:numId w:val="37"/>
        </w:numPr>
        <w:shd w:val="clear" w:color="auto" w:fill="auto"/>
        <w:tabs>
          <w:tab w:val="left" w:pos="922"/>
        </w:tabs>
        <w:kinsoku/>
        <w:wordWrap/>
        <w:overflowPunct/>
        <w:topLinePunct w:val="0"/>
        <w:autoSpaceDE/>
        <w:autoSpaceDN/>
        <w:bidi w:val="0"/>
        <w:adjustRightInd/>
        <w:snapToGrid/>
        <w:spacing w:before="0" w:after="6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按照发包人的要求做好安全文明宣传、监督检查宣传等工作，相关费用由承包人承担。</w:t>
      </w:r>
    </w:p>
    <w:p>
      <w:pPr>
        <w:pStyle w:val="163"/>
        <w:keepNext w:val="0"/>
        <w:keepLines w:val="0"/>
        <w:pageBreakBefore w:val="0"/>
        <w:widowControl w:val="0"/>
        <w:numPr>
          <w:ilvl w:val="0"/>
          <w:numId w:val="37"/>
        </w:numPr>
        <w:shd w:val="clear" w:color="auto" w:fill="auto"/>
        <w:tabs>
          <w:tab w:val="left" w:pos="922"/>
        </w:tabs>
        <w:kinsoku/>
        <w:wordWrap/>
        <w:overflowPunct/>
        <w:topLinePunct w:val="0"/>
        <w:autoSpaceDE/>
        <w:autoSpaceDN/>
        <w:bidi w:val="0"/>
        <w:adjustRightInd/>
        <w:snapToGrid/>
        <w:spacing w:before="0" w:after="6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承包人应按约定时间和要求，完成以下工作：</w:t>
      </w:r>
    </w:p>
    <w:p>
      <w:pPr>
        <w:pStyle w:val="163"/>
        <w:keepNext w:val="0"/>
        <w:keepLines w:val="0"/>
        <w:pageBreakBefore w:val="0"/>
        <w:widowControl w:val="0"/>
        <w:numPr>
          <w:ilvl w:val="0"/>
          <w:numId w:val="38"/>
        </w:numPr>
        <w:shd w:val="clear" w:color="auto" w:fill="auto"/>
        <w:tabs>
          <w:tab w:val="left" w:pos="83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按时提交施工组织设计、单位工程的施工方案。</w:t>
      </w:r>
    </w:p>
    <w:p>
      <w:pPr>
        <w:pStyle w:val="163"/>
        <w:keepNext w:val="0"/>
        <w:keepLines w:val="0"/>
        <w:pageBreakBefore w:val="0"/>
        <w:widowControl w:val="0"/>
        <w:numPr>
          <w:ilvl w:val="0"/>
          <w:numId w:val="38"/>
        </w:numPr>
        <w:shd w:val="clear" w:color="auto" w:fill="auto"/>
        <w:tabs>
          <w:tab w:val="left" w:pos="83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每月25日向监理人提交当月工程进度报表及下月进度计划。</w:t>
      </w:r>
    </w:p>
    <w:p>
      <w:pPr>
        <w:pStyle w:val="163"/>
        <w:keepNext w:val="0"/>
        <w:keepLines w:val="0"/>
        <w:pageBreakBefore w:val="0"/>
        <w:widowControl w:val="0"/>
        <w:numPr>
          <w:ilvl w:val="0"/>
          <w:numId w:val="38"/>
        </w:numPr>
        <w:shd w:val="clear" w:color="auto" w:fill="auto"/>
        <w:tabs>
          <w:tab w:val="left" w:pos="83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承包人自行负责施工安全保卫工作及夜间施工照明。</w:t>
      </w:r>
    </w:p>
    <w:p>
      <w:pPr>
        <w:pStyle w:val="163"/>
        <w:keepNext w:val="0"/>
        <w:keepLines w:val="0"/>
        <w:pageBreakBefore w:val="0"/>
        <w:widowControl w:val="0"/>
        <w:numPr>
          <w:ilvl w:val="0"/>
          <w:numId w:val="38"/>
        </w:numPr>
        <w:shd w:val="clear" w:color="auto" w:fill="auto"/>
        <w:tabs>
          <w:tab w:val="left" w:pos="798"/>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需承包人办理的有关施工场地交通、环卫和施工噪音降尘管理等手续：遵守有关部 门对施工现场交通、环卫和施工噪音降尘管理规定，如有发生，费用由承包人承担。</w:t>
      </w:r>
    </w:p>
    <w:p>
      <w:pPr>
        <w:pStyle w:val="163"/>
        <w:keepNext w:val="0"/>
        <w:keepLines w:val="0"/>
        <w:pageBreakBefore w:val="0"/>
        <w:widowControl w:val="0"/>
        <w:numPr>
          <w:ilvl w:val="0"/>
          <w:numId w:val="38"/>
        </w:numPr>
        <w:shd w:val="clear" w:color="auto" w:fill="auto"/>
        <w:tabs>
          <w:tab w:val="left" w:pos="81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已完工程成品保护的特殊要求及费用承担：已完工工程未交付发包人之前，承包人 按协议条款约定负责已完成工程的成品保护工作，保护期间发生损坏，承包人自费予以 修复。</w:t>
      </w:r>
    </w:p>
    <w:p>
      <w:pPr>
        <w:pStyle w:val="163"/>
        <w:keepNext w:val="0"/>
        <w:keepLines w:val="0"/>
        <w:pageBreakBefore w:val="0"/>
        <w:widowControl w:val="0"/>
        <w:numPr>
          <w:ilvl w:val="0"/>
          <w:numId w:val="38"/>
        </w:numPr>
        <w:shd w:val="clear" w:color="auto" w:fill="auto"/>
        <w:tabs>
          <w:tab w:val="left" w:pos="814"/>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承包人有义务对施工场地周围管线(含地上及地下)和邻近建筑物、构筑物(含文 物保护建筑)、古树名木等进行探明并负责保护。</w:t>
      </w:r>
    </w:p>
    <w:p>
      <w:pPr>
        <w:pStyle w:val="163"/>
        <w:keepNext w:val="0"/>
        <w:keepLines w:val="0"/>
        <w:pageBreakBefore w:val="0"/>
        <w:widowControl w:val="0"/>
        <w:numPr>
          <w:ilvl w:val="0"/>
          <w:numId w:val="38"/>
        </w:numPr>
        <w:shd w:val="clear" w:color="auto" w:fill="auto"/>
        <w:tabs>
          <w:tab w:val="left" w:pos="81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施工场地清洁卫生的要求：按城建卫生有关规定执行，由承包人负责，费用由承包 人承担。</w:t>
      </w:r>
    </w:p>
    <w:p>
      <w:pPr>
        <w:pStyle w:val="163"/>
        <w:keepNext w:val="0"/>
        <w:keepLines w:val="0"/>
        <w:pageBreakBefore w:val="0"/>
        <w:widowControl w:val="0"/>
        <w:numPr>
          <w:ilvl w:val="0"/>
          <w:numId w:val="38"/>
        </w:numPr>
        <w:shd w:val="clear" w:color="auto" w:fill="auto"/>
        <w:tabs>
          <w:tab w:val="left" w:pos="839"/>
        </w:tabs>
        <w:kinsoku/>
        <w:wordWrap/>
        <w:overflowPunct/>
        <w:topLinePunct w:val="0"/>
        <w:autoSpaceDE/>
        <w:autoSpaceDN/>
        <w:bidi w:val="0"/>
        <w:adjustRightInd/>
        <w:snapToGrid/>
        <w:spacing w:before="0" w:after="12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承包人承担施工场地、水电及运输通道的修建和维护、清场等费用。</w:t>
      </w:r>
    </w:p>
    <w:p>
      <w:pPr>
        <w:pStyle w:val="163"/>
        <w:keepNext w:val="0"/>
        <w:keepLines w:val="0"/>
        <w:pageBreakBefore w:val="0"/>
        <w:widowControl w:val="0"/>
        <w:numPr>
          <w:ilvl w:val="0"/>
          <w:numId w:val="37"/>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pacing w:val="0"/>
          <w:w w:val="100"/>
          <w:position w:val="0"/>
          <w:sz w:val="21"/>
          <w:szCs w:val="21"/>
          <w:highlight w:val="none"/>
        </w:rPr>
      </w:pPr>
      <w:r>
        <w:rPr>
          <w:rFonts w:hint="eastAsia" w:ascii="宋体" w:hAnsi="宋体" w:eastAsia="宋体" w:cs="宋体"/>
          <w:color w:val="000000"/>
          <w:spacing w:val="0"/>
          <w:w w:val="100"/>
          <w:position w:val="0"/>
          <w:sz w:val="21"/>
          <w:szCs w:val="21"/>
          <w:highlight w:val="none"/>
        </w:rPr>
        <w:t>双方约定承包人应做的其他工作：</w:t>
      </w:r>
    </w:p>
    <w:p>
      <w:pPr>
        <w:pStyle w:val="163"/>
        <w:keepNext w:val="0"/>
        <w:keepLines w:val="0"/>
        <w:pageBreakBefore w:val="0"/>
        <w:widowControl w:val="0"/>
        <w:numPr>
          <w:ilvl w:val="0"/>
          <w:numId w:val="39"/>
        </w:numPr>
        <w:shd w:val="clear" w:color="auto" w:fill="auto"/>
        <w:tabs>
          <w:tab w:val="left" w:pos="81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pPr>
        <w:pStyle w:val="163"/>
        <w:keepNext w:val="0"/>
        <w:keepLines w:val="0"/>
        <w:pageBreakBefore w:val="0"/>
        <w:widowControl w:val="0"/>
        <w:numPr>
          <w:ilvl w:val="0"/>
          <w:numId w:val="39"/>
        </w:numPr>
        <w:shd w:val="clear" w:color="auto" w:fill="auto"/>
        <w:tabs>
          <w:tab w:val="left" w:pos="817"/>
        </w:tabs>
        <w:kinsoku/>
        <w:wordWrap/>
        <w:overflowPunct/>
        <w:topLinePunct w:val="0"/>
        <w:autoSpaceDE/>
        <w:autoSpaceDN/>
        <w:bidi w:val="0"/>
        <w:adjustRightInd/>
        <w:snapToGrid/>
        <w:spacing w:before="0" w:after="12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工程完工后，承包人应按监理人的指示清理施工现场。并在工程完工后6个月内完 成并提交工程竣工资料和工程结算资料。承包人逾期提交，发包人将对承包人的拖延行为 视为违约，并按1000元/天计算违约金，违约金从承包人应得的工程款中扣除，但其最终 的累计总金额与各项逾期完工违约金合计不超过合同价格的5%。</w:t>
      </w:r>
    </w:p>
    <w:p>
      <w:pPr>
        <w:pStyle w:val="163"/>
        <w:keepNext w:val="0"/>
        <w:keepLines w:val="0"/>
        <w:pageBreakBefore w:val="0"/>
        <w:widowControl w:val="0"/>
        <w:numPr>
          <w:ilvl w:val="0"/>
          <w:numId w:val="37"/>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pacing w:val="0"/>
          <w:w w:val="100"/>
          <w:position w:val="0"/>
          <w:sz w:val="21"/>
          <w:szCs w:val="21"/>
          <w:highlight w:val="none"/>
        </w:rPr>
      </w:pPr>
      <w:r>
        <w:rPr>
          <w:rFonts w:hint="eastAsia" w:ascii="宋体" w:hAnsi="宋体" w:eastAsia="宋体" w:cs="宋体"/>
          <w:color w:val="000000"/>
          <w:spacing w:val="0"/>
          <w:w w:val="100"/>
          <w:position w:val="0"/>
          <w:sz w:val="21"/>
          <w:szCs w:val="21"/>
          <w:highlight w:val="none"/>
        </w:rPr>
        <w:t>其他未尽事宜待签订施工合同时双方再协商。</w:t>
      </w:r>
    </w:p>
    <w:p>
      <w:pPr>
        <w:pStyle w:val="163"/>
        <w:keepNext w:val="0"/>
        <w:keepLines w:val="0"/>
        <w:pageBreakBefore w:val="0"/>
        <w:widowControl w:val="0"/>
        <w:numPr>
          <w:ilvl w:val="0"/>
          <w:numId w:val="36"/>
        </w:numPr>
        <w:shd w:val="clear" w:color="auto" w:fill="auto"/>
        <w:tabs>
          <w:tab w:val="left" w:pos="1031"/>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b/>
          <w:bCs/>
          <w:color w:val="000000"/>
          <w:spacing w:val="0"/>
          <w:w w:val="100"/>
          <w:position w:val="0"/>
          <w:sz w:val="21"/>
          <w:szCs w:val="21"/>
          <w:highlight w:val="none"/>
        </w:rPr>
      </w:pPr>
      <w:r>
        <w:rPr>
          <w:rFonts w:hint="eastAsia" w:ascii="宋体" w:hAnsi="宋体" w:eastAsia="宋体" w:cs="宋体"/>
          <w:b w:val="0"/>
          <w:bCs w:val="0"/>
          <w:color w:val="000000"/>
          <w:spacing w:val="0"/>
          <w:w w:val="100"/>
          <w:position w:val="0"/>
          <w:sz w:val="21"/>
          <w:szCs w:val="21"/>
          <w:highlight w:val="none"/>
        </w:rPr>
        <w:t>鼓励承包人根据工程建设实际，吸纳建档立卡贫困劳动力参加工程建设</w:t>
      </w:r>
      <w:r>
        <w:rPr>
          <w:rFonts w:hint="eastAsia" w:ascii="宋体" w:hAnsi="宋体" w:eastAsia="宋体" w:cs="宋体"/>
          <w:b/>
          <w:bCs/>
          <w:color w:val="000000"/>
          <w:spacing w:val="0"/>
          <w:w w:val="100"/>
          <w:position w:val="0"/>
          <w:sz w:val="21"/>
          <w:szCs w:val="21"/>
          <w:highlight w:val="none"/>
        </w:rPr>
        <w:t>。</w:t>
      </w:r>
    </w:p>
    <w:p>
      <w:pPr>
        <w:pStyle w:val="163"/>
        <w:keepNext w:val="0"/>
        <w:keepLines w:val="0"/>
        <w:pageBreakBefore w:val="0"/>
        <w:widowControl w:val="0"/>
        <w:numPr>
          <w:ilvl w:val="0"/>
          <w:numId w:val="36"/>
        </w:numPr>
        <w:shd w:val="clear" w:color="auto" w:fill="auto"/>
        <w:tabs>
          <w:tab w:val="left" w:pos="1031"/>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b w:val="0"/>
          <w:bCs w:val="0"/>
          <w:color w:val="000000"/>
          <w:spacing w:val="0"/>
          <w:w w:val="100"/>
          <w:position w:val="0"/>
          <w:sz w:val="21"/>
          <w:szCs w:val="21"/>
          <w:highlight w:val="none"/>
        </w:rPr>
      </w:pPr>
      <w:r>
        <w:rPr>
          <w:rFonts w:hint="eastAsia" w:ascii="宋体" w:hAnsi="宋体" w:eastAsia="宋体" w:cs="宋体"/>
          <w:b w:val="0"/>
          <w:bCs w:val="0"/>
          <w:color w:val="000000"/>
          <w:spacing w:val="0"/>
          <w:w w:val="100"/>
          <w:position w:val="0"/>
          <w:sz w:val="21"/>
          <w:szCs w:val="21"/>
          <w:highlight w:val="none"/>
        </w:rPr>
        <w:t>执行自治区关于松材线虫病防控工作的有关规定，工程建设采用的模板、支撑及脚手架以钢模板、钢支撑为主，木质模板及仿材尽量就地采购，避免长途转运。</w:t>
      </w:r>
    </w:p>
    <w:bookmarkEnd w:id="1796"/>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outlineLvl w:val="0"/>
        <w:rPr>
          <w:rFonts w:hint="eastAsia" w:ascii="宋体" w:hAnsi="宋体" w:eastAsia="宋体" w:cs="宋体"/>
          <w:color w:val="000000"/>
          <w:sz w:val="21"/>
          <w:szCs w:val="21"/>
          <w:highlight w:val="none"/>
          <w:lang w:val="en-US"/>
        </w:rPr>
      </w:pPr>
      <w:bookmarkStart w:id="1797" w:name="_Toc2197"/>
      <w:r>
        <w:rPr>
          <w:rFonts w:hint="eastAsia" w:ascii="宋体" w:hAnsi="宋体" w:eastAsia="宋体" w:cs="宋体"/>
          <w:color w:val="000000"/>
          <w:sz w:val="21"/>
          <w:szCs w:val="21"/>
          <w:highlight w:val="none"/>
          <w:lang w:val="en-US"/>
        </w:rPr>
        <w:t>4.3 分包</w:t>
      </w:r>
      <w:bookmarkEnd w:id="1797"/>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rPr>
          <w:rFonts w:hint="eastAsia" w:ascii="宋体" w:hAnsi="宋体" w:eastAsia="宋体" w:cs="宋体"/>
          <w:color w:val="000000"/>
          <w:sz w:val="21"/>
          <w:szCs w:val="21"/>
          <w:highlight w:val="none"/>
          <w:lang w:val="en-US"/>
        </w:rPr>
      </w:pPr>
      <w:bookmarkStart w:id="1798" w:name="_Toc19014"/>
      <w:bookmarkStart w:id="1799" w:name="_Toc29932"/>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en-US"/>
        </w:rPr>
        <w:t>3.</w:t>
      </w:r>
      <w:r>
        <w:rPr>
          <w:rFonts w:hint="eastAsia" w:ascii="宋体" w:hAnsi="宋体" w:eastAsia="宋体" w:cs="宋体"/>
          <w:color w:val="000000"/>
          <w:sz w:val="21"/>
          <w:szCs w:val="21"/>
          <w:highlight w:val="none"/>
          <w:lang w:val="en-US"/>
        </w:rPr>
        <w:t>2允许承包人分包的工程项目、工作内容与分包金额限额为：</w:t>
      </w:r>
    </w:p>
    <w:p>
      <w:pPr>
        <w:pStyle w:val="166"/>
        <w:keepNext w:val="0"/>
        <w:keepLines w:val="0"/>
        <w:pageBreakBefore w:val="0"/>
        <w:widowControl w:val="0"/>
        <w:numPr>
          <w:ilvl w:val="0"/>
          <w:numId w:val="40"/>
        </w:numPr>
        <w:shd w:val="clear" w:color="auto" w:fill="auto"/>
        <w:tabs>
          <w:tab w:val="left" w:pos="924"/>
          <w:tab w:val="left" w:pos="3770"/>
        </w:tabs>
        <w:kinsoku/>
        <w:wordWrap/>
        <w:overflowPunct/>
        <w:topLinePunct w:val="0"/>
        <w:autoSpaceDE/>
        <w:autoSpaceDN/>
        <w:bidi w:val="0"/>
        <w:adjustRightInd/>
        <w:snapToGrid/>
        <w:spacing w:before="0" w:after="0" w:line="400" w:lineRule="exact"/>
        <w:ind w:left="420" w:leftChars="0" w:right="0" w:rightChars="0"/>
        <w:jc w:val="both"/>
        <w:textAlignment w:val="auto"/>
        <w:rPr>
          <w:rFonts w:hint="eastAsia" w:ascii="宋体" w:hAnsi="宋体" w:eastAsia="宋体" w:cs="宋体"/>
          <w:color w:val="000000"/>
          <w:kern w:val="2"/>
          <w:sz w:val="21"/>
          <w:szCs w:val="21"/>
          <w:highlight w:val="none"/>
          <w:lang w:val="en-US" w:eastAsia="en-US" w:bidi="zh-CN"/>
        </w:rPr>
      </w:pPr>
      <w:r>
        <w:rPr>
          <w:rFonts w:hint="eastAsia" w:ascii="宋体" w:hAnsi="宋体" w:eastAsia="宋体" w:cs="宋体"/>
          <w:color w:val="000000"/>
          <w:kern w:val="2"/>
          <w:sz w:val="21"/>
          <w:szCs w:val="21"/>
          <w:highlight w:val="none"/>
          <w:lang w:val="zh-TW" w:eastAsia="zh-TW" w:bidi="zh-CN"/>
        </w:rPr>
        <w:t>工程项目：</w:t>
      </w:r>
      <w:r>
        <w:rPr>
          <w:rFonts w:hint="eastAsia" w:ascii="宋体" w:hAnsi="宋体" w:eastAsia="宋体" w:cs="宋体"/>
          <w:color w:val="000000"/>
          <w:kern w:val="2"/>
          <w:sz w:val="21"/>
          <w:szCs w:val="21"/>
          <w:highlight w:val="none"/>
          <w:u w:val="single"/>
          <w:lang w:val="en-US" w:eastAsia="zh-CN" w:bidi="zh-CN"/>
        </w:rPr>
        <w:t xml:space="preserve"> /</w:t>
      </w:r>
      <w:r>
        <w:rPr>
          <w:rFonts w:hint="eastAsia" w:ascii="宋体" w:hAnsi="宋体" w:eastAsia="宋体" w:cs="宋体"/>
          <w:color w:val="000000"/>
          <w:kern w:val="2"/>
          <w:sz w:val="21"/>
          <w:szCs w:val="21"/>
          <w:highlight w:val="none"/>
          <w:u w:val="single"/>
          <w:lang w:val="en-US" w:eastAsia="zh-CN" w:bidi="zh-CN"/>
        </w:rPr>
        <w:tab/>
      </w:r>
      <w:r>
        <w:rPr>
          <w:rFonts w:hint="eastAsia" w:ascii="宋体" w:hAnsi="宋体" w:eastAsia="宋体" w:cs="宋体"/>
          <w:color w:val="000000"/>
          <w:kern w:val="2"/>
          <w:sz w:val="21"/>
          <w:szCs w:val="21"/>
          <w:highlight w:val="none"/>
          <w:lang w:val="en-US" w:eastAsia="en-US" w:bidi="zh-CN"/>
        </w:rPr>
        <w:t>。</w:t>
      </w:r>
    </w:p>
    <w:p>
      <w:pPr>
        <w:pStyle w:val="166"/>
        <w:keepNext w:val="0"/>
        <w:keepLines w:val="0"/>
        <w:pageBreakBefore w:val="0"/>
        <w:widowControl w:val="0"/>
        <w:numPr>
          <w:ilvl w:val="0"/>
          <w:numId w:val="40"/>
        </w:numPr>
        <w:shd w:val="clear" w:color="auto" w:fill="auto"/>
        <w:tabs>
          <w:tab w:val="left" w:pos="924"/>
          <w:tab w:val="left" w:pos="3770"/>
        </w:tabs>
        <w:kinsoku/>
        <w:wordWrap/>
        <w:overflowPunct/>
        <w:topLinePunct w:val="0"/>
        <w:autoSpaceDE/>
        <w:autoSpaceDN/>
        <w:bidi w:val="0"/>
        <w:adjustRightInd/>
        <w:snapToGrid/>
        <w:spacing w:before="0" w:after="0" w:line="400" w:lineRule="exact"/>
        <w:ind w:left="420" w:leftChars="0" w:right="0" w:rightChars="0"/>
        <w:jc w:val="both"/>
        <w:textAlignment w:val="auto"/>
        <w:rPr>
          <w:rFonts w:hint="eastAsia" w:ascii="宋体" w:hAnsi="宋体" w:eastAsia="宋体" w:cs="宋体"/>
          <w:color w:val="000000"/>
          <w:kern w:val="2"/>
          <w:sz w:val="21"/>
          <w:szCs w:val="21"/>
          <w:highlight w:val="none"/>
          <w:lang w:val="en-US" w:eastAsia="zh-CN" w:bidi="zh-CN"/>
        </w:rPr>
      </w:pPr>
      <w:r>
        <w:rPr>
          <w:rFonts w:hint="eastAsia" w:ascii="宋体" w:hAnsi="宋体" w:eastAsia="宋体" w:cs="宋体"/>
          <w:color w:val="000000"/>
          <w:kern w:val="2"/>
          <w:sz w:val="21"/>
          <w:szCs w:val="21"/>
          <w:highlight w:val="none"/>
          <w:lang w:val="zh-TW" w:eastAsia="zh-TW" w:bidi="zh-CN"/>
        </w:rPr>
        <w:t>工作内容：</w:t>
      </w:r>
      <w:r>
        <w:rPr>
          <w:rFonts w:hint="eastAsia" w:ascii="宋体" w:hAnsi="宋体" w:eastAsia="宋体" w:cs="宋体"/>
          <w:color w:val="000000"/>
          <w:kern w:val="2"/>
          <w:sz w:val="21"/>
          <w:szCs w:val="21"/>
          <w:highlight w:val="none"/>
          <w:u w:val="single"/>
          <w:lang w:val="en-US" w:eastAsia="zh-CN" w:bidi="zh-CN"/>
        </w:rPr>
        <w:t xml:space="preserve"> /</w:t>
      </w:r>
      <w:r>
        <w:rPr>
          <w:rFonts w:hint="eastAsia" w:ascii="宋体" w:hAnsi="宋体" w:eastAsia="宋体" w:cs="宋体"/>
          <w:color w:val="000000"/>
          <w:kern w:val="2"/>
          <w:sz w:val="21"/>
          <w:szCs w:val="21"/>
          <w:highlight w:val="none"/>
          <w:u w:val="single"/>
          <w:lang w:val="en-US" w:eastAsia="zh-CN" w:bidi="zh-CN"/>
        </w:rPr>
        <w:tab/>
      </w:r>
      <w:r>
        <w:rPr>
          <w:rFonts w:hint="eastAsia" w:ascii="宋体" w:hAnsi="宋体" w:eastAsia="宋体" w:cs="宋体"/>
          <w:color w:val="000000"/>
          <w:kern w:val="2"/>
          <w:sz w:val="21"/>
          <w:szCs w:val="21"/>
          <w:highlight w:val="none"/>
          <w:lang w:val="en-US" w:eastAsia="en-US" w:bidi="zh-CN"/>
        </w:rPr>
        <w:t>。</w:t>
      </w:r>
    </w:p>
    <w:p>
      <w:pPr>
        <w:pStyle w:val="166"/>
        <w:keepNext w:val="0"/>
        <w:keepLines w:val="0"/>
        <w:pageBreakBefore w:val="0"/>
        <w:widowControl w:val="0"/>
        <w:numPr>
          <w:ilvl w:val="0"/>
          <w:numId w:val="40"/>
        </w:numPr>
        <w:shd w:val="clear" w:color="auto" w:fill="auto"/>
        <w:tabs>
          <w:tab w:val="left" w:pos="924"/>
          <w:tab w:val="left" w:pos="3770"/>
        </w:tabs>
        <w:kinsoku/>
        <w:wordWrap/>
        <w:overflowPunct/>
        <w:topLinePunct w:val="0"/>
        <w:autoSpaceDE/>
        <w:autoSpaceDN/>
        <w:bidi w:val="0"/>
        <w:adjustRightInd/>
        <w:snapToGrid/>
        <w:spacing w:before="0" w:after="0" w:line="400" w:lineRule="exact"/>
        <w:ind w:left="420" w:leftChars="0" w:right="0" w:rightChars="0"/>
        <w:jc w:val="both"/>
        <w:textAlignment w:val="auto"/>
        <w:rPr>
          <w:rFonts w:hint="eastAsia" w:ascii="宋体" w:hAnsi="宋体" w:eastAsia="宋体" w:cs="宋体"/>
          <w:color w:val="000000"/>
          <w:kern w:val="2"/>
          <w:sz w:val="21"/>
          <w:szCs w:val="21"/>
          <w:highlight w:val="none"/>
          <w:lang w:val="en-US" w:eastAsia="zh-CN" w:bidi="zh-CN"/>
        </w:rPr>
      </w:pPr>
      <w:r>
        <w:rPr>
          <w:rFonts w:hint="eastAsia" w:ascii="宋体" w:hAnsi="宋体" w:eastAsia="宋体" w:cs="宋体"/>
          <w:color w:val="000000"/>
          <w:kern w:val="2"/>
          <w:sz w:val="21"/>
          <w:szCs w:val="21"/>
          <w:highlight w:val="none"/>
          <w:lang w:val="en-US" w:eastAsia="zh-CN" w:bidi="zh-CN"/>
        </w:rPr>
        <w:t>分包金额限额：</w:t>
      </w:r>
      <w:r>
        <w:rPr>
          <w:rFonts w:hint="eastAsia" w:ascii="宋体" w:hAnsi="宋体" w:eastAsia="宋体" w:cs="宋体"/>
          <w:color w:val="000000"/>
          <w:kern w:val="2"/>
          <w:sz w:val="21"/>
          <w:szCs w:val="21"/>
          <w:highlight w:val="none"/>
          <w:u w:val="single"/>
          <w:lang w:val="en-US" w:eastAsia="zh-CN" w:bidi="zh-CN"/>
        </w:rPr>
        <w:t xml:space="preserve"> /</w:t>
      </w:r>
      <w:r>
        <w:rPr>
          <w:rFonts w:hint="eastAsia" w:ascii="宋体" w:hAnsi="宋体" w:eastAsia="宋体" w:cs="宋体"/>
          <w:color w:val="000000"/>
          <w:kern w:val="2"/>
          <w:sz w:val="21"/>
          <w:szCs w:val="21"/>
          <w:highlight w:val="none"/>
          <w:u w:val="single"/>
          <w:lang w:val="en-US" w:eastAsia="zh-CN" w:bidi="zh-CN"/>
        </w:rPr>
        <w:tab/>
      </w:r>
      <w:r>
        <w:rPr>
          <w:rFonts w:hint="eastAsia" w:ascii="宋体" w:hAnsi="宋体" w:eastAsia="宋体" w:cs="宋体"/>
          <w:color w:val="000000"/>
          <w:kern w:val="2"/>
          <w:sz w:val="21"/>
          <w:szCs w:val="21"/>
          <w:highlight w:val="none"/>
          <w:lang w:val="en-US" w:eastAsia="en-US" w:bidi="zh-CN"/>
        </w:rPr>
        <w:t>。</w:t>
      </w:r>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 xml:space="preserve">4.3.10 分包人项目管理机构的设立： </w:t>
      </w:r>
      <w:r>
        <w:rPr>
          <w:rFonts w:hint="eastAsia" w:ascii="宋体" w:hAnsi="宋体" w:eastAsia="宋体" w:cs="宋体"/>
          <w:color w:val="000000"/>
          <w:kern w:val="2"/>
          <w:sz w:val="21"/>
          <w:szCs w:val="21"/>
          <w:highlight w:val="none"/>
          <w:u w:val="single"/>
          <w:lang w:val="en-US" w:eastAsia="zh-CN" w:bidi="zh-CN"/>
        </w:rPr>
        <w:t xml:space="preserve"> /</w:t>
      </w:r>
      <w:r>
        <w:rPr>
          <w:rFonts w:hint="eastAsia" w:ascii="宋体" w:hAnsi="宋体" w:eastAsia="宋体" w:cs="宋体"/>
          <w:color w:val="000000"/>
          <w:kern w:val="2"/>
          <w:sz w:val="21"/>
          <w:szCs w:val="21"/>
          <w:highlight w:val="none"/>
          <w:u w:val="single"/>
          <w:lang w:val="en-US" w:eastAsia="zh-CN" w:bidi="zh-CN"/>
        </w:rPr>
        <w:tab/>
      </w:r>
      <w:r>
        <w:rPr>
          <w:rFonts w:hint="eastAsia" w:ascii="宋体" w:hAnsi="宋体" w:eastAsia="宋体" w:cs="宋体"/>
          <w:color w:val="000000"/>
          <w:kern w:val="2"/>
          <w:sz w:val="21"/>
          <w:szCs w:val="21"/>
          <w:highlight w:val="none"/>
          <w:lang w:val="en-US" w:eastAsia="en-US" w:bidi="zh-CN"/>
        </w:rPr>
        <w:t>。</w:t>
      </w:r>
    </w:p>
    <w:bookmarkEnd w:id="1798"/>
    <w:bookmarkEnd w:id="1799"/>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outlineLvl w:val="0"/>
        <w:rPr>
          <w:rFonts w:hint="eastAsia" w:ascii="宋体" w:hAnsi="宋体" w:eastAsia="宋体" w:cs="宋体"/>
          <w:color w:val="000000"/>
          <w:sz w:val="21"/>
          <w:szCs w:val="21"/>
          <w:highlight w:val="none"/>
          <w:lang w:val="zh-CN" w:eastAsia="zh-CN"/>
        </w:rPr>
      </w:pPr>
      <w:bookmarkStart w:id="1800" w:name="_Toc65828227"/>
      <w:bookmarkStart w:id="1801" w:name="_Toc51061885"/>
      <w:bookmarkStart w:id="1802" w:name="bookmark1658"/>
      <w:bookmarkStart w:id="1803" w:name="bookmark1656"/>
      <w:bookmarkStart w:id="1804" w:name="bookmark1657"/>
      <w:bookmarkStart w:id="1805" w:name="_Toc221951158"/>
      <w:r>
        <w:rPr>
          <w:rFonts w:hint="eastAsia" w:ascii="宋体" w:hAnsi="宋体" w:eastAsia="宋体" w:cs="宋体"/>
          <w:color w:val="000000"/>
          <w:sz w:val="21"/>
          <w:szCs w:val="21"/>
          <w:highlight w:val="none"/>
          <w:lang w:val="zh-CN" w:eastAsia="zh-CN"/>
        </w:rPr>
        <w:t>4.7撤换承包人项目经理和其他人员</w:t>
      </w:r>
      <w:bookmarkEnd w:id="1800"/>
      <w:bookmarkEnd w:id="1801"/>
      <w:bookmarkEnd w:id="1802"/>
      <w:bookmarkEnd w:id="1803"/>
      <w:bookmarkEnd w:id="1804"/>
    </w:p>
    <w:p>
      <w:pPr>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w:t>
      </w:r>
      <w:r>
        <w:rPr>
          <w:rFonts w:hint="eastAsia" w:ascii="宋体" w:hAnsi="宋体" w:eastAsia="宋体" w:cs="宋体"/>
          <w:color w:val="000000"/>
          <w:kern w:val="2"/>
          <w:sz w:val="21"/>
          <w:szCs w:val="21"/>
          <w:highlight w:val="none"/>
          <w:lang w:val="en-US" w:eastAsia="zh-CN" w:bidi="zh-CN"/>
        </w:rPr>
        <w:t>4.7.</w:t>
      </w:r>
      <w:r>
        <w:rPr>
          <w:rFonts w:hint="eastAsia" w:ascii="宋体" w:hAnsi="宋体" w:eastAsia="宋体" w:cs="宋体"/>
          <w:color w:val="000000"/>
          <w:kern w:val="2"/>
          <w:sz w:val="21"/>
          <w:szCs w:val="21"/>
          <w:highlight w:val="none"/>
          <w:lang w:val="zh-CN" w:eastAsia="zh-CN" w:bidi="zh-CN"/>
        </w:rPr>
        <w:t>1中标人根据投标文件的承诺，投入本项目的项目经理、技术负责人、质量管理员、安全管理员等主要管理人员中标后不得更换(除因故去世、调离本单位外)。</w:t>
      </w:r>
    </w:p>
    <w:p>
      <w:pPr>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w:t>
      </w:r>
      <w:r>
        <w:rPr>
          <w:rFonts w:hint="eastAsia" w:ascii="宋体" w:hAnsi="宋体" w:eastAsia="宋体" w:cs="宋体"/>
          <w:color w:val="000000"/>
          <w:kern w:val="2"/>
          <w:sz w:val="21"/>
          <w:szCs w:val="21"/>
          <w:highlight w:val="none"/>
          <w:lang w:val="en-US" w:eastAsia="zh-CN" w:bidi="zh-CN"/>
        </w:rPr>
        <w:t>4.7.</w:t>
      </w:r>
      <w:r>
        <w:rPr>
          <w:rFonts w:hint="eastAsia" w:ascii="宋体" w:hAnsi="宋体" w:eastAsia="宋体" w:cs="宋体"/>
          <w:color w:val="000000"/>
          <w:kern w:val="2"/>
          <w:sz w:val="21"/>
          <w:szCs w:val="21"/>
          <w:highlight w:val="none"/>
          <w:lang w:val="zh-CN" w:eastAsia="zh-CN" w:bidi="zh-CN"/>
        </w:rPr>
        <w:t>1投入本项目的项目经理、技术负责人、质量管理员、专全管理员等主要管理人员中标后，经中标人申请、监理机构审核允许、招标人同意后方可变更为不低于同等条 件的人员。</w:t>
      </w:r>
    </w:p>
    <w:p>
      <w:pPr>
        <w:pageBreakBefore w:val="0"/>
        <w:widowControl w:val="0"/>
        <w:tabs>
          <w:tab w:val="left" w:pos="4711"/>
        </w:tabs>
        <w:kinsoku/>
        <w:wordWrap/>
        <w:overflowPunct/>
        <w:topLinePunct w:val="0"/>
        <w:autoSpaceDE/>
        <w:autoSpaceDN/>
        <w:bidi w:val="0"/>
        <w:adjustRightInd/>
        <w:snapToGrid/>
        <w:spacing w:after="140" w:line="400" w:lineRule="exact"/>
        <w:ind w:firstLine="44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en-US" w:eastAsia="zh-CN" w:bidi="zh-CN"/>
        </w:rPr>
        <w:t>4.7.2</w:t>
      </w:r>
      <w:r>
        <w:rPr>
          <w:rFonts w:hint="eastAsia" w:ascii="宋体" w:hAnsi="宋体" w:eastAsia="宋体" w:cs="宋体"/>
          <w:color w:val="000000"/>
          <w:kern w:val="2"/>
          <w:sz w:val="21"/>
          <w:szCs w:val="21"/>
          <w:highlight w:val="none"/>
          <w:lang w:val="zh-CN" w:eastAsia="zh-CN" w:bidi="zh-CN"/>
        </w:rPr>
        <w:t>项目经理每月在工地时间少于22日，且未经招标人同意的，按未履职处理，由有关行政监督部门处理后报请自治区有关行政监督部门将结果记入市场主体信用档案，公布不良行为记录。</w:t>
      </w:r>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4.11 不利物质条件</w:t>
      </w:r>
      <w:bookmarkEnd w:id="1805"/>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rPr>
          <w:rFonts w:hint="eastAsia" w:ascii="宋体" w:hAnsi="宋体" w:eastAsia="宋体" w:cs="宋体"/>
          <w:color w:val="000000"/>
          <w:sz w:val="21"/>
          <w:szCs w:val="21"/>
          <w:highlight w:val="none"/>
          <w:lang w:val="en-US"/>
        </w:rPr>
      </w:pPr>
      <w:bookmarkStart w:id="1806" w:name="_Toc221951159"/>
      <w:r>
        <w:rPr>
          <w:rFonts w:hint="eastAsia" w:ascii="宋体" w:hAnsi="宋体" w:eastAsia="宋体" w:cs="宋体"/>
          <w:color w:val="000000"/>
          <w:sz w:val="21"/>
          <w:szCs w:val="21"/>
          <w:highlight w:val="none"/>
          <w:lang w:val="en-US"/>
        </w:rPr>
        <w:t>4.11.1不利物质条件的范围：</w:t>
      </w:r>
      <w:bookmarkEnd w:id="1806"/>
      <w:bookmarkStart w:id="1807" w:name="OLE_LINK2"/>
      <w:r>
        <w:rPr>
          <w:rFonts w:hint="eastAsia" w:ascii="宋体" w:hAnsi="宋体" w:eastAsia="宋体" w:cs="宋体"/>
          <w:color w:val="000000"/>
          <w:sz w:val="21"/>
          <w:szCs w:val="21"/>
          <w:highlight w:val="none"/>
          <w:u w:val="single"/>
          <w:lang w:val="en-US"/>
        </w:rPr>
        <w:t>不可预见的自然物质条件、非自然的物质障碍和污染物，包括地下和水文条件</w:t>
      </w:r>
      <w:bookmarkEnd w:id="1807"/>
      <w:r>
        <w:rPr>
          <w:rFonts w:hint="eastAsia" w:ascii="宋体" w:hAnsi="宋体" w:eastAsia="宋体" w:cs="宋体"/>
          <w:color w:val="000000"/>
          <w:sz w:val="21"/>
          <w:szCs w:val="21"/>
          <w:highlight w:val="none"/>
          <w:u w:val="single"/>
          <w:lang w:val="en-US"/>
        </w:rPr>
        <w:t>，但不包括气候条件</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08" w:name="bookmark1664"/>
      <w:bookmarkEnd w:id="1808"/>
      <w:bookmarkStart w:id="1809" w:name="bookmark1662"/>
      <w:bookmarkStart w:id="1810" w:name="_Toc38474932"/>
      <w:bookmarkStart w:id="1811" w:name="bookmark1665"/>
      <w:bookmarkStart w:id="1812" w:name="_Toc8093"/>
      <w:bookmarkStart w:id="1813" w:name="_Toc25314"/>
      <w:bookmarkStart w:id="1814" w:name="bookmark1663"/>
      <w:bookmarkStart w:id="1815" w:name="_Toc20423"/>
      <w:bookmarkStart w:id="1816" w:name="_Toc23549"/>
      <w:r>
        <w:rPr>
          <w:rFonts w:hint="eastAsia" w:ascii="宋体" w:hAnsi="宋体" w:eastAsia="宋体" w:cs="宋体"/>
          <w:color w:val="000000"/>
          <w:sz w:val="21"/>
          <w:szCs w:val="21"/>
          <w:highlight w:val="none"/>
        </w:rPr>
        <w:t>5. 材料和工程设备</w:t>
      </w:r>
      <w:bookmarkEnd w:id="1809"/>
      <w:bookmarkEnd w:id="1810"/>
      <w:bookmarkEnd w:id="1811"/>
      <w:bookmarkEnd w:id="1812"/>
      <w:bookmarkEnd w:id="1813"/>
      <w:bookmarkEnd w:id="1814"/>
      <w:bookmarkEnd w:id="1815"/>
      <w:bookmarkEnd w:id="1816"/>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bookmarkStart w:id="1817" w:name="bookmark1666"/>
      <w:bookmarkStart w:id="1818" w:name="bookmark1668"/>
      <w:bookmarkStart w:id="1819" w:name="bookmark1667"/>
      <w:r>
        <w:rPr>
          <w:rFonts w:hint="eastAsia" w:ascii="宋体" w:hAnsi="宋体" w:eastAsia="宋体" w:cs="宋体"/>
          <w:b/>
          <w:bCs/>
          <w:color w:val="000000"/>
          <w:sz w:val="21"/>
          <w:szCs w:val="21"/>
          <w:highlight w:val="none"/>
        </w:rPr>
        <w:t>5.2发包人提供的材料和工程设备</w:t>
      </w:r>
      <w:bookmarkEnd w:id="1817"/>
      <w:bookmarkEnd w:id="1818"/>
      <w:bookmarkEnd w:id="1819"/>
    </w:p>
    <w:p>
      <w:pPr>
        <w:pStyle w:val="163"/>
        <w:pageBreakBefore w:val="0"/>
        <w:widowControl w:val="0"/>
        <w:tabs>
          <w:tab w:val="left" w:pos="903"/>
          <w:tab w:val="left" w:pos="8198"/>
        </w:tabs>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000000"/>
          <w:sz w:val="21"/>
          <w:szCs w:val="21"/>
          <w:highlight w:val="none"/>
        </w:rPr>
      </w:pPr>
      <w:bookmarkStart w:id="1820" w:name="bookmark1669"/>
      <w:bookmarkEnd w:id="1820"/>
      <w:bookmarkStart w:id="1821" w:name="_Toc5952"/>
      <w:r>
        <w:rPr>
          <w:rFonts w:hint="eastAsia" w:ascii="宋体" w:hAnsi="宋体" w:eastAsia="宋体" w:cs="宋体"/>
          <w:color w:val="000000"/>
          <w:sz w:val="21"/>
          <w:szCs w:val="21"/>
          <w:highlight w:val="none"/>
          <w:lang w:val="en-US" w:eastAsia="zh-CN"/>
        </w:rPr>
        <w:t>5.2.1</w:t>
      </w:r>
      <w:r>
        <w:rPr>
          <w:rFonts w:hint="eastAsia" w:ascii="宋体" w:hAnsi="宋体" w:eastAsia="宋体" w:cs="宋体"/>
          <w:color w:val="000000"/>
          <w:sz w:val="21"/>
          <w:szCs w:val="21"/>
          <w:highlight w:val="none"/>
        </w:rPr>
        <w:t xml:space="preserve">发包人与承包人签订的施工合同中约定是否提供材料和工程设备： </w:t>
      </w:r>
      <w:r>
        <w:rPr>
          <w:rFonts w:hint="eastAsia" w:ascii="宋体" w:hAnsi="宋体" w:eastAsia="宋体" w:cs="宋体"/>
          <w:color w:val="000000"/>
          <w:sz w:val="21"/>
          <w:szCs w:val="21"/>
          <w:highlight w:val="none"/>
          <w:u w:val="single"/>
        </w:rPr>
        <w:t xml:space="preserve"> 不提供</w:t>
      </w:r>
      <w:r>
        <w:rPr>
          <w:rFonts w:hint="eastAsia" w:ascii="宋体" w:hAnsi="宋体" w:eastAsia="宋体" w:cs="宋体"/>
          <w:color w:val="000000"/>
          <w:sz w:val="21"/>
          <w:szCs w:val="21"/>
          <w:highlight w:val="none"/>
        </w:rPr>
        <w:t xml:space="preserve">  。</w:t>
      </w:r>
      <w:bookmarkEnd w:id="1821"/>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22" w:name="bookmark1672"/>
      <w:bookmarkEnd w:id="1822"/>
      <w:bookmarkStart w:id="1823" w:name="bookmark1670"/>
      <w:bookmarkStart w:id="1824" w:name="_Toc7420"/>
      <w:bookmarkStart w:id="1825" w:name="_Toc29287"/>
      <w:bookmarkStart w:id="1826" w:name="_Toc23506"/>
      <w:bookmarkStart w:id="1827" w:name="bookmark1673"/>
      <w:bookmarkStart w:id="1828" w:name="_Toc27459"/>
      <w:bookmarkStart w:id="1829" w:name="bookmark1671"/>
      <w:bookmarkStart w:id="1830" w:name="_Toc38474933"/>
      <w:bookmarkStart w:id="1831" w:name="_Toc453"/>
      <w:bookmarkStart w:id="1832" w:name="_Toc6599"/>
      <w:r>
        <w:rPr>
          <w:rFonts w:hint="eastAsia" w:ascii="宋体" w:hAnsi="宋体" w:eastAsia="宋体" w:cs="宋体"/>
          <w:color w:val="000000"/>
          <w:sz w:val="21"/>
          <w:szCs w:val="21"/>
          <w:highlight w:val="none"/>
        </w:rPr>
        <w:t>6. 施工设备和临时设施</w:t>
      </w:r>
      <w:bookmarkEnd w:id="1823"/>
      <w:bookmarkEnd w:id="1824"/>
      <w:bookmarkEnd w:id="1825"/>
      <w:bookmarkEnd w:id="1826"/>
      <w:bookmarkEnd w:id="1827"/>
      <w:bookmarkEnd w:id="1828"/>
      <w:bookmarkEnd w:id="1829"/>
      <w:bookmarkEnd w:id="1830"/>
      <w:bookmarkEnd w:id="1831"/>
      <w:bookmarkEnd w:id="1832"/>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bookmarkStart w:id="1833" w:name="bookmark1675"/>
      <w:bookmarkStart w:id="1834" w:name="bookmark1674"/>
      <w:bookmarkStart w:id="1835" w:name="bookmark1676"/>
      <w:r>
        <w:rPr>
          <w:rFonts w:hint="eastAsia" w:ascii="宋体" w:hAnsi="宋体" w:eastAsia="宋体" w:cs="宋体"/>
          <w:b/>
          <w:bCs/>
          <w:color w:val="000000"/>
          <w:sz w:val="21"/>
          <w:szCs w:val="21"/>
          <w:highlight w:val="none"/>
        </w:rPr>
        <w:t>6.1承包人提供的施工设备和临时设施</w:t>
      </w:r>
      <w:bookmarkEnd w:id="1833"/>
      <w:bookmarkEnd w:id="1834"/>
      <w:bookmarkEnd w:id="1835"/>
    </w:p>
    <w:p>
      <w:pPr>
        <w:pStyle w:val="163"/>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6.1.2</w:t>
      </w:r>
      <w:r>
        <w:rPr>
          <w:rFonts w:hint="eastAsia" w:ascii="宋体" w:hAnsi="宋体" w:eastAsia="宋体" w:cs="宋体"/>
          <w:color w:val="000000"/>
          <w:sz w:val="21"/>
          <w:szCs w:val="21"/>
          <w:highlight w:val="none"/>
        </w:rPr>
        <w:t>承包人自行承担修建临时设施的费用，需要临时占地的，由承包人办理相关申请手续，发包人予以协助，发生的相关费用由承包人承担。</w:t>
      </w:r>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outlineLvl w:val="0"/>
        <w:rPr>
          <w:rFonts w:hint="eastAsia" w:ascii="宋体" w:hAnsi="宋体" w:eastAsia="宋体" w:cs="宋体"/>
          <w:b/>
          <w:bCs/>
          <w:color w:val="000000"/>
          <w:sz w:val="21"/>
          <w:szCs w:val="21"/>
          <w:highlight w:val="none"/>
        </w:rPr>
      </w:pPr>
      <w:bookmarkStart w:id="1836" w:name="bookmark1679"/>
      <w:bookmarkStart w:id="1837" w:name="bookmark1677"/>
      <w:bookmarkStart w:id="1838" w:name="bookmark1678"/>
      <w:bookmarkStart w:id="1839" w:name="_Toc3037"/>
      <w:r>
        <w:rPr>
          <w:rFonts w:hint="eastAsia" w:ascii="宋体" w:hAnsi="宋体" w:eastAsia="宋体" w:cs="宋体"/>
          <w:b/>
          <w:bCs/>
          <w:color w:val="000000"/>
          <w:sz w:val="21"/>
          <w:szCs w:val="21"/>
          <w:highlight w:val="none"/>
        </w:rPr>
        <w:t>6.2发包人提供的施工设备和临时设施</w:t>
      </w:r>
      <w:bookmarkEnd w:id="1836"/>
      <w:bookmarkEnd w:id="1837"/>
      <w:bookmarkEnd w:id="1838"/>
      <w:bookmarkEnd w:id="1839"/>
    </w:p>
    <w:p>
      <w:pPr>
        <w:pStyle w:val="163"/>
        <w:pageBreakBefore w:val="0"/>
        <w:widowControl w:val="0"/>
        <w:tabs>
          <w:tab w:val="left" w:pos="903"/>
          <w:tab w:val="left" w:pos="8198"/>
        </w:tabs>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000000"/>
          <w:sz w:val="21"/>
          <w:szCs w:val="21"/>
          <w:highlight w:val="none"/>
        </w:rPr>
      </w:pPr>
      <w:bookmarkStart w:id="1840" w:name="bookmark1680"/>
      <w:bookmarkEnd w:id="1840"/>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）发包人提供的的施工设备</w:t>
      </w:r>
      <w:r>
        <w:rPr>
          <w:rFonts w:hint="eastAsia" w:ascii="宋体" w:hAnsi="宋体" w:eastAsia="宋体" w:cs="宋体"/>
          <w:color w:val="000000"/>
          <w:sz w:val="21"/>
          <w:szCs w:val="21"/>
          <w:highlight w:val="none"/>
          <w:u w:val="single"/>
        </w:rPr>
        <w:t>：无</w:t>
      </w:r>
      <w:r>
        <w:rPr>
          <w:rFonts w:hint="eastAsia" w:ascii="宋体" w:hAnsi="宋体" w:eastAsia="宋体" w:cs="宋体"/>
          <w:color w:val="000000"/>
          <w:sz w:val="21"/>
          <w:szCs w:val="21"/>
          <w:highlight w:val="none"/>
          <w:u w:val="single"/>
          <w:lang w:val="en-US"/>
        </w:rPr>
        <w:t xml:space="preserve"> </w:t>
      </w:r>
      <w:r>
        <w:rPr>
          <w:rFonts w:hint="eastAsia" w:ascii="宋体" w:hAnsi="宋体" w:eastAsia="宋体" w:cs="宋体"/>
          <w:color w:val="000000"/>
          <w:sz w:val="21"/>
          <w:szCs w:val="21"/>
          <w:highlight w:val="none"/>
          <w:lang w:val="en-US"/>
        </w:rPr>
        <w:t>。</w:t>
      </w:r>
    </w:p>
    <w:p>
      <w:pPr>
        <w:pStyle w:val="163"/>
        <w:pageBreakBefore w:val="0"/>
        <w:widowControl w:val="0"/>
        <w:tabs>
          <w:tab w:val="left" w:pos="903"/>
          <w:tab w:val="left" w:pos="8198"/>
        </w:tabs>
        <w:kinsoku/>
        <w:wordWrap/>
        <w:overflowPunct/>
        <w:topLinePunct w:val="0"/>
        <w:autoSpaceDE/>
        <w:autoSpaceDN/>
        <w:bidi w:val="0"/>
        <w:adjustRightInd/>
        <w:snapToGrid/>
        <w:spacing w:after="20" w:line="400" w:lineRule="exact"/>
        <w:ind w:firstLine="0"/>
        <w:jc w:val="both"/>
        <w:textAlignment w:val="auto"/>
        <w:rPr>
          <w:rFonts w:hint="eastAsia" w:ascii="宋体" w:hAnsi="宋体" w:eastAsia="宋体" w:cs="宋体"/>
          <w:color w:val="000000"/>
          <w:sz w:val="21"/>
          <w:szCs w:val="21"/>
          <w:highlight w:val="none"/>
          <w:u w:val="single"/>
        </w:rPr>
      </w:pPr>
      <w:bookmarkStart w:id="1841" w:name="bookmark1681"/>
      <w:bookmarkEnd w:id="1841"/>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rPr>
        <w:t>2</w:t>
      </w:r>
      <w:r>
        <w:rPr>
          <w:rFonts w:hint="eastAsia" w:ascii="宋体" w:hAnsi="宋体" w:eastAsia="宋体" w:cs="宋体"/>
          <w:color w:val="000000"/>
          <w:sz w:val="21"/>
          <w:szCs w:val="21"/>
          <w:highlight w:val="none"/>
        </w:rPr>
        <w:t>）发包人提供的临时设施：</w:t>
      </w:r>
      <w:r>
        <w:rPr>
          <w:rFonts w:hint="eastAsia" w:ascii="宋体" w:hAnsi="宋体" w:eastAsia="宋体" w:cs="宋体"/>
          <w:color w:val="000000"/>
          <w:sz w:val="21"/>
          <w:szCs w:val="21"/>
          <w:highlight w:val="none"/>
          <w:u w:val="single"/>
        </w:rPr>
        <w:t>无</w:t>
      </w:r>
      <w:r>
        <w:rPr>
          <w:rFonts w:hint="eastAsia" w:ascii="宋体" w:hAnsi="宋体" w:eastAsia="宋体" w:cs="宋体"/>
          <w:color w:val="000000"/>
          <w:sz w:val="21"/>
          <w:szCs w:val="21"/>
          <w:highlight w:val="none"/>
          <w:u w:val="single"/>
          <w:lang w:val="en-US"/>
        </w:rPr>
        <w:t xml:space="preserve"> </w:t>
      </w:r>
      <w:r>
        <w:rPr>
          <w:rFonts w:hint="eastAsia" w:ascii="宋体" w:hAnsi="宋体" w:eastAsia="宋体" w:cs="宋体"/>
          <w:color w:val="000000"/>
          <w:sz w:val="21"/>
          <w:szCs w:val="21"/>
          <w:highlight w:val="none"/>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42" w:name="bookmark1684"/>
      <w:bookmarkEnd w:id="1842"/>
      <w:bookmarkStart w:id="1843" w:name="_Toc16895"/>
      <w:bookmarkStart w:id="1844" w:name="_Toc8746"/>
      <w:bookmarkStart w:id="1845" w:name="_Toc8864"/>
      <w:bookmarkStart w:id="1846" w:name="_Toc16156"/>
      <w:bookmarkStart w:id="1847" w:name="bookmark1683"/>
      <w:bookmarkStart w:id="1848" w:name="_Toc18798"/>
      <w:bookmarkStart w:id="1849" w:name="bookmark1682"/>
      <w:bookmarkStart w:id="1850" w:name="bookmark1685"/>
      <w:bookmarkStart w:id="1851" w:name="_Toc14702"/>
      <w:bookmarkStart w:id="1852" w:name="_Toc38474934"/>
      <w:bookmarkStart w:id="1853" w:name="bookmark1688"/>
      <w:bookmarkStart w:id="1854" w:name="bookmark1686"/>
      <w:bookmarkStart w:id="1855" w:name="bookmark1687"/>
      <w:r>
        <w:rPr>
          <w:rFonts w:hint="eastAsia" w:ascii="宋体" w:hAnsi="宋体" w:eastAsia="宋体" w:cs="宋体"/>
          <w:color w:val="000000"/>
          <w:sz w:val="21"/>
          <w:szCs w:val="21"/>
          <w:highlight w:val="none"/>
        </w:rPr>
        <w:t>7. 交通运输</w:t>
      </w:r>
      <w:bookmarkEnd w:id="1843"/>
      <w:bookmarkEnd w:id="1844"/>
      <w:bookmarkEnd w:id="1845"/>
      <w:bookmarkEnd w:id="1846"/>
      <w:bookmarkEnd w:id="1847"/>
      <w:bookmarkEnd w:id="1848"/>
      <w:bookmarkEnd w:id="1849"/>
      <w:bookmarkEnd w:id="1850"/>
      <w:bookmarkEnd w:id="1851"/>
      <w:bookmarkEnd w:id="1852"/>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7.1道路通行权和场外设施</w:t>
      </w:r>
      <w:bookmarkEnd w:id="1853"/>
      <w:bookmarkEnd w:id="1854"/>
      <w:bookmarkEnd w:id="1855"/>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single"/>
          <w:lang w:val="zh-CN"/>
        </w:rPr>
      </w:pPr>
      <w:r>
        <w:rPr>
          <w:rFonts w:hint="eastAsia" w:ascii="宋体" w:hAnsi="宋体" w:eastAsia="宋体" w:cs="宋体"/>
          <w:color w:val="000000"/>
          <w:sz w:val="21"/>
          <w:szCs w:val="21"/>
          <w:highlight w:val="none"/>
          <w:lang w:val="zh-CN"/>
        </w:rPr>
        <w:t>道路通行权和场外设施的约定：</w:t>
      </w:r>
      <w:r>
        <w:rPr>
          <w:rFonts w:hint="eastAsia" w:ascii="宋体" w:hAnsi="宋体" w:eastAsia="宋体" w:cs="宋体"/>
          <w:color w:val="000000"/>
          <w:sz w:val="21"/>
          <w:szCs w:val="21"/>
          <w:highlight w:val="none"/>
          <w:u w:val="single"/>
          <w:lang w:val="zh-CN"/>
        </w:rPr>
        <w:t>承包人应根据合同工程的施工需要，负责办理取得出入施工场地的专用和临时道路的通行权，以及取得为工程建设所需修建场外设施的权利，并办理好有关政策处理上的事宜，发包人协助办理相关手续。</w:t>
      </w:r>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7.2场内施工道路</w:t>
      </w: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7.2.1  除本合同约定由发包人提供的部分道路和交通设施外，承包人应负责修建、维修、养护和管理其施工所需的全部临时道路和交通设施(包括合同约定由发包人提供的部分道路和交通设施维修、养护和管理)。</w:t>
      </w: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0"/>
        <w:rPr>
          <w:rFonts w:hint="eastAsia" w:ascii="宋体" w:hAnsi="宋体" w:eastAsia="宋体" w:cs="宋体"/>
          <w:color w:val="000000"/>
          <w:sz w:val="21"/>
          <w:szCs w:val="21"/>
          <w:highlight w:val="none"/>
          <w:lang w:val="zh-CN"/>
        </w:rPr>
      </w:pPr>
      <w:bookmarkStart w:id="1856" w:name="_Toc24424"/>
      <w:r>
        <w:rPr>
          <w:rFonts w:hint="eastAsia" w:ascii="宋体" w:hAnsi="宋体" w:eastAsia="宋体" w:cs="宋体"/>
          <w:color w:val="000000"/>
          <w:sz w:val="21"/>
          <w:szCs w:val="21"/>
          <w:highlight w:val="none"/>
          <w:lang w:val="zh-CN"/>
        </w:rPr>
        <w:t>7.2.2  承包人修建的临时道路和交通设施,应免费提供发包人、监理人，以及与本合同有关的其他承包人使用。</w:t>
      </w:r>
      <w:bookmarkEnd w:id="1856"/>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0"/>
        <w:rPr>
          <w:rFonts w:hint="eastAsia" w:ascii="宋体" w:hAnsi="宋体" w:eastAsia="宋体" w:cs="宋体"/>
          <w:color w:val="000000"/>
          <w:sz w:val="21"/>
          <w:szCs w:val="21"/>
          <w:highlight w:val="none"/>
          <w:lang w:val="zh-CN"/>
        </w:rPr>
      </w:pPr>
      <w:bookmarkStart w:id="1857" w:name="_Toc25435"/>
      <w:r>
        <w:rPr>
          <w:rFonts w:hint="eastAsia" w:ascii="宋体" w:hAnsi="宋体" w:eastAsia="宋体" w:cs="宋体"/>
          <w:color w:val="000000"/>
          <w:sz w:val="21"/>
          <w:szCs w:val="21"/>
          <w:highlight w:val="none"/>
          <w:lang w:val="zh-CN"/>
        </w:rPr>
        <w:t>7.3 场外交通</w:t>
      </w:r>
      <w:bookmarkEnd w:id="1857"/>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0"/>
        <w:rPr>
          <w:rFonts w:hint="eastAsia" w:ascii="宋体" w:hAnsi="宋体" w:eastAsia="宋体" w:cs="宋体"/>
          <w:color w:val="000000"/>
          <w:sz w:val="21"/>
          <w:szCs w:val="21"/>
          <w:highlight w:val="none"/>
          <w:lang w:val="zh-CN"/>
        </w:rPr>
      </w:pPr>
      <w:bookmarkStart w:id="1858" w:name="_Toc12330"/>
      <w:r>
        <w:rPr>
          <w:rFonts w:hint="eastAsia" w:ascii="宋体" w:hAnsi="宋体" w:eastAsia="宋体" w:cs="宋体"/>
          <w:color w:val="000000"/>
          <w:sz w:val="21"/>
          <w:szCs w:val="21"/>
          <w:highlight w:val="none"/>
          <w:lang w:val="zh-CN"/>
        </w:rPr>
        <w:t>7.3.1 承包人车辆外出行驶所需的场外公共道路的通行费、养路费和税款等由承包人承担。</w:t>
      </w:r>
      <w:bookmarkEnd w:id="1858"/>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7.3.2 承包人应遵守有关交通法规，严格按照道路和桥梁的限制荷重安全行驶，并服从交通管理部门的检查和监督。</w:t>
      </w: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59" w:name="bookmark1692"/>
      <w:bookmarkStart w:id="1860" w:name="_Toc3031"/>
      <w:bookmarkStart w:id="1861" w:name="_Toc28858"/>
      <w:bookmarkStart w:id="1862" w:name="_Toc27190"/>
      <w:bookmarkStart w:id="1863" w:name="_Toc9878"/>
      <w:bookmarkStart w:id="1864" w:name="bookmark1689"/>
      <w:bookmarkStart w:id="1865" w:name="_Toc20626"/>
      <w:bookmarkStart w:id="1866" w:name="_Toc38474935"/>
      <w:bookmarkStart w:id="1867" w:name="_Toc976"/>
      <w:bookmarkStart w:id="1868" w:name="bookmark1690"/>
      <w:bookmarkStart w:id="1869" w:name="bookmark1695"/>
      <w:bookmarkStart w:id="1870" w:name="bookmark1694"/>
      <w:bookmarkStart w:id="1871" w:name="bookmark1693"/>
      <w:r>
        <w:rPr>
          <w:rFonts w:hint="eastAsia" w:ascii="宋体" w:hAnsi="宋体" w:eastAsia="宋体" w:cs="宋体"/>
          <w:color w:val="000000"/>
          <w:sz w:val="21"/>
          <w:szCs w:val="21"/>
          <w:highlight w:val="none"/>
        </w:rPr>
        <w:t>8. 测量放线</w:t>
      </w:r>
      <w:bookmarkEnd w:id="1859"/>
      <w:bookmarkEnd w:id="1860"/>
      <w:bookmarkEnd w:id="1861"/>
      <w:bookmarkEnd w:id="1862"/>
      <w:bookmarkEnd w:id="1863"/>
      <w:bookmarkEnd w:id="1864"/>
      <w:bookmarkEnd w:id="1865"/>
      <w:bookmarkEnd w:id="1866"/>
      <w:bookmarkEnd w:id="1867"/>
      <w:bookmarkEnd w:id="1868"/>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8.1施工控制网</w:t>
      </w:r>
      <w:bookmarkEnd w:id="1869"/>
      <w:bookmarkEnd w:id="1870"/>
      <w:bookmarkEnd w:id="1871"/>
    </w:p>
    <w:p>
      <w:pPr>
        <w:pStyle w:val="164"/>
        <w:pageBreakBefore w:val="0"/>
        <w:widowControl w:val="0"/>
        <w:numPr>
          <w:ilvl w:val="1"/>
          <w:numId w:val="41"/>
        </w:numPr>
        <w:tabs>
          <w:tab w:val="left" w:pos="750"/>
          <w:tab w:val="left" w:pos="4898"/>
        </w:tabs>
        <w:kinsoku/>
        <w:wordWrap/>
        <w:overflowPunct/>
        <w:topLinePunct w:val="0"/>
        <w:autoSpaceDE/>
        <w:autoSpaceDN/>
        <w:bidi w:val="0"/>
        <w:adjustRightInd/>
        <w:snapToGrid/>
        <w:spacing w:after="140" w:line="400" w:lineRule="exact"/>
        <w:ind w:left="420" w:firstLine="0"/>
        <w:textAlignment w:val="auto"/>
        <w:rPr>
          <w:rFonts w:hint="eastAsia" w:ascii="宋体" w:hAnsi="宋体" w:eastAsia="宋体" w:cs="宋体"/>
          <w:color w:val="000000"/>
          <w:sz w:val="21"/>
          <w:szCs w:val="21"/>
          <w:highlight w:val="none"/>
        </w:rPr>
      </w:pPr>
      <w:bookmarkStart w:id="1872" w:name="bookmark1696"/>
      <w:bookmarkEnd w:id="1872"/>
      <w:r>
        <w:rPr>
          <w:rFonts w:hint="eastAsia" w:ascii="宋体" w:hAnsi="宋体" w:eastAsia="宋体" w:cs="宋体"/>
          <w:color w:val="000000"/>
          <w:sz w:val="21"/>
          <w:szCs w:val="21"/>
          <w:highlight w:val="none"/>
          <w:lang w:val="zh-CN"/>
        </w:rPr>
        <w:t>1 施工控制网的约定：</w:t>
      </w:r>
      <w:r>
        <w:rPr>
          <w:rFonts w:hint="eastAsia" w:ascii="宋体" w:hAnsi="宋体" w:eastAsia="宋体" w:cs="宋体"/>
          <w:color w:val="000000"/>
          <w:sz w:val="21"/>
          <w:szCs w:val="21"/>
          <w:highlight w:val="none"/>
          <w:u w:val="single"/>
          <w:lang w:val="zh-CN"/>
        </w:rPr>
        <w:t>由承包人负责测设</w:t>
      </w:r>
      <w:r>
        <w:rPr>
          <w:rFonts w:hint="eastAsia" w:ascii="宋体" w:hAnsi="宋体" w:eastAsia="宋体" w:cs="宋体"/>
          <w:color w:val="000000"/>
          <w:sz w:val="21"/>
          <w:szCs w:val="21"/>
          <w:highlight w:val="none"/>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73" w:name="_Toc38474936"/>
      <w:bookmarkStart w:id="1874" w:name="_Toc7002"/>
      <w:bookmarkStart w:id="1875" w:name="_Toc15272"/>
      <w:bookmarkStart w:id="1876" w:name="_Toc19250"/>
      <w:bookmarkStart w:id="1877" w:name="_Toc27548"/>
      <w:bookmarkStart w:id="1878" w:name="_Toc26047"/>
      <w:r>
        <w:rPr>
          <w:rFonts w:hint="eastAsia" w:ascii="宋体" w:hAnsi="宋体" w:eastAsia="宋体" w:cs="宋体"/>
          <w:color w:val="000000"/>
          <w:sz w:val="21"/>
          <w:szCs w:val="21"/>
          <w:highlight w:val="none"/>
        </w:rPr>
        <w:t>9. 施工安全、治安保卫和环境保护</w:t>
      </w:r>
      <w:bookmarkEnd w:id="1873"/>
      <w:bookmarkEnd w:id="1874"/>
      <w:bookmarkEnd w:id="1875"/>
      <w:bookmarkEnd w:id="1876"/>
      <w:bookmarkEnd w:id="1877"/>
      <w:bookmarkEnd w:id="1878"/>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9.2承包人的施工安全责任</w:t>
      </w:r>
    </w:p>
    <w:p>
      <w:pPr>
        <w:pStyle w:val="163"/>
        <w:pageBreakBefore w:val="0"/>
        <w:widowControl w:val="0"/>
        <w:tabs>
          <w:tab w:val="left" w:pos="75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 xml:space="preserve">9.2. </w:t>
      </w:r>
      <w:r>
        <w:rPr>
          <w:rFonts w:hint="eastAsia" w:ascii="宋体" w:hAnsi="宋体" w:eastAsia="宋体" w:cs="宋体"/>
          <w:color w:val="000000"/>
          <w:sz w:val="21"/>
          <w:szCs w:val="21"/>
          <w:highlight w:val="none"/>
        </w:rPr>
        <w:t>8安全施工措施所需费用在投标时不得做竞争调整。</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 2. 12下列工程应编制专项施工方案：</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（1）土方和石方开挖工程，包括拆除、爆破，料场开挖及运输等；</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（2）基础处理，包括基础灌浆等；</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（3）高边坡和基坑支护与降水工程；</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（4）混凝土施工配合比设计，混凝土浇筑的温度控制；</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（5）金属结构安装；</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（6）其他危险性较大的工程。</w:t>
      </w:r>
    </w:p>
    <w:p>
      <w:pPr>
        <w:pageBreakBefore w:val="0"/>
        <w:widowControl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其中应组织专家论证和审查的专项施工方案：</w:t>
      </w:r>
      <w:r>
        <w:rPr>
          <w:rFonts w:hint="eastAsia" w:ascii="宋体" w:hAnsi="宋体" w:eastAsia="宋体" w:cs="宋体"/>
          <w:color w:val="000000"/>
          <w:sz w:val="21"/>
          <w:szCs w:val="21"/>
          <w:highlight w:val="none"/>
          <w:u w:val="single"/>
        </w:rPr>
        <w:t>高边坡、深基坑、高大模板工程的专项施工方案</w:t>
      </w:r>
      <w:r>
        <w:rPr>
          <w:rFonts w:hint="eastAsia" w:ascii="宋体" w:hAnsi="宋体" w:eastAsia="宋体" w:cs="宋体"/>
          <w:color w:val="000000"/>
          <w:sz w:val="21"/>
          <w:szCs w:val="21"/>
          <w:highlight w:val="none"/>
        </w:rPr>
        <w:t>。专项施工方案评审发生的费用由承包人负责。</w:t>
      </w:r>
    </w:p>
    <w:p>
      <w:pPr>
        <w:pStyle w:val="163"/>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outlineLvl w:val="0"/>
        <w:rPr>
          <w:rFonts w:hint="eastAsia" w:ascii="宋体" w:hAnsi="宋体" w:eastAsia="宋体" w:cs="宋体"/>
          <w:b/>
          <w:bCs/>
          <w:color w:val="000000"/>
          <w:sz w:val="21"/>
          <w:szCs w:val="21"/>
          <w:highlight w:val="none"/>
        </w:rPr>
      </w:pPr>
      <w:bookmarkStart w:id="1879" w:name="_Toc26632"/>
      <w:r>
        <w:rPr>
          <w:rFonts w:hint="eastAsia" w:ascii="宋体" w:hAnsi="宋体" w:eastAsia="宋体" w:cs="宋体"/>
          <w:b/>
          <w:bCs/>
          <w:color w:val="000000"/>
          <w:sz w:val="21"/>
          <w:szCs w:val="21"/>
          <w:highlight w:val="none"/>
        </w:rPr>
        <w:t>9.7文明工地</w:t>
      </w:r>
      <w:bookmarkEnd w:id="1879"/>
    </w:p>
    <w:p>
      <w:pPr>
        <w:pStyle w:val="163"/>
        <w:pageBreakBefore w:val="0"/>
        <w:widowControl w:val="0"/>
        <w:tabs>
          <w:tab w:val="left" w:pos="5323"/>
        </w:tabs>
        <w:kinsoku/>
        <w:wordWrap/>
        <w:overflowPunct/>
        <w:topLinePunct w:val="0"/>
        <w:autoSpaceDE/>
        <w:autoSpaceDN/>
        <w:bidi w:val="0"/>
        <w:adjustRightInd/>
        <w:snapToGrid/>
        <w:spacing w:after="140" w:line="400" w:lineRule="exact"/>
        <w:ind w:firstLine="42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rPr>
        <w:t xml:space="preserve">9. 7. </w:t>
      </w:r>
      <w:r>
        <w:rPr>
          <w:rFonts w:hint="eastAsia" w:ascii="宋体" w:hAnsi="宋体" w:eastAsia="宋体" w:cs="宋体"/>
          <w:color w:val="000000"/>
          <w:sz w:val="21"/>
          <w:szCs w:val="21"/>
          <w:highlight w:val="none"/>
        </w:rPr>
        <w:t>1本合同文明工地的约定：</w:t>
      </w:r>
      <w:r>
        <w:rPr>
          <w:rFonts w:hint="eastAsia" w:ascii="宋体" w:hAnsi="宋体" w:eastAsia="宋体" w:cs="宋体"/>
          <w:color w:val="000000"/>
          <w:sz w:val="21"/>
          <w:szCs w:val="21"/>
          <w:highlight w:val="none"/>
          <w:u w:val="single"/>
        </w:rPr>
        <w:t>按水利部《水利系统文明建设工地评审管理办法》创建文明建设工地</w:t>
      </w:r>
      <w:r>
        <w:rPr>
          <w:rFonts w:hint="eastAsia" w:ascii="宋体" w:hAnsi="宋体" w:eastAsia="宋体" w:cs="宋体"/>
          <w:color w:val="000000"/>
          <w:sz w:val="21"/>
          <w:szCs w:val="21"/>
          <w:highlight w:val="none"/>
          <w:lang w:val="en-US"/>
        </w:rPr>
        <w:t>。</w:t>
      </w:r>
      <w:bookmarkStart w:id="1880" w:name="bookmark1708"/>
      <w:bookmarkStart w:id="1881" w:name="bookmark1710"/>
      <w:bookmarkStart w:id="1882" w:name="bookmark1709"/>
      <w:bookmarkStart w:id="1883" w:name="_Toc8738"/>
      <w:bookmarkStart w:id="1884" w:name="_Toc845"/>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85" w:name="_Toc3130"/>
      <w:bookmarkStart w:id="1886" w:name="_Toc15739"/>
      <w:bookmarkStart w:id="1887" w:name="_Toc10205"/>
      <w:bookmarkStart w:id="1888" w:name="_Toc38474937"/>
      <w:bookmarkStart w:id="1889" w:name="_Toc27664"/>
      <w:r>
        <w:rPr>
          <w:rFonts w:hint="eastAsia" w:ascii="宋体" w:hAnsi="宋体" w:eastAsia="宋体" w:cs="宋体"/>
          <w:color w:val="000000"/>
          <w:sz w:val="21"/>
          <w:szCs w:val="21"/>
          <w:highlight w:val="none"/>
        </w:rPr>
        <w:t>11. 开工和竣工（完工</w:t>
      </w:r>
      <w:bookmarkEnd w:id="1880"/>
      <w:bookmarkEnd w:id="1881"/>
      <w:bookmarkEnd w:id="1882"/>
      <w:bookmarkEnd w:id="1883"/>
      <w:bookmarkEnd w:id="1884"/>
      <w:r>
        <w:rPr>
          <w:rFonts w:hint="eastAsia" w:ascii="宋体" w:hAnsi="宋体" w:eastAsia="宋体" w:cs="宋体"/>
          <w:color w:val="000000"/>
          <w:sz w:val="21"/>
          <w:szCs w:val="21"/>
          <w:highlight w:val="none"/>
        </w:rPr>
        <w:t>）</w:t>
      </w:r>
      <w:bookmarkEnd w:id="1885"/>
      <w:bookmarkEnd w:id="1886"/>
      <w:bookmarkEnd w:id="1887"/>
      <w:bookmarkEnd w:id="1888"/>
      <w:bookmarkEnd w:id="1889"/>
    </w:p>
    <w:p>
      <w:pPr>
        <w:pStyle w:val="163"/>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u w:val="single"/>
          <w:lang w:val="en-US"/>
        </w:rPr>
      </w:pPr>
      <w:bookmarkStart w:id="1890" w:name="bookmark1711"/>
      <w:bookmarkStart w:id="1891" w:name="bookmark1712"/>
      <w:bookmarkStart w:id="1892" w:name="bookmark1713"/>
      <w:r>
        <w:rPr>
          <w:rFonts w:hint="eastAsia" w:ascii="宋体" w:hAnsi="宋体" w:eastAsia="宋体" w:cs="宋体"/>
          <w:b/>
          <w:bCs/>
          <w:color w:val="000000"/>
          <w:sz w:val="21"/>
          <w:szCs w:val="21"/>
          <w:highlight w:val="none"/>
        </w:rPr>
        <w:t>11.2本工程主体工程完工时间为：</w:t>
      </w:r>
      <w:bookmarkEnd w:id="1890"/>
      <w:bookmarkEnd w:id="1891"/>
      <w:bookmarkEnd w:id="1892"/>
      <w:r>
        <w:rPr>
          <w:rFonts w:hint="eastAsia" w:ascii="宋体" w:hAnsi="宋体" w:eastAsia="宋体" w:cs="宋体"/>
          <w:color w:val="000000"/>
          <w:sz w:val="21"/>
          <w:szCs w:val="21"/>
          <w:highlight w:val="none"/>
          <w:u w:val="single"/>
        </w:rPr>
        <w:t>以开工令中时间起算，计划工期</w:t>
      </w:r>
      <w:r>
        <w:rPr>
          <w:rFonts w:hint="eastAsia" w:cs="宋体"/>
          <w:color w:val="000000"/>
          <w:sz w:val="21"/>
          <w:szCs w:val="21"/>
          <w:highlight w:val="none"/>
          <w:u w:val="single"/>
          <w:lang w:val="en-US" w:eastAsia="zh-CN"/>
        </w:rPr>
        <w:t>180</w:t>
      </w:r>
      <w:r>
        <w:rPr>
          <w:rFonts w:hint="eastAsia" w:ascii="宋体" w:hAnsi="宋体" w:eastAsia="宋体" w:cs="宋体"/>
          <w:color w:val="000000"/>
          <w:sz w:val="21"/>
          <w:szCs w:val="21"/>
          <w:highlight w:val="none"/>
          <w:u w:val="single"/>
        </w:rPr>
        <w:t>日历天为准。</w:t>
      </w:r>
    </w:p>
    <w:p>
      <w:pPr>
        <w:pStyle w:val="163"/>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rPr>
      </w:pPr>
      <w:bookmarkStart w:id="1893" w:name="bookmark1714"/>
      <w:bookmarkStart w:id="1894" w:name="bookmark1716"/>
      <w:bookmarkStart w:id="1895" w:name="bookmark1715"/>
      <w:r>
        <w:rPr>
          <w:rFonts w:hint="eastAsia" w:ascii="宋体" w:hAnsi="宋体" w:eastAsia="宋体" w:cs="宋体"/>
          <w:b/>
          <w:bCs/>
          <w:color w:val="000000"/>
          <w:sz w:val="21"/>
          <w:szCs w:val="21"/>
          <w:highlight w:val="none"/>
        </w:rPr>
        <w:t>11.3发包人的工期延误</w:t>
      </w:r>
      <w:bookmarkEnd w:id="1893"/>
      <w:bookmarkEnd w:id="1894"/>
      <w:bookmarkEnd w:id="1895"/>
    </w:p>
    <w:p>
      <w:pPr>
        <w:pStyle w:val="163"/>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rPr>
      </w:pPr>
      <w:bookmarkStart w:id="1896" w:name="bookmark1718"/>
      <w:bookmarkStart w:id="1897" w:name="bookmark1719"/>
      <w:bookmarkStart w:id="1898" w:name="bookmark1717"/>
      <w:r>
        <w:rPr>
          <w:rFonts w:hint="eastAsia" w:ascii="宋体" w:hAnsi="宋体" w:eastAsia="宋体" w:cs="宋体"/>
          <w:b/>
          <w:bCs/>
          <w:color w:val="000000"/>
          <w:sz w:val="21"/>
          <w:szCs w:val="21"/>
          <w:highlight w:val="none"/>
        </w:rPr>
        <w:t>11.4异常恶劣的气候条件</w:t>
      </w:r>
      <w:bookmarkEnd w:id="1896"/>
      <w:bookmarkEnd w:id="1897"/>
      <w:bookmarkEnd w:id="1898"/>
    </w:p>
    <w:p>
      <w:pPr>
        <w:pStyle w:val="163"/>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11.4.3</w:t>
      </w:r>
      <w:r>
        <w:rPr>
          <w:rFonts w:hint="eastAsia" w:ascii="宋体" w:hAnsi="宋体" w:eastAsia="宋体" w:cs="宋体"/>
          <w:color w:val="000000"/>
          <w:sz w:val="21"/>
          <w:szCs w:val="21"/>
          <w:highlight w:val="none"/>
        </w:rPr>
        <w:t>本合同工程界定异常恶劣气候条件的范围为：</w:t>
      </w:r>
    </w:p>
    <w:p>
      <w:pPr>
        <w:pStyle w:val="163"/>
        <w:pageBreakBefore w:val="0"/>
        <w:widowControl w:val="0"/>
        <w:tabs>
          <w:tab w:val="left" w:pos="903"/>
          <w:tab w:val="left" w:pos="2959"/>
          <w:tab w:val="left" w:pos="5261"/>
        </w:tabs>
        <w:kinsoku/>
        <w:wordWrap/>
        <w:overflowPunct/>
        <w:topLinePunct w:val="0"/>
        <w:autoSpaceDE/>
        <w:autoSpaceDN/>
        <w:bidi w:val="0"/>
        <w:adjustRightInd/>
        <w:snapToGrid/>
        <w:spacing w:after="100" w:line="400" w:lineRule="exact"/>
        <w:ind w:firstLineChars="200"/>
        <w:textAlignment w:val="auto"/>
        <w:rPr>
          <w:rFonts w:hint="eastAsia" w:ascii="宋体" w:hAnsi="宋体" w:eastAsia="宋体" w:cs="宋体"/>
          <w:color w:val="000000"/>
          <w:sz w:val="21"/>
          <w:szCs w:val="21"/>
          <w:highlight w:val="none"/>
        </w:rPr>
      </w:pPr>
      <w:bookmarkStart w:id="1899" w:name="bookmark1720"/>
      <w:bookmarkEnd w:id="1899"/>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）日降雨量大于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rPr>
        <w:t>100</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en-US"/>
        </w:rPr>
        <w:t>mm</w:t>
      </w:r>
      <w:r>
        <w:rPr>
          <w:rFonts w:hint="eastAsia" w:ascii="宋体" w:hAnsi="宋体" w:eastAsia="宋体" w:cs="宋体"/>
          <w:color w:val="000000"/>
          <w:sz w:val="21"/>
          <w:szCs w:val="21"/>
          <w:highlight w:val="none"/>
        </w:rPr>
        <w:t>的雨日超过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rPr>
        <w:t>5</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1900" w:name="bookmark1721"/>
      <w:bookmarkEnd w:id="1900"/>
      <w:bookmarkStart w:id="1901" w:name="bookmark1726"/>
      <w:bookmarkEnd w:id="1901"/>
      <w:bookmarkStart w:id="1902" w:name="_Toc221951193"/>
      <w:r>
        <w:rPr>
          <w:rFonts w:hint="eastAsia" w:ascii="宋体" w:hAnsi="宋体" w:eastAsia="宋体" w:cs="宋体"/>
          <w:color w:val="000000"/>
          <w:sz w:val="21"/>
          <w:szCs w:val="21"/>
          <w:highlight w:val="none"/>
        </w:rPr>
        <w:t>（2）</w:t>
      </w:r>
      <w:bookmarkEnd w:id="1902"/>
      <w:r>
        <w:rPr>
          <w:rFonts w:hint="eastAsia" w:ascii="宋体" w:hAnsi="宋体" w:eastAsia="宋体" w:cs="宋体"/>
          <w:color w:val="000000"/>
          <w:sz w:val="21"/>
          <w:szCs w:val="21"/>
          <w:highlight w:val="none"/>
          <w:u w:val="none"/>
        </w:rPr>
        <w:t>风速大于</w:t>
      </w:r>
      <w:r>
        <w:rPr>
          <w:rFonts w:hint="eastAsia" w:ascii="宋体" w:hAnsi="宋体" w:eastAsia="宋体" w:cs="宋体"/>
          <w:color w:val="000000"/>
          <w:sz w:val="21"/>
          <w:szCs w:val="21"/>
          <w:highlight w:val="none"/>
          <w:u w:val="single"/>
        </w:rPr>
        <w:t>10.8-13.8 m/s</w:t>
      </w:r>
      <w:r>
        <w:rPr>
          <w:rFonts w:hint="eastAsia" w:ascii="宋体" w:hAnsi="宋体" w:eastAsia="宋体" w:cs="宋体"/>
          <w:color w:val="000000"/>
          <w:sz w:val="21"/>
          <w:szCs w:val="21"/>
          <w:highlight w:val="none"/>
          <w:u w:val="none"/>
        </w:rPr>
        <w:t>的</w:t>
      </w:r>
      <w:r>
        <w:rPr>
          <w:rFonts w:hint="eastAsia" w:ascii="宋体" w:hAnsi="宋体" w:eastAsia="宋体" w:cs="宋体"/>
          <w:color w:val="000000"/>
          <w:sz w:val="21"/>
          <w:szCs w:val="21"/>
          <w:highlight w:val="none"/>
          <w:u w:val="single"/>
        </w:rPr>
        <w:t>6级</w:t>
      </w:r>
      <w:r>
        <w:rPr>
          <w:rFonts w:hint="eastAsia" w:ascii="宋体" w:hAnsi="宋体" w:eastAsia="宋体" w:cs="宋体"/>
          <w:color w:val="000000"/>
          <w:sz w:val="21"/>
          <w:szCs w:val="21"/>
          <w:highlight w:val="none"/>
          <w:u w:val="none"/>
        </w:rPr>
        <w:t>以上台风灾害；</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1903" w:name="_Toc221951194"/>
      <w:r>
        <w:rPr>
          <w:rFonts w:hint="eastAsia" w:ascii="宋体" w:hAnsi="宋体" w:eastAsia="宋体" w:cs="宋体"/>
          <w:color w:val="000000"/>
          <w:sz w:val="21"/>
          <w:szCs w:val="21"/>
          <w:highlight w:val="none"/>
        </w:rPr>
        <w:t>（3）</w:t>
      </w:r>
      <w:bookmarkEnd w:id="1903"/>
      <w:r>
        <w:rPr>
          <w:rFonts w:hint="eastAsia" w:ascii="宋体" w:hAnsi="宋体" w:eastAsia="宋体" w:cs="宋体"/>
          <w:color w:val="000000"/>
          <w:sz w:val="21"/>
          <w:szCs w:val="21"/>
          <w:highlight w:val="none"/>
        </w:rPr>
        <w:t>日气温超过</w:t>
      </w:r>
      <w:r>
        <w:rPr>
          <w:rFonts w:hint="eastAsia" w:ascii="宋体" w:hAnsi="宋体" w:eastAsia="宋体" w:cs="宋体"/>
          <w:color w:val="000000"/>
          <w:sz w:val="21"/>
          <w:szCs w:val="21"/>
          <w:highlight w:val="none"/>
          <w:u w:val="single"/>
        </w:rPr>
        <w:t>38</w:t>
      </w:r>
      <w:r>
        <w:rPr>
          <w:rFonts w:hint="eastAsia" w:ascii="宋体" w:hAnsi="宋体" w:eastAsia="宋体" w:cs="宋体"/>
          <w:color w:val="000000"/>
          <w:sz w:val="21"/>
          <w:szCs w:val="21"/>
          <w:highlight w:val="none"/>
        </w:rPr>
        <w:t>℃的高温大于</w:t>
      </w:r>
      <w:r>
        <w:rPr>
          <w:rFonts w:hint="eastAsia" w:ascii="宋体" w:hAnsi="宋体" w:eastAsia="宋体" w:cs="宋体"/>
          <w:color w:val="000000"/>
          <w:sz w:val="21"/>
          <w:szCs w:val="21"/>
          <w:highlight w:val="none"/>
          <w:u w:val="single"/>
        </w:rPr>
        <w:t xml:space="preserve">  10 </w:t>
      </w:r>
      <w:r>
        <w:rPr>
          <w:rFonts w:hint="eastAsia" w:ascii="宋体" w:hAnsi="宋体" w:eastAsia="宋体" w:cs="宋体"/>
          <w:color w:val="000000"/>
          <w:sz w:val="21"/>
          <w:szCs w:val="21"/>
          <w:highlight w:val="none"/>
        </w:rPr>
        <w:t>天；</w:t>
      </w:r>
      <w:bookmarkStart w:id="1904" w:name="_Toc221951195"/>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bookmarkEnd w:id="1904"/>
      <w:r>
        <w:rPr>
          <w:rFonts w:hint="eastAsia" w:ascii="宋体" w:hAnsi="宋体" w:eastAsia="宋体" w:cs="宋体"/>
          <w:color w:val="000000"/>
          <w:sz w:val="21"/>
          <w:szCs w:val="21"/>
          <w:highlight w:val="none"/>
        </w:rPr>
        <w:t>日气温低于</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℃的严寒大于</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天。</w:t>
      </w:r>
      <w:bookmarkStart w:id="1905" w:name="_Toc221951196"/>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bookmarkEnd w:id="1905"/>
      <w:r>
        <w:rPr>
          <w:rFonts w:hint="eastAsia" w:ascii="宋体" w:hAnsi="宋体" w:eastAsia="宋体" w:cs="宋体"/>
          <w:color w:val="000000"/>
          <w:sz w:val="21"/>
          <w:szCs w:val="21"/>
          <w:highlight w:val="none"/>
        </w:rPr>
        <w:t>造成工程损坏的冰雹和大雪灾害；</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级以上的地震；</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u w:val="single"/>
        </w:rPr>
        <w:t xml:space="preserve"> 20 </w:t>
      </w:r>
      <w:r>
        <w:rPr>
          <w:rFonts w:hint="eastAsia" w:ascii="宋体" w:hAnsi="宋体" w:eastAsia="宋体" w:cs="宋体"/>
          <w:color w:val="000000"/>
          <w:sz w:val="21"/>
          <w:szCs w:val="21"/>
          <w:highlight w:val="none"/>
        </w:rPr>
        <w:t>年一遇及以上的洪水；</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1906" w:name="_Toc221951197"/>
      <w:r>
        <w:rPr>
          <w:rFonts w:hint="eastAsia" w:ascii="宋体" w:hAnsi="宋体" w:eastAsia="宋体" w:cs="宋体"/>
          <w:color w:val="000000"/>
          <w:sz w:val="21"/>
          <w:szCs w:val="21"/>
          <w:highlight w:val="none"/>
        </w:rPr>
        <w:t>（8）其他异常恶劣气候灾害</w:t>
      </w:r>
      <w:bookmarkEnd w:id="1906"/>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以广西壮族自治区气象局发布的气象资料为准</w:t>
      </w:r>
      <w:r>
        <w:rPr>
          <w:rFonts w:hint="eastAsia" w:ascii="宋体" w:hAnsi="宋体" w:eastAsia="宋体" w:cs="宋体"/>
          <w:color w:val="000000"/>
          <w:sz w:val="21"/>
          <w:szCs w:val="21"/>
          <w:highlight w:val="none"/>
        </w:rPr>
        <w:t>。</w:t>
      </w:r>
    </w:p>
    <w:p>
      <w:pPr>
        <w:pStyle w:val="163"/>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rPr>
      </w:pPr>
      <w:bookmarkStart w:id="1907" w:name="bookmark1730"/>
      <w:bookmarkStart w:id="1908" w:name="bookmark1729"/>
      <w:bookmarkStart w:id="1909" w:name="bookmark1728"/>
      <w:r>
        <w:rPr>
          <w:rFonts w:hint="eastAsia" w:ascii="宋体" w:hAnsi="宋体" w:eastAsia="宋体" w:cs="宋体"/>
          <w:b/>
          <w:bCs/>
          <w:color w:val="000000"/>
          <w:sz w:val="21"/>
          <w:szCs w:val="21"/>
          <w:highlight w:val="none"/>
        </w:rPr>
        <w:t>11.5承包人工期延误</w:t>
      </w:r>
      <w:bookmarkEnd w:id="1907"/>
      <w:bookmarkEnd w:id="1908"/>
      <w:bookmarkEnd w:id="1909"/>
    </w:p>
    <w:p>
      <w:pPr>
        <w:pStyle w:val="163"/>
        <w:pageBreakBefore w:val="0"/>
        <w:widowControl w:val="0"/>
        <w:kinsoku/>
        <w:wordWrap/>
        <w:overflowPunct/>
        <w:topLinePunct w:val="0"/>
        <w:autoSpaceDE/>
        <w:autoSpaceDN/>
        <w:bidi w:val="0"/>
        <w:adjustRightInd/>
        <w:snapToGrid/>
        <w:spacing w:after="10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(1)逾期完工违约金表</w:t>
      </w:r>
    </w:p>
    <w:tbl>
      <w:tblPr>
        <w:tblStyle w:val="39"/>
        <w:tblW w:w="8642" w:type="dxa"/>
        <w:jc w:val="center"/>
        <w:tblLayout w:type="fixed"/>
        <w:tblCellMar>
          <w:top w:w="0" w:type="dxa"/>
          <w:left w:w="10" w:type="dxa"/>
          <w:bottom w:w="0" w:type="dxa"/>
          <w:right w:w="10" w:type="dxa"/>
        </w:tblCellMar>
      </w:tblPr>
      <w:tblGrid>
        <w:gridCol w:w="576"/>
        <w:gridCol w:w="4536"/>
        <w:gridCol w:w="1699"/>
        <w:gridCol w:w="1831"/>
      </w:tblGrid>
      <w:tr>
        <w:tblPrEx>
          <w:tblCellMar>
            <w:top w:w="0" w:type="dxa"/>
            <w:left w:w="10" w:type="dxa"/>
            <w:bottom w:w="0" w:type="dxa"/>
            <w:right w:w="10" w:type="dxa"/>
          </w:tblCellMar>
        </w:tblPrEx>
        <w:trPr>
          <w:trHeight w:val="461" w:hRule="exact"/>
          <w:jc w:val="center"/>
        </w:trPr>
        <w:tc>
          <w:tcPr>
            <w:tcW w:w="576" w:type="dxa"/>
            <w:tcBorders>
              <w:top w:val="single" w:color="auto" w:sz="4" w:space="0"/>
              <w:left w:val="single" w:color="auto" w:sz="4" w:space="0"/>
            </w:tcBorders>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536" w:type="dxa"/>
            <w:tcBorders>
              <w:top w:val="single" w:color="auto" w:sz="4" w:space="0"/>
              <w:left w:val="single" w:color="auto" w:sz="4" w:space="0"/>
            </w:tcBorders>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项目及其说明</w:t>
            </w:r>
          </w:p>
        </w:tc>
        <w:tc>
          <w:tcPr>
            <w:tcW w:w="1699" w:type="dxa"/>
            <w:tcBorders>
              <w:top w:val="single" w:color="auto" w:sz="4" w:space="0"/>
              <w:left w:val="single" w:color="auto" w:sz="4" w:space="0"/>
            </w:tcBorders>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要求完工日期</w:t>
            </w:r>
          </w:p>
        </w:tc>
        <w:tc>
          <w:tcPr>
            <w:tcW w:w="1831" w:type="dxa"/>
            <w:tcBorders>
              <w:top w:val="single" w:color="auto" w:sz="4" w:space="0"/>
              <w:left w:val="single" w:color="auto" w:sz="4" w:space="0"/>
              <w:right w:val="single" w:color="auto" w:sz="4" w:space="0"/>
            </w:tcBorders>
            <w:noWrap w:val="0"/>
            <w:vAlign w:val="center"/>
          </w:tcPr>
          <w:p>
            <w:pPr>
              <w:pStyle w:val="162"/>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违约金(元/天)</w:t>
            </w:r>
          </w:p>
        </w:tc>
      </w:tr>
      <w:tr>
        <w:tblPrEx>
          <w:tblCellMar>
            <w:top w:w="0" w:type="dxa"/>
            <w:left w:w="10" w:type="dxa"/>
            <w:bottom w:w="0" w:type="dxa"/>
            <w:right w:w="10" w:type="dxa"/>
          </w:tblCellMar>
        </w:tblPrEx>
        <w:trPr>
          <w:trHeight w:val="2121" w:hRule="exact"/>
          <w:jc w:val="center"/>
        </w:trPr>
        <w:tc>
          <w:tcPr>
            <w:tcW w:w="576" w:type="dxa"/>
            <w:tcBorders>
              <w:top w:val="single" w:color="auto" w:sz="4" w:space="0"/>
              <w:left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right="248"/>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w:t>
            </w:r>
          </w:p>
        </w:tc>
        <w:tc>
          <w:tcPr>
            <w:tcW w:w="4536" w:type="dxa"/>
            <w:tcBorders>
              <w:top w:val="single" w:color="auto" w:sz="4" w:space="0"/>
              <w:left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right="248"/>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bCs/>
                <w:color w:val="000000"/>
                <w:kern w:val="0"/>
                <w:sz w:val="21"/>
                <w:szCs w:val="21"/>
                <w:highlight w:val="none"/>
              </w:rPr>
              <w:t>全部工程</w:t>
            </w:r>
          </w:p>
        </w:tc>
        <w:tc>
          <w:tcPr>
            <w:tcW w:w="1699" w:type="dxa"/>
            <w:tcBorders>
              <w:top w:val="single" w:color="auto" w:sz="4" w:space="0"/>
              <w:left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right="248"/>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以开工令中时间起算，计划工期</w:t>
            </w:r>
            <w:r>
              <w:rPr>
                <w:rFonts w:hint="eastAsia" w:ascii="宋体" w:hAnsi="宋体" w:cs="宋体"/>
                <w:color w:val="000000"/>
                <w:sz w:val="21"/>
                <w:szCs w:val="21"/>
                <w:highlight w:val="none"/>
                <w:lang w:val="en-US" w:eastAsia="zh-CN"/>
              </w:rPr>
              <w:t>180</w:t>
            </w:r>
            <w:r>
              <w:rPr>
                <w:rFonts w:hint="eastAsia" w:ascii="宋体" w:hAnsi="宋体" w:eastAsia="宋体" w:cs="宋体"/>
                <w:color w:val="000000"/>
                <w:sz w:val="21"/>
                <w:szCs w:val="21"/>
                <w:highlight w:val="none"/>
              </w:rPr>
              <w:t>日历天为准。</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right="248"/>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2000</w:t>
            </w:r>
          </w:p>
        </w:tc>
      </w:tr>
    </w:tbl>
    <w:p>
      <w:pPr>
        <w:pStyle w:val="163"/>
        <w:pageBreakBefore w:val="0"/>
        <w:widowControl w:val="0"/>
        <w:tabs>
          <w:tab w:val="left" w:pos="79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承包人如未能按上表各节点要求的完工日期前完工，逾期完工违约金按</w:t>
      </w:r>
      <w:r>
        <w:rPr>
          <w:rFonts w:hint="eastAsia" w:ascii="宋体" w:hAnsi="宋体" w:eastAsia="宋体" w:cs="宋体"/>
          <w:color w:val="000000"/>
          <w:sz w:val="21"/>
          <w:szCs w:val="21"/>
          <w:highlight w:val="none"/>
          <w:u w:val="single"/>
          <w:lang w:val="en-US"/>
        </w:rPr>
        <w:t>2</w:t>
      </w:r>
      <w:r>
        <w:rPr>
          <w:rFonts w:hint="eastAsia" w:ascii="宋体" w:hAnsi="宋体" w:eastAsia="宋体" w:cs="宋体"/>
          <w:color w:val="000000"/>
          <w:sz w:val="21"/>
          <w:szCs w:val="21"/>
          <w:highlight w:val="none"/>
          <w:u w:val="single"/>
        </w:rPr>
        <w:t>000</w:t>
      </w:r>
      <w:r>
        <w:rPr>
          <w:rFonts w:hint="eastAsia" w:ascii="宋体" w:hAnsi="宋体" w:eastAsia="宋体" w:cs="宋体"/>
          <w:color w:val="000000"/>
          <w:sz w:val="21"/>
          <w:szCs w:val="21"/>
          <w:highlight w:val="none"/>
        </w:rPr>
        <w:t>元/ 天</w:t>
      </w:r>
      <w:r>
        <w:rPr>
          <w:rFonts w:hint="eastAsia" w:ascii="宋体" w:hAnsi="宋体" w:eastAsia="宋体" w:cs="宋体"/>
          <w:i/>
          <w:iCs/>
          <w:color w:val="000000"/>
          <w:sz w:val="21"/>
          <w:szCs w:val="21"/>
          <w:highlight w:val="none"/>
        </w:rPr>
        <w:t>”</w:t>
      </w:r>
      <w:r>
        <w:rPr>
          <w:rFonts w:hint="eastAsia" w:ascii="宋体" w:hAnsi="宋体" w:eastAsia="宋体" w:cs="宋体"/>
          <w:color w:val="000000"/>
          <w:sz w:val="21"/>
          <w:szCs w:val="21"/>
          <w:highlight w:val="none"/>
        </w:rPr>
        <w:t>计算。</w:t>
      </w:r>
    </w:p>
    <w:p>
      <w:pPr>
        <w:pStyle w:val="163"/>
        <w:pageBreakBefore w:val="0"/>
        <w:widowControl w:val="0"/>
        <w:numPr>
          <w:ilvl w:val="0"/>
          <w:numId w:val="42"/>
        </w:numPr>
        <w:tabs>
          <w:tab w:val="left" w:pos="922"/>
          <w:tab w:val="left" w:pos="6190"/>
        </w:tabs>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bookmarkStart w:id="1910" w:name="bookmark1731"/>
      <w:bookmarkEnd w:id="1910"/>
      <w:r>
        <w:rPr>
          <w:rFonts w:hint="eastAsia" w:ascii="宋体" w:hAnsi="宋体" w:eastAsia="宋体" w:cs="宋体"/>
          <w:color w:val="000000"/>
          <w:sz w:val="21"/>
          <w:szCs w:val="21"/>
          <w:highlight w:val="none"/>
        </w:rPr>
        <w:t>全部逾期完工违约金的总限额不超过合同总价的</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rPr>
        <w:t>%,发包人可从应向承包人支付的任何金额中扣除此项违约金或以其他方式收回此款，此违约金的支付并不能解除承包人应完成工程的责任或合同规定的其他责任。</w:t>
      </w:r>
    </w:p>
    <w:p>
      <w:pPr>
        <w:pStyle w:val="163"/>
        <w:pageBreakBefore w:val="0"/>
        <w:widowControl w:val="0"/>
        <w:numPr>
          <w:ilvl w:val="0"/>
          <w:numId w:val="42"/>
        </w:numPr>
        <w:tabs>
          <w:tab w:val="left" w:pos="922"/>
          <w:tab w:val="left" w:pos="6190"/>
        </w:tabs>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若因施工现场征地拆迁、设计变更等甲方原因导致工期延误的，工期只能相应顺延，承包人应自行收集整理相关证明材料，如有争议按相关法律法规执行。</w:t>
      </w:r>
    </w:p>
    <w:p>
      <w:pPr>
        <w:pStyle w:val="163"/>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rPr>
      </w:pPr>
      <w:bookmarkStart w:id="1911" w:name="bookmark1732"/>
      <w:bookmarkStart w:id="1912" w:name="bookmark1734"/>
      <w:bookmarkStart w:id="1913" w:name="bookmark1733"/>
      <w:r>
        <w:rPr>
          <w:rFonts w:hint="eastAsia" w:ascii="宋体" w:hAnsi="宋体" w:eastAsia="宋体" w:cs="宋体"/>
          <w:b/>
          <w:bCs/>
          <w:color w:val="000000"/>
          <w:sz w:val="21"/>
          <w:szCs w:val="21"/>
          <w:highlight w:val="none"/>
        </w:rPr>
        <w:t>11.6工期提前</w:t>
      </w:r>
      <w:bookmarkEnd w:id="1911"/>
      <w:bookmarkEnd w:id="1912"/>
      <w:bookmarkEnd w:id="1913"/>
    </w:p>
    <w:p>
      <w:pPr>
        <w:pStyle w:val="163"/>
        <w:pageBreakBefore w:val="0"/>
        <w:widowControl w:val="0"/>
        <w:tabs>
          <w:tab w:val="left" w:pos="8218"/>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工期提前的资金约定：</w:t>
      </w:r>
      <w:r>
        <w:rPr>
          <w:rFonts w:hint="eastAsia" w:ascii="宋体" w:hAnsi="宋体" w:eastAsia="宋体" w:cs="宋体"/>
          <w:color w:val="000000"/>
          <w:sz w:val="21"/>
          <w:szCs w:val="21"/>
          <w:highlight w:val="none"/>
          <w:u w:val="single"/>
        </w:rPr>
        <w:t>在保证工程质量的前提下，发包人鼓励承包人提前完工，本合同工程无提前工期奖金</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14" w:name="bookmark1736"/>
      <w:bookmarkStart w:id="1915" w:name="_Toc38474938"/>
      <w:bookmarkStart w:id="1916" w:name="_Toc6849"/>
      <w:bookmarkStart w:id="1917" w:name="bookmark1735"/>
      <w:bookmarkStart w:id="1918" w:name="bookmark1737"/>
      <w:bookmarkStart w:id="1919" w:name="_Toc23224"/>
      <w:bookmarkStart w:id="1920" w:name="_Toc2715"/>
      <w:bookmarkStart w:id="1921" w:name="_Toc25656"/>
      <w:bookmarkStart w:id="1922" w:name="_Toc24309"/>
      <w:bookmarkStart w:id="1923" w:name="_Toc20917"/>
      <w:r>
        <w:rPr>
          <w:rFonts w:hint="eastAsia" w:ascii="宋体" w:hAnsi="宋体" w:eastAsia="宋体" w:cs="宋体"/>
          <w:color w:val="000000"/>
          <w:sz w:val="21"/>
          <w:szCs w:val="21"/>
          <w:highlight w:val="none"/>
        </w:rPr>
        <w:t>12. 暂停施工</w:t>
      </w:r>
      <w:bookmarkEnd w:id="1914"/>
      <w:bookmarkEnd w:id="1915"/>
      <w:bookmarkEnd w:id="1916"/>
      <w:bookmarkEnd w:id="1917"/>
      <w:bookmarkEnd w:id="1918"/>
      <w:bookmarkEnd w:id="1919"/>
      <w:bookmarkEnd w:id="1920"/>
      <w:bookmarkEnd w:id="1921"/>
      <w:bookmarkEnd w:id="1922"/>
      <w:bookmarkEnd w:id="1923"/>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1924" w:name="bookmark1739"/>
      <w:bookmarkStart w:id="1925" w:name="bookmark1738"/>
      <w:bookmarkStart w:id="1926" w:name="bookmark1740"/>
      <w:r>
        <w:rPr>
          <w:rFonts w:hint="eastAsia" w:ascii="宋体" w:hAnsi="宋体" w:eastAsia="宋体" w:cs="宋体"/>
          <w:b/>
          <w:bCs/>
          <w:color w:val="000000"/>
          <w:sz w:val="21"/>
          <w:szCs w:val="21"/>
          <w:highlight w:val="none"/>
        </w:rPr>
        <w:t>12.1承包人暂停施工的责任</w:t>
      </w:r>
      <w:bookmarkEnd w:id="1924"/>
      <w:bookmarkEnd w:id="1925"/>
      <w:bookmarkEnd w:id="1926"/>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927" w:name="bookmark1741"/>
      <w:bookmarkEnd w:id="1927"/>
      <w:r>
        <w:rPr>
          <w:rFonts w:hint="eastAsia" w:ascii="宋体" w:hAnsi="宋体" w:eastAsia="宋体" w:cs="宋体"/>
          <w:color w:val="000000"/>
          <w:sz w:val="21"/>
          <w:szCs w:val="21"/>
          <w:highlight w:val="none"/>
        </w:rPr>
        <w:t>(5) 承包人承担暂停施工责任的其它情形：</w:t>
      </w:r>
      <w:r>
        <w:rPr>
          <w:rFonts w:hint="eastAsia" w:ascii="宋体" w:hAnsi="宋体" w:eastAsia="宋体" w:cs="宋体"/>
          <w:color w:val="000000"/>
          <w:sz w:val="21"/>
          <w:szCs w:val="21"/>
          <w:highlight w:val="none"/>
          <w:u w:val="single"/>
        </w:rPr>
        <w:t xml:space="preserve"> 由于承包人资金、人员、材料、设备不能按时到位的由承包人承担停工责任，或由于承包人原因造成的质量事故及安全事故引起的暂停施工，发包人不再补偿停工所造成的工程费用增加和工期延误 </w:t>
      </w:r>
      <w:r>
        <w:rPr>
          <w:rFonts w:hint="eastAsia" w:ascii="宋体" w:hAnsi="宋体" w:eastAsia="宋体" w:cs="宋体"/>
          <w:color w:val="000000"/>
          <w:sz w:val="21"/>
          <w:szCs w:val="21"/>
          <w:highlight w:val="none"/>
        </w:rPr>
        <w:t>。：属于下列任何一种情况引起的暂停施工，承包人不能提出增加费用和延长工期的要求。</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 合同中另有规定的。</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 由于承包人违约引起的暂停施工。</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 由于现场非异常恶劣气候条件引起的正常停工。</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 由于承包人为工程的合理施工和保证安全所必须的暂停施工。</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 未得到监理人许可的承包人擅自停工。</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⑥由承包人资金、人员、材料、设备不能按时到位的。</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⑦</w:t>
      </w:r>
      <w:r>
        <w:rPr>
          <w:rFonts w:hint="eastAsia" w:ascii="宋体" w:hAnsi="宋体" w:eastAsia="宋体" w:cs="宋体"/>
          <w:color w:val="000000"/>
          <w:sz w:val="21"/>
          <w:szCs w:val="21"/>
          <w:highlight w:val="none"/>
          <w:u w:val="none"/>
        </w:rPr>
        <w:t>由承包人原因造成的质量事故及安全事故引起的暂停施工</w:t>
      </w:r>
      <w:r>
        <w:rPr>
          <w:rFonts w:hint="eastAsia" w:ascii="宋体" w:hAnsi="宋体" w:eastAsia="宋体" w:cs="宋体"/>
          <w:color w:val="000000"/>
          <w:sz w:val="21"/>
          <w:szCs w:val="21"/>
          <w:highlight w:val="none"/>
          <w:u w:val="none"/>
          <w:lang w:val="en-US" w:eastAsia="zh-CN"/>
        </w:rPr>
        <w:t>。</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⑧</w:t>
      </w:r>
      <w:r>
        <w:rPr>
          <w:rFonts w:hint="eastAsia" w:ascii="宋体" w:hAnsi="宋体" w:eastAsia="宋体" w:cs="宋体"/>
          <w:color w:val="000000"/>
          <w:sz w:val="21"/>
          <w:szCs w:val="21"/>
          <w:highlight w:val="none"/>
        </w:rPr>
        <w:t>其它由于承包人原因引起的暂停施工。</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12.2发包人暂停施工的责任</w:t>
      </w:r>
    </w:p>
    <w:p>
      <w:pPr>
        <w:pStyle w:val="163"/>
        <w:pageBreakBefore w:val="0"/>
        <w:widowControl w:val="0"/>
        <w:tabs>
          <w:tab w:val="left" w:pos="822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(3) 发包人承担暂停施工责任的其它情形：</w:t>
      </w:r>
      <w:r>
        <w:rPr>
          <w:rFonts w:hint="eastAsia" w:ascii="宋体" w:hAnsi="宋体" w:eastAsia="宋体" w:cs="宋体"/>
          <w:color w:val="000000"/>
          <w:sz w:val="21"/>
          <w:szCs w:val="21"/>
          <w:highlight w:val="none"/>
          <w:u w:val="single"/>
          <w:lang w:val="en-US"/>
        </w:rPr>
        <w:t>发包人可以根据资金到位情况暂停部分项目的施工，发包人只延长因该部分暂停施工增加的工期，但不增加投资</w:t>
      </w:r>
      <w:r>
        <w:rPr>
          <w:rFonts w:hint="eastAsia" w:ascii="宋体" w:hAnsi="宋体" w:eastAsia="宋体" w:cs="宋体"/>
          <w:color w:val="000000"/>
          <w:sz w:val="21"/>
          <w:szCs w:val="21"/>
          <w:highlight w:val="none"/>
          <w:u w:val="single"/>
          <w:lang w:val="en-US" w:eastAsia="zh-CN"/>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28" w:name="bookmark1742"/>
      <w:bookmarkEnd w:id="1928"/>
      <w:bookmarkStart w:id="1929" w:name="_Toc4631"/>
      <w:bookmarkStart w:id="1930" w:name="_Toc26672"/>
      <w:bookmarkStart w:id="1931" w:name="bookmark1743"/>
      <w:bookmarkStart w:id="1932" w:name="bookmark1745"/>
      <w:bookmarkStart w:id="1933" w:name="_Toc28395"/>
      <w:bookmarkStart w:id="1934" w:name="_Toc3707"/>
      <w:bookmarkStart w:id="1935" w:name="_Toc13128"/>
      <w:bookmarkStart w:id="1936" w:name="_Toc38474939"/>
      <w:bookmarkStart w:id="1937" w:name="_Toc29046"/>
      <w:bookmarkStart w:id="1938" w:name="bookmark1744"/>
      <w:r>
        <w:rPr>
          <w:rFonts w:hint="eastAsia" w:ascii="宋体" w:hAnsi="宋体" w:eastAsia="宋体" w:cs="宋体"/>
          <w:color w:val="000000"/>
          <w:sz w:val="21"/>
          <w:szCs w:val="21"/>
          <w:highlight w:val="none"/>
        </w:rPr>
        <w:t>13. 工程质量</w:t>
      </w:r>
      <w:bookmarkEnd w:id="1929"/>
      <w:bookmarkEnd w:id="1930"/>
      <w:bookmarkEnd w:id="1931"/>
      <w:bookmarkEnd w:id="1932"/>
      <w:bookmarkEnd w:id="1933"/>
      <w:bookmarkEnd w:id="1934"/>
      <w:bookmarkEnd w:id="1935"/>
      <w:bookmarkEnd w:id="1936"/>
      <w:bookmarkEnd w:id="1937"/>
      <w:bookmarkEnd w:id="1938"/>
    </w:p>
    <w:p>
      <w:pPr>
        <w:pStyle w:val="163"/>
        <w:pageBreakBefore w:val="0"/>
        <w:widowControl w:val="0"/>
        <w:tabs>
          <w:tab w:val="left" w:pos="3751"/>
          <w:tab w:val="left" w:pos="4834"/>
          <w:tab w:val="left" w:pos="8220"/>
        </w:tabs>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b/>
          <w:bCs/>
          <w:color w:val="000000"/>
          <w:sz w:val="21"/>
          <w:szCs w:val="21"/>
          <w:highlight w:val="none"/>
        </w:rPr>
      </w:pPr>
      <w:bookmarkStart w:id="1939" w:name="bookmark1747"/>
      <w:bookmarkStart w:id="1940" w:name="bookmark1746"/>
      <w:bookmarkStart w:id="1941" w:name="bookmark1748"/>
      <w:bookmarkStart w:id="1942" w:name="_Toc22153"/>
      <w:r>
        <w:rPr>
          <w:rFonts w:hint="eastAsia" w:ascii="宋体" w:hAnsi="宋体" w:eastAsia="宋体" w:cs="宋体"/>
          <w:b/>
          <w:bCs/>
          <w:color w:val="000000"/>
          <w:sz w:val="21"/>
          <w:szCs w:val="21"/>
          <w:highlight w:val="none"/>
        </w:rPr>
        <w:t>13.7质量评定</w:t>
      </w:r>
      <w:bookmarkEnd w:id="1939"/>
      <w:bookmarkEnd w:id="1940"/>
      <w:bookmarkEnd w:id="1941"/>
      <w:bookmarkEnd w:id="1942"/>
    </w:p>
    <w:p>
      <w:pPr>
        <w:pStyle w:val="163"/>
        <w:pageBreakBefore w:val="0"/>
        <w:widowControl w:val="0"/>
        <w:tabs>
          <w:tab w:val="left" w:pos="822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13.7.4</w:t>
      </w:r>
      <w:r>
        <w:rPr>
          <w:rFonts w:hint="eastAsia" w:ascii="宋体" w:hAnsi="宋体" w:eastAsia="宋体" w:cs="宋体"/>
          <w:color w:val="000000"/>
          <w:sz w:val="21"/>
          <w:szCs w:val="21"/>
          <w:highlight w:val="none"/>
        </w:rPr>
        <w:t>重要隐蔽单元工程和关键部位单元工程质量评定的约定：</w:t>
      </w:r>
      <w:r>
        <w:rPr>
          <w:rFonts w:hint="eastAsia" w:ascii="宋体" w:hAnsi="宋体" w:eastAsia="宋体" w:cs="宋体"/>
          <w:color w:val="000000"/>
          <w:sz w:val="21"/>
          <w:szCs w:val="21"/>
          <w:highlight w:val="none"/>
          <w:u w:val="single"/>
          <w:lang w:val="en-US"/>
        </w:rPr>
        <w:t xml:space="preserve">  合格以上 </w:t>
      </w:r>
      <w:r>
        <w:rPr>
          <w:rFonts w:hint="eastAsia" w:ascii="宋体" w:hAnsi="宋体" w:eastAsia="宋体" w:cs="宋体"/>
          <w:color w:val="000000"/>
          <w:sz w:val="21"/>
          <w:szCs w:val="21"/>
          <w:highlight w:val="none"/>
          <w:lang w:val="en-US"/>
        </w:rPr>
        <w:t>。</w:t>
      </w:r>
    </w:p>
    <w:p>
      <w:pPr>
        <w:pStyle w:val="163"/>
        <w:pageBreakBefore w:val="0"/>
        <w:widowControl w:val="0"/>
        <w:tabs>
          <w:tab w:val="left" w:pos="3751"/>
          <w:tab w:val="left" w:pos="4834"/>
          <w:tab w:val="left" w:pos="8225"/>
        </w:tabs>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13.7.7</w:t>
      </w:r>
      <w:bookmarkStart w:id="1943" w:name="bookmark1750"/>
      <w:bookmarkStart w:id="1944" w:name="bookmark1749"/>
      <w:bookmarkStart w:id="1945" w:name="bookmark1751"/>
      <w:r>
        <w:rPr>
          <w:rFonts w:hint="eastAsia" w:ascii="宋体" w:hAnsi="宋体" w:eastAsia="宋体" w:cs="宋体"/>
          <w:color w:val="000000"/>
          <w:sz w:val="21"/>
          <w:szCs w:val="21"/>
          <w:highlight w:val="none"/>
          <w:u w:val="single"/>
          <w:lang w:val="en-US"/>
        </w:rPr>
        <w:t>工程合格标准和优良标准为：执行《水利水电工程施工质量检验与评定规程》（SL176—2007），如有新的规定则按照新规定执行。达到优良的奖金为：无。</w:t>
      </w:r>
    </w:p>
    <w:p>
      <w:pPr>
        <w:pStyle w:val="163"/>
        <w:pageBreakBefore w:val="0"/>
        <w:widowControl w:val="0"/>
        <w:tabs>
          <w:tab w:val="left" w:pos="3751"/>
          <w:tab w:val="left" w:pos="4834"/>
          <w:tab w:val="left" w:pos="8225"/>
        </w:tabs>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13.8质量事故处理</w:t>
      </w:r>
      <w:bookmarkEnd w:id="1943"/>
      <w:bookmarkEnd w:id="1944"/>
      <w:bookmarkEnd w:id="1945"/>
    </w:p>
    <w:p>
      <w:pPr>
        <w:pStyle w:val="163"/>
        <w:pageBreakBefore w:val="0"/>
        <w:widowControl w:val="0"/>
        <w:tabs>
          <w:tab w:val="left" w:pos="4814"/>
        </w:tabs>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13.8.4</w:t>
      </w:r>
      <w:r>
        <w:rPr>
          <w:rFonts w:hint="eastAsia" w:ascii="宋体" w:hAnsi="宋体" w:eastAsia="宋体" w:cs="宋体"/>
          <w:color w:val="000000"/>
          <w:sz w:val="21"/>
          <w:szCs w:val="21"/>
          <w:highlight w:val="none"/>
        </w:rPr>
        <w:t>工程竣工验收时，</w:t>
      </w:r>
      <w:r>
        <w:rPr>
          <w:rFonts w:hint="eastAsia" w:ascii="宋体" w:hAnsi="宋体" w:eastAsia="宋体" w:cs="宋体"/>
          <w:color w:val="000000"/>
          <w:spacing w:val="-8"/>
          <w:sz w:val="21"/>
          <w:szCs w:val="21"/>
          <w:highlight w:val="none"/>
          <w:u w:val="single"/>
        </w:rPr>
        <w:t>承包人及监理人分别</w:t>
      </w:r>
      <w:r>
        <w:rPr>
          <w:rFonts w:hint="eastAsia" w:ascii="宋体" w:hAnsi="宋体" w:eastAsia="宋体" w:cs="宋体"/>
          <w:color w:val="000000"/>
          <w:sz w:val="21"/>
          <w:szCs w:val="21"/>
          <w:highlight w:val="none"/>
        </w:rPr>
        <w:t>向竣工验收委员会汇报并提交历次质量缺陷处理的备案资料。</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46" w:name="bookmark1753"/>
      <w:bookmarkStart w:id="1947" w:name="_Toc31622"/>
      <w:bookmarkStart w:id="1948" w:name="_Toc9441"/>
      <w:bookmarkStart w:id="1949" w:name="_Toc20650"/>
      <w:bookmarkStart w:id="1950" w:name="_Toc6407"/>
      <w:bookmarkStart w:id="1951" w:name="bookmark1752"/>
      <w:bookmarkStart w:id="1952" w:name="_Toc20246"/>
      <w:bookmarkStart w:id="1953" w:name="_Toc38474940"/>
      <w:bookmarkStart w:id="1954" w:name="_Toc4772"/>
      <w:bookmarkStart w:id="1955" w:name="bookmark1754"/>
      <w:r>
        <w:rPr>
          <w:rFonts w:hint="eastAsia" w:ascii="宋体" w:hAnsi="宋体" w:eastAsia="宋体" w:cs="宋体"/>
          <w:color w:val="000000"/>
          <w:sz w:val="21"/>
          <w:szCs w:val="21"/>
          <w:highlight w:val="none"/>
        </w:rPr>
        <w:t>14 . 试验和检验</w:t>
      </w:r>
      <w:bookmarkEnd w:id="1946"/>
      <w:bookmarkEnd w:id="1947"/>
      <w:bookmarkEnd w:id="1948"/>
      <w:bookmarkEnd w:id="1949"/>
      <w:bookmarkEnd w:id="1950"/>
      <w:bookmarkEnd w:id="1951"/>
      <w:bookmarkEnd w:id="1952"/>
      <w:bookmarkEnd w:id="1953"/>
      <w:bookmarkEnd w:id="1954"/>
      <w:bookmarkEnd w:id="1955"/>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1956" w:name="bookmark1755"/>
      <w:bookmarkStart w:id="1957" w:name="bookmark1756"/>
      <w:bookmarkStart w:id="1958" w:name="bookmark1757"/>
      <w:r>
        <w:rPr>
          <w:rFonts w:hint="eastAsia" w:ascii="宋体" w:hAnsi="宋体" w:eastAsia="宋体" w:cs="宋体"/>
          <w:b/>
          <w:bCs/>
          <w:color w:val="000000"/>
          <w:sz w:val="21"/>
          <w:szCs w:val="21"/>
          <w:highlight w:val="none"/>
        </w:rPr>
        <w:t>14.1材料、工程设备和工程的试验和检验</w:t>
      </w:r>
      <w:bookmarkEnd w:id="1956"/>
      <w:bookmarkEnd w:id="1957"/>
      <w:bookmarkEnd w:id="1958"/>
    </w:p>
    <w:p>
      <w:pPr>
        <w:pStyle w:val="163"/>
        <w:pageBreakBefore w:val="0"/>
        <w:widowControl w:val="0"/>
        <w:tabs>
          <w:tab w:val="left" w:pos="2071"/>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14.1.5 水工金属结构、启闭机及机电产品进场后的交货检查和验收中，如承包人负责安装，则负责卸车及卸车后的验收、保管、转运、仓储管理，发生的费用由承包人承担；安装前，承包人应检查产品是否有出厂合格证、设备安装说明书及有关技术文件，对在运输和存放过程中发生的变形、受潮、损坏等问题应作好记录，并进行妥善处理；</w:t>
      </w:r>
    </w:p>
    <w:p>
      <w:pPr>
        <w:pStyle w:val="163"/>
        <w:pageBreakBefore w:val="0"/>
        <w:widowControl w:val="0"/>
        <w:tabs>
          <w:tab w:val="left" w:pos="2071"/>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发包人提供的所有设备因承包人保管和管理不当造成损坏或者遗失的，由承包人照价赔偿或从工程款中扣除相应款数。</w:t>
      </w:r>
    </w:p>
    <w:p>
      <w:pPr>
        <w:pStyle w:val="163"/>
        <w:pageBreakBefore w:val="0"/>
        <w:widowControl w:val="0"/>
        <w:tabs>
          <w:tab w:val="left" w:pos="7525"/>
        </w:tabs>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rPr>
        <w:t>14.1.6</w:t>
      </w:r>
      <w:r>
        <w:rPr>
          <w:rFonts w:hint="eastAsia" w:ascii="宋体" w:hAnsi="宋体" w:eastAsia="宋体" w:cs="宋体"/>
          <w:color w:val="000000"/>
          <w:sz w:val="21"/>
          <w:szCs w:val="21"/>
          <w:highlight w:val="none"/>
        </w:rPr>
        <w:t>本工程实行见证取样的试块、试件及有关材料：</w:t>
      </w:r>
      <w:r>
        <w:rPr>
          <w:rFonts w:hint="eastAsia" w:ascii="宋体" w:hAnsi="宋体" w:eastAsia="宋体" w:cs="宋体"/>
          <w:color w:val="000000"/>
          <w:sz w:val="21"/>
          <w:szCs w:val="21"/>
          <w:highlight w:val="none"/>
          <w:u w:val="single"/>
        </w:rPr>
        <w:t>砼试块、砂浆试块和土、水泥、砂、碎石、钢筋、砼等原材料及砂浆配合比、砼配合比、塑性砼配合比、管件、管材等</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59" w:name="_Toc2879"/>
      <w:bookmarkStart w:id="1960" w:name="_Toc18684"/>
      <w:bookmarkStart w:id="1961" w:name="_Toc10579"/>
      <w:bookmarkStart w:id="1962" w:name="_Toc38474941"/>
      <w:bookmarkStart w:id="1963" w:name="bookmark1760"/>
      <w:bookmarkStart w:id="1964" w:name="_Toc217"/>
      <w:bookmarkStart w:id="1965" w:name="_Toc17436"/>
      <w:bookmarkStart w:id="1966" w:name="bookmark1759"/>
      <w:bookmarkStart w:id="1967" w:name="bookmark1758"/>
      <w:r>
        <w:rPr>
          <w:rFonts w:hint="eastAsia" w:ascii="宋体" w:hAnsi="宋体" w:eastAsia="宋体" w:cs="宋体"/>
          <w:color w:val="000000"/>
          <w:sz w:val="21"/>
          <w:szCs w:val="21"/>
          <w:highlight w:val="none"/>
        </w:rPr>
        <w:t>15. 变更</w:t>
      </w:r>
      <w:bookmarkEnd w:id="1959"/>
      <w:bookmarkEnd w:id="1960"/>
      <w:bookmarkEnd w:id="1961"/>
      <w:bookmarkEnd w:id="1962"/>
      <w:bookmarkEnd w:id="1963"/>
      <w:bookmarkEnd w:id="1964"/>
      <w:bookmarkEnd w:id="1965"/>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1968" w:name="bookmark1761"/>
      <w:r>
        <w:rPr>
          <w:rFonts w:hint="eastAsia" w:ascii="宋体" w:hAnsi="宋体" w:eastAsia="宋体" w:cs="宋体"/>
          <w:b/>
          <w:bCs/>
          <w:color w:val="000000"/>
          <w:sz w:val="21"/>
          <w:szCs w:val="21"/>
          <w:highlight w:val="none"/>
        </w:rPr>
        <w:t>15.1变更的范围和内容</w:t>
      </w:r>
      <w:bookmarkEnd w:id="1966"/>
      <w:bookmarkEnd w:id="1967"/>
      <w:bookmarkEnd w:id="1968"/>
    </w:p>
    <w:p>
      <w:pPr>
        <w:pStyle w:val="163"/>
        <w:pageBreakBefore w:val="0"/>
        <w:widowControl w:val="0"/>
        <w:tabs>
          <w:tab w:val="left" w:pos="8220"/>
        </w:tabs>
        <w:kinsoku/>
        <w:wordWrap/>
        <w:overflowPunct/>
        <w:topLinePunct w:val="0"/>
        <w:autoSpaceDE/>
        <w:autoSpaceDN/>
        <w:bidi w:val="0"/>
        <w:adjustRightInd/>
        <w:snapToGrid/>
        <w:spacing w:line="400" w:lineRule="exact"/>
        <w:ind w:left="440"/>
        <w:jc w:val="both"/>
        <w:textAlignment w:val="auto"/>
        <w:rPr>
          <w:rFonts w:hint="eastAsia" w:ascii="宋体" w:hAnsi="宋体" w:eastAsia="宋体" w:cs="宋体"/>
          <w:color w:val="000000"/>
          <w:sz w:val="21"/>
          <w:szCs w:val="21"/>
          <w:highlight w:val="none"/>
          <w:u w:val="single"/>
        </w:rPr>
      </w:pPr>
      <w:bookmarkStart w:id="1969" w:name="bookmark1762"/>
      <w:bookmarkEnd w:id="1969"/>
      <w:bookmarkStart w:id="1970" w:name="bookmark1763"/>
      <w:bookmarkStart w:id="1971" w:name="bookmark1765"/>
      <w:bookmarkStart w:id="1972" w:name="bookmark1764"/>
      <w:r>
        <w:rPr>
          <w:rFonts w:hint="eastAsia" w:ascii="宋体" w:hAnsi="宋体" w:eastAsia="宋体" w:cs="宋体"/>
          <w:color w:val="000000"/>
          <w:sz w:val="21"/>
          <w:szCs w:val="21"/>
          <w:highlight w:val="none"/>
        </w:rPr>
        <w:t>（6）增加或减少合同中关键项目的工程量超过其项目工程总量的15%,关键项目：质量监督站核定的项目划分表确定关键项目,单价调整方式：按承包人投标预算单价执行。无项目单价的按发包方与承包方确认的补充单价确定。在工程施工期间，因市场物价波动及政策变化而进行调整材料价格，超出招标预算中该材料的预算价格的，按本合同专用条款第16款执行。</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15.4变更的估价原则</w:t>
      </w:r>
      <w:bookmarkEnd w:id="1970"/>
      <w:bookmarkEnd w:id="1971"/>
      <w:bookmarkEnd w:id="1972"/>
    </w:p>
    <w:p>
      <w:pPr>
        <w:pStyle w:val="163"/>
        <w:pageBreakBefore w:val="0"/>
        <w:widowControl w:val="0"/>
        <w:tabs>
          <w:tab w:val="left" w:pos="8220"/>
        </w:tabs>
        <w:kinsoku/>
        <w:wordWrap/>
        <w:overflowPunct/>
        <w:topLinePunct w:val="0"/>
        <w:autoSpaceDE/>
        <w:autoSpaceDN/>
        <w:bidi w:val="0"/>
        <w:adjustRightInd/>
        <w:snapToGrid/>
        <w:spacing w:line="400" w:lineRule="exact"/>
        <w:ind w:left="440"/>
        <w:jc w:val="both"/>
        <w:textAlignment w:val="auto"/>
        <w:rPr>
          <w:rFonts w:hint="eastAsia" w:ascii="宋体" w:hAnsi="宋体" w:eastAsia="宋体" w:cs="宋体"/>
          <w:color w:val="000000"/>
          <w:sz w:val="21"/>
          <w:szCs w:val="21"/>
          <w:highlight w:val="none"/>
        </w:rPr>
      </w:pPr>
      <w:bookmarkStart w:id="1973" w:name="bookmark1768"/>
      <w:bookmarkStart w:id="1974" w:name="bookmark1767"/>
      <w:bookmarkStart w:id="1975" w:name="bookmark1766"/>
      <w:r>
        <w:rPr>
          <w:rFonts w:hint="eastAsia" w:ascii="宋体" w:hAnsi="宋体" w:eastAsia="宋体" w:cs="宋体"/>
          <w:color w:val="000000"/>
          <w:sz w:val="21"/>
          <w:szCs w:val="21"/>
          <w:highlight w:val="none"/>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 承包人、监理人市场询价确定。②无定额可套的，由发包人、承包人、监理人市场询价确定。</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15.5承包人的合理化建议</w:t>
      </w:r>
      <w:bookmarkEnd w:id="1973"/>
      <w:bookmarkEnd w:id="1974"/>
      <w:bookmarkEnd w:id="1975"/>
    </w:p>
    <w:p>
      <w:pPr>
        <w:pStyle w:val="163"/>
        <w:pageBreakBefore w:val="0"/>
        <w:widowControl w:val="0"/>
        <w:tabs>
          <w:tab w:val="left" w:pos="841"/>
          <w:tab w:val="left" w:pos="6665"/>
        </w:tabs>
        <w:kinsoku/>
        <w:wordWrap/>
        <w:overflowPunct/>
        <w:topLinePunct w:val="0"/>
        <w:autoSpaceDE/>
        <w:autoSpaceDN/>
        <w:bidi w:val="0"/>
        <w:adjustRightInd/>
        <w:snapToGrid/>
        <w:spacing w:after="180" w:line="400" w:lineRule="exact"/>
        <w:ind w:left="420" w:firstLine="0"/>
        <w:textAlignment w:val="auto"/>
        <w:rPr>
          <w:rFonts w:hint="eastAsia" w:ascii="宋体" w:hAnsi="宋体" w:eastAsia="宋体" w:cs="宋体"/>
          <w:color w:val="000000"/>
          <w:sz w:val="21"/>
          <w:szCs w:val="21"/>
          <w:highlight w:val="none"/>
        </w:rPr>
      </w:pPr>
      <w:bookmarkStart w:id="1976" w:name="bookmark1769"/>
      <w:bookmarkEnd w:id="1976"/>
      <w:r>
        <w:rPr>
          <w:rFonts w:hint="eastAsia" w:ascii="宋体" w:hAnsi="宋体" w:eastAsia="宋体" w:cs="宋体"/>
          <w:color w:val="000000"/>
          <w:sz w:val="21"/>
          <w:szCs w:val="21"/>
          <w:highlight w:val="none"/>
          <w:lang w:val="en-US"/>
        </w:rPr>
        <w:t xml:space="preserve">15.5. </w:t>
      </w:r>
      <w:r>
        <w:rPr>
          <w:rFonts w:hint="eastAsia" w:ascii="宋体" w:hAnsi="宋体" w:eastAsia="宋体" w:cs="宋体"/>
          <w:color w:val="000000"/>
          <w:sz w:val="21"/>
          <w:szCs w:val="21"/>
          <w:highlight w:val="none"/>
        </w:rPr>
        <w:t>2承包人实现合理化建议的奖励金额为：</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77" w:name="_Toc24686"/>
      <w:bookmarkStart w:id="1978" w:name="_Toc25680"/>
      <w:bookmarkStart w:id="1979" w:name="bookmark1772"/>
      <w:bookmarkStart w:id="1980" w:name="_Toc24956"/>
      <w:bookmarkStart w:id="1981" w:name="bookmark1770"/>
      <w:bookmarkStart w:id="1982" w:name="_Toc24486"/>
      <w:bookmarkStart w:id="1983" w:name="bookmark1771"/>
      <w:bookmarkStart w:id="1984" w:name="_Toc8547"/>
      <w:bookmarkStart w:id="1985" w:name="_Toc38474942"/>
      <w:bookmarkStart w:id="1986" w:name="_Toc13554"/>
      <w:r>
        <w:rPr>
          <w:rFonts w:hint="eastAsia" w:ascii="宋体" w:hAnsi="宋体" w:eastAsia="宋体" w:cs="宋体"/>
          <w:color w:val="000000"/>
          <w:sz w:val="21"/>
          <w:szCs w:val="21"/>
          <w:highlight w:val="none"/>
        </w:rPr>
        <w:t>16 .价格调整</w:t>
      </w:r>
      <w:bookmarkEnd w:id="1977"/>
      <w:bookmarkEnd w:id="1978"/>
      <w:bookmarkEnd w:id="1979"/>
      <w:bookmarkEnd w:id="1980"/>
      <w:bookmarkEnd w:id="1981"/>
      <w:bookmarkEnd w:id="1982"/>
      <w:bookmarkEnd w:id="1983"/>
      <w:bookmarkEnd w:id="1984"/>
      <w:bookmarkEnd w:id="1985"/>
      <w:bookmarkEnd w:id="1986"/>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987" w:name="bookmark1773"/>
      <w:bookmarkStart w:id="1988" w:name="bookmark1774"/>
      <w:bookmarkStart w:id="1989" w:name="bookmark1775"/>
      <w:r>
        <w:rPr>
          <w:rFonts w:hint="eastAsia" w:ascii="宋体" w:hAnsi="宋体" w:eastAsia="宋体" w:cs="宋体"/>
          <w:color w:val="000000"/>
          <w:sz w:val="21"/>
          <w:szCs w:val="21"/>
          <w:highlight w:val="none"/>
        </w:rPr>
        <w:t>16.1物价波动引起的价格调整</w:t>
      </w:r>
      <w:bookmarkEnd w:id="1987"/>
      <w:bookmarkEnd w:id="1988"/>
      <w:bookmarkEnd w:id="1989"/>
    </w:p>
    <w:p>
      <w:pPr>
        <w:pStyle w:val="163"/>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990" w:name="_Toc13939"/>
      <w:bookmarkStart w:id="1991" w:name="_Toc38474943"/>
      <w:bookmarkStart w:id="1992" w:name="bookmark1780"/>
      <w:bookmarkStart w:id="1993" w:name="_Toc21455"/>
      <w:bookmarkStart w:id="1994" w:name="bookmark1777"/>
      <w:bookmarkStart w:id="1995" w:name="_Toc12454"/>
      <w:bookmarkStart w:id="1996" w:name="bookmark1778"/>
      <w:r>
        <w:rPr>
          <w:rFonts w:hint="eastAsia" w:ascii="宋体" w:hAnsi="宋体" w:eastAsia="宋体" w:cs="宋体"/>
          <w:color w:val="000000"/>
          <w:sz w:val="21"/>
          <w:szCs w:val="21"/>
          <w:highlight w:val="none"/>
        </w:rPr>
        <w:t>口本项目不因为物价波动原因引起合同价格变动而调整。</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1997" w:name="bookmark1779"/>
      <w:bookmarkEnd w:id="1997"/>
      <w:bookmarkStart w:id="1998" w:name="_Toc36198894"/>
      <w:r>
        <w:rPr>
          <w:rFonts w:hint="eastAsia" w:ascii="宋体" w:hAnsi="宋体" w:eastAsia="宋体" w:cs="宋体"/>
          <w:color w:val="000000"/>
          <w:sz w:val="21"/>
          <w:szCs w:val="21"/>
          <w:highlight w:val="none"/>
        </w:rPr>
        <w:t>☑</w:t>
      </w:r>
      <w:r>
        <w:rPr>
          <w:rFonts w:hint="eastAsia" w:ascii="宋体" w:hAnsi="宋体" w:eastAsia="宋体" w:cs="宋体"/>
          <w:color w:val="000000"/>
          <w:kern w:val="0"/>
          <w:sz w:val="21"/>
          <w:szCs w:val="21"/>
          <w:highlight w:val="none"/>
        </w:rPr>
        <w:t>本项目由于物价波动原因引起合同价格变动时，对其价格按下列方式进行调整。</w:t>
      </w:r>
      <w:bookmarkEnd w:id="199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1999" w:name="_Toc36198895"/>
      <w:r>
        <w:rPr>
          <w:rFonts w:hint="eastAsia" w:ascii="宋体" w:hAnsi="宋体" w:eastAsia="宋体" w:cs="宋体"/>
          <w:color w:val="000000"/>
          <w:kern w:val="0"/>
          <w:sz w:val="21"/>
          <w:szCs w:val="21"/>
          <w:highlight w:val="none"/>
        </w:rPr>
        <w:t>16.1.1 物价波动引起的价格调整方式：</w:t>
      </w:r>
      <w:r>
        <w:rPr>
          <w:rFonts w:hint="eastAsia" w:ascii="宋体" w:hAnsi="宋体" w:eastAsia="宋体" w:cs="宋体"/>
          <w:color w:val="000000"/>
          <w:kern w:val="0"/>
          <w:sz w:val="21"/>
          <w:szCs w:val="21"/>
          <w:highlight w:val="none"/>
          <w:u w:val="single"/>
        </w:rPr>
        <w:t>主要材料价格变化幅度超过±</w:t>
      </w:r>
      <w:r>
        <w:rPr>
          <w:rFonts w:hint="eastAsia" w:ascii="宋体" w:hAnsi="宋体" w:eastAsia="宋体" w:cs="宋体"/>
          <w:color w:val="000000"/>
          <w:kern w:val="0"/>
          <w:sz w:val="21"/>
          <w:szCs w:val="21"/>
          <w:highlight w:val="none"/>
          <w:u w:val="single"/>
          <w:lang w:val="en-US" w:eastAsia="zh-CN"/>
        </w:rPr>
        <w:t>10</w:t>
      </w:r>
      <w:r>
        <w:rPr>
          <w:rFonts w:hint="eastAsia" w:ascii="宋体" w:hAnsi="宋体" w:eastAsia="宋体" w:cs="宋体"/>
          <w:color w:val="000000"/>
          <w:kern w:val="0"/>
          <w:sz w:val="21"/>
          <w:szCs w:val="21"/>
          <w:highlight w:val="none"/>
          <w:u w:val="single"/>
        </w:rPr>
        <w:t>%时，超过±</w:t>
      </w:r>
      <w:r>
        <w:rPr>
          <w:rFonts w:hint="eastAsia" w:ascii="宋体" w:hAnsi="宋体" w:eastAsia="宋体" w:cs="宋体"/>
          <w:color w:val="000000"/>
          <w:kern w:val="0"/>
          <w:sz w:val="21"/>
          <w:szCs w:val="21"/>
          <w:highlight w:val="none"/>
          <w:u w:val="single"/>
          <w:lang w:val="en-US" w:eastAsia="zh-CN"/>
        </w:rPr>
        <w:t>10</w:t>
      </w:r>
      <w:r>
        <w:rPr>
          <w:rFonts w:hint="eastAsia" w:ascii="宋体" w:hAnsi="宋体" w:eastAsia="宋体" w:cs="宋体"/>
          <w:color w:val="000000"/>
          <w:kern w:val="0"/>
          <w:sz w:val="21"/>
          <w:szCs w:val="21"/>
          <w:highlight w:val="none"/>
          <w:u w:val="single"/>
        </w:rPr>
        <w:t xml:space="preserve">%的部分调整材料价差，并计列相应的税金 </w:t>
      </w:r>
      <w:r>
        <w:rPr>
          <w:rFonts w:hint="eastAsia" w:ascii="宋体" w:hAnsi="宋体" w:eastAsia="宋体" w:cs="宋体"/>
          <w:color w:val="000000"/>
          <w:kern w:val="0"/>
          <w:sz w:val="21"/>
          <w:szCs w:val="21"/>
          <w:highlight w:val="none"/>
        </w:rPr>
        <w:t>。</w:t>
      </w:r>
      <w:bookmarkEnd w:id="1999"/>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0" w:name="_Toc36198896"/>
      <w:r>
        <w:rPr>
          <w:rFonts w:hint="eastAsia" w:ascii="宋体" w:hAnsi="宋体" w:eastAsia="宋体" w:cs="宋体"/>
          <w:color w:val="000000"/>
          <w:kern w:val="0"/>
          <w:sz w:val="21"/>
          <w:szCs w:val="21"/>
          <w:highlight w:val="none"/>
        </w:rPr>
        <w:t>16.1.2 调整价格的主要材料：对在市场上购买的各类管材、设备、混凝土、水泥、钢材、电缆、阀门、水表、砖、柴油、砂、碎石、块石等进行补差，其他材料价格一律不予调整。</w:t>
      </w:r>
      <w:bookmarkEnd w:id="2000"/>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1" w:name="_Toc36198897"/>
      <w:r>
        <w:rPr>
          <w:rFonts w:hint="eastAsia" w:ascii="宋体" w:hAnsi="宋体" w:eastAsia="宋体" w:cs="宋体"/>
          <w:color w:val="000000"/>
          <w:kern w:val="0"/>
          <w:sz w:val="21"/>
          <w:szCs w:val="21"/>
          <w:highlight w:val="none"/>
        </w:rPr>
        <w:t>16.1.3 主要材料补差的计算方法：按公式“△A=Q*【A-A 0 *（1±</w:t>
      </w: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%）*（1+P%）】”</w:t>
      </w:r>
      <w:bookmarkEnd w:id="2001"/>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2" w:name="_Toc36198898"/>
      <w:r>
        <w:rPr>
          <w:rFonts w:hint="eastAsia" w:ascii="宋体" w:hAnsi="宋体" w:eastAsia="宋体" w:cs="宋体"/>
          <w:color w:val="000000"/>
          <w:kern w:val="0"/>
          <w:sz w:val="21"/>
          <w:szCs w:val="21"/>
          <w:highlight w:val="none"/>
        </w:rPr>
        <w:t>进行计算补差。</w:t>
      </w:r>
      <w:bookmarkEnd w:id="2002"/>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3" w:name="_Toc36198899"/>
      <w:r>
        <w:rPr>
          <w:rFonts w:hint="eastAsia" w:ascii="宋体" w:hAnsi="宋体" w:eastAsia="宋体" w:cs="宋体"/>
          <w:color w:val="000000"/>
          <w:kern w:val="0"/>
          <w:sz w:val="21"/>
          <w:szCs w:val="21"/>
          <w:highlight w:val="none"/>
        </w:rPr>
        <w:t>其中：△A---主要材料补差款；</w:t>
      </w:r>
      <w:bookmarkEnd w:id="2003"/>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4" w:name="_Toc36198900"/>
      <w:r>
        <w:rPr>
          <w:rFonts w:hint="eastAsia" w:ascii="宋体" w:hAnsi="宋体" w:eastAsia="宋体" w:cs="宋体"/>
          <w:color w:val="000000"/>
          <w:kern w:val="0"/>
          <w:sz w:val="21"/>
          <w:szCs w:val="21"/>
          <w:highlight w:val="none"/>
        </w:rPr>
        <w:t>Q---结算完成工程量统计的主要材料用量；</w:t>
      </w:r>
      <w:bookmarkEnd w:id="200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5" w:name="_Toc36198901"/>
      <w:r>
        <w:rPr>
          <w:rFonts w:hint="eastAsia" w:ascii="宋体" w:hAnsi="宋体" w:eastAsia="宋体" w:cs="宋体"/>
          <w:color w:val="000000"/>
          <w:kern w:val="0"/>
          <w:sz w:val="21"/>
          <w:szCs w:val="21"/>
          <w:highlight w:val="none"/>
        </w:rPr>
        <w:t>A---结算期主要材料价格；</w:t>
      </w:r>
      <w:bookmarkEnd w:id="2005"/>
      <w:bookmarkStart w:id="2006" w:name="_Toc36198902"/>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A 0 ---基准期主要材料价格</w:t>
      </w:r>
      <w:bookmarkEnd w:id="2006"/>
      <w:bookmarkStart w:id="2007" w:name="_Toc36198903"/>
      <w:r>
        <w:rPr>
          <w:rFonts w:hint="eastAsia" w:ascii="宋体" w:hAnsi="宋体" w:eastAsia="宋体" w:cs="宋体"/>
          <w:color w:val="000000"/>
          <w:kern w:val="0"/>
          <w:sz w:val="21"/>
          <w:szCs w:val="21"/>
          <w:highlight w:val="none"/>
          <w:lang w:eastAsia="zh-CN"/>
        </w:rPr>
        <w:t>；</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P---相应税率</w:t>
      </w:r>
      <w:bookmarkEnd w:id="2007"/>
      <w:bookmarkStart w:id="2008" w:name="_Toc3619890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16.1.4 采用造价信息调整价格差额：</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（1）基准期主要补差材料基准价格：以发布施工招标上限控制价《</w:t>
      </w:r>
      <w:r>
        <w:rPr>
          <w:rFonts w:hint="eastAsia" w:ascii="宋体" w:hAnsi="宋体" w:eastAsia="宋体" w:cs="宋体"/>
          <w:color w:val="000000"/>
          <w:kern w:val="0"/>
          <w:sz w:val="21"/>
          <w:szCs w:val="21"/>
          <w:highlight w:val="none"/>
          <w:lang w:eastAsia="zh-CN"/>
        </w:rPr>
        <w:t>防城港市</w:t>
      </w:r>
      <w:r>
        <w:rPr>
          <w:rFonts w:hint="eastAsia" w:ascii="宋体" w:hAnsi="宋体" w:eastAsia="宋体" w:cs="宋体"/>
          <w:color w:val="000000"/>
          <w:kern w:val="0"/>
          <w:sz w:val="21"/>
          <w:szCs w:val="21"/>
          <w:highlight w:val="none"/>
        </w:rPr>
        <w:t>建设工程造价信息》（工程所在地）中发布的主要材料市场价为基准。</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（2）结算期主要材料价格：结算月度出版的《</w:t>
      </w:r>
      <w:r>
        <w:rPr>
          <w:rFonts w:hint="eastAsia" w:ascii="宋体" w:hAnsi="宋体" w:eastAsia="宋体" w:cs="宋体"/>
          <w:color w:val="000000"/>
          <w:kern w:val="0"/>
          <w:sz w:val="21"/>
          <w:szCs w:val="21"/>
          <w:highlight w:val="none"/>
          <w:lang w:eastAsia="zh-CN"/>
        </w:rPr>
        <w:t>防城港</w:t>
      </w:r>
      <w:r>
        <w:rPr>
          <w:rFonts w:hint="eastAsia" w:ascii="宋体" w:hAnsi="宋体" w:eastAsia="宋体" w:cs="宋体"/>
          <w:color w:val="000000"/>
          <w:kern w:val="0"/>
          <w:sz w:val="21"/>
          <w:szCs w:val="21"/>
          <w:highlight w:val="none"/>
        </w:rPr>
        <w:t>市建设工程造价信息》（工程所在地）中发布的主要材料信息价格；</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（3）主要材料补差按季度结算，在下一季度第一个月结算上一季度的主要材料补差款。</w:t>
      </w:r>
      <w:bookmarkEnd w:id="2008"/>
      <w:bookmarkStart w:id="2009" w:name="_Toc36198905"/>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（4）工程造价信息的来源：</w:t>
      </w:r>
      <w:r>
        <w:rPr>
          <w:rFonts w:hint="eastAsia" w:ascii="宋体" w:hAnsi="宋体" w:eastAsia="宋体" w:cs="宋体"/>
          <w:color w:val="000000"/>
          <w:kern w:val="0"/>
          <w:sz w:val="21"/>
          <w:szCs w:val="21"/>
          <w:highlight w:val="none"/>
          <w:u w:val="single"/>
        </w:rPr>
        <w:t>《</w:t>
      </w:r>
      <w:r>
        <w:rPr>
          <w:rFonts w:hint="eastAsia" w:ascii="宋体" w:hAnsi="宋体" w:eastAsia="宋体" w:cs="宋体"/>
          <w:color w:val="000000"/>
          <w:kern w:val="0"/>
          <w:sz w:val="21"/>
          <w:szCs w:val="21"/>
          <w:highlight w:val="none"/>
          <w:u w:val="single"/>
          <w:lang w:eastAsia="zh-CN"/>
        </w:rPr>
        <w:t>防城港</w:t>
      </w:r>
      <w:r>
        <w:rPr>
          <w:rFonts w:hint="eastAsia" w:ascii="宋体" w:hAnsi="宋体" w:eastAsia="宋体" w:cs="宋体"/>
          <w:color w:val="000000"/>
          <w:kern w:val="0"/>
          <w:sz w:val="21"/>
          <w:szCs w:val="21"/>
          <w:highlight w:val="none"/>
          <w:u w:val="single"/>
        </w:rPr>
        <w:t>市建设工程造价信息》的发布期以实际发出招标工程量清单中注明的为准</w:t>
      </w:r>
      <w:r>
        <w:rPr>
          <w:rFonts w:hint="eastAsia" w:ascii="宋体" w:hAnsi="宋体" w:eastAsia="宋体" w:cs="宋体"/>
          <w:color w:val="000000"/>
          <w:kern w:val="0"/>
          <w:sz w:val="21"/>
          <w:szCs w:val="21"/>
          <w:highlight w:val="none"/>
        </w:rPr>
        <w:t>。</w:t>
      </w:r>
      <w:bookmarkEnd w:id="2009"/>
      <w:bookmarkStart w:id="2010" w:name="_Toc36198906"/>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（5）价格调整的项目和系数：</w:t>
      </w:r>
      <w:r>
        <w:rPr>
          <w:rFonts w:hint="eastAsia" w:ascii="宋体" w:hAnsi="宋体" w:eastAsia="宋体" w:cs="宋体"/>
          <w:color w:val="000000"/>
          <w:kern w:val="0"/>
          <w:sz w:val="21"/>
          <w:szCs w:val="21"/>
          <w:highlight w:val="none"/>
          <w:u w:val="single"/>
        </w:rPr>
        <w:t>（1）计算季度结算最后一期的《</w:t>
      </w:r>
      <w:r>
        <w:rPr>
          <w:rFonts w:hint="eastAsia" w:ascii="宋体" w:hAnsi="宋体" w:eastAsia="宋体" w:cs="宋体"/>
          <w:color w:val="000000"/>
          <w:kern w:val="0"/>
          <w:sz w:val="21"/>
          <w:szCs w:val="21"/>
          <w:highlight w:val="none"/>
          <w:u w:val="single"/>
          <w:lang w:eastAsia="zh-CN"/>
        </w:rPr>
        <w:t>防城港</w:t>
      </w:r>
      <w:r>
        <w:rPr>
          <w:rFonts w:hint="eastAsia" w:ascii="宋体" w:hAnsi="宋体" w:eastAsia="宋体" w:cs="宋体"/>
          <w:color w:val="000000"/>
          <w:kern w:val="0"/>
          <w:sz w:val="21"/>
          <w:szCs w:val="21"/>
          <w:highlight w:val="none"/>
          <w:u w:val="single"/>
        </w:rPr>
        <w:t xml:space="preserve">市建设工程造价信息》（工程所在地）主要补差材料信息价格高于基准期主要补差材料基准价格 </w:t>
      </w:r>
      <w:r>
        <w:rPr>
          <w:rFonts w:hint="eastAsia" w:ascii="宋体" w:hAnsi="宋体" w:eastAsia="宋体" w:cs="宋体"/>
          <w:color w:val="000000"/>
          <w:kern w:val="0"/>
          <w:sz w:val="21"/>
          <w:szCs w:val="21"/>
          <w:highlight w:val="none"/>
          <w:u w:val="single"/>
          <w:lang w:val="en-US" w:eastAsia="zh-CN"/>
        </w:rPr>
        <w:t>10</w:t>
      </w:r>
      <w:r>
        <w:rPr>
          <w:rFonts w:hint="eastAsia" w:ascii="宋体" w:hAnsi="宋体" w:eastAsia="宋体" w:cs="宋体"/>
          <w:color w:val="000000"/>
          <w:kern w:val="0"/>
          <w:sz w:val="21"/>
          <w:szCs w:val="21"/>
          <w:highlight w:val="none"/>
          <w:u w:val="single"/>
        </w:rPr>
        <w:t>%的，承包人提出书面报告，由发包人在 7 个工作日内确认后对超过部分以价格之差予以价差调整。承包人应当在以上情况发生后 14 天内，将调整原因、金额以书面形式通知监理工程师，监理工程师确认调整金额后作为追加合同价款，与工程款同期支付。（2）计算季度最后一期的《</w:t>
      </w:r>
      <w:r>
        <w:rPr>
          <w:rFonts w:hint="eastAsia" w:ascii="宋体" w:hAnsi="宋体" w:eastAsia="宋体" w:cs="宋体"/>
          <w:color w:val="000000"/>
          <w:kern w:val="0"/>
          <w:sz w:val="21"/>
          <w:szCs w:val="21"/>
          <w:highlight w:val="none"/>
          <w:u w:val="single"/>
          <w:lang w:eastAsia="zh-CN"/>
        </w:rPr>
        <w:t>防城港市</w:t>
      </w:r>
      <w:r>
        <w:rPr>
          <w:rFonts w:hint="eastAsia" w:ascii="宋体" w:hAnsi="宋体" w:eastAsia="宋体" w:cs="宋体"/>
          <w:color w:val="000000"/>
          <w:kern w:val="0"/>
          <w:sz w:val="21"/>
          <w:szCs w:val="21"/>
          <w:highlight w:val="none"/>
          <w:u w:val="single"/>
        </w:rPr>
        <w:t>建设工程造价信息》（工程所在地）主要补差材料信息价格低于基准期主要补差材料基准价格</w:t>
      </w:r>
      <w:r>
        <w:rPr>
          <w:rFonts w:hint="eastAsia" w:ascii="宋体" w:hAnsi="宋体" w:eastAsia="宋体" w:cs="宋体"/>
          <w:color w:val="000000"/>
          <w:kern w:val="0"/>
          <w:sz w:val="21"/>
          <w:szCs w:val="21"/>
          <w:highlight w:val="none"/>
          <w:u w:val="single"/>
          <w:lang w:val="en-US" w:eastAsia="zh-CN"/>
        </w:rPr>
        <w:t>10</w:t>
      </w:r>
      <w:r>
        <w:rPr>
          <w:rFonts w:hint="eastAsia" w:ascii="宋体" w:hAnsi="宋体" w:eastAsia="宋体" w:cs="宋体"/>
          <w:color w:val="000000"/>
          <w:kern w:val="0"/>
          <w:sz w:val="21"/>
          <w:szCs w:val="21"/>
          <w:highlight w:val="none"/>
          <w:u w:val="single"/>
        </w:rPr>
        <w:t>%的，发包人在当期合同款中对超过部分予以价差调整并扣除相关款项。</w:t>
      </w:r>
      <w:bookmarkEnd w:id="2010"/>
      <w:r>
        <w:rPr>
          <w:rFonts w:hint="eastAsia" w:ascii="宋体" w:hAnsi="宋体" w:eastAsia="宋体" w:cs="宋体"/>
          <w:color w:val="000000"/>
          <w:kern w:val="0"/>
          <w:sz w:val="21"/>
          <w:szCs w:val="21"/>
          <w:highlight w:val="none"/>
          <w:u w:val="single"/>
        </w:rPr>
        <w:t>材料补差不以承包人做出的工地价为依据，也不考虑对运杂费、采保费和保险费进行补差。</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011" w:name="_Toc18160"/>
      <w:bookmarkStart w:id="2012" w:name="_Toc7144"/>
      <w:bookmarkStart w:id="2013" w:name="_Toc15520"/>
      <w:r>
        <w:rPr>
          <w:rFonts w:hint="eastAsia" w:ascii="宋体" w:hAnsi="宋体" w:eastAsia="宋体" w:cs="宋体"/>
          <w:color w:val="000000"/>
          <w:sz w:val="21"/>
          <w:szCs w:val="21"/>
          <w:highlight w:val="none"/>
        </w:rPr>
        <w:t>17. 计量与支付</w:t>
      </w:r>
      <w:bookmarkEnd w:id="1990"/>
      <w:bookmarkEnd w:id="1991"/>
      <w:bookmarkEnd w:id="1992"/>
      <w:bookmarkEnd w:id="1993"/>
      <w:bookmarkEnd w:id="1994"/>
      <w:bookmarkEnd w:id="1995"/>
      <w:bookmarkEnd w:id="1996"/>
      <w:bookmarkEnd w:id="2011"/>
      <w:bookmarkEnd w:id="2012"/>
      <w:bookmarkEnd w:id="2013"/>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outlineLvl w:val="0"/>
        <w:rPr>
          <w:rFonts w:hint="eastAsia" w:ascii="宋体" w:hAnsi="宋体" w:eastAsia="宋体" w:cs="宋体"/>
          <w:b/>
          <w:bCs/>
          <w:color w:val="000000"/>
          <w:sz w:val="21"/>
          <w:szCs w:val="21"/>
          <w:highlight w:val="none"/>
        </w:rPr>
      </w:pPr>
      <w:bookmarkStart w:id="2014" w:name="bookmark1781"/>
      <w:bookmarkStart w:id="2015" w:name="_Toc26297"/>
      <w:bookmarkStart w:id="2016" w:name="bookmark1783"/>
      <w:bookmarkStart w:id="2017" w:name="bookmark1782"/>
      <w:bookmarkStart w:id="2018" w:name="_Toc11333"/>
      <w:r>
        <w:rPr>
          <w:rFonts w:hint="eastAsia" w:ascii="宋体" w:hAnsi="宋体" w:eastAsia="宋体" w:cs="宋体"/>
          <w:b/>
          <w:bCs/>
          <w:color w:val="000000"/>
          <w:sz w:val="21"/>
          <w:szCs w:val="21"/>
          <w:highlight w:val="none"/>
        </w:rPr>
        <w:t>17.2预付款</w:t>
      </w:r>
      <w:bookmarkEnd w:id="2014"/>
      <w:bookmarkEnd w:id="2015"/>
      <w:bookmarkEnd w:id="2016"/>
      <w:bookmarkEnd w:id="2017"/>
      <w:bookmarkEnd w:id="2018"/>
    </w:p>
    <w:p>
      <w:pPr>
        <w:pStyle w:val="163"/>
        <w:pageBreakBefore w:val="0"/>
        <w:widowControl w:val="0"/>
        <w:tabs>
          <w:tab w:val="left" w:pos="5071"/>
          <w:tab w:val="left" w:pos="6550"/>
        </w:tabs>
        <w:kinsoku/>
        <w:wordWrap/>
        <w:overflowPunct/>
        <w:topLinePunct w:val="0"/>
        <w:autoSpaceDE/>
        <w:autoSpaceDN/>
        <w:bidi w:val="0"/>
        <w:adjustRightInd/>
        <w:snapToGrid/>
        <w:spacing w:line="400" w:lineRule="exact"/>
        <w:ind w:left="440"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17.2.1预付款</w:t>
      </w:r>
    </w:p>
    <w:p>
      <w:pPr>
        <w:pStyle w:val="163"/>
        <w:pageBreakBefore w:val="0"/>
        <w:widowControl w:val="0"/>
        <w:tabs>
          <w:tab w:val="left" w:pos="5071"/>
          <w:tab w:val="left" w:pos="6550"/>
        </w:tabs>
        <w:kinsoku/>
        <w:wordWrap/>
        <w:overflowPunct/>
        <w:topLinePunct w:val="0"/>
        <w:autoSpaceDE/>
        <w:autoSpaceDN/>
        <w:bidi w:val="0"/>
        <w:adjustRightInd/>
        <w:snapToGrid/>
        <w:spacing w:line="400" w:lineRule="exact"/>
        <w:ind w:left="440" w:firstLine="0"/>
        <w:textAlignment w:val="auto"/>
        <w:rPr>
          <w:rFonts w:hint="eastAsia" w:ascii="宋体" w:hAnsi="宋体" w:eastAsia="宋体" w:cs="宋体"/>
          <w:color w:val="000000"/>
          <w:sz w:val="21"/>
          <w:szCs w:val="21"/>
          <w:highlight w:val="none"/>
          <w:u w:val="single"/>
          <w:lang w:val="en-US"/>
        </w:rPr>
      </w:pPr>
      <w:r>
        <w:rPr>
          <w:rFonts w:hint="eastAsia" w:ascii="宋体" w:hAnsi="宋体" w:eastAsia="宋体" w:cs="宋体"/>
          <w:strike w:val="0"/>
          <w:dstrike w:val="0"/>
          <w:color w:val="000000"/>
          <w:sz w:val="21"/>
          <w:szCs w:val="21"/>
          <w:highlight w:val="none"/>
        </w:rPr>
        <w:t>（1）工程预付款的总金额为签约合同价的</w:t>
      </w:r>
      <w:r>
        <w:rPr>
          <w:rFonts w:hint="eastAsia" w:ascii="宋体" w:hAnsi="宋体" w:eastAsia="宋体" w:cs="宋体"/>
          <w:strike w:val="0"/>
          <w:dstrike w:val="0"/>
          <w:color w:val="000000"/>
          <w:sz w:val="21"/>
          <w:szCs w:val="21"/>
          <w:highlight w:val="none"/>
          <w:u w:val="single"/>
          <w:lang w:val="en-US"/>
        </w:rPr>
        <w:t xml:space="preserve"> </w:t>
      </w:r>
      <w:r>
        <w:rPr>
          <w:rFonts w:hint="eastAsia" w:ascii="宋体" w:hAnsi="宋体" w:eastAsia="宋体" w:cs="宋体"/>
          <w:strike w:val="0"/>
          <w:dstrike w:val="0"/>
          <w:color w:val="000000"/>
          <w:sz w:val="21"/>
          <w:szCs w:val="21"/>
          <w:highlight w:val="none"/>
          <w:u w:val="single"/>
          <w:lang w:val="en-US" w:eastAsia="zh-CN"/>
        </w:rPr>
        <w:t xml:space="preserve">30 </w:t>
      </w:r>
      <w:r>
        <w:rPr>
          <w:rFonts w:hint="eastAsia" w:ascii="宋体" w:hAnsi="宋体" w:eastAsia="宋体" w:cs="宋体"/>
          <w:strike w:val="0"/>
          <w:dstrike w:val="0"/>
          <w:color w:val="000000"/>
          <w:sz w:val="21"/>
          <w:szCs w:val="21"/>
          <w:highlight w:val="none"/>
        </w:rPr>
        <w:t>%,分</w:t>
      </w:r>
      <w:r>
        <w:rPr>
          <w:rFonts w:hint="eastAsia" w:ascii="宋体" w:hAnsi="宋体" w:eastAsia="宋体" w:cs="宋体"/>
          <w:strike w:val="0"/>
          <w:dstrike w:val="0"/>
          <w:color w:val="000000"/>
          <w:sz w:val="21"/>
          <w:szCs w:val="21"/>
          <w:highlight w:val="none"/>
          <w:u w:val="single"/>
          <w:lang w:val="en-US"/>
        </w:rPr>
        <w:t xml:space="preserve"> </w:t>
      </w:r>
      <w:r>
        <w:rPr>
          <w:rFonts w:hint="eastAsia" w:ascii="宋体" w:hAnsi="宋体" w:eastAsia="宋体" w:cs="宋体"/>
          <w:strike w:val="0"/>
          <w:dstrike w:val="0"/>
          <w:color w:val="000000"/>
          <w:sz w:val="21"/>
          <w:szCs w:val="21"/>
          <w:highlight w:val="none"/>
          <w:u w:val="single"/>
          <w:lang w:val="en-US" w:eastAsia="zh-CN"/>
        </w:rPr>
        <w:t>1</w:t>
      </w:r>
      <w:r>
        <w:rPr>
          <w:rFonts w:hint="eastAsia" w:ascii="宋体" w:hAnsi="宋体" w:eastAsia="宋体" w:cs="宋体"/>
          <w:strike w:val="0"/>
          <w:dstrike w:val="0"/>
          <w:color w:val="000000"/>
          <w:sz w:val="21"/>
          <w:szCs w:val="21"/>
          <w:highlight w:val="none"/>
          <w:u w:val="single"/>
          <w:lang w:val="en-US"/>
        </w:rPr>
        <w:t xml:space="preserve"> </w:t>
      </w:r>
      <w:r>
        <w:rPr>
          <w:rFonts w:hint="eastAsia" w:ascii="宋体" w:hAnsi="宋体" w:eastAsia="宋体" w:cs="宋体"/>
          <w:strike w:val="0"/>
          <w:dstrike w:val="0"/>
          <w:color w:val="000000"/>
          <w:sz w:val="21"/>
          <w:szCs w:val="21"/>
          <w:highlight w:val="none"/>
        </w:rPr>
        <w:t>次支付给承包人。 各次预付款的支付额度和付款时间为：</w:t>
      </w:r>
    </w:p>
    <w:p>
      <w:pPr>
        <w:pStyle w:val="163"/>
        <w:pageBreakBefore w:val="0"/>
        <w:widowControl w:val="0"/>
        <w:numPr>
          <w:ilvl w:val="0"/>
          <w:numId w:val="43"/>
        </w:numPr>
        <w:tabs>
          <w:tab w:val="left" w:pos="795"/>
          <w:tab w:val="left" w:pos="5366"/>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第一次预付款金额为工程预付款总金额的</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rPr>
        <w:t>%,付款时间应在合同协议书签订后，由承包人向发包人提交了发包人认可的工程预付款担保，并经监理人出具付款证书报送发包人批准后14天内予以支付。</w:t>
      </w:r>
    </w:p>
    <w:p>
      <w:pPr>
        <w:pStyle w:val="163"/>
        <w:pageBreakBefore w:val="0"/>
        <w:widowControl w:val="0"/>
        <w:numPr>
          <w:ilvl w:val="0"/>
          <w:numId w:val="43"/>
        </w:numPr>
        <w:tabs>
          <w:tab w:val="left" w:pos="795"/>
          <w:tab w:val="left" w:pos="5366"/>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第二次预付款金额为工程预付款总金额的</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lang w:val="en-US"/>
        </w:rPr>
        <w:t>%。</w:t>
      </w:r>
      <w:r>
        <w:rPr>
          <w:rFonts w:hint="eastAsia" w:ascii="宋体" w:hAnsi="宋体" w:eastAsia="宋体" w:cs="宋体"/>
          <w:color w:val="000000"/>
          <w:sz w:val="21"/>
          <w:szCs w:val="21"/>
          <w:highlight w:val="none"/>
        </w:rPr>
        <w:t>付款时间需待承包人主要设备进入工地后，其估算价值已达到本次预付款金额时，由承包人提出书面申请，经监理人核实后出具付款证书报送发包人批准后14天内予以支付。</w:t>
      </w:r>
    </w:p>
    <w:p>
      <w:pPr>
        <w:pStyle w:val="163"/>
        <w:pageBreakBefore w:val="0"/>
        <w:widowControl w:val="0"/>
        <w:numPr>
          <w:ilvl w:val="0"/>
          <w:numId w:val="43"/>
        </w:numPr>
        <w:tabs>
          <w:tab w:val="left" w:pos="825"/>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第三次预付款……。</w:t>
      </w:r>
    </w:p>
    <w:p>
      <w:pPr>
        <w:pStyle w:val="163"/>
        <w:pageBreakBefore w:val="0"/>
        <w:widowControl w:val="0"/>
        <w:tabs>
          <w:tab w:val="left" w:pos="825"/>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p>
      <w:pPr>
        <w:pStyle w:val="163"/>
        <w:pageBreakBefore w:val="0"/>
        <w:widowControl w:val="0"/>
        <w:tabs>
          <w:tab w:val="left" w:pos="6706"/>
        </w:tabs>
        <w:kinsoku/>
        <w:wordWrap/>
        <w:overflowPunct/>
        <w:topLinePunct w:val="0"/>
        <w:autoSpaceDE/>
        <w:autoSpaceDN/>
        <w:bidi w:val="0"/>
        <w:adjustRightInd/>
        <w:snapToGrid/>
        <w:spacing w:after="120" w:line="400" w:lineRule="exact"/>
        <w:ind w:left="420"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（1）工程材料预付款的额度和预付办法约定为：</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lang w:val="en-US"/>
        </w:rPr>
        <w:t>。</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17.2.2</w:t>
      </w:r>
      <w:r>
        <w:rPr>
          <w:rFonts w:hint="eastAsia" w:ascii="宋体" w:hAnsi="宋体" w:eastAsia="宋体" w:cs="宋体"/>
          <w:color w:val="000000"/>
          <w:sz w:val="21"/>
          <w:szCs w:val="21"/>
          <w:highlight w:val="none"/>
        </w:rPr>
        <w:t>预付款保函(担保)</w:t>
      </w:r>
    </w:p>
    <w:p>
      <w:pPr>
        <w:pStyle w:val="163"/>
        <w:pageBreakBefore w:val="0"/>
        <w:widowControl w:val="0"/>
        <w:tabs>
          <w:tab w:val="left" w:pos="5657"/>
        </w:tabs>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(2)工程材料预付款的担保约定为：</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lang w:val="en-US"/>
        </w:rPr>
        <w:t>。</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17.2.3</w:t>
      </w:r>
      <w:r>
        <w:rPr>
          <w:rFonts w:hint="eastAsia" w:ascii="宋体" w:hAnsi="宋体" w:eastAsia="宋体" w:cs="宋体"/>
          <w:color w:val="000000"/>
          <w:sz w:val="21"/>
          <w:szCs w:val="21"/>
          <w:highlight w:val="none"/>
        </w:rPr>
        <w:t>预付款的扣回与还清</w:t>
      </w:r>
    </w:p>
    <w:p>
      <w:pPr>
        <w:pStyle w:val="163"/>
        <w:pageBreakBefore w:val="0"/>
        <w:widowControl w:val="0"/>
        <w:tabs>
          <w:tab w:val="left" w:pos="3967"/>
          <w:tab w:val="left" w:pos="6151"/>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工程预付款在合同累计完成金额达到签约合同价格的</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rPr>
        <w:t>%时开始扣款，直至合 同累计完成金额达到签约合同价的</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rPr>
        <w:t>%时全部扣清。</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lang w:val="en-US"/>
        </w:rPr>
        <w:pict>
          <v:shape id="Object 2" o:spid="_x0000_s1026" o:spt="75" type="#_x0000_t75" style="position:absolute;left:0pt;margin-left:63pt;margin-top:7.95pt;height:31.5pt;width:126.4pt;mso-wrap-distance-bottom:0pt;mso-wrap-distance-left:9pt;mso-wrap-distance-right:9pt;mso-wrap-distance-top:0pt;z-index:251660288;mso-width-relative:page;mso-height-relative:page;" o:ole="t" fillcolor="#ACA899" filled="f" o:preferrelative="t" stroked="f" coordsize="21600,21600">
            <v:path/>
            <v:fill on="f" focussize="0,0"/>
            <v:stroke on="f" joinstyle="miter"/>
            <v:imagedata r:id="rId14" o:title=""/>
            <o:lock v:ext="edit" aspectratio="f"/>
            <w10:wrap type="square"/>
          </v:shape>
          <o:OLEObject Type="Embed" ProgID="Equation.3" ShapeID="Object 2" DrawAspect="Content" ObjectID="_1468075726" r:id="rId13">
            <o:LockedField>false</o:LockedField>
          </o:OLEObject>
        </w:pic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式中：R——每次进度付款中累计扣回的金额；</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cs/>
          <w:lang w:val="mn-Mong-CN"/>
        </w:rPr>
        <w:t xml:space="preserve">      A——工程预付款总金额；</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cs/>
          <w:lang w:val="mn-Mong-CN"/>
        </w:rPr>
        <w:t xml:space="preserve">      S——签约合同价格；</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cs/>
          <w:lang w:val="mn-Mong-CN"/>
        </w:rPr>
        <w:t xml:space="preserve">      C——合同累计完成金额；</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cs/>
          <w:lang w:val="mn-Mong-CN"/>
        </w:rPr>
        <w:t xml:space="preserve">      F</w:t>
      </w:r>
      <w:r>
        <w:rPr>
          <w:rFonts w:hint="eastAsia" w:ascii="宋体" w:hAnsi="宋体" w:eastAsia="宋体" w:cs="宋体"/>
          <w:color w:val="000000"/>
          <w:sz w:val="21"/>
          <w:szCs w:val="21"/>
          <w:highlight w:val="none"/>
          <w:vertAlign w:val="subscript"/>
          <w:cs/>
          <w:lang w:val="mn-Mong-CN"/>
        </w:rPr>
        <w:t>1</w:t>
      </w:r>
      <w:r>
        <w:rPr>
          <w:rFonts w:hint="eastAsia" w:ascii="宋体" w:hAnsi="宋体" w:eastAsia="宋体" w:cs="宋体"/>
          <w:color w:val="000000"/>
          <w:sz w:val="21"/>
          <w:szCs w:val="21"/>
          <w:highlight w:val="none"/>
          <w:cs/>
          <w:lang w:val="mn-Mong-CN"/>
        </w:rPr>
        <w:t>——开始扣款时合同累计完成金额达到签约合同价格的比例；</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 xml:space="preserve">      F</w:t>
      </w:r>
      <w:r>
        <w:rPr>
          <w:rFonts w:hint="eastAsia" w:ascii="宋体" w:hAnsi="宋体" w:eastAsia="宋体" w:cs="宋体"/>
          <w:color w:val="000000"/>
          <w:sz w:val="21"/>
          <w:szCs w:val="21"/>
          <w:highlight w:val="none"/>
          <w:vertAlign w:val="subscript"/>
          <w:lang w:val="en-US"/>
        </w:rPr>
        <w:t>2</w:t>
      </w:r>
      <w:r>
        <w:rPr>
          <w:rFonts w:hint="eastAsia" w:ascii="宋体" w:hAnsi="宋体" w:eastAsia="宋体" w:cs="宋体"/>
          <w:color w:val="000000"/>
          <w:sz w:val="21"/>
          <w:szCs w:val="21"/>
          <w:highlight w:val="none"/>
          <w:lang w:val="en-US"/>
        </w:rPr>
        <w:t>——全部扣清时合同累计完成金额达到签约合同价格的比例。</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上述合同累计完成金额均指价格调整前未扣质量保证金的金额。</w:t>
      </w:r>
    </w:p>
    <w:p>
      <w:pPr>
        <w:pStyle w:val="163"/>
        <w:pageBreakBefore w:val="0"/>
        <w:widowControl w:val="0"/>
        <w:tabs>
          <w:tab w:val="left" w:pos="6286"/>
        </w:tabs>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(2)工程材料预付款的扣回与还清约定为：</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lang w:val="en-US"/>
        </w:rPr>
        <w:t>。</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19" w:name="bookmark1784"/>
      <w:bookmarkEnd w:id="2019"/>
      <w:bookmarkStart w:id="2020" w:name="bookmark1791"/>
      <w:bookmarkStart w:id="2021" w:name="bookmark1789"/>
      <w:bookmarkStart w:id="2022" w:name="bookmark1790"/>
      <w:r>
        <w:rPr>
          <w:rFonts w:hint="eastAsia" w:ascii="宋体" w:hAnsi="宋体" w:eastAsia="宋体" w:cs="宋体"/>
          <w:b/>
          <w:bCs/>
          <w:color w:val="000000"/>
          <w:sz w:val="21"/>
          <w:szCs w:val="21"/>
          <w:highlight w:val="none"/>
        </w:rPr>
        <w:t>17.3工程进度付款</w:t>
      </w:r>
      <w:bookmarkEnd w:id="2020"/>
      <w:bookmarkEnd w:id="2021"/>
      <w:bookmarkEnd w:id="2022"/>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2023" w:name="bookmark1808"/>
      <w:bookmarkEnd w:id="2023"/>
      <w:bookmarkStart w:id="2024" w:name="_Toc19299"/>
      <w:bookmarkStart w:id="2025" w:name="bookmark1807"/>
      <w:bookmarkStart w:id="2026" w:name="_Toc797"/>
      <w:bookmarkStart w:id="2027" w:name="bookmark1806"/>
      <w:bookmarkStart w:id="2028" w:name="_Toc30479"/>
      <w:bookmarkStart w:id="2029" w:name="bookmark1809"/>
      <w:bookmarkStart w:id="2030" w:name="_Toc38474944"/>
      <w:r>
        <w:rPr>
          <w:rFonts w:hint="eastAsia" w:ascii="宋体" w:hAnsi="宋体" w:eastAsia="宋体" w:cs="宋体"/>
          <w:color w:val="000000"/>
          <w:sz w:val="21"/>
          <w:szCs w:val="21"/>
          <w:highlight w:val="none"/>
          <w:lang w:val="en-US"/>
        </w:rPr>
        <w:t>17.3.2</w:t>
      </w:r>
      <w:r>
        <w:rPr>
          <w:rFonts w:hint="eastAsia" w:ascii="宋体" w:hAnsi="宋体" w:eastAsia="宋体" w:cs="宋体"/>
          <w:color w:val="000000"/>
          <w:sz w:val="21"/>
          <w:szCs w:val="21"/>
          <w:highlight w:val="none"/>
        </w:rPr>
        <w:t>进度付款申请单</w:t>
      </w:r>
    </w:p>
    <w:p>
      <w:pPr>
        <w:pStyle w:val="163"/>
        <w:pageBreakBefore w:val="0"/>
        <w:widowControl w:val="0"/>
        <w:tabs>
          <w:tab w:val="left" w:pos="4613"/>
          <w:tab w:val="left" w:pos="7978"/>
        </w:tabs>
        <w:kinsoku/>
        <w:wordWrap/>
        <w:overflowPunct/>
        <w:topLinePunct w:val="0"/>
        <w:autoSpaceDE/>
        <w:autoSpaceDN/>
        <w:bidi w:val="0"/>
        <w:adjustRightInd/>
        <w:snapToGrid/>
        <w:spacing w:line="400" w:lineRule="exact"/>
        <w:ind w:left="420" w:firstLine="2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承包人提交进度付款申请单的份数：</w:t>
      </w:r>
      <w:r>
        <w:rPr>
          <w:rFonts w:hint="eastAsia" w:ascii="宋体" w:hAnsi="宋体" w:eastAsia="宋体" w:cs="宋体"/>
          <w:color w:val="000000"/>
          <w:sz w:val="21"/>
          <w:szCs w:val="21"/>
          <w:highlight w:val="none"/>
          <w:u w:val="single"/>
          <w:lang w:val="en-US"/>
        </w:rPr>
        <w:t>一式伍份</w:t>
      </w:r>
      <w:r>
        <w:rPr>
          <w:rFonts w:hint="eastAsia" w:ascii="宋体" w:hAnsi="宋体" w:eastAsia="宋体" w:cs="宋体"/>
          <w:color w:val="000000"/>
          <w:sz w:val="21"/>
          <w:szCs w:val="21"/>
          <w:highlight w:val="none"/>
        </w:rPr>
        <w:t>。</w:t>
      </w:r>
    </w:p>
    <w:p>
      <w:pPr>
        <w:pStyle w:val="163"/>
        <w:pageBreakBefore w:val="0"/>
        <w:widowControl w:val="0"/>
        <w:tabs>
          <w:tab w:val="left" w:pos="4613"/>
          <w:tab w:val="left" w:pos="7978"/>
        </w:tabs>
        <w:kinsoku/>
        <w:wordWrap/>
        <w:overflowPunct/>
        <w:topLinePunct w:val="0"/>
        <w:autoSpaceDE/>
        <w:autoSpaceDN/>
        <w:bidi w:val="0"/>
        <w:adjustRightInd/>
        <w:snapToGrid/>
        <w:spacing w:line="400" w:lineRule="exact"/>
        <w:ind w:left="420" w:firstLine="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进度付款证书和支付时间</w:t>
      </w:r>
    </w:p>
    <w:p>
      <w:pPr>
        <w:pStyle w:val="163"/>
        <w:pageBreakBefore w:val="0"/>
        <w:widowControl w:val="0"/>
        <w:tabs>
          <w:tab w:val="left" w:pos="442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(2)本款“专用合同条款的约定支付逾期付款违约金”为</w:t>
      </w:r>
      <w:r>
        <w:rPr>
          <w:rFonts w:hint="eastAsia" w:ascii="宋体" w:hAnsi="宋体" w:eastAsia="宋体" w:cs="宋体"/>
          <w:color w:val="000000"/>
          <w:sz w:val="21"/>
          <w:szCs w:val="21"/>
          <w:highlight w:val="none"/>
          <w:u w:val="single"/>
        </w:rPr>
        <w:t>按中国人民银行规定的同期贷款利率计算的逾期付款金额的利息</w:t>
      </w:r>
      <w:r>
        <w:rPr>
          <w:rFonts w:hint="eastAsia" w:ascii="宋体" w:hAnsi="宋体" w:eastAsia="宋体" w:cs="宋体"/>
          <w:color w:val="000000"/>
          <w:sz w:val="21"/>
          <w:szCs w:val="21"/>
          <w:highlight w:val="none"/>
        </w:rPr>
        <w:t>。</w:t>
      </w:r>
    </w:p>
    <w:p>
      <w:pPr>
        <w:pStyle w:val="163"/>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2031" w:name="bookmark1793"/>
      <w:bookmarkStart w:id="2032" w:name="bookmark1792"/>
      <w:bookmarkStart w:id="2033" w:name="bookmark1794"/>
      <w:r>
        <w:rPr>
          <w:rFonts w:hint="eastAsia" w:ascii="宋体" w:hAnsi="宋体" w:eastAsia="宋体" w:cs="宋体"/>
          <w:color w:val="000000"/>
          <w:sz w:val="21"/>
          <w:szCs w:val="21"/>
          <w:highlight w:val="none"/>
          <w:lang w:val="en-US"/>
        </w:rPr>
        <w:t>17.3.5</w:t>
      </w:r>
      <w:r>
        <w:rPr>
          <w:rFonts w:hint="eastAsia" w:ascii="宋体" w:hAnsi="宋体" w:eastAsia="宋体" w:cs="宋体"/>
          <w:color w:val="000000"/>
          <w:sz w:val="21"/>
          <w:szCs w:val="21"/>
          <w:highlight w:val="none"/>
        </w:rPr>
        <w:t>工程进度付款的支付比例</w:t>
      </w:r>
    </w:p>
    <w:p>
      <w:pPr>
        <w:pStyle w:val="163"/>
        <w:pageBreakBefore w:val="0"/>
        <w:widowControl w:val="0"/>
        <w:tabs>
          <w:tab w:val="left" w:pos="4613"/>
          <w:tab w:val="left" w:pos="7978"/>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u w:val="single"/>
        </w:rPr>
        <w:t>每个付款周期按实际完成工程量的</w:t>
      </w:r>
      <w:r>
        <w:rPr>
          <w:rFonts w:hint="eastAsia" w:ascii="宋体" w:hAnsi="宋体" w:eastAsia="宋体" w:cs="宋体"/>
          <w:b/>
          <w:bCs/>
          <w:color w:val="000000"/>
          <w:sz w:val="21"/>
          <w:szCs w:val="21"/>
          <w:highlight w:val="none"/>
          <w:u w:val="single"/>
          <w:lang w:val="en-US"/>
        </w:rPr>
        <w:t xml:space="preserve"> </w:t>
      </w:r>
      <w:r>
        <w:rPr>
          <w:rFonts w:hint="eastAsia" w:ascii="宋体" w:hAnsi="宋体" w:eastAsia="宋体" w:cs="宋体"/>
          <w:b/>
          <w:bCs/>
          <w:color w:val="000000"/>
          <w:sz w:val="21"/>
          <w:szCs w:val="21"/>
          <w:highlight w:val="none"/>
          <w:u w:val="single"/>
          <w:lang w:val="en-US" w:eastAsia="zh-CN"/>
        </w:rPr>
        <w:t>80</w:t>
      </w:r>
      <w:r>
        <w:rPr>
          <w:rFonts w:hint="eastAsia" w:ascii="宋体" w:hAnsi="宋体" w:eastAsia="宋体" w:cs="宋体"/>
          <w:b/>
          <w:bCs/>
          <w:color w:val="000000"/>
          <w:sz w:val="21"/>
          <w:szCs w:val="21"/>
          <w:highlight w:val="none"/>
          <w:u w:val="single"/>
          <w:lang w:val="en-US"/>
        </w:rPr>
        <w:t xml:space="preserve"> </w:t>
      </w:r>
      <w:r>
        <w:rPr>
          <w:rFonts w:hint="eastAsia" w:ascii="宋体" w:hAnsi="宋体" w:eastAsia="宋体" w:cs="宋体"/>
          <w:b/>
          <w:bCs/>
          <w:color w:val="000000"/>
          <w:sz w:val="21"/>
          <w:szCs w:val="21"/>
          <w:highlight w:val="none"/>
          <w:u w:val="single"/>
        </w:rPr>
        <w:t>%支付工程进度款，工程变更部分进度款支付限额为已完成工程量的</w:t>
      </w:r>
      <w:r>
        <w:rPr>
          <w:rFonts w:hint="eastAsia" w:ascii="宋体" w:hAnsi="宋体" w:eastAsia="宋体" w:cs="宋体"/>
          <w:b/>
          <w:bCs/>
          <w:color w:val="000000"/>
          <w:sz w:val="21"/>
          <w:szCs w:val="21"/>
          <w:highlight w:val="none"/>
          <w:u w:val="single"/>
          <w:lang w:val="en-US" w:eastAsia="zh-CN"/>
        </w:rPr>
        <w:t>50</w:t>
      </w:r>
      <w:r>
        <w:rPr>
          <w:rFonts w:hint="eastAsia" w:ascii="宋体" w:hAnsi="宋体" w:eastAsia="宋体" w:cs="宋体"/>
          <w:b/>
          <w:bCs/>
          <w:color w:val="000000"/>
          <w:sz w:val="21"/>
          <w:szCs w:val="21"/>
          <w:highlight w:val="none"/>
          <w:u w:val="single"/>
          <w:lang w:val="en-US"/>
        </w:rPr>
        <w:t>%，</w:t>
      </w:r>
      <w:r>
        <w:rPr>
          <w:rFonts w:hint="eastAsia" w:ascii="宋体" w:hAnsi="宋体" w:eastAsia="宋体" w:cs="宋体"/>
          <w:b/>
          <w:bCs/>
          <w:color w:val="000000"/>
          <w:sz w:val="21"/>
          <w:szCs w:val="21"/>
          <w:highlight w:val="none"/>
          <w:u w:val="single"/>
        </w:rPr>
        <w:t>工程完工验收达到质量要求，付至工程量</w:t>
      </w:r>
      <w:r>
        <w:rPr>
          <w:rFonts w:hint="eastAsia" w:ascii="宋体" w:hAnsi="宋体" w:eastAsia="宋体" w:cs="宋体"/>
          <w:b/>
          <w:bCs/>
          <w:color w:val="000000"/>
          <w:sz w:val="21"/>
          <w:szCs w:val="21"/>
          <w:highlight w:val="none"/>
          <w:u w:val="single"/>
          <w:lang w:val="en-US"/>
        </w:rPr>
        <w:t>的</w:t>
      </w:r>
      <w:r>
        <w:rPr>
          <w:rFonts w:hint="eastAsia" w:ascii="宋体" w:hAnsi="宋体" w:eastAsia="宋体" w:cs="宋体"/>
          <w:b/>
          <w:bCs/>
          <w:color w:val="000000"/>
          <w:sz w:val="21"/>
          <w:szCs w:val="21"/>
          <w:highlight w:val="none"/>
          <w:u w:val="single"/>
          <w:lang w:val="en-US" w:eastAsia="zh-CN"/>
        </w:rPr>
        <w:t>80</w:t>
      </w:r>
      <w:r>
        <w:rPr>
          <w:rFonts w:hint="eastAsia" w:ascii="宋体" w:hAnsi="宋体" w:eastAsia="宋体" w:cs="宋体"/>
          <w:b/>
          <w:bCs/>
          <w:color w:val="000000"/>
          <w:sz w:val="21"/>
          <w:szCs w:val="21"/>
          <w:highlight w:val="none"/>
          <w:u w:val="single"/>
        </w:rPr>
        <w:t>%，余款在工程完工结算经</w:t>
      </w:r>
      <w:r>
        <w:rPr>
          <w:rFonts w:hint="eastAsia" w:ascii="宋体" w:hAnsi="宋体" w:eastAsia="宋体" w:cs="宋体"/>
          <w:b/>
          <w:bCs/>
          <w:color w:val="000000"/>
          <w:sz w:val="21"/>
          <w:szCs w:val="21"/>
          <w:highlight w:val="none"/>
          <w:u w:val="single"/>
          <w:lang w:val="en-US" w:eastAsia="zh-CN"/>
        </w:rPr>
        <w:t>中介结算部门</w:t>
      </w:r>
      <w:r>
        <w:rPr>
          <w:rFonts w:hint="eastAsia" w:ascii="宋体" w:hAnsi="宋体" w:eastAsia="宋体" w:cs="宋体"/>
          <w:b/>
          <w:bCs/>
          <w:color w:val="000000"/>
          <w:sz w:val="21"/>
          <w:szCs w:val="21"/>
          <w:highlight w:val="none"/>
          <w:u w:val="single"/>
          <w:lang w:val="en-US"/>
        </w:rPr>
        <w:t>确认后，工程进度款支付至结算总价的97%（含已支付的）；发包人按工程价款结算总额的3%预留工程质量保证金，待工程质量保修期满后返还（无息）</w:t>
      </w:r>
      <w:r>
        <w:rPr>
          <w:rFonts w:hint="eastAsia" w:ascii="宋体" w:hAnsi="宋体" w:eastAsia="宋体" w:cs="宋体"/>
          <w:b/>
          <w:bCs/>
          <w:color w:val="000000"/>
          <w:sz w:val="21"/>
          <w:szCs w:val="21"/>
          <w:highlight w:val="none"/>
          <w:lang w:val="en-US"/>
        </w:rPr>
        <w:t>。</w:t>
      </w:r>
    </w:p>
    <w:p>
      <w:pPr>
        <w:pStyle w:val="163"/>
        <w:pageBreakBefore w:val="0"/>
        <w:widowControl w:val="0"/>
        <w:tabs>
          <w:tab w:val="left" w:pos="4613"/>
          <w:tab w:val="left" w:pos="7978"/>
        </w:tabs>
        <w:kinsoku/>
        <w:wordWrap/>
        <w:overflowPunct/>
        <w:topLinePunct w:val="0"/>
        <w:autoSpaceDE/>
        <w:autoSpaceDN/>
        <w:bidi w:val="0"/>
        <w:adjustRightInd/>
        <w:snapToGrid/>
        <w:spacing w:line="400" w:lineRule="exact"/>
        <w:ind w:left="420" w:firstLine="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17.4质量保证金</w:t>
      </w:r>
      <w:bookmarkEnd w:id="2031"/>
      <w:bookmarkEnd w:id="2032"/>
      <w:bookmarkEnd w:id="2033"/>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rPr>
        <w:t>17.4.1.1</w:t>
      </w:r>
      <w:r>
        <w:rPr>
          <w:rFonts w:hint="eastAsia" w:ascii="宋体" w:hAnsi="宋体" w:eastAsia="宋体" w:cs="宋体"/>
          <w:color w:val="000000"/>
          <w:sz w:val="21"/>
          <w:szCs w:val="21"/>
          <w:highlight w:val="none"/>
        </w:rPr>
        <w:t xml:space="preserve">每个付款周期扣留的质量保证金为工程进度付款的3%，扣留的质量保证金总额为工程价款结算总额的3% </w:t>
      </w:r>
      <w:r>
        <w:rPr>
          <w:rFonts w:hint="eastAsia" w:ascii="宋体" w:hAnsi="宋体" w:eastAsia="宋体" w:cs="宋体"/>
          <w:color w:val="000000"/>
          <w:sz w:val="21"/>
          <w:szCs w:val="21"/>
          <w:highlight w:val="none"/>
          <w:lang w:val="en-US"/>
        </w:rPr>
        <w:t>。</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rPr>
        <w:t>17.4.1.2</w:t>
      </w:r>
      <w:r>
        <w:rPr>
          <w:rFonts w:hint="eastAsia" w:ascii="宋体" w:hAnsi="宋体" w:eastAsia="宋体" w:cs="宋体"/>
          <w:color w:val="000000"/>
          <w:sz w:val="21"/>
          <w:szCs w:val="21"/>
          <w:highlight w:val="none"/>
        </w:rPr>
        <w:t>工程完工验收结算审定后，一次性扣留的质量保证金总额为工程价款结算总额的3%。</w:t>
      </w:r>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zh-CN"/>
        </w:rPr>
        <w:t>根据国办发【2016】49号文规范工程建设领域保证金的管理，对工程项目竣工前已经缴纳履约保证金的，不再预留工程质量保证金，直至工程完工验收后，施工单位提交质量保证金（质量保证金按工程签约合同价的</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lang w:val="zh-CN"/>
        </w:rPr>
        <w:t>收取）的同时我方将退回履约保证金，直至质量缺陷期结束后退还质量保证金。</w:t>
      </w:r>
    </w:p>
    <w:p>
      <w:pPr>
        <w:pStyle w:val="163"/>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17.4.1.3</w:t>
      </w:r>
      <w:r>
        <w:rPr>
          <w:rFonts w:hint="eastAsia" w:ascii="宋体" w:hAnsi="宋体" w:eastAsia="宋体" w:cs="宋体"/>
          <w:color w:val="000000"/>
          <w:sz w:val="21"/>
          <w:szCs w:val="21"/>
          <w:highlight w:val="none"/>
        </w:rPr>
        <w:t>在工程项目完工前，已经缴纳履约保证金的，发包人不得同时扣留工程质量保证金。</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34" w:name="_Toc221951265"/>
      <w:r>
        <w:rPr>
          <w:rFonts w:hint="eastAsia" w:ascii="宋体" w:hAnsi="宋体" w:eastAsia="宋体" w:cs="宋体"/>
          <w:color w:val="000000"/>
          <w:sz w:val="21"/>
          <w:szCs w:val="21"/>
          <w:highlight w:val="none"/>
        </w:rPr>
        <w:t>17.5 竣工（完工）结算</w:t>
      </w:r>
      <w:bookmarkEnd w:id="2034"/>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35" w:name="_Toc221951266"/>
      <w:r>
        <w:rPr>
          <w:rFonts w:hint="eastAsia" w:ascii="宋体" w:hAnsi="宋体" w:eastAsia="宋体" w:cs="宋体"/>
          <w:color w:val="000000"/>
          <w:sz w:val="21"/>
          <w:szCs w:val="21"/>
          <w:highlight w:val="none"/>
        </w:rPr>
        <w:t>17.5.1  竣工（完工）付款申请单</w:t>
      </w:r>
      <w:bookmarkEnd w:id="2035"/>
      <w:r>
        <w:rPr>
          <w:rFonts w:hint="eastAsia" w:ascii="宋体" w:hAnsi="宋体" w:eastAsia="宋体" w:cs="宋体"/>
          <w:color w:val="000000"/>
          <w:sz w:val="21"/>
          <w:szCs w:val="21"/>
          <w:highlight w:val="none"/>
        </w:rPr>
        <w:t xml:space="preserve"> </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36" w:name="_Toc221951267"/>
      <w:r>
        <w:rPr>
          <w:rFonts w:hint="eastAsia" w:ascii="宋体" w:hAnsi="宋体" w:eastAsia="宋体" w:cs="宋体"/>
          <w:color w:val="000000"/>
          <w:sz w:val="21"/>
          <w:szCs w:val="21"/>
          <w:highlight w:val="none"/>
        </w:rPr>
        <w:t>（1）承包人应提交竣工付款申请单份数：</w:t>
      </w:r>
      <w:r>
        <w:rPr>
          <w:rFonts w:hint="eastAsia" w:ascii="宋体" w:hAnsi="宋体" w:eastAsia="宋体" w:cs="宋体"/>
          <w:color w:val="000000"/>
          <w:sz w:val="21"/>
          <w:szCs w:val="21"/>
          <w:highlight w:val="none"/>
          <w:u w:val="single"/>
        </w:rPr>
        <w:t>在签订施工承包合同时明确</w:t>
      </w:r>
      <w:r>
        <w:rPr>
          <w:rFonts w:hint="eastAsia" w:ascii="宋体" w:hAnsi="宋体" w:eastAsia="宋体" w:cs="宋体"/>
          <w:color w:val="000000"/>
          <w:sz w:val="21"/>
          <w:szCs w:val="21"/>
          <w:highlight w:val="none"/>
        </w:rPr>
        <w:t>。</w:t>
      </w:r>
      <w:bookmarkEnd w:id="2036"/>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17.5.3除按通用合同条款所说的内容外，增加以下内容：最终结算以</w:t>
      </w:r>
      <w:r>
        <w:rPr>
          <w:rFonts w:hint="eastAsia" w:ascii="宋体" w:hAnsi="宋体" w:eastAsia="宋体" w:cs="宋体"/>
          <w:color w:val="000000"/>
          <w:sz w:val="21"/>
          <w:szCs w:val="21"/>
          <w:highlight w:val="none"/>
          <w:u w:val="single"/>
          <w:lang w:val="en-US" w:eastAsia="zh-CN"/>
        </w:rPr>
        <w:t>中介结算部门</w:t>
      </w:r>
      <w:r>
        <w:rPr>
          <w:rFonts w:hint="eastAsia" w:ascii="宋体" w:hAnsi="宋体" w:eastAsia="宋体" w:cs="宋体"/>
          <w:b/>
          <w:bCs/>
          <w:color w:val="000000"/>
          <w:sz w:val="21"/>
          <w:szCs w:val="21"/>
          <w:highlight w:val="none"/>
          <w:u w:val="single"/>
        </w:rPr>
        <w:t>审定</w:t>
      </w:r>
      <w:r>
        <w:rPr>
          <w:rFonts w:hint="eastAsia" w:ascii="宋体" w:hAnsi="宋体" w:eastAsia="宋体" w:cs="宋体"/>
          <w:color w:val="000000"/>
          <w:sz w:val="21"/>
          <w:szCs w:val="21"/>
          <w:highlight w:val="none"/>
        </w:rPr>
        <w:t>结果为准。</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17.6 最终结清</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37" w:name="_Toc221951269"/>
      <w:r>
        <w:rPr>
          <w:rFonts w:hint="eastAsia" w:ascii="宋体" w:hAnsi="宋体" w:eastAsia="宋体" w:cs="宋体"/>
          <w:color w:val="000000"/>
          <w:sz w:val="21"/>
          <w:szCs w:val="21"/>
          <w:highlight w:val="none"/>
        </w:rPr>
        <w:t>17.6 1 最终结清申请单</w:t>
      </w:r>
      <w:bookmarkEnd w:id="2037"/>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38" w:name="_Toc221951270"/>
      <w:r>
        <w:rPr>
          <w:rFonts w:hint="eastAsia" w:ascii="宋体" w:hAnsi="宋体" w:eastAsia="宋体" w:cs="宋体"/>
          <w:color w:val="000000"/>
          <w:sz w:val="21"/>
          <w:szCs w:val="21"/>
          <w:highlight w:val="none"/>
        </w:rPr>
        <w:t>（1）承包人应提交最终结清申请单</w:t>
      </w:r>
      <w:bookmarkEnd w:id="2038"/>
      <w:r>
        <w:rPr>
          <w:rFonts w:hint="eastAsia" w:ascii="宋体" w:hAnsi="宋体" w:eastAsia="宋体" w:cs="宋体"/>
          <w:color w:val="000000"/>
          <w:sz w:val="21"/>
          <w:szCs w:val="21"/>
          <w:highlight w:val="none"/>
        </w:rPr>
        <w:t>份数：</w:t>
      </w:r>
      <w:r>
        <w:rPr>
          <w:rFonts w:hint="eastAsia" w:ascii="宋体" w:hAnsi="宋体" w:eastAsia="宋体" w:cs="宋体"/>
          <w:color w:val="000000"/>
          <w:sz w:val="21"/>
          <w:szCs w:val="21"/>
          <w:highlight w:val="none"/>
          <w:u w:val="single"/>
        </w:rPr>
        <w:t>一式五份</w:t>
      </w:r>
      <w:r>
        <w:rPr>
          <w:rFonts w:hint="eastAsia" w:ascii="宋体" w:hAnsi="宋体" w:eastAsia="宋体" w:cs="宋体"/>
          <w:color w:val="000000"/>
          <w:sz w:val="21"/>
          <w:szCs w:val="21"/>
          <w:highlight w:val="none"/>
        </w:rPr>
        <w:t>。</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17.7 竣工财务决算</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承包人应为竣工财务决算编制提供的资料</w:t>
      </w:r>
      <w:r>
        <w:rPr>
          <w:rFonts w:hint="eastAsia" w:ascii="宋体" w:hAnsi="宋体" w:eastAsia="宋体" w:cs="宋体"/>
          <w:color w:val="000000"/>
          <w:sz w:val="21"/>
          <w:szCs w:val="21"/>
          <w:highlight w:val="none"/>
          <w:u w:val="single"/>
        </w:rPr>
        <w:t>：在无违法违规的前提下，按业主要求提交。</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039" w:name="_Toc21640"/>
      <w:bookmarkStart w:id="2040" w:name="_Toc19356"/>
      <w:bookmarkStart w:id="2041" w:name="_Toc4590"/>
      <w:r>
        <w:rPr>
          <w:rFonts w:hint="eastAsia" w:ascii="宋体" w:hAnsi="宋体" w:eastAsia="宋体" w:cs="宋体"/>
          <w:color w:val="000000"/>
          <w:sz w:val="21"/>
          <w:szCs w:val="21"/>
          <w:highlight w:val="none"/>
        </w:rPr>
        <w:t>18. 竣工验收（验收）</w:t>
      </w:r>
      <w:bookmarkEnd w:id="2024"/>
      <w:bookmarkEnd w:id="2025"/>
      <w:bookmarkEnd w:id="2026"/>
      <w:bookmarkEnd w:id="2027"/>
      <w:bookmarkEnd w:id="2028"/>
      <w:bookmarkEnd w:id="2029"/>
      <w:bookmarkEnd w:id="2030"/>
      <w:bookmarkEnd w:id="2039"/>
      <w:bookmarkEnd w:id="2040"/>
      <w:bookmarkEnd w:id="2041"/>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42" w:name="bookmark1811"/>
      <w:bookmarkStart w:id="2043" w:name="bookmark1812"/>
      <w:bookmarkStart w:id="2044" w:name="bookmark1810"/>
      <w:r>
        <w:rPr>
          <w:rFonts w:hint="eastAsia" w:ascii="宋体" w:hAnsi="宋体" w:eastAsia="宋体" w:cs="宋体"/>
          <w:b/>
          <w:bCs/>
          <w:color w:val="000000"/>
          <w:sz w:val="21"/>
          <w:szCs w:val="21"/>
          <w:highlight w:val="none"/>
        </w:rPr>
        <w:t>18.1验收工作分类</w:t>
      </w:r>
      <w:bookmarkEnd w:id="2042"/>
      <w:bookmarkEnd w:id="2043"/>
      <w:bookmarkEnd w:id="2044"/>
    </w:p>
    <w:p>
      <w:pPr>
        <w:pStyle w:val="163"/>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根据《水利工程建设项目验收管理规定》（水利部令第30号）和《水利水电建设工程验收规程》</w:t>
      </w:r>
      <w:r>
        <w:rPr>
          <w:rFonts w:hint="eastAsia" w:ascii="宋体" w:hAnsi="宋体" w:eastAsia="宋体" w:cs="宋体"/>
          <w:color w:val="000000"/>
          <w:sz w:val="21"/>
          <w:szCs w:val="21"/>
          <w:highlight w:val="none"/>
          <w:lang w:val="en-US"/>
        </w:rPr>
        <w:t>（SL223）2008）</w:t>
      </w:r>
      <w:r>
        <w:rPr>
          <w:rFonts w:hint="eastAsia" w:ascii="宋体" w:hAnsi="宋体" w:eastAsia="宋体" w:cs="宋体"/>
          <w:color w:val="000000"/>
          <w:sz w:val="21"/>
          <w:szCs w:val="21"/>
          <w:highlight w:val="none"/>
        </w:rPr>
        <w:t>的相关规定执行，如有新的规定则按照新规定执行。</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45" w:name="bookmark1814"/>
      <w:bookmarkStart w:id="2046" w:name="bookmark1813"/>
      <w:bookmarkStart w:id="2047" w:name="bookmark1815"/>
      <w:r>
        <w:rPr>
          <w:rFonts w:hint="eastAsia" w:ascii="宋体" w:hAnsi="宋体" w:eastAsia="宋体" w:cs="宋体"/>
          <w:b/>
          <w:bCs/>
          <w:color w:val="000000"/>
          <w:sz w:val="21"/>
          <w:szCs w:val="21"/>
          <w:highlight w:val="none"/>
        </w:rPr>
        <w:t>18.2分部工程验收</w:t>
      </w:r>
      <w:bookmarkEnd w:id="2045"/>
      <w:bookmarkEnd w:id="2046"/>
      <w:bookmarkEnd w:id="2047"/>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18.2.2本工程由发包人主持的分部工程验收为</w:t>
      </w:r>
      <w:r>
        <w:rPr>
          <w:rFonts w:hint="eastAsia" w:ascii="宋体" w:hAnsi="宋体" w:eastAsia="宋体" w:cs="宋体"/>
          <w:color w:val="000000"/>
          <w:sz w:val="21"/>
          <w:szCs w:val="21"/>
          <w:highlight w:val="none"/>
          <w:u w:val="single"/>
        </w:rPr>
        <w:t xml:space="preserve">根据国家相关规定需要进行验收的分部工程 </w:t>
      </w:r>
      <w:r>
        <w:rPr>
          <w:rFonts w:hint="eastAsia" w:ascii="宋体" w:hAnsi="宋体" w:eastAsia="宋体" w:cs="宋体"/>
          <w:color w:val="000000"/>
          <w:sz w:val="21"/>
          <w:szCs w:val="21"/>
          <w:highlight w:val="none"/>
        </w:rPr>
        <w:t>，其余由监理主持。</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48" w:name="_Toc21054"/>
      <w:bookmarkStart w:id="2049" w:name="bookmark1831"/>
      <w:bookmarkStart w:id="2050" w:name="bookmark1832"/>
      <w:bookmarkStart w:id="2051" w:name="_Toc38474945"/>
      <w:bookmarkStart w:id="2052" w:name="_Toc24047"/>
      <w:bookmarkStart w:id="2053" w:name="_Toc20119"/>
      <w:bookmarkStart w:id="2054" w:name="bookmark1834"/>
      <w:r>
        <w:rPr>
          <w:rFonts w:hint="eastAsia" w:ascii="宋体" w:hAnsi="宋体" w:eastAsia="宋体" w:cs="宋体"/>
          <w:color w:val="000000"/>
          <w:sz w:val="21"/>
          <w:szCs w:val="21"/>
          <w:highlight w:val="none"/>
        </w:rPr>
        <w:t>18.3 单位工程验收</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18.3.4  提前投入使用的单位工程包括：</w:t>
      </w:r>
      <w:r>
        <w:rPr>
          <w:rFonts w:hint="eastAsia" w:ascii="宋体" w:hAnsi="宋体" w:eastAsia="宋体" w:cs="宋体"/>
          <w:color w:val="000000"/>
          <w:sz w:val="21"/>
          <w:szCs w:val="21"/>
          <w:highlight w:val="none"/>
          <w:u w:val="single"/>
        </w:rPr>
        <w:t>由双方商定</w:t>
      </w:r>
      <w:r>
        <w:rPr>
          <w:rFonts w:hint="eastAsia" w:ascii="宋体" w:hAnsi="宋体" w:eastAsia="宋体" w:cs="宋体"/>
          <w:color w:val="000000"/>
          <w:sz w:val="21"/>
          <w:szCs w:val="21"/>
          <w:highlight w:val="none"/>
        </w:rPr>
        <w:t>。</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55" w:name="_Toc221951282"/>
      <w:r>
        <w:rPr>
          <w:rFonts w:hint="eastAsia" w:ascii="宋体" w:hAnsi="宋体" w:eastAsia="宋体" w:cs="宋体"/>
          <w:color w:val="000000"/>
          <w:sz w:val="21"/>
          <w:szCs w:val="21"/>
          <w:highlight w:val="none"/>
        </w:rPr>
        <w:t xml:space="preserve">18.5 </w:t>
      </w:r>
      <w:bookmarkEnd w:id="2055"/>
      <w:r>
        <w:rPr>
          <w:rFonts w:hint="eastAsia" w:ascii="宋体" w:hAnsi="宋体" w:eastAsia="宋体" w:cs="宋体"/>
          <w:color w:val="000000"/>
          <w:sz w:val="21"/>
          <w:szCs w:val="21"/>
          <w:highlight w:val="none"/>
        </w:rPr>
        <w:t>阶段验收</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bookmarkStart w:id="2056" w:name="_Toc221951283"/>
      <w:r>
        <w:rPr>
          <w:rFonts w:hint="eastAsia" w:ascii="宋体" w:hAnsi="宋体" w:eastAsia="宋体" w:cs="宋体"/>
          <w:color w:val="000000"/>
          <w:sz w:val="21"/>
          <w:szCs w:val="21"/>
          <w:highlight w:val="none"/>
        </w:rPr>
        <w:t>18.5.1 本合同工程阶段验收类别包括：</w:t>
      </w:r>
      <w:bookmarkEnd w:id="2056"/>
      <w:bookmarkStart w:id="2057" w:name="_Toc221951284"/>
      <w:r>
        <w:rPr>
          <w:rFonts w:hint="eastAsia" w:ascii="宋体" w:hAnsi="宋体" w:eastAsia="宋体" w:cs="宋体"/>
          <w:color w:val="000000"/>
          <w:sz w:val="21"/>
          <w:szCs w:val="21"/>
          <w:highlight w:val="none"/>
          <w:u w:val="single"/>
        </w:rPr>
        <w:t>由双方商定</w:t>
      </w:r>
      <w:r>
        <w:rPr>
          <w:rFonts w:hint="eastAsia" w:ascii="宋体" w:hAnsi="宋体" w:eastAsia="宋体" w:cs="宋体"/>
          <w:color w:val="000000"/>
          <w:sz w:val="21"/>
          <w:szCs w:val="21"/>
          <w:highlight w:val="none"/>
        </w:rPr>
        <w:t>。</w:t>
      </w:r>
      <w:bookmarkEnd w:id="2057"/>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58" w:name="_Toc221951285"/>
      <w:r>
        <w:rPr>
          <w:rFonts w:hint="eastAsia" w:ascii="宋体" w:hAnsi="宋体" w:eastAsia="宋体" w:cs="宋体"/>
          <w:color w:val="000000"/>
          <w:sz w:val="21"/>
          <w:szCs w:val="21"/>
          <w:highlight w:val="none"/>
        </w:rPr>
        <w:t xml:space="preserve">18.6 </w:t>
      </w:r>
      <w:bookmarkEnd w:id="2058"/>
      <w:r>
        <w:rPr>
          <w:rFonts w:hint="eastAsia" w:ascii="宋体" w:hAnsi="宋体" w:eastAsia="宋体" w:cs="宋体"/>
          <w:color w:val="000000"/>
          <w:sz w:val="21"/>
          <w:szCs w:val="21"/>
          <w:highlight w:val="none"/>
        </w:rPr>
        <w:t xml:space="preserve">专项验收   </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59" w:name="_Toc221951286"/>
      <w:r>
        <w:rPr>
          <w:rFonts w:hint="eastAsia" w:ascii="宋体" w:hAnsi="宋体" w:eastAsia="宋体" w:cs="宋体"/>
          <w:color w:val="000000"/>
          <w:sz w:val="21"/>
          <w:szCs w:val="21"/>
          <w:highlight w:val="none"/>
        </w:rPr>
        <w:t xml:space="preserve">18.6.2 </w:t>
      </w:r>
      <w:bookmarkEnd w:id="2059"/>
      <w:r>
        <w:rPr>
          <w:rFonts w:hint="eastAsia" w:ascii="宋体" w:hAnsi="宋体" w:eastAsia="宋体" w:cs="宋体"/>
          <w:color w:val="000000"/>
          <w:sz w:val="21"/>
          <w:szCs w:val="21"/>
          <w:highlight w:val="none"/>
        </w:rPr>
        <w:t>本合同工程专项验收类别包括：</w:t>
      </w:r>
      <w:r>
        <w:rPr>
          <w:rFonts w:hint="eastAsia" w:ascii="宋体" w:hAnsi="宋体" w:eastAsia="宋体" w:cs="宋体"/>
          <w:color w:val="000000"/>
          <w:sz w:val="21"/>
          <w:szCs w:val="21"/>
          <w:highlight w:val="none"/>
          <w:u w:val="single"/>
        </w:rPr>
        <w:t>由双方商定</w:t>
      </w:r>
      <w:r>
        <w:rPr>
          <w:rFonts w:hint="eastAsia" w:ascii="宋体" w:hAnsi="宋体" w:eastAsia="宋体" w:cs="宋体"/>
          <w:color w:val="000000"/>
          <w:sz w:val="21"/>
          <w:szCs w:val="21"/>
          <w:highlight w:val="none"/>
        </w:rPr>
        <w:t>。</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60" w:name="_Toc221951289"/>
      <w:r>
        <w:rPr>
          <w:rFonts w:hint="eastAsia" w:ascii="宋体" w:hAnsi="宋体" w:eastAsia="宋体" w:cs="宋体"/>
          <w:color w:val="000000"/>
          <w:sz w:val="21"/>
          <w:szCs w:val="21"/>
          <w:highlight w:val="none"/>
        </w:rPr>
        <w:t>18.7 竣工</w:t>
      </w:r>
      <w:bookmarkEnd w:id="2060"/>
      <w:r>
        <w:rPr>
          <w:rFonts w:hint="eastAsia" w:ascii="宋体" w:hAnsi="宋体" w:eastAsia="宋体" w:cs="宋体"/>
          <w:color w:val="000000"/>
          <w:sz w:val="21"/>
          <w:szCs w:val="21"/>
          <w:highlight w:val="none"/>
        </w:rPr>
        <w:t>验收</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color w:val="000000"/>
          <w:sz w:val="21"/>
          <w:szCs w:val="21"/>
          <w:highlight w:val="none"/>
        </w:rPr>
      </w:pPr>
      <w:bookmarkStart w:id="2061" w:name="_Toc221951290"/>
      <w:r>
        <w:rPr>
          <w:rFonts w:hint="eastAsia" w:ascii="宋体" w:hAnsi="宋体" w:eastAsia="宋体" w:cs="宋体"/>
          <w:color w:val="000000"/>
          <w:sz w:val="21"/>
          <w:szCs w:val="21"/>
          <w:highlight w:val="none"/>
        </w:rPr>
        <w:t>18.7.3</w:t>
      </w:r>
      <w:r>
        <w:rPr>
          <w:rFonts w:hint="eastAsia" w:ascii="宋体" w:hAnsi="宋体" w:eastAsia="宋体" w:cs="宋体"/>
          <w:color w:val="000000"/>
          <w:sz w:val="21"/>
          <w:szCs w:val="21"/>
          <w:highlight w:val="none"/>
          <w:u w:val="single"/>
        </w:rPr>
        <w:t>本工程是否需要进行竣工验收技术鉴定，由竣工验收主持单位确定</w:t>
      </w:r>
      <w:r>
        <w:rPr>
          <w:rFonts w:hint="eastAsia" w:ascii="宋体" w:hAnsi="宋体" w:eastAsia="宋体" w:cs="宋体"/>
          <w:color w:val="000000"/>
          <w:sz w:val="21"/>
          <w:szCs w:val="21"/>
          <w:highlight w:val="none"/>
        </w:rPr>
        <w:t>。</w:t>
      </w:r>
      <w:bookmarkEnd w:id="2061"/>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18.8 施工期运行</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18.8.1需要在施工期运行的单位工程或工程设备为：</w:t>
      </w:r>
      <w:r>
        <w:rPr>
          <w:rFonts w:hint="eastAsia" w:ascii="宋体" w:hAnsi="宋体" w:eastAsia="宋体" w:cs="宋体"/>
          <w:color w:val="000000"/>
          <w:sz w:val="21"/>
          <w:szCs w:val="21"/>
          <w:highlight w:val="none"/>
          <w:u w:val="single"/>
        </w:rPr>
        <w:t>在签订施工承包合同时明确</w:t>
      </w:r>
      <w:r>
        <w:rPr>
          <w:rFonts w:hint="eastAsia" w:ascii="宋体" w:hAnsi="宋体" w:eastAsia="宋体" w:cs="宋体"/>
          <w:color w:val="000000"/>
          <w:sz w:val="21"/>
          <w:szCs w:val="21"/>
          <w:highlight w:val="none"/>
        </w:rPr>
        <w:t>。</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18.9试运行</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18.9.1试运行的组织：</w:t>
      </w:r>
      <w:r>
        <w:rPr>
          <w:rFonts w:hint="eastAsia" w:ascii="宋体" w:hAnsi="宋体" w:eastAsia="宋体" w:cs="宋体"/>
          <w:color w:val="000000"/>
          <w:sz w:val="21"/>
          <w:szCs w:val="21"/>
          <w:highlight w:val="none"/>
          <w:u w:val="single"/>
        </w:rPr>
        <w:t xml:space="preserve"> 发包人或监理人 </w:t>
      </w:r>
      <w:r>
        <w:rPr>
          <w:rFonts w:hint="eastAsia" w:ascii="宋体" w:hAnsi="宋体" w:eastAsia="宋体" w:cs="宋体"/>
          <w:color w:val="000000"/>
          <w:sz w:val="21"/>
          <w:szCs w:val="21"/>
          <w:highlight w:val="none"/>
        </w:rPr>
        <w:t>；费用承担：</w:t>
      </w:r>
      <w:r>
        <w:rPr>
          <w:rFonts w:hint="eastAsia" w:ascii="宋体" w:hAnsi="宋体" w:eastAsia="宋体" w:cs="宋体"/>
          <w:color w:val="000000"/>
          <w:sz w:val="21"/>
          <w:szCs w:val="21"/>
          <w:highlight w:val="none"/>
          <w:u w:val="single"/>
        </w:rPr>
        <w:t>承包人</w:t>
      </w:r>
      <w:r>
        <w:rPr>
          <w:rFonts w:hint="eastAsia" w:ascii="宋体" w:hAnsi="宋体" w:eastAsia="宋体" w:cs="宋体"/>
          <w:color w:val="000000"/>
          <w:sz w:val="21"/>
          <w:szCs w:val="21"/>
          <w:highlight w:val="none"/>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062" w:name="_Toc8392"/>
      <w:bookmarkStart w:id="2063" w:name="_Toc13363"/>
      <w:bookmarkStart w:id="2064" w:name="_Toc2751"/>
      <w:r>
        <w:rPr>
          <w:rFonts w:hint="eastAsia" w:ascii="宋体" w:hAnsi="宋体" w:eastAsia="宋体" w:cs="宋体"/>
          <w:color w:val="000000"/>
          <w:sz w:val="21"/>
          <w:szCs w:val="21"/>
          <w:highlight w:val="none"/>
        </w:rPr>
        <w:t>19. 缺陷责任与保修责任</w:t>
      </w:r>
      <w:bookmarkEnd w:id="2048"/>
      <w:bookmarkEnd w:id="2049"/>
      <w:bookmarkEnd w:id="2050"/>
      <w:bookmarkEnd w:id="2051"/>
      <w:bookmarkEnd w:id="2052"/>
      <w:bookmarkEnd w:id="2053"/>
      <w:bookmarkEnd w:id="2054"/>
      <w:bookmarkEnd w:id="2062"/>
      <w:bookmarkEnd w:id="2063"/>
      <w:bookmarkEnd w:id="2064"/>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65" w:name="_Toc25235"/>
      <w:bookmarkStart w:id="2066" w:name="bookmark1835"/>
      <w:bookmarkStart w:id="2067" w:name="bookmark1836"/>
      <w:bookmarkStart w:id="2068" w:name="bookmark1837"/>
      <w:r>
        <w:rPr>
          <w:rFonts w:hint="eastAsia" w:ascii="宋体" w:hAnsi="宋体" w:eastAsia="宋体" w:cs="宋体"/>
          <w:b/>
          <w:bCs/>
          <w:color w:val="000000"/>
          <w:sz w:val="21"/>
          <w:szCs w:val="21"/>
          <w:highlight w:val="none"/>
        </w:rPr>
        <w:t>19.1缺陷责任期（工程质量保修期）的起算时间</w:t>
      </w:r>
      <w:bookmarkEnd w:id="2065"/>
      <w:bookmarkEnd w:id="2066"/>
      <w:bookmarkEnd w:id="2067"/>
      <w:bookmarkEnd w:id="2068"/>
    </w:p>
    <w:p>
      <w:pPr>
        <w:pStyle w:val="163"/>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本工程缺陷责任期（工程质量保修）计算如下：起算日按通用条款</w:t>
      </w:r>
      <w:r>
        <w:rPr>
          <w:rFonts w:hint="eastAsia" w:ascii="宋体" w:hAnsi="宋体" w:eastAsia="宋体" w:cs="宋体"/>
          <w:color w:val="000000"/>
          <w:sz w:val="21"/>
          <w:szCs w:val="21"/>
          <w:highlight w:val="none"/>
          <w:lang w:val="en-US"/>
        </w:rPr>
        <w:t>19.1</w:t>
      </w:r>
      <w:r>
        <w:rPr>
          <w:rFonts w:hint="eastAsia" w:ascii="宋体" w:hAnsi="宋体" w:eastAsia="宋体" w:cs="宋体"/>
          <w:color w:val="000000"/>
          <w:sz w:val="21"/>
          <w:szCs w:val="21"/>
          <w:highlight w:val="none"/>
        </w:rPr>
        <w:t>和</w:t>
      </w:r>
      <w:r>
        <w:rPr>
          <w:rFonts w:hint="eastAsia" w:ascii="宋体" w:hAnsi="宋体" w:eastAsia="宋体" w:cs="宋体"/>
          <w:color w:val="000000"/>
          <w:sz w:val="21"/>
          <w:szCs w:val="21"/>
          <w:highlight w:val="none"/>
          <w:lang w:val="en-US"/>
        </w:rPr>
        <w:t xml:space="preserve">19. </w:t>
      </w:r>
      <w:r>
        <w:rPr>
          <w:rFonts w:hint="eastAsia" w:ascii="宋体" w:hAnsi="宋体" w:eastAsia="宋体" w:cs="宋体"/>
          <w:color w:val="000000"/>
          <w:sz w:val="21"/>
          <w:szCs w:val="21"/>
          <w:highlight w:val="none"/>
        </w:rPr>
        <w:t>7的约定，终止日按专用条款</w:t>
      </w:r>
      <w:r>
        <w:rPr>
          <w:rFonts w:hint="eastAsia" w:ascii="宋体" w:hAnsi="宋体" w:eastAsia="宋体" w:cs="宋体"/>
          <w:color w:val="000000"/>
          <w:sz w:val="21"/>
          <w:szCs w:val="21"/>
          <w:highlight w:val="none"/>
          <w:lang w:val="en-US"/>
        </w:rPr>
        <w:t>1. 1.4.5</w:t>
      </w:r>
      <w:r>
        <w:rPr>
          <w:rFonts w:hint="eastAsia" w:ascii="宋体" w:hAnsi="宋体" w:eastAsia="宋体" w:cs="宋体"/>
          <w:color w:val="000000"/>
          <w:sz w:val="21"/>
          <w:szCs w:val="21"/>
          <w:highlight w:val="none"/>
        </w:rPr>
        <w:t>约定。</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069" w:name="bookmark1840"/>
      <w:bookmarkEnd w:id="2069"/>
      <w:bookmarkStart w:id="2070" w:name="_Toc16698"/>
      <w:bookmarkStart w:id="2071" w:name="bookmark1841"/>
      <w:bookmarkStart w:id="2072" w:name="_Toc3197"/>
      <w:bookmarkStart w:id="2073" w:name="_Toc6201"/>
      <w:bookmarkStart w:id="2074" w:name="_Toc5213"/>
      <w:bookmarkStart w:id="2075" w:name="_Toc38474946"/>
      <w:bookmarkStart w:id="2076" w:name="_Toc5968"/>
      <w:bookmarkStart w:id="2077" w:name="_Toc10388"/>
      <w:bookmarkStart w:id="2078" w:name="bookmark1838"/>
      <w:bookmarkStart w:id="2079" w:name="bookmark1839"/>
      <w:r>
        <w:rPr>
          <w:rFonts w:hint="eastAsia" w:ascii="宋体" w:hAnsi="宋体" w:eastAsia="宋体" w:cs="宋体"/>
          <w:color w:val="000000"/>
          <w:sz w:val="21"/>
          <w:szCs w:val="21"/>
          <w:highlight w:val="none"/>
        </w:rPr>
        <w:t>20. 保险</w:t>
      </w:r>
      <w:bookmarkEnd w:id="2070"/>
      <w:bookmarkEnd w:id="2071"/>
      <w:bookmarkEnd w:id="2072"/>
      <w:bookmarkEnd w:id="2073"/>
      <w:bookmarkEnd w:id="2074"/>
      <w:bookmarkEnd w:id="2075"/>
      <w:bookmarkEnd w:id="2076"/>
      <w:bookmarkEnd w:id="2077"/>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80" w:name="bookmark1842"/>
      <w:r>
        <w:rPr>
          <w:rFonts w:hint="eastAsia" w:ascii="宋体" w:hAnsi="宋体" w:eastAsia="宋体" w:cs="宋体"/>
          <w:b/>
          <w:bCs/>
          <w:color w:val="000000"/>
          <w:sz w:val="21"/>
          <w:szCs w:val="21"/>
          <w:highlight w:val="none"/>
        </w:rPr>
        <w:t>20.1工程保险</w:t>
      </w:r>
      <w:bookmarkEnd w:id="2078"/>
      <w:bookmarkEnd w:id="2079"/>
      <w:bookmarkEnd w:id="2080"/>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bookmarkStart w:id="2081" w:name="bookmark1854"/>
      <w:bookmarkEnd w:id="2081"/>
      <w:bookmarkStart w:id="2082" w:name="_Toc29422"/>
      <w:bookmarkStart w:id="2083" w:name="_Toc38474947"/>
      <w:bookmarkStart w:id="2084" w:name="_Toc13643"/>
      <w:bookmarkStart w:id="2085" w:name="_Toc31045"/>
      <w:bookmarkStart w:id="2086" w:name="bookmark1855"/>
      <w:bookmarkStart w:id="2087" w:name="bookmark1853"/>
      <w:bookmarkStart w:id="2088" w:name="bookmark1852"/>
      <w:r>
        <w:rPr>
          <w:rFonts w:hint="eastAsia" w:ascii="宋体" w:hAnsi="宋体" w:eastAsia="宋体" w:cs="宋体"/>
          <w:color w:val="000000"/>
          <w:kern w:val="2"/>
          <w:sz w:val="21"/>
          <w:szCs w:val="21"/>
          <w:highlight w:val="none"/>
          <w:lang w:val="zh-CN" w:eastAsia="zh-CN" w:bidi="zh-CN"/>
        </w:rPr>
        <w:t xml:space="preserve">建筑工程一切险和（或）安装工程一切险投保人： </w:t>
      </w:r>
      <w:r>
        <w:rPr>
          <w:rFonts w:hint="eastAsia" w:ascii="宋体" w:hAnsi="宋体" w:eastAsia="宋体" w:cs="宋体"/>
          <w:color w:val="000000"/>
          <w:kern w:val="2"/>
          <w:sz w:val="21"/>
          <w:szCs w:val="21"/>
          <w:highlight w:val="none"/>
          <w:u w:val="single"/>
          <w:lang w:val="zh-CN" w:eastAsia="zh-CN" w:bidi="zh-CN"/>
        </w:rPr>
        <w:t>承包人</w:t>
      </w:r>
      <w:r>
        <w:rPr>
          <w:rFonts w:hint="eastAsia" w:ascii="宋体" w:hAnsi="宋体" w:eastAsia="宋体" w:cs="宋体"/>
          <w:color w:val="000000"/>
          <w:kern w:val="2"/>
          <w:sz w:val="21"/>
          <w:szCs w:val="21"/>
          <w:highlight w:val="none"/>
          <w:lang w:val="zh-CN" w:eastAsia="zh-CN" w:bidi="zh-CN"/>
        </w:rPr>
        <w:t xml:space="preserve">； </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投保内容：</w:t>
      </w:r>
      <w:r>
        <w:rPr>
          <w:rFonts w:hint="eastAsia" w:ascii="宋体" w:hAnsi="宋体" w:eastAsia="宋体" w:cs="宋体"/>
          <w:color w:val="000000"/>
          <w:kern w:val="2"/>
          <w:sz w:val="21"/>
          <w:szCs w:val="21"/>
          <w:highlight w:val="none"/>
          <w:u w:val="single"/>
          <w:lang w:val="zh-CN" w:eastAsia="zh-CN" w:bidi="zh-CN"/>
        </w:rPr>
        <w:t>为本合同工程派遣或雇用的任何人员进行意外伤亡和人身事故保险，保险费用包含在工程报价中</w:t>
      </w:r>
      <w:r>
        <w:rPr>
          <w:rFonts w:hint="eastAsia" w:ascii="宋体" w:hAnsi="宋体" w:eastAsia="宋体" w:cs="宋体"/>
          <w:color w:val="000000"/>
          <w:kern w:val="2"/>
          <w:sz w:val="21"/>
          <w:szCs w:val="21"/>
          <w:highlight w:val="none"/>
          <w:lang w:val="zh-CN" w:eastAsia="zh-CN" w:bidi="zh-CN"/>
        </w:rPr>
        <w:t>；</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en-US" w:eastAsia="zh-CN" w:bidi="zh-CN"/>
        </w:rPr>
      </w:pPr>
      <w:r>
        <w:rPr>
          <w:rFonts w:hint="eastAsia" w:ascii="宋体" w:hAnsi="宋体" w:eastAsia="宋体" w:cs="宋体"/>
          <w:color w:val="000000"/>
          <w:kern w:val="2"/>
          <w:sz w:val="21"/>
          <w:szCs w:val="21"/>
          <w:highlight w:val="none"/>
          <w:lang w:val="zh-CN" w:eastAsia="zh-CN" w:bidi="zh-CN"/>
        </w:rPr>
        <w:t>保险金额、保险费率和保险期限:</w:t>
      </w:r>
      <w:r>
        <w:rPr>
          <w:rFonts w:hint="eastAsia" w:ascii="宋体" w:hAnsi="宋体" w:eastAsia="宋体" w:cs="宋体"/>
          <w:color w:val="000000"/>
          <w:kern w:val="2"/>
          <w:sz w:val="21"/>
          <w:szCs w:val="21"/>
          <w:highlight w:val="none"/>
          <w:u w:val="single"/>
          <w:lang w:val="zh-CN" w:eastAsia="zh-CN" w:bidi="zh-CN"/>
        </w:rPr>
        <w:t xml:space="preserve"> 在签订施工承包合同时明确</w:t>
      </w:r>
      <w:r>
        <w:rPr>
          <w:rFonts w:hint="eastAsia" w:ascii="宋体" w:hAnsi="宋体" w:eastAsia="宋体" w:cs="宋体"/>
          <w:color w:val="000000"/>
          <w:kern w:val="2"/>
          <w:sz w:val="21"/>
          <w:szCs w:val="21"/>
          <w:highlight w:val="none"/>
          <w:lang w:val="en-US" w:eastAsia="zh-CN" w:bidi="zh-CN"/>
        </w:rPr>
        <w:t>。</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lang w:val="zh-CN"/>
        </w:rPr>
      </w:pPr>
      <w:bookmarkStart w:id="2089" w:name="_Toc51061909"/>
      <w:bookmarkStart w:id="2090" w:name="bookmark1843"/>
      <w:bookmarkStart w:id="2091" w:name="bookmark1844"/>
      <w:bookmarkStart w:id="2092" w:name="_Toc65828251"/>
      <w:bookmarkStart w:id="2093" w:name="bookmark1845"/>
      <w:r>
        <w:rPr>
          <w:rFonts w:hint="eastAsia" w:ascii="宋体" w:hAnsi="宋体" w:eastAsia="宋体" w:cs="宋体"/>
          <w:b/>
          <w:bCs/>
          <w:color w:val="000000"/>
          <w:sz w:val="21"/>
          <w:szCs w:val="21"/>
          <w:highlight w:val="none"/>
          <w:lang w:val="zh-CN"/>
        </w:rPr>
        <w:t>20.4第三者责任险</w:t>
      </w:r>
      <w:bookmarkEnd w:id="2089"/>
      <w:bookmarkEnd w:id="2090"/>
      <w:bookmarkEnd w:id="2091"/>
      <w:bookmarkEnd w:id="2092"/>
      <w:bookmarkEnd w:id="2093"/>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20.4.2 第三者责任险保险费率：</w:t>
      </w:r>
      <w:r>
        <w:rPr>
          <w:rFonts w:hint="eastAsia" w:ascii="宋体" w:hAnsi="宋体" w:eastAsia="宋体" w:cs="宋体"/>
          <w:color w:val="000000"/>
          <w:kern w:val="2"/>
          <w:sz w:val="21"/>
          <w:szCs w:val="21"/>
          <w:highlight w:val="none"/>
          <w:u w:val="single"/>
          <w:lang w:val="zh-CN" w:eastAsia="zh-CN" w:bidi="zh-CN"/>
        </w:rPr>
        <w:t xml:space="preserve"> /</w:t>
      </w:r>
      <w:r>
        <w:rPr>
          <w:rFonts w:hint="eastAsia" w:ascii="宋体" w:hAnsi="宋体" w:eastAsia="宋体" w:cs="宋体"/>
          <w:color w:val="000000"/>
          <w:kern w:val="2"/>
          <w:sz w:val="21"/>
          <w:szCs w:val="21"/>
          <w:highlight w:val="none"/>
          <w:lang w:val="en-US" w:eastAsia="zh-CN" w:bidi="zh-CN"/>
        </w:rPr>
        <w:t xml:space="preserve"> </w:t>
      </w:r>
      <w:r>
        <w:rPr>
          <w:rFonts w:hint="eastAsia" w:ascii="宋体" w:hAnsi="宋体" w:eastAsia="宋体" w:cs="宋体"/>
          <w:color w:val="000000"/>
          <w:kern w:val="2"/>
          <w:sz w:val="21"/>
          <w:szCs w:val="21"/>
          <w:highlight w:val="none"/>
          <w:lang w:val="zh-CN" w:eastAsia="zh-CN" w:bidi="zh-CN"/>
        </w:rPr>
        <w:t>； 第三者责任险保险金额：</w:t>
      </w:r>
      <w:r>
        <w:rPr>
          <w:rFonts w:hint="eastAsia" w:ascii="宋体" w:hAnsi="宋体" w:eastAsia="宋体" w:cs="宋体"/>
          <w:color w:val="000000"/>
          <w:kern w:val="2"/>
          <w:sz w:val="21"/>
          <w:szCs w:val="21"/>
          <w:highlight w:val="none"/>
          <w:u w:val="single"/>
          <w:lang w:val="zh-CN" w:eastAsia="zh-CN" w:bidi="zh-CN"/>
        </w:rPr>
        <w:t>/</w:t>
      </w:r>
      <w:r>
        <w:rPr>
          <w:rFonts w:hint="eastAsia" w:ascii="宋体" w:hAnsi="宋体" w:eastAsia="宋体" w:cs="宋体"/>
          <w:color w:val="000000"/>
          <w:kern w:val="2"/>
          <w:sz w:val="21"/>
          <w:szCs w:val="21"/>
          <w:highlight w:val="none"/>
          <w:lang w:val="zh-CN" w:eastAsia="zh-CN" w:bidi="zh-CN"/>
        </w:rPr>
        <w:t>。</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lang w:val="zh-CN"/>
        </w:rPr>
      </w:pPr>
      <w:bookmarkStart w:id="2094" w:name="bookmark1847"/>
      <w:bookmarkStart w:id="2095" w:name="bookmark1848"/>
      <w:bookmarkStart w:id="2096" w:name="bookmark1846"/>
      <w:r>
        <w:rPr>
          <w:rFonts w:hint="eastAsia" w:ascii="宋体" w:hAnsi="宋体" w:eastAsia="宋体" w:cs="宋体"/>
          <w:b/>
          <w:bCs/>
          <w:color w:val="000000"/>
          <w:sz w:val="21"/>
          <w:szCs w:val="21"/>
          <w:highlight w:val="none"/>
          <w:lang w:val="zh-CN"/>
        </w:rPr>
        <w:t>20.5其他保险</w:t>
      </w:r>
      <w:bookmarkEnd w:id="2094"/>
      <w:bookmarkEnd w:id="2095"/>
      <w:bookmarkEnd w:id="2096"/>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需要投保的其他内容：</w:t>
      </w:r>
      <w:r>
        <w:rPr>
          <w:rFonts w:hint="eastAsia" w:ascii="宋体" w:hAnsi="宋体" w:eastAsia="宋体" w:cs="宋体"/>
          <w:color w:val="000000"/>
          <w:kern w:val="2"/>
          <w:sz w:val="21"/>
          <w:szCs w:val="21"/>
          <w:highlight w:val="none"/>
          <w:u w:val="single"/>
          <w:lang w:val="zh-CN" w:eastAsia="zh-CN" w:bidi="zh-CN"/>
        </w:rPr>
        <w:t>建筑意外伤害保</w:t>
      </w:r>
      <w:r>
        <w:rPr>
          <w:rFonts w:hint="eastAsia" w:ascii="宋体" w:hAnsi="宋体" w:eastAsia="宋体" w:cs="宋体"/>
          <w:color w:val="000000"/>
          <w:kern w:val="2"/>
          <w:sz w:val="21"/>
          <w:szCs w:val="21"/>
          <w:highlight w:val="none"/>
          <w:lang w:val="zh-CN" w:eastAsia="zh-CN" w:bidi="zh-CN"/>
        </w:rPr>
        <w:t>；</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保险金额、保险费率和保险期限：</w:t>
      </w:r>
      <w:r>
        <w:rPr>
          <w:rFonts w:hint="eastAsia" w:ascii="宋体" w:hAnsi="宋体" w:eastAsia="宋体" w:cs="宋体"/>
          <w:b w:val="0"/>
          <w:bCs w:val="0"/>
          <w:color w:val="000000"/>
          <w:kern w:val="2"/>
          <w:sz w:val="21"/>
          <w:szCs w:val="21"/>
          <w:highlight w:val="none"/>
          <w:u w:val="single"/>
          <w:lang w:val="zh-CN" w:eastAsia="zh-CN" w:bidi="zh-CN"/>
        </w:rPr>
        <w:t>在签订施工承包合同时明确</w:t>
      </w:r>
      <w:r>
        <w:rPr>
          <w:rFonts w:hint="eastAsia" w:ascii="宋体" w:hAnsi="宋体" w:eastAsia="宋体" w:cs="宋体"/>
          <w:color w:val="000000"/>
          <w:kern w:val="2"/>
          <w:sz w:val="21"/>
          <w:szCs w:val="21"/>
          <w:highlight w:val="none"/>
          <w:lang w:val="zh-CN" w:eastAsia="zh-CN" w:bidi="zh-CN"/>
        </w:rPr>
        <w:t>；</w:t>
      </w:r>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lang w:val="zh-CN"/>
        </w:rPr>
      </w:pPr>
      <w:bookmarkStart w:id="2097" w:name="bookmark1850"/>
      <w:bookmarkStart w:id="2098" w:name="_Toc65828252"/>
      <w:bookmarkStart w:id="2099" w:name="_Toc51061910"/>
      <w:bookmarkStart w:id="2100" w:name="bookmark1851"/>
      <w:bookmarkStart w:id="2101" w:name="bookmark1849"/>
      <w:r>
        <w:rPr>
          <w:rFonts w:hint="eastAsia" w:ascii="宋体" w:hAnsi="宋体" w:eastAsia="宋体" w:cs="宋体"/>
          <w:b/>
          <w:bCs/>
          <w:color w:val="000000"/>
          <w:sz w:val="21"/>
          <w:szCs w:val="21"/>
          <w:highlight w:val="none"/>
          <w:lang w:val="zh-CN"/>
        </w:rPr>
        <w:t>20.6对各项保险的一般要求</w:t>
      </w:r>
      <w:bookmarkEnd w:id="2097"/>
      <w:bookmarkEnd w:id="2098"/>
      <w:bookmarkEnd w:id="2099"/>
      <w:bookmarkEnd w:id="2100"/>
      <w:bookmarkEnd w:id="2101"/>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bookmarkStart w:id="2102" w:name="_Toc65828253"/>
      <w:bookmarkStart w:id="2103" w:name="_Toc51061911"/>
      <w:r>
        <w:rPr>
          <w:rFonts w:hint="eastAsia" w:ascii="宋体" w:hAnsi="宋体" w:eastAsia="宋体" w:cs="宋体"/>
          <w:color w:val="000000"/>
          <w:kern w:val="2"/>
          <w:sz w:val="21"/>
          <w:szCs w:val="21"/>
          <w:highlight w:val="none"/>
          <w:lang w:val="zh-CN" w:eastAsia="zh-CN" w:bidi="zh-CN"/>
        </w:rPr>
        <w:t>20. 6.1保险凭证</w:t>
      </w:r>
      <w:bookmarkEnd w:id="2102"/>
      <w:bookmarkEnd w:id="2103"/>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承包人提交保险凭证的期限：</w:t>
      </w:r>
      <w:r>
        <w:rPr>
          <w:rFonts w:hint="eastAsia" w:ascii="宋体" w:hAnsi="宋体" w:eastAsia="宋体" w:cs="宋体"/>
          <w:color w:val="000000"/>
          <w:kern w:val="2"/>
          <w:sz w:val="21"/>
          <w:szCs w:val="21"/>
          <w:highlight w:val="none"/>
          <w:u w:val="single"/>
          <w:lang w:val="zh-CN" w:eastAsia="zh-CN" w:bidi="zh-CN"/>
        </w:rPr>
        <w:t>/</w:t>
      </w:r>
      <w:r>
        <w:rPr>
          <w:rFonts w:hint="eastAsia" w:ascii="宋体" w:hAnsi="宋体" w:eastAsia="宋体" w:cs="宋体"/>
          <w:color w:val="000000"/>
          <w:kern w:val="2"/>
          <w:sz w:val="21"/>
          <w:szCs w:val="21"/>
          <w:highlight w:val="none"/>
          <w:lang w:val="zh-CN" w:eastAsia="zh-CN" w:bidi="zh-CN"/>
        </w:rPr>
        <w:t>；</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保险条件：</w:t>
      </w:r>
      <w:r>
        <w:rPr>
          <w:rFonts w:hint="eastAsia" w:ascii="宋体" w:hAnsi="宋体" w:eastAsia="宋体" w:cs="宋体"/>
          <w:color w:val="000000"/>
          <w:kern w:val="2"/>
          <w:sz w:val="21"/>
          <w:szCs w:val="21"/>
          <w:highlight w:val="none"/>
          <w:u w:val="single"/>
          <w:lang w:val="zh-CN" w:eastAsia="zh-CN" w:bidi="zh-CN"/>
        </w:rPr>
        <w:t>/</w:t>
      </w:r>
      <w:r>
        <w:rPr>
          <w:rFonts w:hint="eastAsia" w:ascii="宋体" w:hAnsi="宋体" w:eastAsia="宋体" w:cs="宋体"/>
          <w:color w:val="000000"/>
          <w:kern w:val="2"/>
          <w:sz w:val="21"/>
          <w:szCs w:val="21"/>
          <w:highlight w:val="none"/>
          <w:lang w:val="zh-CN" w:eastAsia="zh-CN" w:bidi="zh-CN"/>
        </w:rPr>
        <w:t>。</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20. 6.4保险金不足的补偿</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承包人负责补偿的范围与金额：</w:t>
      </w:r>
      <w:r>
        <w:rPr>
          <w:rFonts w:hint="eastAsia" w:ascii="宋体" w:hAnsi="宋体" w:eastAsia="宋体" w:cs="宋体"/>
          <w:color w:val="000000"/>
          <w:kern w:val="2"/>
          <w:sz w:val="21"/>
          <w:szCs w:val="21"/>
          <w:highlight w:val="none"/>
          <w:u w:val="single"/>
          <w:lang w:val="zh-CN" w:eastAsia="zh-CN" w:bidi="zh-CN"/>
        </w:rPr>
        <w:t xml:space="preserve"> /</w:t>
      </w:r>
      <w:r>
        <w:rPr>
          <w:rFonts w:hint="eastAsia" w:ascii="宋体" w:hAnsi="宋体" w:eastAsia="宋体" w:cs="宋体"/>
          <w:color w:val="000000"/>
          <w:kern w:val="2"/>
          <w:sz w:val="21"/>
          <w:szCs w:val="21"/>
          <w:highlight w:val="none"/>
          <w:lang w:val="zh-CN" w:eastAsia="zh-CN" w:bidi="zh-CN"/>
        </w:rPr>
        <w:t xml:space="preserve">； </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发包人负责补偿的范围与金额：</w:t>
      </w:r>
      <w:r>
        <w:rPr>
          <w:rFonts w:hint="eastAsia" w:ascii="宋体" w:hAnsi="宋体" w:eastAsia="宋体" w:cs="宋体"/>
          <w:color w:val="000000"/>
          <w:kern w:val="2"/>
          <w:sz w:val="21"/>
          <w:szCs w:val="21"/>
          <w:highlight w:val="none"/>
          <w:u w:val="single"/>
          <w:lang w:val="zh-CN" w:eastAsia="zh-CN" w:bidi="zh-CN"/>
        </w:rPr>
        <w:t>/</w:t>
      </w:r>
      <w:r>
        <w:rPr>
          <w:rFonts w:hint="eastAsia" w:ascii="宋体" w:hAnsi="宋体" w:eastAsia="宋体" w:cs="宋体"/>
          <w:color w:val="000000"/>
          <w:kern w:val="2"/>
          <w:sz w:val="21"/>
          <w:szCs w:val="21"/>
          <w:highlight w:val="none"/>
          <w:lang w:val="zh-CN" w:eastAsia="zh-CN" w:bidi="zh-CN"/>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104" w:name="_Toc16512"/>
      <w:bookmarkStart w:id="2105" w:name="_Toc28542"/>
      <w:r>
        <w:rPr>
          <w:rFonts w:hint="eastAsia" w:ascii="宋体" w:hAnsi="宋体" w:eastAsia="宋体" w:cs="宋体"/>
          <w:color w:val="000000"/>
          <w:sz w:val="21"/>
          <w:szCs w:val="21"/>
          <w:highlight w:val="none"/>
        </w:rPr>
        <w:t>21. 不可抗力</w:t>
      </w:r>
      <w:bookmarkEnd w:id="2082"/>
      <w:bookmarkEnd w:id="2083"/>
      <w:bookmarkEnd w:id="2084"/>
      <w:bookmarkEnd w:id="2085"/>
      <w:bookmarkEnd w:id="2086"/>
      <w:bookmarkEnd w:id="2104"/>
      <w:bookmarkEnd w:id="2105"/>
    </w:p>
    <w:p>
      <w:pPr>
        <w:pStyle w:val="163"/>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106" w:name="bookmark1856"/>
      <w:r>
        <w:rPr>
          <w:rFonts w:hint="eastAsia" w:ascii="宋体" w:hAnsi="宋体" w:eastAsia="宋体" w:cs="宋体"/>
          <w:b/>
          <w:bCs/>
          <w:color w:val="000000"/>
          <w:sz w:val="21"/>
          <w:szCs w:val="21"/>
          <w:highlight w:val="none"/>
        </w:rPr>
        <w:t>21.1不可抗力的确认</w:t>
      </w:r>
      <w:bookmarkEnd w:id="2087"/>
      <w:bookmarkEnd w:id="2088"/>
      <w:bookmarkEnd w:id="2106"/>
    </w:p>
    <w:p>
      <w:pPr>
        <w:pStyle w:val="163"/>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21.1.1</w:t>
      </w:r>
      <w:r>
        <w:rPr>
          <w:rFonts w:hint="eastAsia" w:ascii="宋体" w:hAnsi="宋体" w:eastAsia="宋体" w:cs="宋体"/>
          <w:color w:val="000000"/>
          <w:sz w:val="21"/>
          <w:szCs w:val="21"/>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eastAsia="宋体" w:cs="宋体"/>
          <w:color w:val="000000"/>
          <w:sz w:val="21"/>
          <w:szCs w:val="21"/>
          <w:highlight w:val="none"/>
          <w:lang w:val="en-US"/>
        </w:rPr>
        <w:t xml:space="preserve">11. </w:t>
      </w:r>
      <w:r>
        <w:rPr>
          <w:rFonts w:hint="eastAsia" w:ascii="宋体" w:hAnsi="宋体" w:eastAsia="宋体" w:cs="宋体"/>
          <w:color w:val="000000"/>
          <w:sz w:val="21"/>
          <w:szCs w:val="21"/>
          <w:highlight w:val="none"/>
        </w:rPr>
        <w:t>4款的约定。</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107" w:name="_Toc221951334"/>
      <w:bookmarkStart w:id="2108" w:name="_Toc222032712"/>
      <w:bookmarkStart w:id="2109" w:name="_Toc229305401"/>
      <w:bookmarkStart w:id="2110" w:name="_Toc222031045"/>
      <w:bookmarkStart w:id="2111" w:name="_Toc222033894"/>
      <w:bookmarkStart w:id="2112" w:name="_Toc222029543"/>
      <w:r>
        <w:rPr>
          <w:rFonts w:hint="eastAsia" w:ascii="宋体" w:hAnsi="宋体" w:eastAsia="宋体" w:cs="宋体"/>
          <w:color w:val="000000"/>
          <w:sz w:val="21"/>
          <w:szCs w:val="21"/>
          <w:highlight w:val="none"/>
        </w:rPr>
        <w:t>24. 争议的解决</w:t>
      </w:r>
      <w:bookmarkEnd w:id="2107"/>
      <w:bookmarkEnd w:id="2108"/>
      <w:bookmarkEnd w:id="2109"/>
      <w:bookmarkEnd w:id="2110"/>
      <w:bookmarkEnd w:id="2111"/>
      <w:bookmarkEnd w:id="2112"/>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113" w:name="_Toc221951335"/>
      <w:r>
        <w:rPr>
          <w:rFonts w:hint="eastAsia" w:ascii="宋体" w:hAnsi="宋体" w:eastAsia="宋体" w:cs="宋体"/>
          <w:color w:val="000000"/>
          <w:sz w:val="21"/>
          <w:szCs w:val="21"/>
          <w:highlight w:val="none"/>
        </w:rPr>
        <w:t>24.1 争议的解决方式</w:t>
      </w:r>
    </w:p>
    <w:bookmarkEnd w:id="2113"/>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kern w:val="0"/>
          <w:sz w:val="21"/>
          <w:szCs w:val="21"/>
          <w:highlight w:val="none"/>
        </w:rPr>
        <w:t>合同当事人友好协商解决不成、不愿提请争议评审或不接受争议评审组意见的，约定的合同争议解决方式为以下第（2）项：</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（1）向约定的仲裁委员会申请仲裁；</w:t>
      </w:r>
    </w:p>
    <w:p>
      <w:pPr>
        <w:pStyle w:val="6"/>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（2）向有管辖权的人民法院提起诉讼。</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114" w:name="bookmark1863"/>
      <w:bookmarkStart w:id="2115" w:name="_Toc6232"/>
      <w:bookmarkStart w:id="2116" w:name="_Toc18147"/>
      <w:bookmarkStart w:id="2117" w:name="_Toc26089"/>
      <w:bookmarkStart w:id="2118" w:name="_Toc38474949"/>
      <w:bookmarkStart w:id="2119" w:name="_Toc3943"/>
      <w:bookmarkStart w:id="2120" w:name="_Toc5308"/>
      <w:bookmarkStart w:id="2121" w:name="bookmark1865"/>
      <w:bookmarkStart w:id="2122" w:name="_Toc30466"/>
      <w:bookmarkStart w:id="2123" w:name="bookmark1864"/>
      <w:r>
        <w:rPr>
          <w:rFonts w:hint="eastAsia" w:ascii="宋体" w:hAnsi="宋体" w:eastAsia="宋体" w:cs="宋体"/>
          <w:color w:val="000000"/>
          <w:sz w:val="21"/>
          <w:szCs w:val="21"/>
          <w:highlight w:val="none"/>
        </w:rPr>
        <w:t>25. 附加条款</w:t>
      </w:r>
      <w:bookmarkEnd w:id="2114"/>
      <w:bookmarkEnd w:id="2115"/>
      <w:bookmarkEnd w:id="2116"/>
      <w:bookmarkEnd w:id="2117"/>
      <w:bookmarkEnd w:id="2118"/>
      <w:bookmarkEnd w:id="2119"/>
      <w:bookmarkEnd w:id="2120"/>
      <w:bookmarkEnd w:id="2121"/>
      <w:bookmarkEnd w:id="2122"/>
      <w:bookmarkEnd w:id="2123"/>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25.1</w:t>
      </w:r>
      <w:r>
        <w:rPr>
          <w:rFonts w:hint="eastAsia" w:ascii="宋体" w:hAnsi="宋体" w:eastAsia="宋体" w:cs="宋体"/>
          <w:bCs/>
          <w:color w:val="000000"/>
          <w:kern w:val="0"/>
          <w:sz w:val="21"/>
          <w:szCs w:val="21"/>
          <w:highlight w:val="none"/>
        </w:rPr>
        <w:t>对承包人的要求</w:t>
      </w:r>
    </w:p>
    <w:p>
      <w:pPr>
        <w:pageBreakBefore w:val="0"/>
        <w:widowControl w:val="0"/>
        <w:numPr>
          <w:ilvl w:val="0"/>
          <w:numId w:val="44"/>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bCs/>
          <w:color w:val="000000"/>
          <w:kern w:val="0"/>
          <w:sz w:val="21"/>
          <w:szCs w:val="21"/>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bCs/>
          <w:color w:val="000000"/>
          <w:kern w:val="0"/>
          <w:sz w:val="21"/>
          <w:szCs w:val="21"/>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4、</w:t>
      </w:r>
      <w:r>
        <w:rPr>
          <w:rFonts w:hint="eastAsia" w:ascii="宋体" w:hAnsi="宋体" w:eastAsia="宋体" w:cs="宋体"/>
          <w:bCs/>
          <w:color w:val="000000"/>
          <w:kern w:val="0"/>
          <w:sz w:val="21"/>
          <w:szCs w:val="21"/>
          <w:highlight w:val="none"/>
        </w:rPr>
        <w:t>按有关施工规程规范及本招标文件技术条款进行组织施工并实施施工过程和移交前工程保护措施。</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w:t>
      </w:r>
      <w:r>
        <w:rPr>
          <w:rFonts w:hint="eastAsia" w:ascii="宋体" w:hAnsi="宋体" w:eastAsia="宋体" w:cs="宋体"/>
          <w:bCs/>
          <w:color w:val="000000"/>
          <w:kern w:val="0"/>
          <w:sz w:val="21"/>
          <w:szCs w:val="21"/>
          <w:highlight w:val="none"/>
        </w:rPr>
        <w:t>承包人违约有以下情况之一者，发包人有权采取合同规定的以下措施处理，并视情节轻重处予违约金。</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（1）未经发包人批准，施工期内承包人调走主要施工技术人员（包括建造师、专业工程师），经发现不及时调回的，违约金额为履约保证金金额的5%～20%（视情节严重而定）。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（2）未经发包人批准，施工期内自行调走主要施工机械，经发现不及时调回的，违约金额为履约保证金金额的5%～20%（视情节严重而定）。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（3）所有以上违约金额均在承包人的履约保证金（包括银行利息）及计量支付款内扣除，承包人履约保证金被扣除后，由发包人从最后一次计量支付时扣相应金额补足履约保证金。</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（5）合同签订之日起15日内，因承包人原因无法按合同规定进场全部人员和机械时，发包人可以采取相应的处罚措施。</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lang w:val="zh-CN"/>
        </w:rPr>
      </w:pPr>
      <w:r>
        <w:rPr>
          <w:rFonts w:hint="eastAsia" w:ascii="宋体" w:hAnsi="宋体" w:eastAsia="宋体" w:cs="宋体"/>
          <w:bCs/>
          <w:color w:val="000000"/>
          <w:kern w:val="0"/>
          <w:sz w:val="21"/>
          <w:szCs w:val="21"/>
          <w:highlight w:val="none"/>
          <w:lang w:eastAsia="zh-CN"/>
        </w:rPr>
        <w:t>（</w:t>
      </w:r>
      <w:r>
        <w:rPr>
          <w:rFonts w:hint="eastAsia" w:ascii="宋体" w:hAnsi="宋体" w:eastAsia="宋体" w:cs="宋体"/>
          <w:bCs/>
          <w:color w:val="000000"/>
          <w:kern w:val="0"/>
          <w:sz w:val="21"/>
          <w:szCs w:val="21"/>
          <w:highlight w:val="none"/>
          <w:lang w:val="en-US" w:eastAsia="zh-CN"/>
        </w:rPr>
        <w:t>6</w:t>
      </w:r>
      <w:r>
        <w:rPr>
          <w:rFonts w:hint="eastAsia" w:ascii="宋体" w:hAnsi="宋体" w:eastAsia="宋体" w:cs="宋体"/>
          <w:bCs/>
          <w:color w:val="000000"/>
          <w:kern w:val="0"/>
          <w:sz w:val="21"/>
          <w:szCs w:val="21"/>
          <w:highlight w:val="none"/>
          <w:lang w:eastAsia="zh-CN"/>
        </w:rPr>
        <w:t>）</w:t>
      </w:r>
      <w:r>
        <w:rPr>
          <w:rFonts w:hint="eastAsia" w:ascii="宋体" w:hAnsi="宋体" w:eastAsia="宋体" w:cs="宋体"/>
          <w:bCs/>
          <w:color w:val="000000"/>
          <w:kern w:val="0"/>
          <w:sz w:val="21"/>
          <w:szCs w:val="21"/>
          <w:highlight w:val="none"/>
          <w:lang w:val="zh-CN"/>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w:t>
      </w:r>
      <w:r>
        <w:rPr>
          <w:rFonts w:hint="eastAsia" w:ascii="宋体" w:hAnsi="宋体" w:eastAsia="宋体" w:cs="宋体"/>
          <w:bCs/>
          <w:color w:val="000000"/>
          <w:kern w:val="0"/>
          <w:sz w:val="21"/>
          <w:szCs w:val="21"/>
          <w:highlight w:val="none"/>
        </w:rPr>
        <w:t>承包人生活设施及施工场地，应自费配备消防设备，防止火灾发生。</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w:t>
      </w:r>
      <w:r>
        <w:rPr>
          <w:rFonts w:hint="eastAsia" w:ascii="宋体" w:hAnsi="宋体" w:eastAsia="宋体" w:cs="宋体"/>
          <w:bCs/>
          <w:color w:val="000000"/>
          <w:kern w:val="0"/>
          <w:sz w:val="21"/>
          <w:szCs w:val="21"/>
          <w:highlight w:val="none"/>
        </w:rPr>
        <w:t>承包人使用的劳动力均应进行保险，否则不准安排工作，禁止使用童工。</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w:t>
      </w:r>
      <w:r>
        <w:rPr>
          <w:rFonts w:hint="eastAsia" w:ascii="宋体" w:hAnsi="宋体" w:eastAsia="宋体" w:cs="宋体"/>
          <w:bCs/>
          <w:color w:val="000000"/>
          <w:kern w:val="0"/>
          <w:sz w:val="21"/>
          <w:szCs w:val="21"/>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9</w:t>
      </w:r>
      <w:r>
        <w:rPr>
          <w:rFonts w:hint="eastAsia" w:ascii="宋体" w:hAnsi="宋体" w:eastAsia="宋体" w:cs="宋体"/>
          <w:bCs/>
          <w:color w:val="000000"/>
          <w:kern w:val="0"/>
          <w:sz w:val="21"/>
          <w:szCs w:val="21"/>
          <w:highlight w:val="none"/>
        </w:rPr>
        <w:t>、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r>
        <w:rPr>
          <w:rFonts w:hint="eastAsia" w:ascii="宋体" w:hAnsi="宋体" w:eastAsia="宋体" w:cs="宋体"/>
          <w:bCs/>
          <w:color w:val="000000"/>
          <w:kern w:val="0"/>
          <w:sz w:val="21"/>
          <w:szCs w:val="21"/>
          <w:highlight w:val="none"/>
          <w:lang w:val="en-US" w:eastAsia="zh-CN"/>
        </w:rPr>
        <w:t>0</w:t>
      </w:r>
      <w:r>
        <w:rPr>
          <w:rFonts w:hint="eastAsia" w:ascii="宋体" w:hAnsi="宋体" w:eastAsia="宋体" w:cs="宋体"/>
          <w:bCs/>
          <w:color w:val="000000"/>
          <w:kern w:val="0"/>
          <w:sz w:val="21"/>
          <w:szCs w:val="21"/>
          <w:highlight w:val="none"/>
        </w:rPr>
        <w:t>、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25.2 发包人除农民工工资外的其他款均转入如下承包人单位基本账户</w:t>
      </w:r>
      <w:r>
        <w:rPr>
          <w:rFonts w:hint="eastAsia" w:ascii="宋体" w:hAnsi="宋体" w:eastAsia="宋体" w:cs="宋体"/>
          <w:bCs/>
          <w:color w:val="000000"/>
          <w:kern w:val="0"/>
          <w:sz w:val="21"/>
          <w:szCs w:val="21"/>
          <w:highlight w:val="none"/>
          <w:u w:val="single"/>
        </w:rPr>
        <w:t xml:space="preserve">   (签订施工合同时标明)</w:t>
      </w:r>
      <w:r>
        <w:rPr>
          <w:rFonts w:hint="eastAsia" w:ascii="宋体" w:hAnsi="宋体" w:eastAsia="宋体" w:cs="宋体"/>
          <w:bCs/>
          <w:color w:val="000000"/>
          <w:kern w:val="0"/>
          <w:sz w:val="21"/>
          <w:szCs w:val="21"/>
          <w:highlight w:val="none"/>
        </w:rPr>
        <w:t>,承包人单位基本账户发生改变时, 承包人应书面通知（法定代表人签名并加盖单位公章）发包人。</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25.3承包方应在施工合同签订后14天内提交所有工程报建报监资料，并按要求办理开工前相应手续，且所有施工签证等相关手续符合主管部门、地方的规定；工程过程中涉及的办证由承包方负责并承担相关费用，发包人协助承包人办理。</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25.4本工程取（弃）土费用包含办证费、加盖费、取土费、弃土费、处置费等一切相关费用，包含在综合单价中，不作调整。取（弃）土运距按实调整结算（按照工程量清单的增减运距进行调整）。承包人必须就近在招标人指定的弃渣场弃土。</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本工程取（弃）渣费用包含办证费、加盖费、取渣费、弃渣费、处置费等一切相关费用，包含在综合单价中，不作调整。取（弃）渣运距按实调整结算（按照工程量清单的增减运距进行调整）。承包人必须就近在招标人指定的弃渣场弃渣。</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25.5本工程土方开挖已综合考虑施工条件，土方回填原则上尽量就近利用开挖料，不足部分从最近料场取土，承包人需做好土方平衡计划并报监理审核、报发包人审批。</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25.6</w:t>
      </w:r>
      <w:r>
        <w:rPr>
          <w:rFonts w:hint="eastAsia" w:ascii="宋体" w:hAnsi="宋体" w:eastAsia="宋体" w:cs="宋体"/>
          <w:bCs/>
          <w:color w:val="000000"/>
          <w:sz w:val="21"/>
          <w:szCs w:val="21"/>
          <w:highlight w:val="none"/>
        </w:rPr>
        <w:t>因实施本工程而损坏原有的水利、市政设施的原状，恢复费用由承包人报监理审核，发包人审批。</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25.7</w:t>
      </w:r>
      <w:r>
        <w:rPr>
          <w:rFonts w:hint="eastAsia" w:ascii="宋体" w:hAnsi="宋体" w:eastAsia="宋体" w:cs="宋体"/>
          <w:bCs/>
          <w:color w:val="000000"/>
          <w:sz w:val="21"/>
          <w:szCs w:val="21"/>
          <w:highlight w:val="none"/>
        </w:rPr>
        <w:t>承包人负责</w:t>
      </w:r>
      <w:r>
        <w:rPr>
          <w:rFonts w:hint="eastAsia" w:ascii="宋体" w:hAnsi="宋体" w:eastAsia="宋体" w:cs="宋体"/>
          <w:color w:val="000000"/>
          <w:sz w:val="21"/>
          <w:szCs w:val="21"/>
          <w:highlight w:val="none"/>
        </w:rPr>
        <w:t>度汛措施费用、安全防护费用</w:t>
      </w:r>
      <w:r>
        <w:rPr>
          <w:rFonts w:hint="eastAsia" w:ascii="宋体" w:hAnsi="宋体" w:eastAsia="宋体" w:cs="宋体"/>
          <w:bCs/>
          <w:color w:val="000000"/>
          <w:sz w:val="21"/>
          <w:szCs w:val="21"/>
          <w:highlight w:val="none"/>
        </w:rPr>
        <w:t>等，该费用含在工程量清单相关项目的总价或单价中，实施过程中不再另行签证计算。</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25.8管件、管材要求</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25.8.1</w:t>
      </w:r>
      <w:r>
        <w:rPr>
          <w:rFonts w:hint="eastAsia" w:ascii="宋体" w:hAnsi="宋体" w:eastAsia="宋体" w:cs="宋体"/>
          <w:color w:val="000000"/>
          <w:sz w:val="21"/>
          <w:szCs w:val="21"/>
          <w:highlight w:val="none"/>
        </w:rPr>
        <w:t>水表具有国家计量器具型式批准证书和中国质量认证中心出具的有效期内的中国节水产品认证证书, 具有《计算机软件著作权登记证书》，证书中必须含有“射频卡预付费”字样, 生产厂家具备水表安装资质，具有工程施工总承包三级及以上资质, 支持表端阶梯水价功能量程比Q3/Q1=100,采用多流束旋翼式湿式基表表阀一体式结构,采用锂电池供电可更换电池设计,具有防窃水功能和阀门防锈死功能,水表不锈钢球阀使用寿命＞10000次，泄漏量≤0.015m³/h， 具有数据回抄功能，回抄近12个月的月冻结水量数据。</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25.8.2所供产品的管材、管件为同一厂家、同一品牌。</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25.8.3 能按工程进度要求及时采购进场。</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25.9</w:t>
      </w:r>
      <w:r>
        <w:rPr>
          <w:rFonts w:hint="eastAsia" w:ascii="宋体" w:hAnsi="宋体" w:eastAsia="宋体" w:cs="宋体"/>
          <w:bCs/>
          <w:color w:val="000000"/>
          <w:kern w:val="0"/>
          <w:sz w:val="21"/>
          <w:szCs w:val="21"/>
          <w:highlight w:val="none"/>
        </w:rPr>
        <w:t xml:space="preserve"> 专用合同条款中未尽事宜，在签订施工合同时双方再商定。</w:t>
      </w:r>
    </w:p>
    <w:p>
      <w:pPr>
        <w:spacing w:line="360" w:lineRule="auto"/>
        <w:rPr>
          <w:rFonts w:hint="eastAsia" w:hAnsi="宋体" w:cs="宋体"/>
        </w:rPr>
      </w:pPr>
    </w:p>
    <w:p>
      <w:pPr>
        <w:pStyle w:val="4"/>
        <w:rPr>
          <w:rFonts w:hint="eastAsia" w:hAnsi="宋体" w:cs="宋体"/>
        </w:rPr>
      </w:pPr>
    </w:p>
    <w:p>
      <w:pPr>
        <w:rPr>
          <w:rFonts w:hint="eastAsia" w:hAnsi="宋体" w:cs="宋体"/>
        </w:rPr>
      </w:pPr>
    </w:p>
    <w:p>
      <w:pPr>
        <w:pStyle w:val="4"/>
        <w:rPr>
          <w:rFonts w:hint="eastAsia" w:hAnsi="宋体" w:cs="宋体"/>
        </w:rPr>
      </w:pPr>
    </w:p>
    <w:p>
      <w:pPr>
        <w:rPr>
          <w:rFonts w:hint="eastAsia" w:hAnsi="宋体" w:cs="宋体"/>
        </w:rPr>
      </w:pPr>
    </w:p>
    <w:p>
      <w:pPr>
        <w:rPr>
          <w:rFonts w:hint="eastAsia" w:hAnsi="宋体" w:cs="宋体"/>
        </w:rPr>
      </w:pPr>
    </w:p>
    <w:p>
      <w:pPr>
        <w:pStyle w:val="3"/>
        <w:jc w:val="center"/>
        <w:rPr>
          <w:rFonts w:hint="eastAsia" w:ascii="宋体" w:hAnsi="宋体" w:eastAsia="宋体" w:cs="宋体"/>
          <w:color w:val="000000"/>
          <w:highlight w:val="none"/>
        </w:rPr>
      </w:pPr>
      <w:bookmarkStart w:id="2124" w:name="_Toc32736"/>
      <w:bookmarkStart w:id="2125" w:name="_Toc29955"/>
      <w:bookmarkStart w:id="2126" w:name="_Toc16783"/>
      <w:bookmarkStart w:id="2127" w:name="_Toc10187"/>
      <w:bookmarkStart w:id="2128" w:name="_Toc7739"/>
      <w:bookmarkStart w:id="2129" w:name="bookmark1892"/>
      <w:bookmarkStart w:id="2130" w:name="_Toc10268"/>
      <w:bookmarkStart w:id="2131" w:name="bookmark1891"/>
      <w:bookmarkStart w:id="2132" w:name="bookmark1893"/>
      <w:bookmarkStart w:id="2133" w:name="_Toc14930"/>
      <w:r>
        <w:rPr>
          <w:rFonts w:hint="eastAsia" w:ascii="宋体" w:hAnsi="宋体" w:eastAsia="宋体" w:cs="宋体"/>
          <w:color w:val="000000"/>
          <w:highlight w:val="none"/>
          <w:lang w:val="en-US" w:eastAsia="zh-CN"/>
        </w:rPr>
        <w:t xml:space="preserve">第三节 </w:t>
      </w:r>
      <w:r>
        <w:rPr>
          <w:rFonts w:hint="eastAsia" w:ascii="宋体" w:hAnsi="宋体" w:eastAsia="宋体" w:cs="宋体"/>
          <w:color w:val="000000"/>
          <w:highlight w:val="none"/>
        </w:rPr>
        <w:t>合同附件格式</w:t>
      </w:r>
      <w:bookmarkEnd w:id="2124"/>
      <w:bookmarkEnd w:id="2125"/>
      <w:bookmarkEnd w:id="2126"/>
      <w:bookmarkEnd w:id="2127"/>
      <w:bookmarkEnd w:id="2128"/>
    </w:p>
    <w:p>
      <w:pPr>
        <w:pStyle w:val="4"/>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rPr>
      </w:pPr>
      <w:bookmarkStart w:id="2134" w:name="_Toc27804"/>
      <w:bookmarkStart w:id="2135" w:name="_Toc17815"/>
      <w:bookmarkStart w:id="2136" w:name="_Toc11419"/>
      <w:r>
        <w:rPr>
          <w:rFonts w:hint="eastAsia" w:ascii="宋体" w:hAnsi="宋体" w:eastAsia="宋体" w:cs="宋体"/>
          <w:color w:val="000000"/>
          <w:sz w:val="24"/>
          <w:szCs w:val="24"/>
          <w:highlight w:val="none"/>
        </w:rPr>
        <w:t>附件一：合同协议书</w:t>
      </w:r>
      <w:bookmarkEnd w:id="2129"/>
      <w:bookmarkEnd w:id="2130"/>
      <w:bookmarkEnd w:id="2131"/>
      <w:bookmarkEnd w:id="2132"/>
      <w:bookmarkEnd w:id="2133"/>
      <w:bookmarkEnd w:id="2134"/>
      <w:bookmarkEnd w:id="2135"/>
      <w:bookmarkEnd w:id="2136"/>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32"/>
          <w:szCs w:val="32"/>
          <w:highlight w:val="none"/>
          <w:lang w:eastAsia="zh-CN"/>
        </w:rPr>
      </w:pPr>
      <w:bookmarkStart w:id="2137" w:name="bookmark1894"/>
      <w:bookmarkStart w:id="2138" w:name="bookmark1895"/>
      <w:bookmarkStart w:id="2139" w:name="bookmark1896"/>
      <w:r>
        <w:rPr>
          <w:rFonts w:hint="eastAsia" w:ascii="宋体" w:hAnsi="宋体" w:eastAsia="宋体" w:cs="宋体"/>
          <w:b/>
          <w:color w:val="000000"/>
          <w:sz w:val="32"/>
          <w:szCs w:val="32"/>
          <w:highlight w:val="none"/>
          <w:lang w:eastAsia="zh-CN"/>
        </w:rPr>
        <w:t>合同协议书</w:t>
      </w:r>
      <w:bookmarkEnd w:id="2137"/>
      <w:bookmarkEnd w:id="2138"/>
      <w:bookmarkEnd w:id="2139"/>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4"/>
          <w:szCs w:val="24"/>
          <w:highlight w:val="none"/>
          <w:lang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u w:val="single"/>
          <w:lang w:eastAsia="zh-CN"/>
        </w:rPr>
        <w:t xml:space="preserve">  </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（发包人名称，以下简称“发包人”）为实施</w:t>
      </w: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（项目名称），已接受</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（承包人名称，以下简称“承包人”）对该项目</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（项目名称）</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（标段名称）的投标，并确定其为中标人。</w:t>
      </w:r>
      <w:r>
        <w:rPr>
          <w:rFonts w:hint="eastAsia" w:ascii="宋体" w:hAnsi="宋体" w:eastAsia="宋体" w:cs="宋体"/>
          <w:color w:val="000000"/>
          <w:sz w:val="21"/>
          <w:szCs w:val="21"/>
          <w:highlight w:val="none"/>
        </w:rPr>
        <w:t>发包人和承 包人共同达成如下协议。</w:t>
      </w:r>
    </w:p>
    <w:p>
      <w:pPr>
        <w:pStyle w:val="163"/>
        <w:pageBreakBefore w:val="0"/>
        <w:widowControl w:val="0"/>
        <w:numPr>
          <w:ilvl w:val="0"/>
          <w:numId w:val="45"/>
        </w:numPr>
        <w:tabs>
          <w:tab w:val="left" w:pos="76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0" w:name="bookmark1897"/>
      <w:bookmarkEnd w:id="2140"/>
      <w:r>
        <w:rPr>
          <w:rFonts w:hint="eastAsia" w:ascii="宋体" w:hAnsi="宋体" w:eastAsia="宋体" w:cs="宋体"/>
          <w:color w:val="000000"/>
          <w:sz w:val="21"/>
          <w:szCs w:val="21"/>
          <w:highlight w:val="none"/>
        </w:rPr>
        <w:t>本协议书与下列文件一起构成合同文件：</w:t>
      </w:r>
    </w:p>
    <w:p>
      <w:pPr>
        <w:pStyle w:val="163"/>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1" w:name="bookmark1898"/>
      <w:r>
        <w:rPr>
          <w:rFonts w:hint="eastAsia" w:ascii="宋体" w:hAnsi="宋体" w:eastAsia="宋体" w:cs="宋体"/>
          <w:color w:val="000000"/>
          <w:sz w:val="21"/>
          <w:szCs w:val="21"/>
          <w:highlight w:val="none"/>
        </w:rPr>
        <w:t>（</w:t>
      </w:r>
      <w:bookmarkEnd w:id="2141"/>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中标通知书；</w:t>
      </w:r>
    </w:p>
    <w:p>
      <w:pPr>
        <w:pStyle w:val="163"/>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2" w:name="bookmark1899"/>
      <w:r>
        <w:rPr>
          <w:rFonts w:hint="eastAsia" w:ascii="宋体" w:hAnsi="宋体" w:eastAsia="宋体" w:cs="宋体"/>
          <w:color w:val="000000"/>
          <w:sz w:val="21"/>
          <w:szCs w:val="21"/>
          <w:highlight w:val="none"/>
        </w:rPr>
        <w:t>（</w:t>
      </w:r>
      <w:bookmarkEnd w:id="2142"/>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投标函及投标函附录；</w:t>
      </w:r>
    </w:p>
    <w:p>
      <w:pPr>
        <w:pStyle w:val="163"/>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3" w:name="bookmark1900"/>
      <w:r>
        <w:rPr>
          <w:rFonts w:hint="eastAsia" w:ascii="宋体" w:hAnsi="宋体" w:eastAsia="宋体" w:cs="宋体"/>
          <w:color w:val="000000"/>
          <w:sz w:val="21"/>
          <w:szCs w:val="21"/>
          <w:highlight w:val="none"/>
        </w:rPr>
        <w:t>（</w:t>
      </w:r>
      <w:bookmarkEnd w:id="2143"/>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专用合同条款（含附加条款）；</w:t>
      </w:r>
    </w:p>
    <w:p>
      <w:pPr>
        <w:pStyle w:val="163"/>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4" w:name="bookmark1901"/>
      <w:r>
        <w:rPr>
          <w:rFonts w:hint="eastAsia" w:ascii="宋体" w:hAnsi="宋体" w:eastAsia="宋体" w:cs="宋体"/>
          <w:color w:val="000000"/>
          <w:sz w:val="21"/>
          <w:szCs w:val="21"/>
          <w:highlight w:val="none"/>
        </w:rPr>
        <w:t>（</w:t>
      </w:r>
      <w:bookmarkEnd w:id="2144"/>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通用合同条款；</w:t>
      </w:r>
    </w:p>
    <w:p>
      <w:pPr>
        <w:pStyle w:val="163"/>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5" w:name="bookmark1902"/>
      <w:r>
        <w:rPr>
          <w:rFonts w:hint="eastAsia" w:ascii="宋体" w:hAnsi="宋体" w:eastAsia="宋体" w:cs="宋体"/>
          <w:color w:val="000000"/>
          <w:sz w:val="21"/>
          <w:szCs w:val="21"/>
          <w:highlight w:val="none"/>
        </w:rPr>
        <w:t>（</w:t>
      </w:r>
      <w:bookmarkEnd w:id="2145"/>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技术标准和要求（合同技术条款）；</w:t>
      </w:r>
    </w:p>
    <w:p>
      <w:pPr>
        <w:pStyle w:val="163"/>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6" w:name="bookmark1903"/>
      <w:r>
        <w:rPr>
          <w:rFonts w:hint="eastAsia" w:ascii="宋体" w:hAnsi="宋体" w:eastAsia="宋体" w:cs="宋体"/>
          <w:color w:val="000000"/>
          <w:sz w:val="21"/>
          <w:szCs w:val="21"/>
          <w:highlight w:val="none"/>
        </w:rPr>
        <w:t>（</w:t>
      </w:r>
      <w:bookmarkEnd w:id="2146"/>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图纸；</w:t>
      </w:r>
    </w:p>
    <w:p>
      <w:pPr>
        <w:pStyle w:val="163"/>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7" w:name="bookmark1904"/>
      <w:r>
        <w:rPr>
          <w:rFonts w:hint="eastAsia" w:ascii="宋体" w:hAnsi="宋体" w:eastAsia="宋体" w:cs="宋体"/>
          <w:color w:val="000000"/>
          <w:sz w:val="21"/>
          <w:szCs w:val="21"/>
          <w:highlight w:val="none"/>
        </w:rPr>
        <w:t>（</w:t>
      </w:r>
      <w:bookmarkEnd w:id="2147"/>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已标价工程量清单；</w:t>
      </w:r>
    </w:p>
    <w:p>
      <w:pPr>
        <w:pStyle w:val="163"/>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8" w:name="bookmark1905"/>
      <w:r>
        <w:rPr>
          <w:rFonts w:hint="eastAsia" w:ascii="宋体" w:hAnsi="宋体" w:eastAsia="宋体" w:cs="宋体"/>
          <w:color w:val="000000"/>
          <w:sz w:val="21"/>
          <w:szCs w:val="21"/>
          <w:highlight w:val="none"/>
        </w:rPr>
        <w:t>（</w:t>
      </w:r>
      <w:bookmarkEnd w:id="2148"/>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其他合同文件。</w:t>
      </w:r>
    </w:p>
    <w:p>
      <w:pPr>
        <w:pStyle w:val="163"/>
        <w:pageBreakBefore w:val="0"/>
        <w:widowControl w:val="0"/>
        <w:numPr>
          <w:ilvl w:val="0"/>
          <w:numId w:val="45"/>
        </w:numPr>
        <w:tabs>
          <w:tab w:val="left" w:pos="76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9" w:name="bookmark1906"/>
      <w:bookmarkEnd w:id="2149"/>
      <w:r>
        <w:rPr>
          <w:rFonts w:hint="eastAsia" w:ascii="宋体" w:hAnsi="宋体" w:eastAsia="宋体" w:cs="宋体"/>
          <w:color w:val="000000"/>
          <w:sz w:val="21"/>
          <w:szCs w:val="21"/>
          <w:highlight w:val="none"/>
        </w:rPr>
        <w:t>上述文件互相补充和解释，如有不明确或不一致之处，以合同约定次序在先者为准。</w:t>
      </w:r>
    </w:p>
    <w:p>
      <w:pPr>
        <w:pStyle w:val="163"/>
        <w:pageBreakBefore w:val="0"/>
        <w:widowControl w:val="0"/>
        <w:numPr>
          <w:ilvl w:val="0"/>
          <w:numId w:val="45"/>
        </w:numPr>
        <w:tabs>
          <w:tab w:val="left" w:pos="764"/>
          <w:tab w:val="left" w:pos="4291"/>
          <w:tab w:val="left" w:pos="579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0" w:name="bookmark1907"/>
      <w:bookmarkEnd w:id="2150"/>
      <w:r>
        <w:rPr>
          <w:rFonts w:hint="eastAsia" w:ascii="宋体" w:hAnsi="宋体" w:eastAsia="宋体" w:cs="宋体"/>
          <w:color w:val="000000"/>
          <w:sz w:val="21"/>
          <w:szCs w:val="21"/>
          <w:highlight w:val="none"/>
        </w:rPr>
        <w:t>签约合同价：人民币（大写）</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lang w:val="en-US"/>
        </w:rPr>
        <w:t>）</w:t>
      </w:r>
      <w:r>
        <w:rPr>
          <w:rFonts w:hint="eastAsia" w:ascii="宋体" w:hAnsi="宋体" w:eastAsia="宋体" w:cs="宋体"/>
          <w:color w:val="000000"/>
          <w:sz w:val="21"/>
          <w:szCs w:val="21"/>
          <w:highlight w:val="none"/>
          <w:vertAlign w:val="subscript"/>
          <w:lang w:val="en-US"/>
        </w:rPr>
        <w:t>o</w:t>
      </w:r>
    </w:p>
    <w:p>
      <w:pPr>
        <w:pStyle w:val="163"/>
        <w:pageBreakBefore w:val="0"/>
        <w:widowControl w:val="0"/>
        <w:numPr>
          <w:ilvl w:val="0"/>
          <w:numId w:val="45"/>
        </w:numPr>
        <w:tabs>
          <w:tab w:val="left" w:pos="764"/>
          <w:tab w:val="left" w:pos="423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1" w:name="bookmark1908"/>
      <w:bookmarkEnd w:id="2151"/>
      <w:r>
        <w:rPr>
          <w:rFonts w:hint="eastAsia" w:ascii="宋体" w:hAnsi="宋体" w:eastAsia="宋体" w:cs="宋体"/>
          <w:color w:val="000000"/>
          <w:sz w:val="21"/>
          <w:szCs w:val="21"/>
          <w:highlight w:val="none"/>
        </w:rPr>
        <w:t>承包人项目经理：</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lang w:val="en-US"/>
        </w:rPr>
        <w:t>。</w:t>
      </w:r>
    </w:p>
    <w:p>
      <w:pPr>
        <w:pStyle w:val="163"/>
        <w:pageBreakBefore w:val="0"/>
        <w:widowControl w:val="0"/>
        <w:numPr>
          <w:ilvl w:val="0"/>
          <w:numId w:val="45"/>
        </w:numPr>
        <w:tabs>
          <w:tab w:val="left" w:pos="764"/>
          <w:tab w:val="left" w:pos="3809"/>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2" w:name="bookmark1909"/>
      <w:bookmarkEnd w:id="2152"/>
      <w:r>
        <w:rPr>
          <w:rFonts w:hint="eastAsia" w:ascii="宋体" w:hAnsi="宋体" w:eastAsia="宋体" w:cs="宋体"/>
          <w:color w:val="000000"/>
          <w:sz w:val="21"/>
          <w:szCs w:val="21"/>
          <w:highlight w:val="none"/>
        </w:rPr>
        <w:t>工程质量符合</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标准。</w:t>
      </w:r>
    </w:p>
    <w:p>
      <w:pPr>
        <w:pStyle w:val="163"/>
        <w:pageBreakBefore w:val="0"/>
        <w:widowControl w:val="0"/>
        <w:numPr>
          <w:ilvl w:val="0"/>
          <w:numId w:val="45"/>
        </w:numPr>
        <w:tabs>
          <w:tab w:val="left" w:pos="76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3" w:name="bookmark1910"/>
      <w:bookmarkEnd w:id="2153"/>
      <w:r>
        <w:rPr>
          <w:rFonts w:hint="eastAsia" w:ascii="宋体" w:hAnsi="宋体" w:eastAsia="宋体" w:cs="宋体"/>
          <w:color w:val="000000"/>
          <w:sz w:val="21"/>
          <w:szCs w:val="21"/>
          <w:highlight w:val="none"/>
        </w:rPr>
        <w:t>承包人承诺按合同约定承担工程的实施、完成及缺陷修复。</w:t>
      </w:r>
    </w:p>
    <w:p>
      <w:pPr>
        <w:pStyle w:val="163"/>
        <w:pageBreakBefore w:val="0"/>
        <w:widowControl w:val="0"/>
        <w:numPr>
          <w:ilvl w:val="0"/>
          <w:numId w:val="45"/>
        </w:numPr>
        <w:tabs>
          <w:tab w:val="left" w:pos="76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4" w:name="bookmark1911"/>
      <w:bookmarkEnd w:id="2154"/>
      <w:r>
        <w:rPr>
          <w:rFonts w:hint="eastAsia" w:ascii="宋体" w:hAnsi="宋体" w:eastAsia="宋体" w:cs="宋体"/>
          <w:color w:val="000000"/>
          <w:sz w:val="21"/>
          <w:szCs w:val="21"/>
          <w:highlight w:val="none"/>
        </w:rPr>
        <w:t>发包人承诺按合同约定的条件、时间和方式向承包人支付合同价款。</w:t>
      </w:r>
    </w:p>
    <w:p>
      <w:pPr>
        <w:pStyle w:val="163"/>
        <w:pageBreakBefore w:val="0"/>
        <w:widowControl w:val="0"/>
        <w:numPr>
          <w:ilvl w:val="0"/>
          <w:numId w:val="45"/>
        </w:numPr>
        <w:tabs>
          <w:tab w:val="left" w:pos="764"/>
          <w:tab w:val="left" w:pos="5717"/>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5" w:name="bookmark1912"/>
      <w:bookmarkEnd w:id="2155"/>
      <w:r>
        <w:rPr>
          <w:rFonts w:hint="eastAsia" w:ascii="宋体" w:hAnsi="宋体" w:eastAsia="宋体" w:cs="宋体"/>
          <w:color w:val="000000"/>
          <w:sz w:val="21"/>
          <w:szCs w:val="21"/>
          <w:highlight w:val="none"/>
        </w:rPr>
        <w:t>承包人承诺执行监理人开工通知，计划工期为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天。</w:t>
      </w:r>
    </w:p>
    <w:p>
      <w:pPr>
        <w:pStyle w:val="163"/>
        <w:pageBreakBefore w:val="0"/>
        <w:widowControl w:val="0"/>
        <w:numPr>
          <w:ilvl w:val="0"/>
          <w:numId w:val="45"/>
        </w:numPr>
        <w:tabs>
          <w:tab w:val="left" w:pos="764"/>
          <w:tab w:val="left" w:pos="2789"/>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6" w:name="bookmark1913"/>
      <w:bookmarkEnd w:id="2156"/>
      <w:r>
        <w:rPr>
          <w:rFonts w:hint="eastAsia" w:ascii="宋体" w:hAnsi="宋体" w:eastAsia="宋体" w:cs="宋体"/>
          <w:color w:val="000000"/>
          <w:sz w:val="21"/>
          <w:szCs w:val="21"/>
          <w:highlight w:val="none"/>
        </w:rPr>
        <w:t>本协议书一式</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份，合同双方各执</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份。</w:t>
      </w:r>
    </w:p>
    <w:p>
      <w:pPr>
        <w:pStyle w:val="163"/>
        <w:pageBreakBefore w:val="0"/>
        <w:widowControl w:val="0"/>
        <w:numPr>
          <w:ilvl w:val="0"/>
          <w:numId w:val="45"/>
        </w:numPr>
        <w:tabs>
          <w:tab w:val="left" w:pos="841"/>
        </w:tabs>
        <w:kinsoku/>
        <w:wordWrap/>
        <w:overflowPunct/>
        <w:topLinePunct w:val="0"/>
        <w:autoSpaceDE/>
        <w:autoSpaceDN/>
        <w:bidi w:val="0"/>
        <w:adjustRightInd/>
        <w:snapToGrid/>
        <w:spacing w:after="320" w:line="440" w:lineRule="exact"/>
        <w:ind w:firstLine="420"/>
        <w:jc w:val="both"/>
        <w:textAlignment w:val="auto"/>
        <w:rPr>
          <w:rFonts w:hint="eastAsia" w:ascii="宋体" w:hAnsi="宋体" w:eastAsia="宋体" w:cs="宋体"/>
          <w:color w:val="000000"/>
          <w:sz w:val="21"/>
          <w:szCs w:val="21"/>
          <w:highlight w:val="none"/>
        </w:rPr>
      </w:pPr>
      <w:bookmarkStart w:id="2157" w:name="bookmark1914"/>
      <w:bookmarkEnd w:id="2157"/>
      <w:r>
        <w:rPr>
          <w:rFonts w:hint="eastAsia" w:ascii="宋体" w:hAnsi="宋体" w:eastAsia="宋体" w:cs="宋体"/>
          <w:color w:val="000000"/>
          <w:sz w:val="21"/>
          <w:szCs w:val="21"/>
          <w:highlight w:val="none"/>
        </w:rPr>
        <w:t>合同未尽事宜，双方另行签订补充协议。补充协议是合同的组成部分。</w:t>
      </w:r>
    </w:p>
    <w:p>
      <w:pPr>
        <w:pStyle w:val="163"/>
        <w:pageBreakBefore w:val="0"/>
        <w:widowControl w:val="0"/>
        <w:tabs>
          <w:tab w:val="left" w:pos="841"/>
        </w:tabs>
        <w:kinsoku/>
        <w:wordWrap/>
        <w:overflowPunct/>
        <w:topLinePunct w:val="0"/>
        <w:autoSpaceDE/>
        <w:autoSpaceDN/>
        <w:bidi w:val="0"/>
        <w:adjustRightInd/>
        <w:snapToGrid/>
        <w:spacing w:after="320" w:line="440" w:lineRule="exact"/>
        <w:ind w:left="420" w:firstLine="0"/>
        <w:jc w:val="both"/>
        <w:textAlignment w:val="auto"/>
        <w:rPr>
          <w:rFonts w:hint="eastAsia" w:ascii="宋体" w:hAnsi="宋体" w:eastAsia="宋体" w:cs="宋体"/>
          <w:color w:val="000000"/>
          <w:sz w:val="21"/>
          <w:szCs w:val="21"/>
          <w:highlight w:val="none"/>
        </w:rPr>
      </w:pPr>
    </w:p>
    <w:p>
      <w:pPr>
        <w:pStyle w:val="163"/>
        <w:pageBreakBefore w:val="0"/>
        <w:widowControl w:val="0"/>
        <w:tabs>
          <w:tab w:val="left" w:pos="2532"/>
          <w:tab w:val="left" w:pos="3132"/>
          <w:tab w:val="left" w:pos="6926"/>
        </w:tabs>
        <w:kinsoku/>
        <w:wordWrap/>
        <w:overflowPunct/>
        <w:topLinePunct w:val="0"/>
        <w:autoSpaceDE/>
        <w:autoSpaceDN/>
        <w:bidi w:val="0"/>
        <w:adjustRightInd/>
        <w:snapToGrid/>
        <w:spacing w:line="44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（盖单位公章） 承包人：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（盖单位公章） 法定代表人(或项目负责人)：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法定代表人(或其委托代理人)：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pPr>
        <w:pStyle w:val="163"/>
        <w:pageBreakBefore w:val="0"/>
        <w:widowControl w:val="0"/>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sz w:val="21"/>
          <w:szCs w:val="21"/>
          <w:highlight w:val="none"/>
          <w:lang w:val="en-US"/>
        </w:rPr>
        <w:sectPr>
          <w:headerReference r:id="rId5" w:type="default"/>
          <w:footerReference r:id="rId6" w:type="default"/>
          <w:footerReference r:id="rId7" w:type="even"/>
          <w:pgSz w:w="11900" w:h="16832"/>
          <w:pgMar w:top="1327" w:right="1236" w:bottom="1327" w:left="1406" w:header="850" w:footer="850" w:gutter="0"/>
          <w:pgNumType w:fmt="decimal"/>
          <w:cols w:space="720" w:num="1"/>
          <w:rtlGutter w:val="0"/>
          <w:docGrid w:linePitch="360" w:charSpace="0"/>
        </w:sectPr>
      </w:pP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u w:val="none"/>
        </w:rPr>
        <w:t xml:space="preserve"> </w:t>
      </w:r>
    </w:p>
    <w:p>
      <w:pPr>
        <w:pStyle w:val="4"/>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highlight w:val="none"/>
        </w:rPr>
      </w:pPr>
      <w:bookmarkStart w:id="2158" w:name="bookmark1916"/>
      <w:bookmarkStart w:id="2159" w:name="bookmark1915"/>
      <w:bookmarkStart w:id="2160" w:name="_Toc28280"/>
      <w:bookmarkStart w:id="2161" w:name="_Toc14430"/>
      <w:bookmarkStart w:id="2162" w:name="bookmark1917"/>
      <w:bookmarkStart w:id="2163" w:name="_Toc20769"/>
      <w:bookmarkStart w:id="2164" w:name="_Toc21416"/>
      <w:r>
        <w:rPr>
          <w:rFonts w:hint="eastAsia" w:ascii="宋体" w:hAnsi="宋体" w:eastAsia="宋体" w:cs="宋体"/>
          <w:color w:val="000000"/>
          <w:highlight w:val="none"/>
        </w:rPr>
        <w:t>附件二：履约保函</w:t>
      </w:r>
      <w:bookmarkEnd w:id="2158"/>
      <w:bookmarkEnd w:id="2159"/>
      <w:bookmarkEnd w:id="2160"/>
      <w:bookmarkEnd w:id="2161"/>
      <w:bookmarkEnd w:id="2162"/>
      <w:bookmarkEnd w:id="2163"/>
      <w:bookmarkEnd w:id="2164"/>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32"/>
          <w:szCs w:val="32"/>
          <w:highlight w:val="none"/>
          <w:lang w:eastAsia="zh-CN"/>
        </w:rPr>
      </w:pPr>
      <w:bookmarkStart w:id="2165" w:name="bookmark1918"/>
      <w:bookmarkStart w:id="2166" w:name="bookmark1919"/>
      <w:bookmarkStart w:id="2167" w:name="bookmark1920"/>
      <w:r>
        <w:rPr>
          <w:rFonts w:hint="eastAsia" w:ascii="宋体" w:hAnsi="宋体" w:eastAsia="宋体" w:cs="宋体"/>
          <w:b/>
          <w:color w:val="000000"/>
          <w:sz w:val="32"/>
          <w:szCs w:val="32"/>
          <w:highlight w:val="none"/>
          <w:lang w:eastAsia="zh-CN"/>
        </w:rPr>
        <w:t>履约保函</w:t>
      </w:r>
      <w:bookmarkEnd w:id="2165"/>
      <w:bookmarkEnd w:id="2166"/>
      <w:bookmarkEnd w:id="2167"/>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highlight w:val="none"/>
          <w:lang w:eastAsia="zh-CN"/>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highlight w:val="none"/>
          <w:lang w:eastAsia="zh-CN"/>
        </w:rPr>
      </w:pPr>
    </w:p>
    <w:p>
      <w:pPr>
        <w:pStyle w:val="163"/>
        <w:pageBreakBefore w:val="0"/>
        <w:widowControl w:val="0"/>
        <w:tabs>
          <w:tab w:val="left" w:pos="1870"/>
        </w:tabs>
        <w:kinsoku/>
        <w:wordWrap/>
        <w:overflowPunct/>
        <w:topLinePunct w:val="0"/>
        <w:autoSpaceDE/>
        <w:autoSpaceDN/>
        <w:bidi w:val="0"/>
        <w:adjustRightInd/>
        <w:snapToGrid/>
        <w:spacing w:after="340" w:line="44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（发包人名称）：</w:t>
      </w:r>
    </w:p>
    <w:p>
      <w:pPr>
        <w:pStyle w:val="163"/>
        <w:pageBreakBefore w:val="0"/>
        <w:widowControl w:val="0"/>
        <w:tabs>
          <w:tab w:val="left" w:pos="847"/>
          <w:tab w:val="left" w:pos="1870"/>
          <w:tab w:val="left" w:pos="3485"/>
          <w:tab w:val="left" w:pos="3554"/>
          <w:tab w:val="left" w:pos="6878"/>
          <w:tab w:val="left" w:pos="8059"/>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鉴于</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 xml:space="preserve">（发包人名称，以下简称“发包人”）接受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（承包人名称，以下称“承包人”）于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月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日递交的（项目名称）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（标段名称）的投标文件。我方愿意无条件地、不可撤销地就承包人履行与你方订立的合同，向你方提供担保。</w:t>
      </w:r>
    </w:p>
    <w:p>
      <w:pPr>
        <w:pStyle w:val="163"/>
        <w:pageBreakBefore w:val="0"/>
        <w:widowControl w:val="0"/>
        <w:numPr>
          <w:ilvl w:val="0"/>
          <w:numId w:val="46"/>
        </w:numPr>
        <w:tabs>
          <w:tab w:val="left" w:pos="733"/>
          <w:tab w:val="left" w:pos="4879"/>
          <w:tab w:val="left" w:pos="7402"/>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68" w:name="bookmark1921"/>
      <w:bookmarkEnd w:id="2168"/>
      <w:r>
        <w:rPr>
          <w:rFonts w:hint="eastAsia" w:ascii="宋体" w:hAnsi="宋体" w:eastAsia="宋体" w:cs="宋体"/>
          <w:color w:val="000000"/>
          <w:sz w:val="21"/>
          <w:szCs w:val="21"/>
          <w:highlight w:val="none"/>
        </w:rPr>
        <w:t>担保金额人民币（大写）</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lang w:val="en-US"/>
        </w:rPr>
        <w:t>元）</w:t>
      </w:r>
      <w:r>
        <w:rPr>
          <w:rFonts w:hint="eastAsia" w:ascii="宋体" w:hAnsi="宋体" w:eastAsia="宋体" w:cs="宋体"/>
          <w:color w:val="000000"/>
          <w:sz w:val="21"/>
          <w:szCs w:val="21"/>
          <w:highlight w:val="none"/>
          <w:vertAlign w:val="subscript"/>
          <w:lang w:val="en-US"/>
        </w:rPr>
        <w:t>o</w:t>
      </w:r>
    </w:p>
    <w:p>
      <w:pPr>
        <w:pStyle w:val="163"/>
        <w:pageBreakBefore w:val="0"/>
        <w:widowControl w:val="0"/>
        <w:numPr>
          <w:ilvl w:val="0"/>
          <w:numId w:val="46"/>
        </w:numPr>
        <w:tabs>
          <w:tab w:val="left" w:pos="697"/>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69" w:name="bookmark1922"/>
      <w:bookmarkEnd w:id="2169"/>
      <w:r>
        <w:rPr>
          <w:rFonts w:hint="eastAsia" w:ascii="宋体" w:hAnsi="宋体" w:eastAsia="宋体" w:cs="宋体"/>
          <w:color w:val="000000"/>
          <w:sz w:val="21"/>
          <w:szCs w:val="21"/>
          <w:highlight w:val="none"/>
        </w:rPr>
        <w:t>担保有效期自发包人与承包人签订的合同生效之日起至发包人签发工程完工证书之日止。</w:t>
      </w:r>
    </w:p>
    <w:p>
      <w:pPr>
        <w:pStyle w:val="163"/>
        <w:pageBreakBefore w:val="0"/>
        <w:widowControl w:val="0"/>
        <w:numPr>
          <w:ilvl w:val="0"/>
          <w:numId w:val="46"/>
        </w:numPr>
        <w:tabs>
          <w:tab w:val="left" w:pos="736"/>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70" w:name="bookmark1923"/>
      <w:bookmarkEnd w:id="2170"/>
      <w:r>
        <w:rPr>
          <w:rFonts w:hint="eastAsia" w:ascii="宋体" w:hAnsi="宋体" w:eastAsia="宋体" w:cs="宋体"/>
          <w:color w:val="000000"/>
          <w:sz w:val="21"/>
          <w:szCs w:val="21"/>
          <w:highlight w:val="none"/>
        </w:rPr>
        <w:t>在本担保有效期内，因承包人违反合同约定的义务给你方造成经济损失时，我方在收到你方以书面形式提出的在担保金额内的赔偿要求后，无条件地在7天内予以支付。</w:t>
      </w:r>
    </w:p>
    <w:p>
      <w:pPr>
        <w:pStyle w:val="163"/>
        <w:pageBreakBefore w:val="0"/>
        <w:widowControl w:val="0"/>
        <w:numPr>
          <w:ilvl w:val="0"/>
          <w:numId w:val="46"/>
        </w:numPr>
        <w:tabs>
          <w:tab w:val="left" w:pos="740"/>
        </w:tabs>
        <w:kinsoku/>
        <w:wordWrap/>
        <w:overflowPunct/>
        <w:topLinePunct w:val="0"/>
        <w:autoSpaceDE/>
        <w:autoSpaceDN/>
        <w:bidi w:val="0"/>
        <w:adjustRightInd/>
        <w:snapToGrid/>
        <w:spacing w:after="340" w:line="440" w:lineRule="exact"/>
        <w:ind w:firstLine="420"/>
        <w:jc w:val="both"/>
        <w:textAlignment w:val="auto"/>
        <w:rPr>
          <w:rFonts w:hint="eastAsia" w:ascii="宋体" w:hAnsi="宋体" w:eastAsia="宋体" w:cs="宋体"/>
          <w:color w:val="000000"/>
          <w:sz w:val="21"/>
          <w:szCs w:val="21"/>
          <w:highlight w:val="none"/>
        </w:rPr>
      </w:pPr>
      <w:bookmarkStart w:id="2171" w:name="bookmark1924"/>
      <w:bookmarkEnd w:id="2171"/>
      <w:r>
        <w:rPr>
          <w:rFonts w:hint="eastAsia" w:ascii="宋体" w:hAnsi="宋体" w:eastAsia="宋体" w:cs="宋体"/>
          <w:color w:val="000000"/>
          <w:sz w:val="21"/>
          <w:szCs w:val="21"/>
          <w:highlight w:val="none"/>
        </w:rPr>
        <w:t>发包人和承包人按《通用合同条款》第15条变更合同时，我方承担本担保规定的义务不变。</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担  保 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（盖单位公章） </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定代表人(或委托代理人)：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（签字）</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地       址：</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邮政编码：</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lang w:eastAsia="zh-CN"/>
        </w:rPr>
        <w:t xml:space="preserve">        电        话：</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传        真：</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月</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日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zh-CN" w:eastAsia="zh-CN"/>
        </w:rPr>
        <w:t>注：</w:t>
      </w:r>
    </w:p>
    <w:p>
      <w:pPr>
        <w:pStyle w:val="163"/>
        <w:pageBreakBefore w:val="0"/>
        <w:widowControl w:val="0"/>
        <w:numPr>
          <w:ilvl w:val="0"/>
          <w:numId w:val="0"/>
        </w:numPr>
        <w:tabs>
          <w:tab w:val="left" w:pos="733"/>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sz w:val="21"/>
          <w:szCs w:val="21"/>
          <w:highlight w:val="none"/>
        </w:rPr>
      </w:pPr>
      <w:bookmarkStart w:id="2172" w:name="bookmark1925"/>
      <w:bookmarkEnd w:id="2172"/>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担保人必须是</w:t>
      </w:r>
      <w:r>
        <w:rPr>
          <w:rFonts w:hint="eastAsia" w:ascii="宋体" w:hAnsi="宋体" w:eastAsia="宋体" w:cs="宋体"/>
          <w:color w:val="000000"/>
          <w:sz w:val="21"/>
          <w:szCs w:val="21"/>
          <w:highlight w:val="none"/>
          <w:lang w:eastAsia="zh-CN"/>
        </w:rPr>
        <w:t>竞标人</w:t>
      </w:r>
      <w:r>
        <w:rPr>
          <w:rFonts w:hint="eastAsia" w:ascii="宋体" w:hAnsi="宋体" w:eastAsia="宋体" w:cs="宋体"/>
          <w:color w:val="000000"/>
          <w:sz w:val="21"/>
          <w:szCs w:val="21"/>
          <w:highlight w:val="none"/>
        </w:rPr>
        <w:t>单位基本账户的开户银行。</w:t>
      </w:r>
    </w:p>
    <w:p>
      <w:pPr>
        <w:pStyle w:val="163"/>
        <w:pageBreakBefore w:val="0"/>
        <w:widowControl w:val="0"/>
        <w:numPr>
          <w:ilvl w:val="0"/>
          <w:numId w:val="0"/>
        </w:numPr>
        <w:tabs>
          <w:tab w:val="left" w:pos="750"/>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sz w:val="21"/>
          <w:szCs w:val="21"/>
          <w:highlight w:val="none"/>
        </w:rPr>
      </w:pPr>
      <w:bookmarkStart w:id="2173" w:name="bookmark1926"/>
      <w:bookmarkEnd w:id="2173"/>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委托代理人应附授权委托书。</w:t>
      </w:r>
    </w:p>
    <w:p>
      <w:pPr>
        <w:pStyle w:val="163"/>
        <w:pageBreakBefore w:val="0"/>
        <w:widowControl w:val="0"/>
        <w:tabs>
          <w:tab w:val="left" w:pos="750"/>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highlight w:val="none"/>
        </w:rPr>
      </w:pPr>
    </w:p>
    <w:p>
      <w:pPr>
        <w:pStyle w:val="163"/>
        <w:pageBreakBefore w:val="0"/>
        <w:widowControl w:val="0"/>
        <w:tabs>
          <w:tab w:val="left" w:pos="750"/>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highlight w:val="none"/>
        </w:rPr>
      </w:pPr>
    </w:p>
    <w:p>
      <w:pPr>
        <w:pStyle w:val="163"/>
        <w:pageBreakBefore w:val="0"/>
        <w:widowControl w:val="0"/>
        <w:tabs>
          <w:tab w:val="left" w:pos="750"/>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highlight w:val="none"/>
        </w:rPr>
      </w:pPr>
    </w:p>
    <w:p>
      <w:pPr>
        <w:pStyle w:val="4"/>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highlight w:val="none"/>
        </w:rPr>
      </w:pPr>
      <w:bookmarkStart w:id="2174" w:name="_Toc9564"/>
      <w:bookmarkStart w:id="2175" w:name="_Toc31204"/>
      <w:bookmarkStart w:id="2176" w:name="bookmark1929"/>
      <w:bookmarkStart w:id="2177" w:name="_Toc16126"/>
      <w:bookmarkStart w:id="2178" w:name="_Toc4188"/>
      <w:bookmarkStart w:id="2179" w:name="bookmark1927"/>
      <w:bookmarkStart w:id="2180" w:name="bookmark1928"/>
      <w:bookmarkStart w:id="2181" w:name="_Toc21423"/>
      <w:r>
        <w:rPr>
          <w:rFonts w:hint="eastAsia" w:ascii="宋体" w:hAnsi="宋体" w:eastAsia="宋体" w:cs="宋体"/>
          <w:color w:val="000000"/>
          <w:highlight w:val="none"/>
        </w:rPr>
        <w:t>附件三：预付款担保函</w:t>
      </w:r>
      <w:bookmarkEnd w:id="2174"/>
      <w:bookmarkEnd w:id="2175"/>
      <w:bookmarkEnd w:id="2176"/>
      <w:bookmarkEnd w:id="2177"/>
      <w:bookmarkEnd w:id="2178"/>
      <w:bookmarkEnd w:id="2179"/>
      <w:bookmarkEnd w:id="2180"/>
      <w:bookmarkEnd w:id="2181"/>
    </w:p>
    <w:p>
      <w:pPr>
        <w:pageBreakBefore w:val="0"/>
        <w:widowControl w:val="0"/>
        <w:kinsoku/>
        <w:wordWrap/>
        <w:overflowPunct/>
        <w:topLinePunct w:val="0"/>
        <w:autoSpaceDE/>
        <w:autoSpaceDN/>
        <w:bidi w:val="0"/>
        <w:adjustRightInd/>
        <w:snapToGrid/>
        <w:spacing w:beforeLines="50" w:line="440" w:lineRule="exact"/>
        <w:jc w:val="center"/>
        <w:textAlignment w:val="auto"/>
        <w:rPr>
          <w:rFonts w:hint="eastAsia" w:ascii="宋体" w:hAnsi="宋体" w:eastAsia="宋体" w:cs="宋体"/>
          <w:b/>
          <w:color w:val="000000"/>
          <w:sz w:val="32"/>
          <w:szCs w:val="32"/>
          <w:highlight w:val="none"/>
          <w:lang w:eastAsia="zh-CN"/>
        </w:rPr>
      </w:pPr>
      <w:bookmarkStart w:id="2182" w:name="bookmark1932"/>
      <w:bookmarkStart w:id="2183" w:name="bookmark1930"/>
      <w:bookmarkStart w:id="2184" w:name="bookmark1931"/>
      <w:r>
        <w:rPr>
          <w:rFonts w:hint="eastAsia" w:ascii="宋体" w:hAnsi="宋体" w:eastAsia="宋体" w:cs="宋体"/>
          <w:b/>
          <w:color w:val="000000"/>
          <w:sz w:val="32"/>
          <w:szCs w:val="32"/>
          <w:highlight w:val="none"/>
          <w:lang w:eastAsia="zh-CN"/>
        </w:rPr>
        <w:t>预付款担保函</w:t>
      </w:r>
      <w:bookmarkEnd w:id="2182"/>
      <w:bookmarkEnd w:id="2183"/>
      <w:bookmarkEnd w:id="2184"/>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highlight w:val="none"/>
          <w:lang w:eastAsia="zh-CN"/>
        </w:rPr>
      </w:pPr>
    </w:p>
    <w:p>
      <w:pPr>
        <w:pStyle w:val="163"/>
        <w:pageBreakBefore w:val="0"/>
        <w:widowControl w:val="0"/>
        <w:tabs>
          <w:tab w:val="left" w:pos="1870"/>
        </w:tabs>
        <w:kinsoku/>
        <w:wordWrap/>
        <w:overflowPunct/>
        <w:topLinePunct w:val="0"/>
        <w:autoSpaceDE/>
        <w:autoSpaceDN/>
        <w:bidi w:val="0"/>
        <w:adjustRightInd/>
        <w:snapToGrid/>
        <w:spacing w:after="340" w:line="44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（发包人名称）:</w:t>
      </w:r>
    </w:p>
    <w:p>
      <w:pPr>
        <w:pStyle w:val="163"/>
        <w:pageBreakBefore w:val="0"/>
        <w:widowControl w:val="0"/>
        <w:tabs>
          <w:tab w:val="left" w:pos="1870"/>
          <w:tab w:val="left" w:pos="2707"/>
          <w:tab w:val="left" w:pos="5004"/>
          <w:tab w:val="left" w:pos="5033"/>
          <w:tab w:val="left" w:pos="6163"/>
          <w:tab w:val="left" w:pos="7322"/>
          <w:tab w:val="left" w:pos="8333"/>
        </w:tabs>
        <w:kinsoku/>
        <w:wordWrap/>
        <w:overflowPunct/>
        <w:topLinePunct w:val="0"/>
        <w:autoSpaceDE/>
        <w:autoSpaceDN/>
        <w:bidi w:val="0"/>
        <w:adjustRightInd/>
        <w:snapToGrid/>
        <w:spacing w:after="120" w:line="44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（承包人名称，以下称“承包人”）与</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 xml:space="preserve"> （发包人名称，以下简称“发包人”）于</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日签订的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（标段名称）合同协议书，承包人 按约定的金额向发包人提交一份预付款担保，即有权得到发包人支付相等金额的预付款。 我方愿意就你方提供给承包人的预付款提供担保。</w:t>
      </w:r>
    </w:p>
    <w:p>
      <w:pPr>
        <w:pStyle w:val="163"/>
        <w:pageBreakBefore w:val="0"/>
        <w:widowControl w:val="0"/>
        <w:numPr>
          <w:ilvl w:val="0"/>
          <w:numId w:val="47"/>
        </w:numPr>
        <w:tabs>
          <w:tab w:val="left" w:pos="719"/>
          <w:tab w:val="left" w:pos="4879"/>
          <w:tab w:val="left" w:pos="7402"/>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85" w:name="bookmark1933"/>
      <w:bookmarkEnd w:id="2185"/>
      <w:r>
        <w:rPr>
          <w:rFonts w:hint="eastAsia" w:ascii="宋体" w:hAnsi="宋体" w:eastAsia="宋体" w:cs="宋体"/>
          <w:color w:val="000000"/>
          <w:sz w:val="21"/>
          <w:szCs w:val="21"/>
          <w:highlight w:val="none"/>
        </w:rPr>
        <w:t>担保金额人民币（大写）</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lang w:val="en-US"/>
        </w:rPr>
        <w:t>）</w:t>
      </w:r>
      <w:r>
        <w:rPr>
          <w:rFonts w:hint="eastAsia" w:ascii="宋体" w:hAnsi="宋体" w:eastAsia="宋体" w:cs="宋体"/>
          <w:color w:val="000000"/>
          <w:sz w:val="21"/>
          <w:szCs w:val="21"/>
          <w:highlight w:val="none"/>
          <w:vertAlign w:val="subscript"/>
          <w:lang w:val="en-US"/>
        </w:rPr>
        <w:t>o</w:t>
      </w:r>
    </w:p>
    <w:p>
      <w:pPr>
        <w:pStyle w:val="163"/>
        <w:pageBreakBefore w:val="0"/>
        <w:widowControl w:val="0"/>
        <w:numPr>
          <w:ilvl w:val="0"/>
          <w:numId w:val="47"/>
        </w:numPr>
        <w:tabs>
          <w:tab w:val="left" w:pos="726"/>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86" w:name="bookmark1934"/>
      <w:bookmarkEnd w:id="2186"/>
      <w:r>
        <w:rPr>
          <w:rFonts w:hint="eastAsia" w:ascii="宋体" w:hAnsi="宋体" w:eastAsia="宋体" w:cs="宋体"/>
          <w:color w:val="000000"/>
          <w:sz w:val="21"/>
          <w:szCs w:val="21"/>
          <w:highlight w:val="none"/>
        </w:rPr>
        <w:t>担保有效期自预付款支付给承包人起生效，至发包人签发的进度付款证书说明已完全扣清止。</w:t>
      </w:r>
    </w:p>
    <w:p>
      <w:pPr>
        <w:pStyle w:val="163"/>
        <w:pageBreakBefore w:val="0"/>
        <w:widowControl w:val="0"/>
        <w:numPr>
          <w:ilvl w:val="0"/>
          <w:numId w:val="47"/>
        </w:numPr>
        <w:tabs>
          <w:tab w:val="left" w:pos="731"/>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87" w:name="bookmark1935"/>
      <w:bookmarkEnd w:id="2187"/>
      <w:r>
        <w:rPr>
          <w:rFonts w:hint="eastAsia" w:ascii="宋体" w:hAnsi="宋体" w:eastAsia="宋体" w:cs="宋体"/>
          <w:color w:val="000000"/>
          <w:sz w:val="21"/>
          <w:szCs w:val="21"/>
          <w:highlight w:val="none"/>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bookmarkStart w:id="2188" w:name="bookmark1936"/>
      <w:bookmarkEnd w:id="2188"/>
      <w:r>
        <w:rPr>
          <w:rFonts w:hint="eastAsia" w:ascii="宋体" w:hAnsi="宋体" w:eastAsia="宋体" w:cs="宋体"/>
          <w:color w:val="000000"/>
          <w:sz w:val="21"/>
          <w:szCs w:val="21"/>
          <w:highlight w:val="none"/>
        </w:rPr>
        <w:t>发包人和承包人按《通用合同条款》第15条变更合同时，我方承担本担保规定的义务不变。</w:t>
      </w:r>
    </w:p>
    <w:p>
      <w:pPr>
        <w:pStyle w:val="163"/>
        <w:pageBreakBefore w:val="0"/>
        <w:widowControl w:val="0"/>
        <w:tabs>
          <w:tab w:val="left" w:pos="731"/>
        </w:tabs>
        <w:kinsoku/>
        <w:wordWrap/>
        <w:overflowPunct/>
        <w:topLinePunct w:val="0"/>
        <w:autoSpaceDE/>
        <w:autoSpaceDN/>
        <w:bidi w:val="0"/>
        <w:adjustRightInd/>
        <w:snapToGrid/>
        <w:spacing w:line="440" w:lineRule="exact"/>
        <w:ind w:left="420" w:firstLine="0"/>
        <w:jc w:val="both"/>
        <w:textAlignment w:val="auto"/>
        <w:rPr>
          <w:rFonts w:hint="eastAsia" w:ascii="宋体" w:hAnsi="宋体" w:eastAsia="宋体" w:cs="宋体"/>
          <w:color w:val="000000"/>
          <w:sz w:val="21"/>
          <w:szCs w:val="21"/>
          <w:highlight w:val="none"/>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担  保 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（盖单位公章） </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定代表人(或委托代理人)：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（签字）</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地       址：</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w:t>
      </w:r>
    </w:p>
    <w:p>
      <w:pPr>
        <w:pageBreakBefore w:val="0"/>
        <w:widowControl w:val="0"/>
        <w:kinsoku/>
        <w:wordWrap/>
        <w:overflowPunct/>
        <w:topLinePunct w:val="0"/>
        <w:autoSpaceDE/>
        <w:autoSpaceDN/>
        <w:bidi w:val="0"/>
        <w:adjustRightInd/>
        <w:snapToGrid/>
        <w:spacing w:line="440" w:lineRule="exact"/>
        <w:ind w:firstLine="3360" w:firstLineChars="16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邮政编码：</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lang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 xml:space="preserve"> 电        话：</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传        真：</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月</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日     </w:t>
      </w:r>
    </w:p>
    <w:p>
      <w:pPr>
        <w:pStyle w:val="163"/>
        <w:pageBreakBefore w:val="0"/>
        <w:widowControl w:val="0"/>
        <w:tabs>
          <w:tab w:val="left" w:pos="726"/>
        </w:tabs>
        <w:kinsoku/>
        <w:wordWrap/>
        <w:overflowPunct/>
        <w:topLinePunct w:val="0"/>
        <w:autoSpaceDE/>
        <w:autoSpaceDN/>
        <w:bidi w:val="0"/>
        <w:adjustRightInd/>
        <w:snapToGrid/>
        <w:spacing w:after="340" w:line="44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pPr>
        <w:pStyle w:val="163"/>
        <w:pageBreakBefore w:val="0"/>
        <w:widowControl w:val="0"/>
        <w:numPr>
          <w:ilvl w:val="0"/>
          <w:numId w:val="0"/>
        </w:numPr>
        <w:tabs>
          <w:tab w:val="left" w:pos="699"/>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sz w:val="21"/>
          <w:szCs w:val="21"/>
          <w:highlight w:val="none"/>
        </w:rPr>
      </w:pPr>
      <w:bookmarkStart w:id="2189" w:name="bookmark1937"/>
      <w:bookmarkEnd w:id="2189"/>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担保人必须是</w:t>
      </w:r>
      <w:r>
        <w:rPr>
          <w:rFonts w:hint="eastAsia" w:ascii="宋体" w:hAnsi="宋体" w:eastAsia="宋体" w:cs="宋体"/>
          <w:color w:val="000000"/>
          <w:sz w:val="21"/>
          <w:szCs w:val="21"/>
          <w:highlight w:val="none"/>
          <w:lang w:eastAsia="zh-CN"/>
        </w:rPr>
        <w:t>竞标人</w:t>
      </w:r>
      <w:r>
        <w:rPr>
          <w:rFonts w:hint="eastAsia" w:ascii="宋体" w:hAnsi="宋体" w:eastAsia="宋体" w:cs="宋体"/>
          <w:color w:val="000000"/>
          <w:sz w:val="21"/>
          <w:szCs w:val="21"/>
          <w:highlight w:val="none"/>
        </w:rPr>
        <w:t>单位基本账户的开户银行。</w:t>
      </w:r>
    </w:p>
    <w:p>
      <w:pPr>
        <w:pStyle w:val="163"/>
        <w:pageBreakBefore w:val="0"/>
        <w:widowControl w:val="0"/>
        <w:numPr>
          <w:ilvl w:val="0"/>
          <w:numId w:val="0"/>
        </w:numPr>
        <w:tabs>
          <w:tab w:val="left" w:pos="716"/>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sz w:val="21"/>
          <w:szCs w:val="21"/>
          <w:highlight w:val="none"/>
        </w:rPr>
      </w:pPr>
      <w:bookmarkStart w:id="2190" w:name="bookmark1938"/>
      <w:bookmarkEnd w:id="2190"/>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委托代理人应附授权委托书</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p>
    <w:p>
      <w:pPr>
        <w:spacing w:line="360" w:lineRule="auto"/>
        <w:rPr>
          <w:rFonts w:ascii="宋体" w:hAnsi="宋体" w:cs="宋体"/>
          <w:sz w:val="24"/>
        </w:rPr>
      </w:pPr>
      <w:r>
        <w:rPr>
          <w:rFonts w:hint="eastAsia" w:ascii="宋体" w:hAnsi="宋体" w:eastAsia="宋体" w:cs="宋体"/>
          <w:b/>
          <w:bCs/>
          <w:color w:val="000000"/>
          <w:kern w:val="2"/>
          <w:sz w:val="32"/>
          <w:szCs w:val="32"/>
          <w:highlight w:val="none"/>
          <w:lang w:val="zh-CN" w:eastAsia="zh-CN" w:bidi="ar-SA"/>
        </w:rPr>
        <w:t>附件四： 廉政合同</w:t>
      </w:r>
    </w:p>
    <w:p>
      <w:pPr>
        <w:spacing w:before="120" w:after="120" w:line="360" w:lineRule="auto"/>
        <w:jc w:val="center"/>
        <w:rPr>
          <w:rFonts w:ascii="宋体" w:hAnsi="宋体" w:cs="宋体"/>
          <w:b/>
          <w:sz w:val="32"/>
          <w:szCs w:val="32"/>
        </w:rPr>
      </w:pPr>
      <w:r>
        <w:rPr>
          <w:rFonts w:hint="eastAsia" w:ascii="宋体" w:hAnsi="宋体" w:cs="宋体"/>
          <w:b/>
          <w:sz w:val="32"/>
          <w:szCs w:val="32"/>
        </w:rPr>
        <w:t>廉政合同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b/>
          <w:bCs/>
          <w:sz w:val="21"/>
          <w:szCs w:val="21"/>
          <w:u w:val="single"/>
          <w:lang w:val="en-US" w:eastAsia="zh-CN"/>
        </w:rPr>
        <w:t xml:space="preserve">                 </w:t>
      </w:r>
      <w:r>
        <w:rPr>
          <w:rFonts w:hint="eastAsia" w:ascii="宋体" w:hAnsi="宋体" w:cs="宋体"/>
          <w:sz w:val="21"/>
          <w:szCs w:val="21"/>
        </w:rPr>
        <w:t>（项目名称）项目法人</w:t>
      </w:r>
      <w:r>
        <w:rPr>
          <w:rFonts w:hint="eastAsia" w:ascii="宋体" w:hAnsi="宋体" w:cs="宋体"/>
          <w:sz w:val="21"/>
          <w:szCs w:val="21"/>
          <w:u w:val="single"/>
          <w:lang w:val="en-US" w:eastAsia="zh-CN"/>
        </w:rPr>
        <w:t xml:space="preserve">           </w:t>
      </w:r>
      <w:r>
        <w:rPr>
          <w:rFonts w:hint="eastAsia" w:ascii="宋体" w:hAnsi="宋体" w:cs="宋体"/>
          <w:sz w:val="21"/>
          <w:szCs w:val="21"/>
        </w:rPr>
        <w:t>（项目法人名称，以下简称“发包人”）与该项目</w:t>
      </w:r>
      <w:r>
        <w:rPr>
          <w:rFonts w:hint="eastAsia" w:ascii="宋体" w:hAnsi="宋体" w:cs="宋体"/>
          <w:b/>
          <w:bCs/>
          <w:sz w:val="21"/>
          <w:szCs w:val="21"/>
          <w:u w:val="single"/>
          <w:lang w:val="en-US" w:eastAsia="zh-CN"/>
        </w:rPr>
        <w:t xml:space="preserve">        </w:t>
      </w:r>
      <w:r>
        <w:rPr>
          <w:rFonts w:hint="eastAsia" w:ascii="宋体" w:hAnsi="宋体" w:cs="宋体"/>
          <w:sz w:val="21"/>
          <w:szCs w:val="21"/>
        </w:rPr>
        <w:t>的施工单位</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b/>
          <w:bCs/>
          <w:sz w:val="21"/>
          <w:szCs w:val="21"/>
          <w:u w:val="single"/>
          <w:lang w:val="en-US" w:eastAsia="zh-CN"/>
        </w:rPr>
        <w:t xml:space="preserve"> </w:t>
      </w:r>
      <w:r>
        <w:rPr>
          <w:rFonts w:hint="eastAsia" w:ascii="宋体" w:hAnsi="宋体" w:cs="宋体"/>
          <w:sz w:val="21"/>
          <w:szCs w:val="21"/>
        </w:rPr>
        <w:t>（施工单位名称，以下简称“承包人”），特订立如下合同。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1．发包人和承包人双方的权利和义务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（1）严格遵守党的政策规定和国家有关法律法规及交通运输部的有关规定。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（2）严格执行</w:t>
      </w:r>
      <w:r>
        <w:rPr>
          <w:rFonts w:hint="eastAsia" w:ascii="宋体" w:hAnsi="宋体" w:cs="宋体"/>
          <w:b/>
          <w:bCs/>
          <w:sz w:val="21"/>
          <w:szCs w:val="21"/>
          <w:u w:val="single"/>
          <w:lang w:val="en-US" w:eastAsia="zh-CN"/>
        </w:rPr>
        <w:t xml:space="preserve">                     </w:t>
      </w:r>
      <w:r>
        <w:rPr>
          <w:rFonts w:hint="eastAsia" w:ascii="宋体" w:hAnsi="宋体" w:cs="宋体"/>
          <w:sz w:val="21"/>
          <w:szCs w:val="21"/>
        </w:rPr>
        <w:t>施工合同文件，自觉按合同办事。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（3）双方的业务活动坚持公开、公正、诚信、透明的原则（法律认定的商业秘密和合同文件另有规定除外），不得损害国家和集体利益，不得违反工程建设管理规章制度。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（4）建立健全廉政制度，开展廉政教育，设立廉政告示牌，公布举报电话，监督并认真查处违法违纪行为。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（6）发现对方严重违反本合同义务条款的行为，有向其上级有关部门举报、建议给予处理并要求告知处理结果的权利。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2．发包人的义务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（1）发包人及其工作人员不得索要或接受承包人的礼金、有价证券和贵重物品，不得让承包人报销任何应由发包人或发包人工作人员个人支付的费用等。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（2）发包人工作人员不得参加承包人安排的超标准宴请和娱乐活动；不得接受承包人提供的通讯工具、交通工具和高档办公用品等。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（3）发包人及其工作人员不利要求或者接受承包人为其住房装修、婚丧嫁娶活动、配偶子女的工作安排以及出国出境、旅游等提供方便等。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（4）发包人工作人员及其配偶、子女不得从事与发包人工作有关的材料设备供应、工程分包、劳务等经济活动等。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（5）发包人及期工作人员不得以任何理由向承包人推荐分包单位或推销材料，不得要求承包人购买合同规定外的材料和设备。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（6）发包人工作人员要秉公办事，不准营私舞弊，不准利用职权从事各种个人有偿中介活动和安排个人施工队伍。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3．承包人的义务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（1）承包人不得以任何理由向发包人及其工作人员行贿或馈赠礼金、有价证券、贵重礼品。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（2）承包人不得以任何名义为发包人及其工作人员报销应由发包人单位或个人支付的任何费用。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（3）承包人不得以任何理由安排发包人工作人员参加超标准宴请及娱乐活动。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（4）承包人不得为发包人单位和个人购置或提供通讯工具、交通工具和高档办公用品等。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4．违约责任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（1）发包人及其工作人员违反本合同第1、2条，按管理权限，依据有关规定给予党纪、政纪或组织处理；涉嫌犯罪的，移交司法机关追究刑事责任；给承包人单位造成经济损失的，应予以赔偿。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6.本合同有效期为发包人和承包人签署之日起至该工程项目竣工验收后止。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7．本合同作为</w:t>
      </w:r>
      <w:r>
        <w:rPr>
          <w:rFonts w:hint="eastAsia" w:ascii="宋体" w:hAnsi="宋体" w:cs="宋体"/>
          <w:b/>
          <w:bCs/>
          <w:sz w:val="21"/>
          <w:szCs w:val="21"/>
          <w:u w:val="single"/>
          <w:lang w:val="en-US" w:eastAsia="zh-CN"/>
        </w:rPr>
        <w:t xml:space="preserve">                          </w:t>
      </w:r>
      <w:r>
        <w:rPr>
          <w:rFonts w:hint="eastAsia" w:ascii="宋体" w:hAnsi="宋体" w:cs="宋体"/>
          <w:sz w:val="21"/>
          <w:szCs w:val="21"/>
        </w:rPr>
        <w:t>施工合同的附件，与工程施工合同具有同等的法律效力，经合同双方签署后立即生效。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8．本协议书</w:t>
      </w:r>
      <w:r>
        <w:rPr>
          <w:rFonts w:hint="eastAsia" w:ascii="宋体" w:hAnsi="宋体" w:cs="宋体"/>
          <w:b/>
          <w:bCs/>
          <w:sz w:val="21"/>
          <w:szCs w:val="21"/>
          <w:u w:val="single"/>
        </w:rPr>
        <w:t xml:space="preserve"> 一 </w:t>
      </w:r>
      <w:r>
        <w:rPr>
          <w:rFonts w:hint="eastAsia" w:ascii="宋体" w:hAnsi="宋体" w:cs="宋体"/>
          <w:sz w:val="21"/>
          <w:szCs w:val="21"/>
        </w:rPr>
        <w:t>式</w:t>
      </w:r>
      <w:r>
        <w:rPr>
          <w:rFonts w:hint="eastAsia" w:ascii="宋体" w:hAnsi="宋体" w:cs="宋体"/>
          <w:b/>
          <w:bCs/>
          <w:sz w:val="21"/>
          <w:szCs w:val="21"/>
          <w:u w:val="single"/>
        </w:rPr>
        <w:t xml:space="preserve"> </w:t>
      </w:r>
      <w:r>
        <w:rPr>
          <w:rFonts w:hint="eastAsia" w:ascii="宋体" w:hAnsi="宋体" w:cs="宋体"/>
          <w:b/>
          <w:bCs/>
          <w:sz w:val="21"/>
          <w:szCs w:val="21"/>
          <w:u w:val="single"/>
          <w:lang w:val="en-US" w:eastAsia="zh-CN"/>
        </w:rPr>
        <w:t xml:space="preserve">  </w:t>
      </w:r>
      <w:r>
        <w:rPr>
          <w:rFonts w:hint="eastAsia" w:ascii="宋体" w:hAnsi="宋体" w:cs="宋体"/>
          <w:b/>
          <w:bCs/>
          <w:sz w:val="21"/>
          <w:szCs w:val="21"/>
          <w:u w:val="single"/>
        </w:rPr>
        <w:t xml:space="preserve"> </w:t>
      </w:r>
      <w:r>
        <w:rPr>
          <w:rFonts w:hint="eastAsia" w:ascii="宋体" w:hAnsi="宋体" w:cs="宋体"/>
          <w:sz w:val="21"/>
          <w:szCs w:val="21"/>
        </w:rPr>
        <w:t>份，</w:t>
      </w:r>
      <w:r>
        <w:rPr>
          <w:rFonts w:hint="eastAsia" w:ascii="宋体" w:hAnsi="宋体" w:cs="宋体"/>
          <w:bCs/>
          <w:sz w:val="21"/>
          <w:szCs w:val="21"/>
        </w:rPr>
        <w:t>均具有同等法律效力，</w:t>
      </w:r>
      <w:r>
        <w:rPr>
          <w:rFonts w:hint="eastAsia" w:ascii="宋体" w:hAnsi="宋体" w:cs="宋体"/>
          <w:sz w:val="21"/>
          <w:szCs w:val="21"/>
        </w:rPr>
        <w:t>发包人执</w:t>
      </w:r>
      <w:r>
        <w:rPr>
          <w:rFonts w:hint="eastAsia" w:ascii="宋体" w:hAnsi="宋体" w:cs="宋体"/>
          <w:b/>
          <w:bCs/>
          <w:sz w:val="21"/>
          <w:szCs w:val="21"/>
          <w:u w:val="single"/>
        </w:rPr>
        <w:t xml:space="preserve"> </w:t>
      </w:r>
      <w:r>
        <w:rPr>
          <w:rFonts w:hint="eastAsia" w:ascii="宋体" w:hAnsi="宋体" w:cs="宋体"/>
          <w:b/>
          <w:bCs/>
          <w:sz w:val="21"/>
          <w:szCs w:val="21"/>
          <w:u w:val="single"/>
          <w:lang w:val="en-US" w:eastAsia="zh-CN"/>
        </w:rPr>
        <w:t xml:space="preserve">  </w:t>
      </w:r>
      <w:r>
        <w:rPr>
          <w:rFonts w:hint="eastAsia" w:ascii="宋体" w:hAnsi="宋体" w:cs="宋体"/>
          <w:b/>
          <w:bCs/>
          <w:sz w:val="21"/>
          <w:szCs w:val="21"/>
          <w:u w:val="single"/>
        </w:rPr>
        <w:t xml:space="preserve"> </w:t>
      </w:r>
      <w:r>
        <w:rPr>
          <w:rFonts w:hint="eastAsia" w:ascii="宋体" w:hAnsi="宋体" w:cs="宋体"/>
          <w:sz w:val="21"/>
          <w:szCs w:val="21"/>
        </w:rPr>
        <w:t>份，承包人执</w:t>
      </w:r>
      <w:r>
        <w:rPr>
          <w:rFonts w:hint="eastAsia" w:ascii="宋体" w:hAnsi="宋体" w:cs="宋体"/>
          <w:b/>
          <w:bCs/>
          <w:sz w:val="21"/>
          <w:szCs w:val="21"/>
          <w:u w:val="single"/>
        </w:rPr>
        <w:t xml:space="preserve"> </w:t>
      </w:r>
      <w:r>
        <w:rPr>
          <w:rFonts w:hint="eastAsia" w:ascii="宋体" w:hAnsi="宋体" w:cs="宋体"/>
          <w:b/>
          <w:bCs/>
          <w:sz w:val="21"/>
          <w:szCs w:val="21"/>
          <w:u w:val="single"/>
          <w:lang w:val="en-US" w:eastAsia="zh-CN"/>
        </w:rPr>
        <w:t xml:space="preserve">  </w:t>
      </w:r>
      <w:r>
        <w:rPr>
          <w:rFonts w:hint="eastAsia" w:ascii="宋体" w:hAnsi="宋体" w:cs="宋体"/>
          <w:b/>
          <w:bCs/>
          <w:sz w:val="21"/>
          <w:szCs w:val="21"/>
          <w:u w:val="single"/>
        </w:rPr>
        <w:t xml:space="preserve"> </w:t>
      </w:r>
      <w:r>
        <w:rPr>
          <w:rFonts w:hint="eastAsia" w:ascii="宋体" w:hAnsi="宋体" w:cs="宋体"/>
          <w:sz w:val="21"/>
          <w:szCs w:val="21"/>
        </w:rPr>
        <w:t>份。</w:t>
      </w:r>
    </w:p>
    <w:p>
      <w:pPr>
        <w:keepNext w:val="0"/>
        <w:keepLines w:val="0"/>
        <w:pageBreakBefore w:val="0"/>
        <w:widowControl w:val="0"/>
        <w:kinsoku/>
        <w:wordWrap/>
        <w:overflowPunct/>
        <w:topLinePunct w:val="0"/>
        <w:autoSpaceDE/>
        <w:autoSpaceDN/>
        <w:bidi w:val="0"/>
        <w:adjustRightInd/>
        <w:snapToGrid/>
        <w:spacing w:line="440" w:lineRule="exact"/>
        <w:ind w:left="1920" w:hanging="1680" w:hangingChars="800"/>
        <w:textAlignment w:val="auto"/>
        <w:rPr>
          <w:rFonts w:hint="default" w:ascii="宋体" w:hAnsi="宋体" w:eastAsia="宋体" w:cs="宋体"/>
          <w:sz w:val="21"/>
          <w:szCs w:val="21"/>
          <w:u w:val="single"/>
          <w:lang w:val="en-US" w:eastAsia="zh-CN"/>
        </w:rPr>
      </w:pPr>
      <w:r>
        <w:rPr>
          <w:rFonts w:hint="eastAsia" w:ascii="宋体" w:hAnsi="宋体" w:cs="宋体"/>
          <w:sz w:val="21"/>
          <w:szCs w:val="21"/>
        </w:rPr>
        <w:t>发包人：</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承包人：</w:t>
      </w:r>
      <w:r>
        <w:rPr>
          <w:rFonts w:hint="eastAsia" w:ascii="宋体" w:hAnsi="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856" w:leftChars="684" w:hanging="420" w:hangingChars="200"/>
        <w:textAlignment w:val="auto"/>
        <w:rPr>
          <w:rFonts w:ascii="宋体" w:hAnsi="宋体" w:cs="宋体"/>
          <w:sz w:val="21"/>
          <w:szCs w:val="21"/>
        </w:rPr>
      </w:pPr>
      <w:r>
        <w:rPr>
          <w:rFonts w:hint="eastAsia" w:ascii="宋体" w:hAnsi="宋体" w:cs="宋体"/>
          <w:sz w:val="21"/>
          <w:szCs w:val="21"/>
        </w:rPr>
        <w:t xml:space="preserve">（盖单位章）                      （盖单位章）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u w:val="single"/>
        </w:rPr>
      </w:pPr>
      <w:r>
        <w:rPr>
          <w:rFonts w:hint="eastAsia" w:ascii="宋体" w:hAnsi="宋体" w:cs="宋体"/>
          <w:sz w:val="21"/>
          <w:szCs w:val="21"/>
        </w:rPr>
        <w:t>法定代表人：</w:t>
      </w:r>
      <w:r>
        <w:rPr>
          <w:rFonts w:hint="eastAsia" w:ascii="宋体" w:hAnsi="宋体" w:cs="宋体"/>
          <w:sz w:val="21"/>
          <w:szCs w:val="21"/>
          <w:u w:val="single"/>
        </w:rPr>
        <w:t xml:space="preserve">                </w:t>
      </w:r>
      <w:r>
        <w:rPr>
          <w:rFonts w:hint="eastAsia" w:ascii="宋体" w:hAnsi="宋体" w:cs="宋体"/>
          <w:sz w:val="21"/>
          <w:szCs w:val="21"/>
        </w:rPr>
        <w:t xml:space="preserve">        法定代表人：</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rPr>
      </w:pPr>
      <w:r>
        <w:rPr>
          <w:rFonts w:hint="eastAsia" w:ascii="宋体" w:hAnsi="宋体" w:cs="宋体"/>
          <w:sz w:val="21"/>
          <w:szCs w:val="21"/>
        </w:rPr>
        <w:t>（签字或盖章）                        （签字或盖章）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rPr>
      </w:pPr>
      <w:r>
        <w:rPr>
          <w:rFonts w:hint="eastAsia" w:ascii="宋体" w:hAnsi="宋体" w:cs="宋体"/>
          <w:sz w:val="21"/>
          <w:szCs w:val="21"/>
        </w:rPr>
        <w:t xml:space="preserve">签订日期：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line="360" w:lineRule="auto"/>
        <w:rPr>
          <w:rFonts w:hint="eastAsia" w:ascii="宋体" w:hAnsi="宋体" w:cs="宋体"/>
          <w:sz w:val="24"/>
        </w:rPr>
      </w:pPr>
    </w:p>
    <w:p>
      <w:pPr>
        <w:rPr>
          <w:rFonts w:hint="eastAsia" w:ascii="宋体" w:hAnsi="宋体" w:cs="宋体"/>
          <w:sz w:val="24"/>
        </w:rPr>
      </w:pPr>
      <w:r>
        <w:rPr>
          <w:rFonts w:hint="eastAsia" w:ascii="宋体" w:hAnsi="宋体" w:cs="宋体"/>
          <w:sz w:val="24"/>
        </w:rPr>
        <w:br w:type="page"/>
      </w:r>
    </w:p>
    <w:p>
      <w:pPr>
        <w:spacing w:line="360" w:lineRule="auto"/>
        <w:rPr>
          <w:rFonts w:hint="eastAsia" w:ascii="宋体" w:hAnsi="宋体" w:eastAsia="宋体" w:cs="宋体"/>
          <w:b/>
          <w:bCs/>
          <w:color w:val="000000"/>
          <w:kern w:val="2"/>
          <w:sz w:val="32"/>
          <w:szCs w:val="32"/>
          <w:highlight w:val="none"/>
          <w:lang w:val="zh-CN" w:eastAsia="zh-CN" w:bidi="ar-SA"/>
        </w:rPr>
      </w:pPr>
      <w:r>
        <w:rPr>
          <w:rFonts w:hint="eastAsia" w:ascii="宋体" w:hAnsi="宋体" w:eastAsia="宋体" w:cs="宋体"/>
          <w:b/>
          <w:bCs/>
          <w:color w:val="000000"/>
          <w:kern w:val="2"/>
          <w:sz w:val="32"/>
          <w:szCs w:val="32"/>
          <w:highlight w:val="none"/>
          <w:lang w:val="zh-CN" w:eastAsia="zh-CN" w:bidi="ar-SA"/>
        </w:rPr>
        <w:t>附件五：安全生产合同</w:t>
      </w:r>
    </w:p>
    <w:p>
      <w:pPr>
        <w:keepNext w:val="0"/>
        <w:keepLines w:val="0"/>
        <w:pageBreakBefore w:val="0"/>
        <w:widowControl w:val="0"/>
        <w:kinsoku/>
        <w:wordWrap/>
        <w:overflowPunct/>
        <w:topLinePunct w:val="0"/>
        <w:autoSpaceDE/>
        <w:autoSpaceDN/>
        <w:bidi w:val="0"/>
        <w:adjustRightInd/>
        <w:snapToGrid/>
        <w:spacing w:before="120" w:after="120" w:line="420" w:lineRule="exact"/>
        <w:jc w:val="center"/>
        <w:textAlignment w:val="auto"/>
        <w:rPr>
          <w:rFonts w:ascii="宋体" w:hAnsi="宋体" w:cs="宋体"/>
          <w:b/>
          <w:sz w:val="32"/>
          <w:szCs w:val="32"/>
        </w:rPr>
      </w:pPr>
      <w:r>
        <w:rPr>
          <w:rFonts w:hint="eastAsia" w:ascii="宋体" w:hAnsi="宋体" w:cs="宋体"/>
          <w:b/>
          <w:sz w:val="32"/>
          <w:szCs w:val="32"/>
        </w:rPr>
        <w:t>安全生产合同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为在</w:t>
      </w:r>
      <w:r>
        <w:rPr>
          <w:rFonts w:hint="eastAsia" w:ascii="宋体" w:hAnsi="宋体" w:cs="宋体"/>
          <w:sz w:val="24"/>
          <w:szCs w:val="24"/>
          <w:u w:val="single"/>
          <w:lang w:val="en-US" w:eastAsia="zh-CN"/>
        </w:rPr>
        <w:t xml:space="preserve"> </w:t>
      </w:r>
      <w:r>
        <w:rPr>
          <w:rFonts w:hint="eastAsia" w:ascii="宋体" w:hAnsi="宋体" w:cs="宋体"/>
          <w:b/>
          <w:bCs/>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施工合同的实施过程中创造安全、高效的施工环境，切实搞好本项目的安全管理工作，本项目发包人</w:t>
      </w:r>
      <w:r>
        <w:rPr>
          <w:rFonts w:hint="eastAsia" w:ascii="宋体" w:hAnsi="宋体" w:cs="宋体"/>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sz w:val="24"/>
          <w:szCs w:val="24"/>
        </w:rPr>
        <w:t>（发包人名称，以下简称“发包人”）与承包人</w:t>
      </w:r>
      <w:r>
        <w:rPr>
          <w:rFonts w:hint="eastAsia" w:ascii="宋体" w:hAnsi="宋体" w:cs="宋体"/>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（承包人名称，以下简称“承包人”）特此签订安全生产合同：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1.发包人职责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（2）按照“安全第一、预防为主、综合治理”和坚持“管生产必须管安全”的原则进行安全生产管理，做到生产与安全工作同时计划、布置、检查、总结和评比。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（5）组织对承包人施工现场安全生产检查，监督承包人及时处理发现的各种安全隐患。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2.承包人职责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严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（11）安全生产费用按照《公路水运工程安全生产监督管理办法》的相关规定使用和管理。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3.违约责任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如因发包人或承包人违约造成安全事故，将依法追究责任。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4.本合同由双方法定代表人或其授权的代理人签署并加盖单位章后生效，全部工程竣工验收后失效。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5.本协议书</w:t>
      </w:r>
      <w:r>
        <w:rPr>
          <w:rFonts w:hint="eastAsia" w:ascii="宋体" w:hAnsi="宋体" w:cs="宋体"/>
          <w:b/>
          <w:bCs/>
          <w:sz w:val="24"/>
          <w:szCs w:val="24"/>
          <w:u w:val="single"/>
        </w:rPr>
        <w:t xml:space="preserve"> 一 </w:t>
      </w:r>
      <w:r>
        <w:rPr>
          <w:rFonts w:hint="eastAsia" w:ascii="宋体" w:hAnsi="宋体" w:cs="宋体"/>
          <w:sz w:val="24"/>
          <w:szCs w:val="24"/>
        </w:rPr>
        <w:t>式</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 xml:space="preserve"> </w:t>
      </w:r>
      <w:r>
        <w:rPr>
          <w:rFonts w:hint="eastAsia" w:ascii="宋体" w:hAnsi="宋体" w:cs="宋体"/>
          <w:sz w:val="24"/>
          <w:szCs w:val="24"/>
        </w:rPr>
        <w:t>份，</w:t>
      </w:r>
      <w:r>
        <w:rPr>
          <w:rFonts w:hint="eastAsia" w:ascii="宋体" w:hAnsi="宋体" w:cs="宋体"/>
          <w:bCs/>
          <w:sz w:val="24"/>
          <w:szCs w:val="24"/>
        </w:rPr>
        <w:t>均具有同等法律效力，</w:t>
      </w:r>
      <w:r>
        <w:rPr>
          <w:rFonts w:hint="eastAsia" w:ascii="宋体" w:hAnsi="宋体" w:cs="宋体"/>
          <w:sz w:val="24"/>
          <w:szCs w:val="24"/>
        </w:rPr>
        <w:t>发包人执</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 xml:space="preserve"> </w:t>
      </w:r>
      <w:r>
        <w:rPr>
          <w:rFonts w:hint="eastAsia" w:ascii="宋体" w:hAnsi="宋体" w:cs="宋体"/>
          <w:sz w:val="24"/>
          <w:szCs w:val="24"/>
        </w:rPr>
        <w:t>份，承包人执</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 xml:space="preserve"> </w:t>
      </w:r>
      <w:r>
        <w:rPr>
          <w:rFonts w:hint="eastAsia" w:ascii="宋体" w:hAnsi="宋体" w:cs="宋体"/>
          <w:sz w:val="24"/>
          <w:szCs w:val="24"/>
        </w:rPr>
        <w:t>份。</w:t>
      </w:r>
    </w:p>
    <w:p>
      <w:pPr>
        <w:keepNext w:val="0"/>
        <w:keepLines w:val="0"/>
        <w:pageBreakBefore w:val="0"/>
        <w:widowControl w:val="0"/>
        <w:kinsoku/>
        <w:wordWrap/>
        <w:overflowPunct/>
        <w:topLinePunct w:val="0"/>
        <w:autoSpaceDE/>
        <w:autoSpaceDN/>
        <w:bidi w:val="0"/>
        <w:adjustRightInd/>
        <w:snapToGrid/>
        <w:spacing w:line="420" w:lineRule="exact"/>
        <w:ind w:left="1920" w:hanging="1920" w:hangingChars="800"/>
        <w:textAlignment w:val="auto"/>
        <w:rPr>
          <w:rFonts w:hint="default" w:ascii="宋体" w:hAnsi="宋体" w:eastAsia="宋体" w:cs="宋体"/>
          <w:sz w:val="24"/>
          <w:szCs w:val="24"/>
          <w:u w:val="single"/>
          <w:lang w:val="en-US" w:eastAsia="zh-CN"/>
        </w:rPr>
      </w:pPr>
      <w:r>
        <w:rPr>
          <w:rFonts w:hint="eastAsia" w:ascii="宋体" w:hAnsi="宋体" w:cs="宋体"/>
          <w:sz w:val="24"/>
          <w:szCs w:val="24"/>
        </w:rPr>
        <w:t>发包人：</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承包人：</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1916" w:leftChars="684" w:hanging="480" w:hangingChars="200"/>
        <w:textAlignment w:val="auto"/>
        <w:rPr>
          <w:rFonts w:ascii="宋体" w:hAnsi="宋体" w:cs="宋体"/>
          <w:sz w:val="24"/>
          <w:szCs w:val="24"/>
        </w:rPr>
      </w:pPr>
      <w:r>
        <w:rPr>
          <w:rFonts w:hint="eastAsia" w:ascii="宋体" w:hAnsi="宋体" w:cs="宋体"/>
          <w:sz w:val="24"/>
          <w:szCs w:val="24"/>
        </w:rPr>
        <w:t xml:space="preserve">（盖单位章）                      （盖单位章）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 xml:space="preserve">        法定代表人：</w:t>
      </w:r>
      <w:r>
        <w:rPr>
          <w:rFonts w:hint="eastAsia"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sz w:val="24"/>
          <w:szCs w:val="24"/>
        </w:rPr>
      </w:pPr>
      <w:r>
        <w:rPr>
          <w:rFonts w:hint="eastAsia" w:ascii="宋体" w:hAnsi="宋体" w:cs="宋体"/>
          <w:sz w:val="24"/>
          <w:szCs w:val="24"/>
        </w:rPr>
        <w:t>（签字或盖章）                        （签字或盖章）</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rPr>
      </w:pPr>
      <w:r>
        <w:rPr>
          <w:rFonts w:hint="eastAsia" w:ascii="宋体" w:hAnsi="宋体" w:cs="宋体"/>
          <w:sz w:val="24"/>
          <w:szCs w:val="24"/>
        </w:rPr>
        <w:t xml:space="preserve">签订日期：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hint="eastAsia" w:ascii="宋体" w:hAnsi="宋体" w:eastAsia="宋体" w:cs="宋体"/>
          <w:b/>
          <w:bCs/>
          <w:color w:val="000000"/>
          <w:spacing w:val="0"/>
          <w:kern w:val="2"/>
          <w:sz w:val="32"/>
          <w:szCs w:val="32"/>
          <w:highlight w:val="none"/>
          <w:lang w:val="zh-CN" w:eastAsia="zh-CN" w:bidi="ar-SA"/>
        </w:rPr>
      </w:pPr>
      <w:r>
        <w:rPr>
          <w:rFonts w:hint="eastAsia" w:ascii="宋体" w:hAnsi="宋体" w:eastAsia="宋体" w:cs="宋体"/>
          <w:b/>
          <w:bCs/>
          <w:color w:val="000000"/>
          <w:spacing w:val="0"/>
          <w:kern w:val="2"/>
          <w:sz w:val="32"/>
          <w:szCs w:val="32"/>
          <w:highlight w:val="none"/>
          <w:lang w:val="zh-CN" w:eastAsia="zh-CN" w:bidi="ar-SA"/>
        </w:rPr>
        <w:br w:type="page"/>
      </w:r>
    </w:p>
    <w:p>
      <w:pPr>
        <w:pStyle w:val="161"/>
        <w:rPr>
          <w:rFonts w:ascii="宋体" w:hAnsi="宋体" w:cs="宋体"/>
          <w:bCs w:val="0"/>
        </w:rPr>
      </w:pPr>
      <w:r>
        <w:rPr>
          <w:rFonts w:hint="eastAsia" w:ascii="宋体" w:hAnsi="宋体" w:eastAsia="宋体" w:cs="宋体"/>
          <w:b/>
          <w:bCs/>
          <w:color w:val="000000"/>
          <w:spacing w:val="0"/>
          <w:kern w:val="2"/>
          <w:sz w:val="32"/>
          <w:szCs w:val="32"/>
          <w:highlight w:val="none"/>
          <w:lang w:val="zh-CN" w:eastAsia="zh-CN" w:bidi="ar-SA"/>
        </w:rPr>
        <w:t>附件六：工程质量保修书</w:t>
      </w:r>
    </w:p>
    <w:p>
      <w:pPr>
        <w:pStyle w:val="161"/>
        <w:rPr>
          <w:rFonts w:ascii="宋体" w:hAnsi="宋体" w:cs="宋体"/>
          <w:b/>
        </w:rPr>
      </w:pPr>
    </w:p>
    <w:p>
      <w:pPr>
        <w:jc w:val="center"/>
        <w:rPr>
          <w:rFonts w:ascii="宋体" w:hAnsi="宋体" w:cs="宋体"/>
          <w:b/>
        </w:rPr>
      </w:pPr>
      <w:r>
        <w:rPr>
          <w:rFonts w:hint="eastAsia" w:ascii="宋体" w:hAnsi="宋体" w:cs="宋体"/>
          <w:b/>
          <w:sz w:val="32"/>
          <w:szCs w:val="32"/>
        </w:rPr>
        <w:t>工程质量保修书</w:t>
      </w:r>
    </w:p>
    <w:p>
      <w:pPr>
        <w:jc w:val="center"/>
        <w:rPr>
          <w:rFonts w:ascii="宋体" w:hAnsi="宋体" w:cs="宋体"/>
        </w:rPr>
      </w:pPr>
    </w:p>
    <w:p>
      <w:pPr>
        <w:spacing w:line="360" w:lineRule="auto"/>
        <w:rPr>
          <w:rFonts w:hint="default" w:ascii="宋体" w:hAnsi="宋体" w:eastAsia="宋体" w:cs="宋体"/>
          <w:sz w:val="24"/>
          <w:szCs w:val="24"/>
          <w:lang w:val="en-US" w:eastAsia="zh-CN"/>
        </w:rPr>
      </w:pPr>
      <w:r>
        <w:rPr>
          <w:rFonts w:hint="eastAsia" w:ascii="宋体" w:hAnsi="宋体" w:cs="宋体"/>
          <w:sz w:val="24"/>
          <w:szCs w:val="24"/>
        </w:rPr>
        <w:t>发包人(全称)：</w:t>
      </w:r>
      <w:r>
        <w:rPr>
          <w:rFonts w:hint="eastAsia" w:ascii="宋体" w:hAnsi="宋体" w:cs="宋体"/>
          <w:b/>
          <w:bCs/>
          <w:sz w:val="24"/>
          <w:szCs w:val="24"/>
          <w:u w:val="single"/>
          <w:lang w:val="en-US" w:eastAsia="zh-CN"/>
        </w:rPr>
        <w:t xml:space="preserve">             </w:t>
      </w:r>
    </w:p>
    <w:p>
      <w:pPr>
        <w:spacing w:line="360" w:lineRule="auto"/>
        <w:rPr>
          <w:rFonts w:ascii="宋体" w:hAnsi="宋体" w:cs="宋体"/>
          <w:sz w:val="24"/>
          <w:szCs w:val="24"/>
        </w:rPr>
      </w:pPr>
      <w:r>
        <w:rPr>
          <w:rFonts w:hint="eastAsia" w:ascii="宋体" w:hAnsi="宋体" w:cs="宋体"/>
          <w:sz w:val="24"/>
          <w:szCs w:val="24"/>
        </w:rPr>
        <w:t>承包人(全称)：</w:t>
      </w:r>
      <w:r>
        <w:rPr>
          <w:rFonts w:hint="eastAsia" w:ascii="宋体" w:hAnsi="宋体" w:cs="宋体"/>
          <w:b/>
          <w:bCs/>
          <w:sz w:val="24"/>
          <w:szCs w:val="24"/>
          <w:u w:val="single"/>
          <w:lang w:val="en-US" w:eastAsia="zh-CN"/>
        </w:rPr>
        <w:t xml:space="preserve">             </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 xml:space="preserve">   为保证</w:t>
      </w:r>
      <w:r>
        <w:rPr>
          <w:rFonts w:hint="eastAsia" w:ascii="宋体" w:hAnsi="宋体" w:cs="宋体"/>
          <w:b/>
          <w:bCs/>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在合理使用期限内正常使用，发包人和承包人协商一致签订工程质量保修书。承包人在质量保修期内按照有关管理规定及双方约定承担工程质量保修责任。</w:t>
      </w:r>
    </w:p>
    <w:p>
      <w:pPr>
        <w:spacing w:line="360" w:lineRule="auto"/>
        <w:rPr>
          <w:rFonts w:ascii="宋体" w:hAnsi="宋体" w:cs="宋体"/>
          <w:b/>
          <w:bCs/>
          <w:sz w:val="24"/>
          <w:szCs w:val="24"/>
        </w:rPr>
      </w:pPr>
      <w:r>
        <w:rPr>
          <w:rFonts w:hint="eastAsia" w:ascii="宋体" w:hAnsi="宋体" w:cs="宋体"/>
          <w:b/>
          <w:bCs/>
          <w:sz w:val="24"/>
          <w:szCs w:val="24"/>
        </w:rPr>
        <w:t xml:space="preserve">    一、工程质量保修范围和内容</w:t>
      </w:r>
    </w:p>
    <w:p>
      <w:pPr>
        <w:spacing w:line="360" w:lineRule="auto"/>
        <w:ind w:firstLine="360" w:firstLineChars="150"/>
        <w:rPr>
          <w:rFonts w:ascii="宋体" w:hAnsi="宋体" w:cs="宋体"/>
          <w:sz w:val="24"/>
          <w:szCs w:val="24"/>
        </w:rPr>
      </w:pPr>
      <w:r>
        <w:rPr>
          <w:rFonts w:hint="eastAsia" w:ascii="宋体" w:hAnsi="宋体" w:cs="宋体"/>
          <w:sz w:val="24"/>
          <w:szCs w:val="24"/>
        </w:rPr>
        <w:t xml:space="preserve">质量保修范围包括合同及施工图纸所包括的工程。具体质量保修内容双方约定如下：在承包人承包范围内，属承包人责任造成的工程质量问题，由承包人承担保修责任。  </w:t>
      </w:r>
    </w:p>
    <w:p>
      <w:pPr>
        <w:spacing w:line="360" w:lineRule="auto"/>
        <w:ind w:firstLine="361" w:firstLineChars="150"/>
        <w:rPr>
          <w:rFonts w:ascii="宋体" w:hAnsi="宋体" w:cs="宋体"/>
          <w:sz w:val="24"/>
          <w:szCs w:val="24"/>
        </w:rPr>
      </w:pPr>
      <w:r>
        <w:rPr>
          <w:rFonts w:hint="eastAsia" w:ascii="宋体" w:hAnsi="宋体" w:cs="宋体"/>
          <w:b/>
          <w:bCs/>
          <w:sz w:val="24"/>
          <w:szCs w:val="24"/>
        </w:rPr>
        <w:t>*二、质量保修期</w:t>
      </w:r>
    </w:p>
    <w:p>
      <w:pPr>
        <w:spacing w:line="360" w:lineRule="auto"/>
        <w:ind w:firstLine="480" w:firstLineChars="200"/>
        <w:rPr>
          <w:rFonts w:ascii="宋体" w:hAnsi="宋体" w:cs="宋体"/>
          <w:sz w:val="24"/>
          <w:szCs w:val="24"/>
        </w:rPr>
      </w:pPr>
      <w:r>
        <w:rPr>
          <w:rFonts w:hint="eastAsia" w:ascii="宋体" w:hAnsi="宋体" w:cs="宋体"/>
          <w:sz w:val="24"/>
          <w:szCs w:val="24"/>
        </w:rPr>
        <w:t>1、双方根据《建设工程质量管理条例》及有关规定，约定本工程的质量保修期如下：</w:t>
      </w:r>
    </w:p>
    <w:p>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根据《建设工程质量管理条例》及有关规定，工程的质量保修期如下：</w:t>
      </w:r>
    </w:p>
    <w:p>
      <w:pPr>
        <w:wordWrap w:val="0"/>
        <w:topLinePunct/>
        <w:spacing w:line="360" w:lineRule="auto"/>
        <w:ind w:firstLine="426"/>
        <w:rPr>
          <w:rFonts w:ascii="宋体" w:hAnsi="宋体" w:cs="宋体"/>
          <w:sz w:val="24"/>
          <w:szCs w:val="24"/>
        </w:rPr>
      </w:pPr>
      <w:r>
        <w:rPr>
          <w:rFonts w:hint="eastAsia" w:ascii="宋体" w:hAnsi="宋体" w:cs="宋体"/>
          <w:sz w:val="24"/>
          <w:szCs w:val="24"/>
        </w:rPr>
        <w:t>（1）桥梁工程为</w:t>
      </w:r>
      <w:r>
        <w:rPr>
          <w:rFonts w:hint="eastAsia" w:ascii="宋体" w:hAnsi="宋体" w:cs="宋体"/>
          <w:b/>
          <w:sz w:val="24"/>
          <w:szCs w:val="24"/>
          <w:u w:val="single"/>
        </w:rPr>
        <w:t xml:space="preserve">  1  </w:t>
      </w:r>
      <w:r>
        <w:rPr>
          <w:rFonts w:hint="eastAsia" w:ascii="宋体" w:hAnsi="宋体" w:cs="宋体"/>
          <w:sz w:val="24"/>
          <w:szCs w:val="24"/>
        </w:rPr>
        <w:t>年（桥梁隧道主体结构工程为设计文件规定的合理使用年限）；</w:t>
      </w:r>
    </w:p>
    <w:p>
      <w:pPr>
        <w:wordWrap w:val="0"/>
        <w:topLinePunct/>
        <w:spacing w:line="360" w:lineRule="auto"/>
        <w:ind w:firstLine="426"/>
        <w:rPr>
          <w:rFonts w:ascii="宋体" w:hAnsi="宋体" w:cs="宋体"/>
          <w:sz w:val="24"/>
          <w:szCs w:val="24"/>
        </w:rPr>
      </w:pPr>
      <w:r>
        <w:rPr>
          <w:rFonts w:hint="eastAsia" w:ascii="宋体" w:hAnsi="宋体" w:cs="宋体"/>
          <w:sz w:val="24"/>
          <w:szCs w:val="24"/>
        </w:rPr>
        <w:t>（2）道路工程为</w:t>
      </w:r>
      <w:r>
        <w:rPr>
          <w:rFonts w:hint="eastAsia" w:ascii="宋体" w:hAnsi="宋体" w:cs="宋体"/>
          <w:b/>
          <w:sz w:val="24"/>
          <w:szCs w:val="24"/>
          <w:u w:val="single"/>
        </w:rPr>
        <w:t xml:space="preserve">  1  </w:t>
      </w:r>
      <w:r>
        <w:rPr>
          <w:rFonts w:hint="eastAsia" w:ascii="宋体" w:hAnsi="宋体" w:cs="宋体"/>
          <w:sz w:val="24"/>
          <w:szCs w:val="24"/>
        </w:rPr>
        <w:t>年；</w:t>
      </w:r>
    </w:p>
    <w:p>
      <w:pPr>
        <w:wordWrap w:val="0"/>
        <w:topLinePunct/>
        <w:spacing w:line="360" w:lineRule="auto"/>
        <w:ind w:firstLine="426"/>
        <w:rPr>
          <w:rFonts w:ascii="宋体" w:hAnsi="宋体" w:cs="宋体"/>
          <w:sz w:val="24"/>
          <w:szCs w:val="24"/>
        </w:rPr>
      </w:pPr>
      <w:r>
        <w:rPr>
          <w:rFonts w:hint="eastAsia" w:ascii="宋体" w:hAnsi="宋体" w:cs="宋体"/>
          <w:sz w:val="24"/>
          <w:szCs w:val="24"/>
        </w:rPr>
        <w:t>（3）排水（雨水）工程为</w:t>
      </w:r>
      <w:r>
        <w:rPr>
          <w:rFonts w:hint="eastAsia" w:ascii="宋体" w:hAnsi="宋体" w:cs="宋体"/>
          <w:b/>
          <w:sz w:val="24"/>
          <w:szCs w:val="24"/>
          <w:u w:val="single"/>
        </w:rPr>
        <w:t xml:space="preserve">  1  </w:t>
      </w:r>
      <w:r>
        <w:rPr>
          <w:rFonts w:hint="eastAsia" w:ascii="宋体" w:hAnsi="宋体" w:cs="宋体"/>
          <w:sz w:val="24"/>
          <w:szCs w:val="24"/>
        </w:rPr>
        <w:t>年；</w:t>
      </w:r>
    </w:p>
    <w:p>
      <w:pPr>
        <w:wordWrap w:val="0"/>
        <w:topLinePunct/>
        <w:spacing w:line="360" w:lineRule="auto"/>
        <w:ind w:firstLine="426"/>
        <w:rPr>
          <w:rFonts w:ascii="宋体" w:hAnsi="宋体" w:cs="宋体"/>
          <w:sz w:val="24"/>
          <w:szCs w:val="24"/>
        </w:rPr>
      </w:pPr>
      <w:r>
        <w:rPr>
          <w:rFonts w:hint="eastAsia" w:ascii="宋体" w:hAnsi="宋体" w:cs="宋体"/>
          <w:sz w:val="24"/>
          <w:szCs w:val="24"/>
        </w:rPr>
        <w:t>（4）地下防水工程为</w:t>
      </w:r>
      <w:r>
        <w:rPr>
          <w:rFonts w:hint="eastAsia" w:ascii="宋体" w:hAnsi="宋体" w:cs="宋体"/>
          <w:b/>
          <w:sz w:val="24"/>
          <w:szCs w:val="24"/>
          <w:u w:val="single"/>
        </w:rPr>
        <w:t xml:space="preserve">  /  </w:t>
      </w:r>
      <w:r>
        <w:rPr>
          <w:rFonts w:hint="eastAsia" w:ascii="宋体" w:hAnsi="宋体" w:cs="宋体"/>
          <w:sz w:val="24"/>
          <w:szCs w:val="24"/>
        </w:rPr>
        <w:t>年；</w:t>
      </w:r>
    </w:p>
    <w:p>
      <w:pPr>
        <w:wordWrap w:val="0"/>
        <w:topLinePunct/>
        <w:spacing w:line="360" w:lineRule="auto"/>
        <w:ind w:firstLine="426"/>
        <w:rPr>
          <w:rFonts w:ascii="宋体" w:hAnsi="宋体" w:cs="宋体"/>
          <w:sz w:val="24"/>
          <w:szCs w:val="24"/>
        </w:rPr>
      </w:pPr>
      <w:r>
        <w:rPr>
          <w:rFonts w:hint="eastAsia" w:ascii="宋体" w:hAnsi="宋体" w:cs="宋体"/>
          <w:sz w:val="24"/>
          <w:szCs w:val="24"/>
        </w:rPr>
        <w:t>（5）其他附属工程为</w:t>
      </w:r>
      <w:r>
        <w:rPr>
          <w:rFonts w:hint="eastAsia" w:ascii="宋体" w:hAnsi="宋体" w:cs="宋体"/>
          <w:b/>
          <w:sz w:val="24"/>
          <w:szCs w:val="24"/>
          <w:u w:val="single"/>
        </w:rPr>
        <w:t xml:space="preserve">  1  </w:t>
      </w:r>
      <w:r>
        <w:rPr>
          <w:rFonts w:hint="eastAsia" w:ascii="宋体" w:hAnsi="宋体" w:cs="宋体"/>
          <w:sz w:val="24"/>
          <w:szCs w:val="24"/>
        </w:rPr>
        <w:t>年；</w:t>
      </w:r>
    </w:p>
    <w:p>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（6）其他项目保修期限约定如下：</w:t>
      </w:r>
      <w:r>
        <w:rPr>
          <w:rFonts w:hint="eastAsia" w:ascii="宋体" w:hAnsi="宋体" w:cs="宋体"/>
          <w:bCs/>
          <w:sz w:val="24"/>
          <w:szCs w:val="24"/>
          <w:u w:val="single"/>
        </w:rPr>
        <w:t>未尽事宜按国家相关法规执行</w:t>
      </w:r>
      <w:r>
        <w:rPr>
          <w:rFonts w:hint="eastAsia" w:ascii="宋体" w:hAnsi="宋体" w:cs="宋体"/>
          <w:b/>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b/>
          <w:bCs/>
          <w:sz w:val="24"/>
          <w:szCs w:val="24"/>
        </w:rPr>
      </w:pPr>
      <w:r>
        <w:rPr>
          <w:rFonts w:hint="eastAsia" w:ascii="宋体" w:hAnsi="宋体" w:cs="宋体"/>
          <w:sz w:val="24"/>
          <w:szCs w:val="24"/>
        </w:rPr>
        <w:t>2、质量保修期自本合同工程签发的工程竣工验收合格交工证书中写明的竣工日期起计算。</w:t>
      </w:r>
      <w:r>
        <w:rPr>
          <w:rFonts w:hint="eastAsia" w:ascii="宋体" w:hAnsi="宋体" w:cs="宋体"/>
          <w:b/>
          <w:bCs/>
          <w:sz w:val="24"/>
          <w:szCs w:val="24"/>
        </w:rPr>
        <w:t>分单项竣工验收的工程，按单项工程分别计算质量保修期。</w:t>
      </w:r>
    </w:p>
    <w:p>
      <w:pPr>
        <w:spacing w:line="360" w:lineRule="auto"/>
        <w:ind w:firstLine="480" w:firstLineChars="200"/>
        <w:rPr>
          <w:rFonts w:ascii="宋体" w:hAnsi="宋体" w:cs="宋体"/>
          <w:sz w:val="24"/>
          <w:szCs w:val="24"/>
        </w:rPr>
      </w:pPr>
      <w:r>
        <w:rPr>
          <w:rFonts w:hint="eastAsia" w:ascii="宋体" w:hAnsi="宋体" w:cs="宋体"/>
          <w:sz w:val="24"/>
          <w:szCs w:val="24"/>
        </w:rPr>
        <w:t>3、其他约定：</w:t>
      </w:r>
      <w:r>
        <w:rPr>
          <w:rFonts w:hint="eastAsia" w:ascii="宋体" w:hAnsi="宋体" w:cs="宋体"/>
          <w:b/>
          <w:bCs/>
          <w:sz w:val="24"/>
          <w:szCs w:val="24"/>
          <w:u w:val="single"/>
        </w:rPr>
        <w:t>双方约定本工程质量保修期为1年</w:t>
      </w:r>
      <w:r>
        <w:rPr>
          <w:rFonts w:hint="eastAsia" w:ascii="宋体" w:hAnsi="宋体" w:cs="宋体"/>
          <w:sz w:val="24"/>
          <w:szCs w:val="24"/>
        </w:rPr>
        <w:t>。</w:t>
      </w:r>
    </w:p>
    <w:p>
      <w:pPr>
        <w:spacing w:line="360" w:lineRule="auto"/>
        <w:ind w:firstLine="480"/>
        <w:rPr>
          <w:rFonts w:ascii="宋体" w:hAnsi="宋体" w:cs="宋体"/>
          <w:b/>
          <w:bCs/>
          <w:sz w:val="24"/>
          <w:szCs w:val="24"/>
        </w:rPr>
      </w:pPr>
      <w:r>
        <w:rPr>
          <w:rFonts w:hint="eastAsia" w:ascii="宋体" w:hAnsi="宋体" w:cs="宋体"/>
          <w:b/>
          <w:bCs/>
          <w:sz w:val="24"/>
          <w:szCs w:val="24"/>
        </w:rPr>
        <w:t>三、质量保修保质责任</w:t>
      </w:r>
    </w:p>
    <w:p>
      <w:pPr>
        <w:spacing w:line="360" w:lineRule="auto"/>
        <w:ind w:firstLine="480" w:firstLineChars="200"/>
        <w:rPr>
          <w:rFonts w:ascii="宋体" w:hAnsi="宋体" w:cs="宋体"/>
          <w:sz w:val="24"/>
          <w:szCs w:val="24"/>
        </w:rPr>
      </w:pPr>
      <w:r>
        <w:rPr>
          <w:rFonts w:hint="eastAsia" w:ascii="宋体" w:hAnsi="宋体" w:cs="宋体"/>
          <w:sz w:val="24"/>
          <w:szCs w:val="24"/>
        </w:rPr>
        <w:t>1、质量保修期自工程竣工验收合格之日起计算。</w:t>
      </w:r>
    </w:p>
    <w:p>
      <w:pPr>
        <w:spacing w:line="360" w:lineRule="auto"/>
        <w:ind w:firstLine="480" w:firstLineChars="200"/>
        <w:rPr>
          <w:rFonts w:ascii="宋体" w:hAnsi="宋体" w:cs="宋体"/>
          <w:sz w:val="24"/>
          <w:szCs w:val="24"/>
        </w:rPr>
      </w:pPr>
      <w:r>
        <w:rPr>
          <w:rFonts w:hint="eastAsia" w:ascii="宋体" w:hAnsi="宋体" w:cs="宋体"/>
          <w:sz w:val="24"/>
          <w:szCs w:val="24"/>
        </w:rPr>
        <w:t>2、质量保修责任</w:t>
      </w:r>
    </w:p>
    <w:p>
      <w:pPr>
        <w:spacing w:line="360" w:lineRule="auto"/>
        <w:ind w:firstLine="480" w:firstLineChars="200"/>
        <w:rPr>
          <w:rFonts w:ascii="宋体" w:hAnsi="宋体" w:cs="宋体"/>
          <w:sz w:val="24"/>
          <w:szCs w:val="24"/>
        </w:rPr>
      </w:pPr>
      <w:r>
        <w:rPr>
          <w:rFonts w:hint="eastAsia" w:ascii="宋体" w:hAnsi="宋体" w:cs="宋体"/>
          <w:sz w:val="24"/>
          <w:szCs w:val="24"/>
        </w:rPr>
        <w:t>2.1属于保修范围、内容的项目，承包人应当在接到保修通知之日起七日内派人保修。承包人不在约定期限内派人保修的，发包人可以委托他人修理，修理费用由承包人承担。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2.2发生紧急抢修事故的，承包人在接到事故通知后，应当立即到达事故现场抢修。</w:t>
      </w:r>
    </w:p>
    <w:p>
      <w:pPr>
        <w:spacing w:line="360" w:lineRule="auto"/>
        <w:ind w:firstLine="480" w:firstLineChars="200"/>
        <w:rPr>
          <w:rFonts w:ascii="宋体" w:hAnsi="宋体" w:cs="宋体"/>
          <w:sz w:val="24"/>
          <w:szCs w:val="24"/>
        </w:rPr>
      </w:pPr>
      <w:r>
        <w:rPr>
          <w:rFonts w:hint="eastAsia" w:ascii="宋体" w:hAnsi="宋体" w:cs="宋体"/>
          <w:sz w:val="24"/>
          <w:szCs w:val="24"/>
        </w:rPr>
        <w:t>2.3对于涉及结构安全的质量问题，应当按照有关的规定，立即向当地建设行政主管部门报告，采取安全防范措施；由原设计单位或者具有相应资质等级的设计单位提出保修方案，承包人实施保修。</w:t>
      </w:r>
    </w:p>
    <w:p>
      <w:pPr>
        <w:spacing w:line="360" w:lineRule="auto"/>
        <w:ind w:firstLine="480" w:firstLineChars="200"/>
        <w:rPr>
          <w:rFonts w:ascii="宋体" w:hAnsi="宋体" w:cs="宋体"/>
          <w:sz w:val="24"/>
          <w:szCs w:val="24"/>
        </w:rPr>
      </w:pPr>
      <w:r>
        <w:rPr>
          <w:rFonts w:hint="eastAsia" w:ascii="宋体" w:hAnsi="宋体" w:cs="宋体"/>
          <w:sz w:val="24"/>
          <w:szCs w:val="24"/>
        </w:rPr>
        <w:t>2.4质量保修完成后，由发包人组织验收。</w:t>
      </w:r>
    </w:p>
    <w:p>
      <w:pPr>
        <w:spacing w:line="360" w:lineRule="auto"/>
        <w:rPr>
          <w:rFonts w:ascii="宋体" w:hAnsi="宋体" w:cs="宋体"/>
          <w:b/>
          <w:bCs/>
          <w:sz w:val="24"/>
          <w:szCs w:val="24"/>
        </w:rPr>
      </w:pPr>
      <w:r>
        <w:rPr>
          <w:rFonts w:hint="eastAsia" w:ascii="宋体" w:hAnsi="宋体" w:cs="宋体"/>
          <w:b/>
          <w:bCs/>
          <w:sz w:val="24"/>
          <w:szCs w:val="24"/>
        </w:rPr>
        <w:t xml:space="preserve">   *3．保修费用</w:t>
      </w:r>
    </w:p>
    <w:p>
      <w:pPr>
        <w:spacing w:line="360" w:lineRule="auto"/>
        <w:rPr>
          <w:rFonts w:ascii="宋体" w:hAnsi="宋体" w:cs="宋体"/>
          <w:sz w:val="24"/>
          <w:szCs w:val="24"/>
        </w:rPr>
      </w:pPr>
      <w:r>
        <w:rPr>
          <w:rFonts w:hint="eastAsia" w:ascii="宋体" w:hAnsi="宋体" w:cs="宋体"/>
          <w:sz w:val="24"/>
          <w:szCs w:val="24"/>
        </w:rPr>
        <w:t xml:space="preserve">   保修费用由造成质量缺陷的责任方承担。</w:t>
      </w:r>
    </w:p>
    <w:p>
      <w:pPr>
        <w:spacing w:line="360" w:lineRule="auto"/>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*四、质量保修金的支付</w:t>
      </w:r>
    </w:p>
    <w:p>
      <w:pPr>
        <w:spacing w:line="360" w:lineRule="auto"/>
        <w:rPr>
          <w:rFonts w:ascii="宋体" w:hAnsi="宋体" w:cs="宋体"/>
          <w:b/>
          <w:bCs/>
          <w:sz w:val="24"/>
          <w:szCs w:val="24"/>
        </w:rPr>
      </w:pPr>
      <w:r>
        <w:rPr>
          <w:rFonts w:hint="eastAsia" w:ascii="宋体" w:hAnsi="宋体" w:cs="宋体"/>
          <w:b/>
          <w:bCs/>
          <w:sz w:val="24"/>
          <w:szCs w:val="24"/>
        </w:rPr>
        <w:t xml:space="preserve">    本工程约定的工程质量保修金为施工结算价的</w:t>
      </w:r>
      <w:r>
        <w:rPr>
          <w:rFonts w:hint="eastAsia" w:ascii="宋体" w:hAnsi="宋体" w:cs="宋体"/>
          <w:b/>
          <w:bCs/>
          <w:sz w:val="24"/>
          <w:szCs w:val="24"/>
          <w:u w:val="single"/>
        </w:rPr>
        <w:t xml:space="preserve"> 3 </w:t>
      </w:r>
      <w:r>
        <w:rPr>
          <w:rFonts w:hint="eastAsia" w:ascii="宋体" w:hAnsi="宋体" w:cs="宋体"/>
          <w:b/>
          <w:bCs/>
          <w:sz w:val="24"/>
          <w:szCs w:val="24"/>
        </w:rPr>
        <w:t>％。质量保修金不计利息。</w:t>
      </w:r>
    </w:p>
    <w:p>
      <w:pPr>
        <w:spacing w:line="360" w:lineRule="auto"/>
        <w:rPr>
          <w:rFonts w:ascii="宋体" w:hAnsi="宋体" w:cs="宋体"/>
          <w:b/>
          <w:bCs/>
          <w:sz w:val="24"/>
          <w:szCs w:val="24"/>
        </w:rPr>
      </w:pPr>
      <w:r>
        <w:rPr>
          <w:rFonts w:hint="eastAsia" w:ascii="宋体" w:hAnsi="宋体" w:cs="宋体"/>
          <w:b/>
          <w:bCs/>
          <w:sz w:val="24"/>
          <w:szCs w:val="24"/>
        </w:rPr>
        <w:t xml:space="preserve">    五、质量保修金的返还</w:t>
      </w:r>
    </w:p>
    <w:p>
      <w:pPr>
        <w:spacing w:line="360" w:lineRule="auto"/>
        <w:ind w:firstLine="435"/>
        <w:rPr>
          <w:rFonts w:ascii="宋体" w:hAnsi="宋体" w:cs="宋体"/>
          <w:sz w:val="24"/>
          <w:szCs w:val="24"/>
        </w:rPr>
      </w:pPr>
      <w:r>
        <w:rPr>
          <w:rFonts w:hint="eastAsia" w:ascii="宋体" w:hAnsi="宋体" w:cs="宋体"/>
          <w:sz w:val="24"/>
          <w:szCs w:val="24"/>
        </w:rPr>
        <w:t>发包人在应付款中扣出，在工程竣工保修期满后，14日内将质量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六、其他</w:t>
      </w:r>
    </w:p>
    <w:p>
      <w:pPr>
        <w:spacing w:line="360" w:lineRule="auto"/>
        <w:ind w:firstLine="453" w:firstLineChars="189"/>
        <w:rPr>
          <w:rFonts w:ascii="宋体" w:hAnsi="宋体" w:cs="宋体"/>
          <w:sz w:val="24"/>
          <w:szCs w:val="24"/>
          <w:u w:val="single"/>
        </w:rPr>
      </w:pPr>
      <w:r>
        <w:rPr>
          <w:rFonts w:hint="eastAsia" w:ascii="宋体" w:hAnsi="宋体" w:cs="宋体"/>
          <w:sz w:val="24"/>
          <w:szCs w:val="24"/>
        </w:rPr>
        <w:t>双方约定的其他工程质量保修事项：</w:t>
      </w:r>
      <w:r>
        <w:rPr>
          <w:rFonts w:hint="eastAsia" w:ascii="宋体" w:hAnsi="宋体" w:cs="宋体"/>
          <w:sz w:val="24"/>
          <w:szCs w:val="24"/>
          <w:u w:val="single"/>
        </w:rPr>
        <w:t xml:space="preserve">          /        </w:t>
      </w:r>
      <w:r>
        <w:rPr>
          <w:rFonts w:hint="eastAsia" w:ascii="宋体" w:hAnsi="宋体" w:cs="宋体"/>
          <w:sz w:val="24"/>
          <w:szCs w:val="24"/>
        </w:rPr>
        <w:t>。</w:t>
      </w:r>
    </w:p>
    <w:p>
      <w:pPr>
        <w:spacing w:line="360" w:lineRule="auto"/>
        <w:ind w:firstLine="453" w:firstLineChars="189"/>
        <w:rPr>
          <w:rFonts w:ascii="宋体" w:hAnsi="宋体" w:cs="宋体"/>
          <w:sz w:val="24"/>
          <w:szCs w:val="24"/>
        </w:rPr>
      </w:pPr>
      <w:r>
        <w:rPr>
          <w:rFonts w:hint="eastAsia" w:ascii="宋体" w:hAnsi="宋体" w:cs="宋体"/>
          <w:sz w:val="24"/>
          <w:szCs w:val="24"/>
        </w:rPr>
        <w:t>本工程质量保修书作为施工合同附件，由施工合同发包人和承包人双方共同签署。</w:t>
      </w:r>
    </w:p>
    <w:p>
      <w:pPr>
        <w:spacing w:line="500" w:lineRule="exact"/>
        <w:ind w:left="1920" w:hanging="1920" w:hangingChars="800"/>
        <w:rPr>
          <w:rFonts w:hint="default" w:ascii="宋体" w:hAnsi="宋体" w:eastAsia="宋体" w:cs="宋体"/>
          <w:sz w:val="24"/>
          <w:szCs w:val="24"/>
          <w:u w:val="single"/>
          <w:lang w:val="en-US" w:eastAsia="zh-CN"/>
        </w:rPr>
      </w:pPr>
      <w:r>
        <w:rPr>
          <w:rFonts w:hint="eastAsia" w:ascii="宋体" w:hAnsi="宋体" w:cs="宋体"/>
          <w:sz w:val="24"/>
          <w:szCs w:val="24"/>
        </w:rPr>
        <w:t>发包人：</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承包人：</w:t>
      </w:r>
      <w:r>
        <w:rPr>
          <w:rFonts w:hint="eastAsia" w:ascii="宋体" w:hAnsi="宋体" w:cs="宋体"/>
          <w:sz w:val="24"/>
          <w:szCs w:val="24"/>
          <w:u w:val="single"/>
          <w:lang w:val="en-US" w:eastAsia="zh-CN"/>
        </w:rPr>
        <w:t xml:space="preserve">                 </w:t>
      </w:r>
    </w:p>
    <w:p>
      <w:pPr>
        <w:spacing w:line="500" w:lineRule="exact"/>
        <w:ind w:left="1916" w:leftChars="684" w:hanging="480" w:hangingChars="200"/>
        <w:rPr>
          <w:rFonts w:ascii="宋体" w:hAnsi="宋体" w:cs="宋体"/>
          <w:sz w:val="24"/>
          <w:szCs w:val="24"/>
        </w:rPr>
      </w:pPr>
      <w:r>
        <w:rPr>
          <w:rFonts w:hint="eastAsia" w:ascii="宋体" w:hAnsi="宋体" w:cs="宋体"/>
          <w:sz w:val="24"/>
          <w:szCs w:val="24"/>
        </w:rPr>
        <w:t xml:space="preserve">（盖单位章）                      （盖单位章） </w:t>
      </w:r>
    </w:p>
    <w:p>
      <w:pPr>
        <w:spacing w:line="500" w:lineRule="exact"/>
        <w:rPr>
          <w:rFonts w:ascii="宋体" w:hAnsi="宋体" w:cs="宋体"/>
          <w:sz w:val="24"/>
          <w:szCs w:val="24"/>
        </w:rPr>
      </w:pPr>
    </w:p>
    <w:p>
      <w:pPr>
        <w:spacing w:line="500" w:lineRule="exact"/>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 xml:space="preserve">        法定代表人：</w:t>
      </w:r>
      <w:r>
        <w:rPr>
          <w:rFonts w:hint="eastAsia" w:ascii="宋体" w:hAnsi="宋体" w:cs="宋体"/>
          <w:sz w:val="24"/>
          <w:szCs w:val="24"/>
          <w:u w:val="single"/>
        </w:rPr>
        <w:t xml:space="preserve">               </w:t>
      </w:r>
    </w:p>
    <w:p>
      <w:pPr>
        <w:spacing w:line="500" w:lineRule="exact"/>
        <w:rPr>
          <w:rFonts w:ascii="宋体" w:hAnsi="宋体" w:cs="宋体"/>
          <w:sz w:val="24"/>
          <w:szCs w:val="24"/>
        </w:rPr>
      </w:pPr>
      <w:r>
        <w:rPr>
          <w:rFonts w:hint="eastAsia" w:ascii="宋体" w:hAnsi="宋体" w:cs="宋体"/>
          <w:sz w:val="24"/>
          <w:szCs w:val="24"/>
        </w:rPr>
        <w:t>（签字或盖章）                        （签字或盖章）</w:t>
      </w:r>
    </w:p>
    <w:p>
      <w:pPr>
        <w:spacing w:line="500" w:lineRule="exact"/>
        <w:rPr>
          <w:rFonts w:ascii="宋体" w:hAnsi="宋体" w:cs="宋体"/>
          <w:sz w:val="24"/>
          <w:szCs w:val="24"/>
        </w:rPr>
      </w:pPr>
    </w:p>
    <w:p>
      <w:pPr>
        <w:spacing w:line="400" w:lineRule="exact"/>
        <w:ind w:firstLine="352" w:firstLineChars="147"/>
        <w:jc w:val="left"/>
        <w:rPr>
          <w:rFonts w:ascii="仿宋" w:hAnsi="仿宋" w:eastAsia="仿宋" w:cs="仿宋"/>
          <w:color w:val="auto"/>
          <w:sz w:val="24"/>
          <w:szCs w:val="24"/>
          <w:highlight w:val="none"/>
        </w:rPr>
        <w:sectPr>
          <w:pgSz w:w="11907" w:h="16840"/>
          <w:pgMar w:top="1304" w:right="1275" w:bottom="1304" w:left="1474" w:header="737" w:footer="851" w:gutter="0"/>
          <w:cols w:space="720" w:num="1"/>
          <w:docGrid w:linePitch="312" w:charSpace="0"/>
        </w:sectPr>
      </w:pPr>
      <w:r>
        <w:rPr>
          <w:rFonts w:hint="eastAsia" w:ascii="宋体" w:hAnsi="宋体" w:cs="宋体"/>
          <w:sz w:val="24"/>
          <w:szCs w:val="24"/>
        </w:rPr>
        <w:t xml:space="preserve">签订日期：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p>
    <w:p>
      <w:pPr>
        <w:pStyle w:val="163"/>
        <w:pageBreakBefore w:val="0"/>
        <w:widowControl w:val="0"/>
        <w:numPr>
          <w:ilvl w:val="0"/>
          <w:numId w:val="0"/>
        </w:numPr>
        <w:tabs>
          <w:tab w:val="left" w:pos="716"/>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sz w:val="21"/>
          <w:szCs w:val="21"/>
          <w:highlight w:val="none"/>
        </w:rPr>
      </w:pPr>
    </w:p>
    <w:p>
      <w:pPr>
        <w:pStyle w:val="3"/>
        <w:jc w:val="center"/>
      </w:pPr>
      <w:bookmarkStart w:id="2191" w:name="_Toc407135283"/>
      <w:bookmarkStart w:id="2192" w:name="_Toc4919"/>
      <w:bookmarkStart w:id="2193" w:name="_Toc358569763"/>
      <w:r>
        <w:rPr>
          <w:rFonts w:hint="eastAsia" w:cs="黑体"/>
        </w:rPr>
        <w:t>第五章</w:t>
      </w:r>
      <w:r>
        <w:t xml:space="preserve"> </w:t>
      </w:r>
      <w:r>
        <w:rPr>
          <w:rFonts w:hint="eastAsia" w:cs="黑体"/>
        </w:rPr>
        <w:t>工程量清单</w:t>
      </w:r>
      <w:bookmarkEnd w:id="2191"/>
      <w:bookmarkEnd w:id="2192"/>
    </w:p>
    <w:p>
      <w:pPr>
        <w:jc w:val="center"/>
        <w:rPr>
          <w:b/>
          <w:bCs/>
          <w:kern w:val="44"/>
          <w:sz w:val="32"/>
          <w:szCs w:val="32"/>
        </w:rPr>
      </w:pPr>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kern w:val="44"/>
          <w:sz w:val="24"/>
          <w:szCs w:val="24"/>
          <w:highlight w:val="none"/>
        </w:rPr>
      </w:pPr>
      <w:bookmarkStart w:id="2194" w:name="_Toc15059"/>
      <w:bookmarkStart w:id="2195" w:name="_Toc6406"/>
      <w:bookmarkStart w:id="2196" w:name="_Toc14892"/>
      <w:bookmarkStart w:id="2197" w:name="_Toc407135284"/>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工程量清单编制说明</w:t>
      </w:r>
      <w:bookmarkEnd w:id="2194"/>
      <w:bookmarkEnd w:id="2195"/>
      <w:bookmarkEnd w:id="219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（1）工程量清单应与招标文件中的投标人须知、通用合同条款、专用合同条款、技术标准和要求（合同技术条款）、图纸及《水利工程工程量清单计价规范》（GB50501）2007）等一起阅读和理解。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工程量清单仅是投标人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GB50501）2007）计算规则等规定，按施工图纸计算的有效工程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（3）工程量清单中各项目的工作内容和要求应符合相关技术标准和要求（合同技术条款）以及《水利工程工程量清单计价规范》（GB50501）2007）的规定。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（4）工程价款的支付遵循合同条款的约定。</w:t>
      </w:r>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sz w:val="24"/>
          <w:szCs w:val="24"/>
          <w:highlight w:val="none"/>
        </w:rPr>
      </w:pPr>
      <w:bookmarkStart w:id="2198" w:name="_Toc16170"/>
      <w:bookmarkStart w:id="2199" w:name="_Toc9006"/>
      <w:bookmarkStart w:id="2200" w:name="_Toc26296"/>
      <w:bookmarkStart w:id="2201" w:name="_Toc5276"/>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投标报价说明</w:t>
      </w:r>
      <w:bookmarkEnd w:id="2198"/>
      <w:bookmarkEnd w:id="2199"/>
      <w:bookmarkEnd w:id="2200"/>
      <w:bookmarkEnd w:id="220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2.1</w:t>
      </w:r>
      <w:r>
        <w:rPr>
          <w:rFonts w:hint="eastAsia" w:ascii="宋体" w:hAnsi="宋体" w:eastAsia="宋体" w:cs="宋体"/>
          <w:bCs/>
          <w:color w:val="000000"/>
          <w:szCs w:val="21"/>
          <w:highlight w:val="none"/>
        </w:rPr>
        <w:t>工程量清单报价表由以下表格组成：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1.投标总价。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2.工程项目总价表。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3.分类分项工程量清单计价表。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4.措施项目清单计价表。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5.其它项目清单计价表。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6.零星工作（计日工）项目计价表。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7.工程单价汇总表。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8.工程单价费（税）率汇总表。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9.投标人生产电、风、水、砂石基础单价汇总表。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10.投标人生产混凝土配合比材料费表。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11.招标人供应材料价格汇总表（若招标人提供）。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12.投标人自行采购主要材料预算价格汇总表。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13.招标人提供施工机械台时（班）费汇总表（若招标人提供）。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14.投标人自备施工机械台时（班）费汇总表。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15.总价项目分类分项工程分解表。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16.工程单价计算表。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17人工费单价汇总表。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2.2工程量清单报价表填写规定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除招标文件另有规定外，投标人应按招标工程量清单填报价格，项目编码、项目名称、计量单位、工程量、主要技术条款码、备注必须与招标工程量清单一致，投标人不得对招标工程量清单项目进行增减调整。工程量清单中列明的所有需要填写的单价和合价,投标人均应填写；未填写的单价和合价，视为已包括在工程量清单的其它单价和合价中。</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工程量清单中的工程单价是完成工程量清单中一个质量合格的规定计量单位项目所需的所有费用。投标人应根据规定的工程单价组成内容，按招标文件和《水利工程工程量清单计价规范》(GB50501）2007)附录A和附录B中的“主要工作内容”确定工程单价。除另有规定外，对有效工程量以外的超挖、超填工程量，施工附加量，加工、运输损耗量等，所消耗的人工、材料和机械费用，均应摊入相应有效工程量的工程单价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3.投标金额(价格)均应以人民币(元)表示。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4.投标总价应按工程项目总价表合计金额填写。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5.工程项目总价表中一级项目名称按招标文件工程项目总价表中的相应名称填写，并按分类分项工程量清单计价表中相应项目合计金额填写。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6.分类分项工程量清单计价表中的序号、项目编码、项目名称、计量单位、工程数量和合同技术条款章节号，按招标文件分类分项工程量清单计价表中的相应内容填写，并填写相应项目的单价和合价。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7.措施项目清单计价表中的序号、项目名称按招标文件措施项目清单计价表中的相应内容填写，并填写相应措施项目的金额和合计金额。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8.其它项目清单计价表中的序号、项目名称、金额，按招标文件其它项目清单计价表中的相应内容填写。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9.计日工项目计价表的序号、人工、材料、机械的名称、型号规格以及计量单位，按招标文件计日工项目计价表中的相应内容填写，并填写相应项目单价。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10辅助表格填写：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(1)工程单价汇总表，按工程单价计算表中的相应内容、价格(费率)填写。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(2)工程单价费(税)率汇总表，按工程单价计算表中的相应内容、费(税)率填写。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(3)投标人生产电、风、水、砂石基础单价汇总表，按基础单价分析计算成果的相应内容、价格填写，并附相应基础单价的分析计算书。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招标人供应材料价格汇总表，按招标人供应的材料名称、型号规格、计量单位和供应价填写，并填写经分析计算后的相应材料预算价格，填写的预算价格必须与工程单价计算表中采用的相应材料预算价格一致并符合相关规范的规定(若招标人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(6)投标人自行采购主要材料预算价格汇总表，按表中的序号、材料名称、型号规格、计量单位和预算价填写，填写的预算价必须与工程单价计算表中采用的相应材料预算价格一致并符合相关规范的规定。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招标人提供施工机械台时（班）费汇总表，按招标人提供的机械名称、型号规格和招标人收取的台时（班）折旧费填写；投标人填写的台时（班）费用合计金额必须与工程单价计算表中相应的施工机械台时（班）费单价一致并符合相关规范的规定（若招标人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（9）投标人应参照分类分项工程量清单计价表格式编制总价项目分类分项工程分解表,每个总价项目分类分项工程一份。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（11）人工费单价汇总表应按人工费单价计算表的内容、价格填写，并附相应的人工费单价计算表。</w:t>
      </w:r>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sz w:val="24"/>
          <w:szCs w:val="24"/>
          <w:highlight w:val="none"/>
        </w:rPr>
      </w:pPr>
      <w:bookmarkStart w:id="2202" w:name="_Toc13821"/>
      <w:bookmarkStart w:id="2203" w:name="_Toc6243"/>
      <w:bookmarkStart w:id="2204" w:name="_Toc19430"/>
      <w:bookmarkStart w:id="2205" w:name="_Toc27517"/>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工程量清单及控制价</w:t>
      </w:r>
      <w:bookmarkEnd w:id="2202"/>
      <w:bookmarkEnd w:id="2203"/>
      <w:bookmarkEnd w:id="2204"/>
      <w:bookmarkEnd w:id="2205"/>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招标人确定（或由当地财政部门审定）并按规定公布总价（招标控制价）、分类分项目工程量清单（含工程量数量）、以及考核主要单价清单。</w:t>
      </w:r>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sz w:val="24"/>
          <w:szCs w:val="24"/>
          <w:highlight w:val="none"/>
        </w:rPr>
      </w:pPr>
      <w:bookmarkStart w:id="2206" w:name="_Toc29662"/>
      <w:bookmarkStart w:id="2207" w:name="_Toc14019"/>
      <w:bookmarkStart w:id="2208" w:name="_Toc32187"/>
      <w:bookmarkStart w:id="2209" w:name="_Toc32689"/>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计价依据</w:t>
      </w:r>
      <w:bookmarkEnd w:id="2206"/>
      <w:bookmarkEnd w:id="2207"/>
      <w:bookmarkEnd w:id="2208"/>
      <w:bookmarkEnd w:id="2209"/>
    </w:p>
    <w:p>
      <w:pPr>
        <w:pageBreakBefore w:val="0"/>
        <w:widowControl w:val="0"/>
        <w:kinsoku/>
        <w:wordWrap/>
        <w:overflowPunct/>
        <w:topLinePunct w:val="0"/>
        <w:autoSpaceDE/>
        <w:autoSpaceDN/>
        <w:bidi w:val="0"/>
        <w:adjustRightInd/>
        <w:snapToGrid/>
        <w:spacing w:line="440" w:lineRule="exact"/>
        <w:ind w:firstLine="211" w:firstLineChars="100"/>
        <w:textAlignment w:val="auto"/>
        <w:rPr>
          <w:rFonts w:hint="eastAsia" w:ascii="宋体" w:hAnsi="宋体" w:cs="宋体"/>
          <w:color w:val="000000"/>
          <w:szCs w:val="21"/>
          <w:highlight w:val="none"/>
          <w:lang w:val="en-US" w:eastAsia="zh-CN"/>
        </w:rPr>
      </w:pPr>
      <w:r>
        <w:rPr>
          <w:rFonts w:hint="eastAsia" w:ascii="宋体" w:hAnsi="宋体" w:cs="宋体"/>
          <w:b/>
          <w:bCs/>
          <w:color w:val="000000"/>
          <w:szCs w:val="21"/>
          <w:highlight w:val="none"/>
          <w:lang w:val="en-US" w:eastAsia="zh-CN"/>
        </w:rPr>
        <w:t>4.1 2022年上思县高标准农田建设项目（那明村、平福村、伟华村片区）编制依据：</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（1）工程设计图纸及说明。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（2）招标控制价及说明。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详见本工程招标工程量清单、招标控制价编制说明以及现行《计价规范》等有关规定执行。</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red"/>
          <w:lang w:val="en-US" w:eastAsia="zh-CN"/>
        </w:rPr>
      </w:pPr>
      <w:bookmarkStart w:id="2210" w:name="_Toc29277"/>
      <w:bookmarkStart w:id="2211" w:name="_Toc20699"/>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sz w:val="24"/>
          <w:szCs w:val="24"/>
          <w:highlight w:val="none"/>
        </w:rPr>
      </w:pPr>
      <w:bookmarkStart w:id="2212" w:name="_Toc14834"/>
      <w:bookmarkStart w:id="2213" w:name="_Toc7040"/>
      <w:r>
        <w:rPr>
          <w:rFonts w:hint="eastAsia" w:ascii="宋体" w:hAnsi="宋体" w:eastAsia="宋体" w:cs="宋体"/>
          <w:color w:val="000000"/>
          <w:sz w:val="24"/>
          <w:szCs w:val="24"/>
          <w:highlight w:val="none"/>
        </w:rPr>
        <w:t xml:space="preserve">5 </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工程量清单（另册）</w:t>
      </w:r>
      <w:bookmarkEnd w:id="2210"/>
      <w:bookmarkEnd w:id="2211"/>
      <w:bookmarkEnd w:id="2212"/>
      <w:bookmarkEnd w:id="2213"/>
    </w:p>
    <w:p>
      <w:pPr>
        <w:rPr>
          <w:rFonts w:hint="eastAsia"/>
        </w:rPr>
      </w:pPr>
    </w:p>
    <w:p>
      <w:pP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投标人自行到政采云平台获取</w:t>
      </w:r>
    </w:p>
    <w:bookmarkEnd w:id="2193"/>
    <w:bookmarkEnd w:id="2197"/>
    <w:p>
      <w:pPr>
        <w:pStyle w:val="3"/>
        <w:jc w:val="center"/>
      </w:pPr>
      <w:r>
        <w:br w:type="page"/>
      </w:r>
    </w:p>
    <w:p>
      <w:pPr>
        <w:pStyle w:val="3"/>
        <w:jc w:val="center"/>
      </w:pPr>
      <w:bookmarkStart w:id="2214" w:name="_Toc2812"/>
      <w:r>
        <w:rPr>
          <w:rFonts w:hint="eastAsia" w:cs="黑体"/>
        </w:rPr>
        <w:t>第六章</w:t>
      </w:r>
      <w:r>
        <w:t xml:space="preserve"> </w:t>
      </w:r>
      <w:r>
        <w:rPr>
          <w:rFonts w:hint="eastAsia" w:cs="黑体"/>
        </w:rPr>
        <w:t>图</w:t>
      </w:r>
      <w:r>
        <w:t xml:space="preserve">  </w:t>
      </w:r>
      <w:r>
        <w:rPr>
          <w:rFonts w:hint="eastAsia" w:cs="黑体"/>
        </w:rPr>
        <w:t>纸</w:t>
      </w:r>
      <w:bookmarkEnd w:id="2214"/>
    </w:p>
    <w:p>
      <w:pPr>
        <w:jc w:val="center"/>
        <w:rPr>
          <w:b/>
          <w:bCs/>
          <w:sz w:val="32"/>
          <w:szCs w:val="32"/>
        </w:rPr>
      </w:pPr>
      <w:r>
        <w:rPr>
          <w:rFonts w:hint="eastAsia" w:cs="宋体"/>
          <w:b/>
          <w:bCs/>
          <w:sz w:val="32"/>
          <w:szCs w:val="32"/>
        </w:rPr>
        <w:t>（另册）</w:t>
      </w:r>
    </w:p>
    <w:p>
      <w:pPr>
        <w:pStyle w:val="3"/>
        <w:jc w:val="center"/>
      </w:pPr>
      <w:r>
        <w:rPr>
          <w:rFonts w:hint="eastAsia"/>
        </w:rPr>
        <w:t>投标人自行到政采云平台获取</w:t>
      </w:r>
    </w:p>
    <w:p>
      <w:pPr>
        <w:pStyle w:val="3"/>
        <w:jc w:val="center"/>
      </w:pPr>
    </w:p>
    <w:p>
      <w:pPr>
        <w:pStyle w:val="3"/>
        <w:jc w:val="center"/>
      </w:pPr>
    </w:p>
    <w:p>
      <w:pPr>
        <w:pStyle w:val="3"/>
        <w:jc w:val="center"/>
      </w:pPr>
    </w:p>
    <w:p>
      <w:pPr>
        <w:pStyle w:val="3"/>
        <w:jc w:val="center"/>
      </w:pPr>
      <w:bookmarkStart w:id="2215" w:name="_Toc19664"/>
      <w:r>
        <w:rPr>
          <w:rFonts w:hint="eastAsia" w:cs="黑体"/>
        </w:rPr>
        <w:t>第七章</w:t>
      </w:r>
      <w:r>
        <w:t xml:space="preserve"> </w:t>
      </w:r>
      <w:r>
        <w:rPr>
          <w:rFonts w:hint="eastAsia"/>
        </w:rPr>
        <w:t>危险性较大的分部分项工程清单（如有）</w:t>
      </w:r>
      <w:bookmarkEnd w:id="2215"/>
    </w:p>
    <w:p>
      <w:pPr>
        <w:jc w:val="center"/>
      </w:pPr>
    </w:p>
    <w:p>
      <w:pPr>
        <w:jc w:val="center"/>
      </w:pPr>
    </w:p>
    <w:p>
      <w:pPr>
        <w:widowControl/>
        <w:rPr>
          <w:rFonts w:ascii="宋体" w:hAnsi="宋体" w:cs="宋体"/>
        </w:rPr>
      </w:pPr>
      <w:r>
        <w:rPr>
          <w:rFonts w:hint="eastAsia" w:ascii="宋体" w:hAnsi="宋体" w:cs="宋体"/>
        </w:rPr>
        <w:t>《危险性较大的分部分项工程安全管理规定》（建设部令第37号）</w:t>
      </w:r>
      <w:r>
        <w:rPr>
          <w:rFonts w:hint="eastAsia" w:ascii="宋体" w:hAnsi="宋体" w:cs="宋体"/>
          <w:szCs w:val="22"/>
        </w:rPr>
        <w:t>2019年修订版</w:t>
      </w:r>
      <w:r>
        <w:rPr>
          <w:rFonts w:hint="eastAsia" w:ascii="宋体" w:hAnsi="宋体" w:cs="宋体"/>
        </w:rPr>
        <w:t>、《住房城乡建设部办公厅关于实施&lt;危险性较大的分部分项工程安全管理规定&gt;有关问题的通知》（建办质〔</w:t>
      </w:r>
      <w:r>
        <w:rPr>
          <w:rFonts w:ascii="宋体" w:hAnsi="宋体" w:cs="宋体"/>
        </w:rPr>
        <w:t>2018〕31号</w:t>
      </w:r>
      <w:r>
        <w:rPr>
          <w:rFonts w:hint="eastAsia" w:ascii="宋体" w:hAnsi="宋体" w:cs="宋体"/>
        </w:rPr>
        <w:t>）以及《广西壮族自治区房屋建筑和市政基础设施工程危险性较大的分部分项工程安全管理实施细则》</w:t>
      </w:r>
    </w:p>
    <w:p>
      <w:pPr>
        <w:pStyle w:val="16"/>
        <w:rPr>
          <w:rFonts w:hint="eastAsia"/>
        </w:rPr>
      </w:pPr>
    </w:p>
    <w:p>
      <w:r>
        <w:br w:type="page"/>
      </w:r>
      <w:bookmarkStart w:id="2216" w:name="_Toc407135288"/>
      <w:bookmarkStart w:id="2217" w:name="_Toc389065348"/>
      <w:bookmarkStart w:id="2218" w:name="_Toc358569767"/>
      <w:r>
        <w:t xml:space="preserve"> </w:t>
      </w:r>
    </w:p>
    <w:p>
      <w:pPr>
        <w:pStyle w:val="3"/>
        <w:jc w:val="center"/>
        <w:rPr>
          <w:rFonts w:cs="黑体"/>
        </w:rPr>
      </w:pPr>
      <w:bookmarkStart w:id="2219" w:name="_Toc11755"/>
      <w:r>
        <w:rPr>
          <w:rFonts w:hint="eastAsia" w:cs="黑体"/>
        </w:rPr>
        <w:t>第八章</w:t>
      </w:r>
      <w:r>
        <w:rPr>
          <w:rFonts w:cs="黑体"/>
        </w:rPr>
        <w:t xml:space="preserve"> </w:t>
      </w:r>
      <w:r>
        <w:rPr>
          <w:rFonts w:hint="eastAsia" w:cs="黑体"/>
        </w:rPr>
        <w:t>技术标准和要求</w:t>
      </w:r>
      <w:bookmarkEnd w:id="2216"/>
      <w:bookmarkEnd w:id="2217"/>
      <w:bookmarkEnd w:id="2218"/>
      <w:bookmarkEnd w:id="2219"/>
    </w:p>
    <w:p>
      <w:pPr>
        <w:jc w:val="center"/>
      </w:pPr>
      <w:bookmarkStart w:id="2220" w:name="_Toc349555826"/>
      <w:bookmarkStart w:id="2221" w:name="_Toc349557651"/>
    </w:p>
    <w:p>
      <w:pPr>
        <w:jc w:val="center"/>
      </w:pPr>
    </w:p>
    <w:bookmarkEnd w:id="2220"/>
    <w:bookmarkEnd w:id="2221"/>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一、工程建设地点的现场条件：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（一）现场自然条件（包括：现场环境、地形、地貌、地质、水文、地震烈度及气温、雨量、风向、风力等。）详见设计图纸，已满足施工要求。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（二）现场施工条件（包括：建设用地面积、建筑物占地面积、场地拆迁及平整情况，施工用水、电及有关勘探资料等。）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详见设计图纸，现场已符合施工要求。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二、技术规范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w:t>
      </w:r>
      <w:r>
        <w:rPr>
          <w:rFonts w:hint="eastAsia" w:ascii="宋体" w:hAnsi="宋体" w:eastAsia="宋体" w:cs="宋体"/>
          <w:color w:val="000000"/>
          <w:sz w:val="21"/>
          <w:szCs w:val="21"/>
          <w:highlight w:val="none"/>
        </w:rPr>
        <w:t>本项目应该认真按照设计施工图纸的要求进行施工，并严格执行国家有关部门颁布的现</w:t>
      </w:r>
      <w:r>
        <w:rPr>
          <w:rFonts w:hint="eastAsia" w:ascii="宋体" w:hAnsi="宋体" w:eastAsia="宋体" w:cs="宋体"/>
          <w:color w:val="000000"/>
          <w:sz w:val="21"/>
          <w:szCs w:val="21"/>
          <w:highlight w:val="none"/>
          <w:lang w:val="en-US" w:eastAsia="zh-CN"/>
        </w:rPr>
        <w:t>行国家标准、行业标准和地方标准。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en-US" w:eastAsia="zh-CN"/>
        </w:rPr>
      </w:pPr>
      <w:bookmarkStart w:id="2222" w:name="EB6b501df84a594a89b88f70a2dd3abb26"/>
      <w:r>
        <w:rPr>
          <w:rFonts w:hint="eastAsia" w:ascii="宋体" w:hAnsi="宋体" w:eastAsia="宋体" w:cs="宋体"/>
          <w:color w:val="000000"/>
          <w:sz w:val="21"/>
          <w:szCs w:val="21"/>
          <w:highlight w:val="none"/>
          <w:lang w:val="en-US" w:eastAsia="zh-CN"/>
        </w:rPr>
        <w:t>（二）竣工质量检验评定标准执行国家有关部门颁布的现行国家标准、行业标准和地方标准。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（三）工程建设地点的现场条件:详见施工图纸及相关技术资料。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（四）工程承包范围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按发包人提供的施工图纸及工程量清单规定的内容，均由承包人负责施工和保修。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发包人另行委托工程由发包人与专业工程承包单位签订施工合同，承包人承担配合相应专业工程项目实施及竣工验收资料整理及报送的责任和义务。</w:t>
      </w:r>
      <w:bookmarkEnd w:id="2222"/>
    </w:p>
    <w:p>
      <w:pPr>
        <w:spacing w:line="600" w:lineRule="exact"/>
        <w:ind w:firstLine="420" w:firstLineChars="200"/>
        <w:rPr>
          <w:rFonts w:hint="eastAsia" w:ascii="宋体" w:hAnsi="宋体"/>
        </w:rPr>
      </w:pPr>
    </w:p>
    <w:p>
      <w:pPr>
        <w:spacing w:line="600" w:lineRule="exact"/>
        <w:ind w:firstLine="420" w:firstLineChars="200"/>
        <w:rPr>
          <w:rFonts w:hint="eastAsia" w:ascii="宋体" w:hAnsi="宋体"/>
        </w:rPr>
      </w:pPr>
    </w:p>
    <w:p>
      <w:pPr>
        <w:spacing w:line="600" w:lineRule="exact"/>
        <w:ind w:firstLine="420" w:firstLineChars="200"/>
        <w:rPr>
          <w:rFonts w:ascii="宋体" w:hAnsi="宋体"/>
          <w:b/>
          <w:bCs/>
          <w:kern w:val="44"/>
        </w:rPr>
      </w:pPr>
      <w:r>
        <w:rPr>
          <w:rFonts w:ascii="宋体" w:hAnsi="宋体"/>
        </w:rPr>
        <w:br w:type="page"/>
      </w:r>
    </w:p>
    <w:p/>
    <w:p>
      <w:pPr>
        <w:pStyle w:val="3"/>
        <w:jc w:val="center"/>
      </w:pPr>
      <w:bookmarkStart w:id="2223" w:name="_Toc358569769"/>
      <w:bookmarkStart w:id="2224" w:name="_Toc407135289"/>
      <w:bookmarkStart w:id="2225" w:name="_Toc389065350"/>
      <w:bookmarkStart w:id="2226" w:name="_Toc1667"/>
      <w:r>
        <w:rPr>
          <w:rFonts w:hint="eastAsia" w:cs="黑体"/>
        </w:rPr>
        <w:t>第九章</w:t>
      </w:r>
      <w:r>
        <w:t xml:space="preserve"> </w:t>
      </w:r>
      <w:r>
        <w:rPr>
          <w:rFonts w:hint="eastAsia" w:cs="黑体"/>
        </w:rPr>
        <w:t>投标文件格式</w:t>
      </w:r>
      <w:bookmarkEnd w:id="2223"/>
      <w:bookmarkEnd w:id="2224"/>
      <w:bookmarkEnd w:id="2225"/>
      <w:bookmarkEnd w:id="2226"/>
    </w:p>
    <w:p>
      <w:pPr>
        <w:rPr>
          <w:sz w:val="32"/>
          <w:szCs w:val="32"/>
        </w:rPr>
      </w:pPr>
    </w:p>
    <w:p>
      <w:pPr>
        <w:jc w:val="center"/>
        <w:rPr>
          <w:sz w:val="32"/>
          <w:szCs w:val="32"/>
        </w:rPr>
      </w:pPr>
      <w:r>
        <w:rPr>
          <w:sz w:val="32"/>
          <w:szCs w:val="32"/>
        </w:rPr>
        <w:br w:type="page"/>
      </w:r>
    </w:p>
    <w:p>
      <w:pPr>
        <w:jc w:val="center"/>
        <w:rPr>
          <w:sz w:val="28"/>
          <w:szCs w:val="28"/>
        </w:rPr>
      </w:pPr>
      <w:r>
        <w:rPr>
          <w:sz w:val="32"/>
          <w:szCs w:val="32"/>
          <w:u w:val="single"/>
        </w:rPr>
        <w:t xml:space="preserve">             </w:t>
      </w:r>
      <w:r>
        <w:rPr>
          <w:rFonts w:hint="eastAsia" w:cs="宋体"/>
          <w:sz w:val="28"/>
          <w:szCs w:val="28"/>
          <w:u w:val="single"/>
        </w:rPr>
        <w:t>（项目名称）</w:t>
      </w:r>
      <w:r>
        <w:rPr>
          <w:rFonts w:hint="eastAsia" w:cs="宋体"/>
          <w:sz w:val="28"/>
          <w:szCs w:val="28"/>
          <w:u w:val="single"/>
          <w:lang w:val="en-US" w:eastAsia="zh-CN"/>
        </w:rPr>
        <w:t xml:space="preserve">    </w:t>
      </w:r>
      <w:r>
        <w:rPr>
          <w:rFonts w:hint="eastAsia" w:cs="宋体"/>
          <w:sz w:val="28"/>
          <w:szCs w:val="28"/>
          <w:u w:val="single"/>
          <w:lang w:eastAsia="zh-CN"/>
        </w:rPr>
        <w:t>（</w:t>
      </w:r>
      <w:r>
        <w:rPr>
          <w:rFonts w:hint="eastAsia" w:cs="宋体"/>
          <w:sz w:val="28"/>
          <w:szCs w:val="28"/>
          <w:u w:val="single"/>
          <w:lang w:val="en-US" w:eastAsia="zh-CN"/>
        </w:rPr>
        <w:t>标段名称</w:t>
      </w:r>
      <w:r>
        <w:rPr>
          <w:rFonts w:hint="eastAsia" w:cs="宋体"/>
          <w:sz w:val="28"/>
          <w:szCs w:val="28"/>
          <w:u w:val="single"/>
          <w:lang w:eastAsia="zh-CN"/>
        </w:rPr>
        <w:t>）</w:t>
      </w:r>
      <w:r>
        <w:rPr>
          <w:rFonts w:hint="eastAsia" w:cs="宋体"/>
          <w:sz w:val="28"/>
          <w:szCs w:val="28"/>
          <w:u w:val="single"/>
          <w:lang w:val="en-US" w:eastAsia="zh-CN"/>
        </w:rPr>
        <w:t xml:space="preserve">   </w:t>
      </w:r>
      <w:r>
        <w:rPr>
          <w:rFonts w:hint="eastAsia" w:cs="宋体"/>
          <w:sz w:val="28"/>
          <w:szCs w:val="28"/>
        </w:rPr>
        <w:t>施工招标</w:t>
      </w:r>
    </w:p>
    <w:p>
      <w:pPr>
        <w:jc w:val="center"/>
        <w:rPr>
          <w:sz w:val="28"/>
          <w:szCs w:val="28"/>
        </w:rPr>
      </w:pPr>
    </w:p>
    <w:p>
      <w:pPr>
        <w:spacing w:before="240"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rFonts w:hint="default" w:eastAsia="宋体" w:cs="宋体"/>
          <w:sz w:val="28"/>
          <w:szCs w:val="28"/>
          <w:u w:val="single"/>
          <w:lang w:val="en-US" w:eastAsia="zh-CN"/>
        </w:rPr>
      </w:pPr>
      <w:r>
        <w:rPr>
          <w:rFonts w:hint="eastAsia" w:cs="宋体"/>
          <w:sz w:val="28"/>
          <w:szCs w:val="28"/>
        </w:rPr>
        <w:t>所投分标：</w:t>
      </w:r>
      <w:r>
        <w:rPr>
          <w:rFonts w:hint="eastAsia" w:cs="宋体"/>
          <w:sz w:val="28"/>
          <w:szCs w:val="28"/>
          <w:u w:val="single"/>
          <w:lang w:val="en-US" w:eastAsia="zh-CN"/>
        </w:rPr>
        <w:t xml:space="preserve">                         </w:t>
      </w:r>
    </w:p>
    <w:p>
      <w:pPr>
        <w:spacing w:line="360" w:lineRule="auto"/>
        <w:ind w:firstLine="1400" w:firstLineChars="500"/>
        <w:rPr>
          <w:sz w:val="28"/>
          <w:szCs w:val="28"/>
        </w:rPr>
      </w:pPr>
      <w:r>
        <w:rPr>
          <w:rFonts w:hint="eastAsia" w:cs="宋体"/>
          <w:sz w:val="28"/>
          <w:szCs w:val="28"/>
        </w:rPr>
        <w:t>投标内容：</w:t>
      </w:r>
      <w:r>
        <w:rPr>
          <w:sz w:val="28"/>
          <w:szCs w:val="28"/>
          <w:u w:val="single"/>
        </w:rPr>
        <w:t xml:space="preserve">       </w:t>
      </w:r>
      <w:r>
        <w:rPr>
          <w:rFonts w:hint="eastAsia" w:cs="宋体"/>
          <w:sz w:val="28"/>
          <w:szCs w:val="28"/>
          <w:u w:val="single"/>
        </w:rPr>
        <w:t>资格审查部分</w:t>
      </w:r>
      <w:r>
        <w:rPr>
          <w:rFonts w:hint="eastAsia" w:cs="宋体"/>
          <w:sz w:val="28"/>
          <w:szCs w:val="28"/>
          <w:u w:val="single"/>
          <w:lang w:val="en-US" w:eastAsia="zh-CN"/>
        </w:rPr>
        <w:t xml:space="preserve">    </w:t>
      </w:r>
      <w:r>
        <w:rPr>
          <w:sz w:val="28"/>
          <w:szCs w:val="28"/>
          <w:u w:val="single"/>
        </w:rPr>
        <w:t xml:space="preserve">  </w:t>
      </w:r>
    </w:p>
    <w:p>
      <w:pPr>
        <w:spacing w:line="360" w:lineRule="auto"/>
        <w:ind w:firstLine="1400" w:firstLineChars="500"/>
        <w:rPr>
          <w:sz w:val="28"/>
          <w:szCs w:val="28"/>
        </w:rPr>
      </w:pPr>
      <w:r>
        <w:rPr>
          <w:rFonts w:hint="eastAsia" w:cs="宋体"/>
          <w:sz w:val="28"/>
          <w:szCs w:val="28"/>
        </w:rPr>
        <w:t>投标人：</w:t>
      </w:r>
      <w:r>
        <w:rPr>
          <w:sz w:val="28"/>
          <w:szCs w:val="28"/>
          <w:u w:val="single"/>
        </w:rPr>
        <w:t xml:space="preserve">                                 </w:t>
      </w:r>
      <w:r>
        <w:rPr>
          <w:rFonts w:hint="eastAsia" w:cs="宋体"/>
          <w:sz w:val="28"/>
          <w:szCs w:val="28"/>
        </w:rPr>
        <w:t>（</w:t>
      </w:r>
      <w:r>
        <w:rPr>
          <w:rFonts w:hint="eastAsia" w:cs="宋体"/>
          <w:sz w:val="28"/>
          <w:szCs w:val="28"/>
          <w:lang w:eastAsia="zh-CN"/>
        </w:rPr>
        <w:t>电子签章</w:t>
      </w:r>
      <w:r>
        <w:rPr>
          <w:rFonts w:hint="eastAsia" w:cs="宋体"/>
          <w:sz w:val="28"/>
          <w:szCs w:val="28"/>
        </w:rPr>
        <w:t>）</w:t>
      </w:r>
    </w:p>
    <w:p>
      <w:pPr>
        <w:spacing w:line="360" w:lineRule="auto"/>
        <w:ind w:firstLine="1400" w:firstLineChars="500"/>
        <w:rPr>
          <w:sz w:val="28"/>
          <w:szCs w:val="28"/>
        </w:rPr>
      </w:pPr>
      <w:r>
        <w:rPr>
          <w:rFonts w:hint="eastAsia" w:cs="宋体"/>
          <w:sz w:val="28"/>
          <w:szCs w:val="28"/>
        </w:rPr>
        <w:t>法定代表人：</w:t>
      </w:r>
      <w:r>
        <w:rPr>
          <w:sz w:val="28"/>
          <w:szCs w:val="28"/>
          <w:u w:val="single"/>
        </w:rPr>
        <w:t xml:space="preserve">              </w:t>
      </w:r>
      <w:r>
        <w:rPr>
          <w:rFonts w:hint="eastAsia" w:cs="宋体"/>
          <w:sz w:val="28"/>
          <w:szCs w:val="28"/>
        </w:rPr>
        <w:t>（签字或</w:t>
      </w:r>
      <w:r>
        <w:rPr>
          <w:rFonts w:hint="eastAsia" w:cs="宋体"/>
          <w:sz w:val="28"/>
          <w:szCs w:val="28"/>
          <w:lang w:eastAsia="zh-CN"/>
        </w:rPr>
        <w:t>签章</w:t>
      </w:r>
      <w:r>
        <w:rPr>
          <w:rFonts w:hint="eastAsia" w:cs="宋体"/>
          <w:sz w:val="28"/>
          <w:szCs w:val="28"/>
        </w:rPr>
        <w:t>）</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spacing w:before="240" w:beforeLines="100" w:after="240" w:afterLines="100"/>
        <w:rPr>
          <w:rFonts w:eastAsia="楷体_GB2312"/>
        </w:rPr>
      </w:pPr>
      <w:r>
        <w:rPr>
          <w:rFonts w:eastAsia="楷体_GB2312"/>
        </w:rPr>
        <w:t xml:space="preserve"> </w:t>
      </w:r>
    </w:p>
    <w:p>
      <w:pPr>
        <w:spacing w:line="480" w:lineRule="auto"/>
        <w:jc w:val="center"/>
        <w:rPr>
          <w:rFonts w:hint="eastAsia" w:ascii="宋体" w:hAnsi="宋体" w:eastAsia="宋体" w:cs="宋体"/>
          <w:b/>
          <w:bCs/>
          <w:color w:val="000000"/>
          <w:kern w:val="2"/>
          <w:sz w:val="30"/>
          <w:szCs w:val="30"/>
          <w:highlight w:val="none"/>
          <w:lang w:val="en-US" w:eastAsia="zh-CN" w:bidi="ar-SA"/>
        </w:rPr>
      </w:pPr>
      <w:r>
        <w:br w:type="page"/>
      </w:r>
      <w:bookmarkStart w:id="2227" w:name="_Toc349555831"/>
      <w:bookmarkStart w:id="2228" w:name="_Toc251051976"/>
      <w:bookmarkStart w:id="2229" w:name="_Toc349215544"/>
      <w:bookmarkStart w:id="2230" w:name="_Toc173558684"/>
      <w:bookmarkStart w:id="2231" w:name="_Toc158458008"/>
      <w:bookmarkStart w:id="2232" w:name="_Toc163270989"/>
      <w:r>
        <w:rPr>
          <w:rFonts w:hint="eastAsia" w:ascii="宋体" w:hAnsi="宋体" w:eastAsia="宋体" w:cs="宋体"/>
          <w:b/>
          <w:bCs/>
          <w:color w:val="000000"/>
          <w:kern w:val="2"/>
          <w:sz w:val="30"/>
          <w:szCs w:val="30"/>
          <w:highlight w:val="none"/>
          <w:lang w:val="en-US" w:eastAsia="zh-CN" w:bidi="ar-SA"/>
        </w:rPr>
        <w:t>1、投标文件签署授权委托书</w:t>
      </w:r>
      <w:bookmarkEnd w:id="2227"/>
      <w:bookmarkEnd w:id="2228"/>
      <w:bookmarkEnd w:id="2229"/>
    </w:p>
    <w:p>
      <w:pPr>
        <w:spacing w:after="156" w:line="360" w:lineRule="auto"/>
        <w:rPr>
          <w:rFonts w:hint="eastAsia" w:ascii="宋体" w:hAnsi="宋体" w:eastAsia="宋体" w:cs="宋体"/>
          <w:b/>
          <w:color w:val="000000"/>
          <w:highlight w:val="none"/>
        </w:rPr>
      </w:pPr>
    </w:p>
    <w:p>
      <w:pPr>
        <w:spacing w:line="460" w:lineRule="exact"/>
        <w:ind w:firstLine="612"/>
        <w:rPr>
          <w:rFonts w:hint="eastAsia" w:ascii="宋体" w:hAnsi="宋体" w:eastAsia="宋体" w:cs="宋体"/>
          <w:color w:val="000000"/>
          <w:highlight w:val="none"/>
        </w:rPr>
      </w:pPr>
      <w:bookmarkStart w:id="2233" w:name="_Toc251051977"/>
      <w:r>
        <w:rPr>
          <w:rFonts w:hint="eastAsia" w:ascii="宋体" w:hAnsi="宋体" w:eastAsia="宋体" w:cs="宋体"/>
          <w:color w:val="000000"/>
          <w:highlight w:val="none"/>
        </w:rPr>
        <w:t>本授权委托书声明：我</w:t>
      </w:r>
      <w:r>
        <w:rPr>
          <w:rFonts w:hint="eastAsia" w:ascii="宋体" w:hAnsi="宋体" w:eastAsia="宋体" w:cs="宋体"/>
          <w:color w:val="000000"/>
          <w:szCs w:val="21"/>
          <w:highlight w:val="none"/>
          <w:u w:val="single"/>
        </w:rPr>
        <w:t> </w:t>
      </w:r>
      <w:r>
        <w:rPr>
          <w:rFonts w:hint="eastAsia" w:ascii="宋体" w:hAnsi="宋体" w:eastAsia="宋体" w:cs="宋体"/>
          <w:color w:val="000000"/>
          <w:highlight w:val="none"/>
        </w:rPr>
        <w:t>（姓名）系</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（投标人名称）的法定代表人，现授权委托</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（单位名称）的</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（姓名）为我公司签署</w:t>
      </w:r>
      <w:r>
        <w:rPr>
          <w:rFonts w:hint="eastAsia" w:ascii="宋体" w:hAnsi="宋体" w:eastAsia="宋体" w:cs="宋体"/>
          <w:color w:val="000000"/>
          <w:highlight w:val="none"/>
          <w:u w:val="single"/>
        </w:rPr>
        <w:t xml:space="preserve">              （项目名称及项目编号）           （标段名称） </w:t>
      </w:r>
      <w:r>
        <w:rPr>
          <w:rFonts w:hint="eastAsia" w:ascii="宋体" w:hAnsi="宋体" w:eastAsia="宋体" w:cs="宋体"/>
          <w:color w:val="000000"/>
          <w:highlight w:val="none"/>
        </w:rPr>
        <w:t>的投标文件的法定代表人授权委托代理人，我承认代理人全权代表我所签署的本工程的投标文件的内容。</w:t>
      </w:r>
      <w:bookmarkEnd w:id="2233"/>
    </w:p>
    <w:p>
      <w:pPr>
        <w:spacing w:line="480" w:lineRule="auto"/>
        <w:ind w:firstLine="610"/>
        <w:rPr>
          <w:rFonts w:hint="eastAsia" w:ascii="宋体" w:hAnsi="宋体" w:eastAsia="宋体" w:cs="宋体"/>
          <w:color w:val="000000"/>
          <w:highlight w:val="none"/>
        </w:rPr>
      </w:pPr>
    </w:p>
    <w:p>
      <w:pPr>
        <w:spacing w:line="480" w:lineRule="auto"/>
        <w:ind w:firstLine="697"/>
        <w:rPr>
          <w:rFonts w:hint="eastAsia" w:ascii="宋体" w:hAnsi="宋体" w:eastAsia="宋体" w:cs="宋体"/>
          <w:color w:val="000000"/>
          <w:highlight w:val="none"/>
        </w:rPr>
      </w:pPr>
      <w:bookmarkStart w:id="2234" w:name="_Toc251051978"/>
      <w:r>
        <w:rPr>
          <w:rFonts w:hint="eastAsia" w:ascii="宋体" w:hAnsi="宋体" w:eastAsia="宋体" w:cs="宋体"/>
          <w:color w:val="000000"/>
          <w:highlight w:val="none"/>
        </w:rPr>
        <w:t>代理人无转委托权，特此委托。</w:t>
      </w:r>
      <w:bookmarkEnd w:id="2234"/>
    </w:p>
    <w:p>
      <w:pPr>
        <w:spacing w:line="360" w:lineRule="auto"/>
        <w:ind w:left="1260"/>
        <w:rPr>
          <w:rFonts w:hint="eastAsia" w:ascii="宋体" w:hAnsi="宋体" w:eastAsia="宋体" w:cs="宋体"/>
          <w:color w:val="000000"/>
          <w:highlight w:val="none"/>
        </w:rPr>
      </w:pPr>
    </w:p>
    <w:p>
      <w:pPr>
        <w:spacing w:line="360" w:lineRule="auto"/>
        <w:ind w:left="1260"/>
        <w:rPr>
          <w:rFonts w:hint="eastAsia" w:ascii="宋体" w:hAnsi="宋体" w:eastAsia="宋体" w:cs="宋体"/>
          <w:color w:val="000000"/>
          <w:highlight w:val="none"/>
        </w:rPr>
      </w:pPr>
    </w:p>
    <w:p>
      <w:pPr>
        <w:spacing w:line="360" w:lineRule="auto"/>
        <w:ind w:left="1260"/>
        <w:rPr>
          <w:rFonts w:hint="eastAsia" w:ascii="宋体" w:hAnsi="宋体" w:eastAsia="宋体" w:cs="宋体"/>
          <w:color w:val="000000"/>
          <w:highlight w:val="none"/>
        </w:rPr>
      </w:pPr>
    </w:p>
    <w:p>
      <w:pPr>
        <w:spacing w:line="360" w:lineRule="auto"/>
        <w:ind w:left="1260"/>
        <w:rPr>
          <w:rFonts w:hint="eastAsia" w:ascii="宋体" w:hAnsi="宋体" w:eastAsia="宋体" w:cs="宋体"/>
          <w:color w:val="000000"/>
          <w:highlight w:val="none"/>
        </w:rPr>
      </w:pPr>
    </w:p>
    <w:p>
      <w:pPr>
        <w:spacing w:line="480" w:lineRule="auto"/>
        <w:ind w:left="1260"/>
        <w:rPr>
          <w:rFonts w:hint="eastAsia" w:ascii="宋体" w:hAnsi="宋体" w:eastAsia="宋体" w:cs="宋体"/>
          <w:color w:val="000000"/>
          <w:highlight w:val="none"/>
        </w:rPr>
      </w:pPr>
    </w:p>
    <w:p>
      <w:pPr>
        <w:spacing w:line="480" w:lineRule="auto"/>
        <w:ind w:left="2699"/>
        <w:rPr>
          <w:rFonts w:hint="eastAsia" w:ascii="宋体" w:hAnsi="宋体" w:eastAsia="宋体" w:cs="宋体"/>
          <w:color w:val="000000"/>
          <w:highlight w:val="none"/>
          <w:u w:val="single"/>
        </w:rPr>
      </w:pPr>
      <w:bookmarkStart w:id="2235" w:name="_Toc251051979"/>
      <w:r>
        <w:rPr>
          <w:rFonts w:hint="eastAsia" w:ascii="宋体" w:hAnsi="宋体" w:eastAsia="宋体" w:cs="宋体"/>
          <w:color w:val="000000"/>
          <w:highlight w:val="none"/>
        </w:rPr>
        <w:t>代理人：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性别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年龄：_______</w:t>
      </w:r>
      <w:bookmarkEnd w:id="2235"/>
    </w:p>
    <w:p>
      <w:pPr>
        <w:spacing w:line="480" w:lineRule="auto"/>
        <w:ind w:left="2699"/>
        <w:rPr>
          <w:rFonts w:hint="eastAsia" w:ascii="宋体" w:hAnsi="宋体" w:eastAsia="宋体" w:cs="宋体"/>
          <w:color w:val="000000"/>
          <w:highlight w:val="none"/>
        </w:rPr>
      </w:pPr>
      <w:bookmarkStart w:id="2236" w:name="_Toc251051980"/>
      <w:r>
        <w:rPr>
          <w:rFonts w:hint="eastAsia" w:ascii="宋体" w:hAnsi="宋体" w:eastAsia="宋体" w:cs="宋体"/>
          <w:color w:val="000000"/>
          <w:highlight w:val="none"/>
        </w:rPr>
        <w:t>身份证号码：</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职务：</w:t>
      </w:r>
      <w:bookmarkEnd w:id="2236"/>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 </w:t>
      </w:r>
    </w:p>
    <w:p>
      <w:pPr>
        <w:spacing w:line="480" w:lineRule="auto"/>
        <w:ind w:left="2699"/>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pPr>
        <w:spacing w:line="480" w:lineRule="auto"/>
        <w:ind w:left="2699"/>
        <w:rPr>
          <w:rFonts w:hint="eastAsia" w:ascii="宋体" w:hAnsi="宋体" w:eastAsia="宋体" w:cs="宋体"/>
          <w:color w:val="000000"/>
          <w:highlight w:val="none"/>
        </w:rPr>
      </w:pPr>
      <w:bookmarkStart w:id="2237" w:name="_Toc251051981"/>
      <w:r>
        <w:rPr>
          <w:rFonts w:hint="eastAsia" w:ascii="宋体" w:hAnsi="宋体" w:eastAsia="宋体" w:cs="宋体"/>
          <w:color w:val="000000"/>
          <w:highlight w:val="none"/>
        </w:rPr>
        <w:t>投标人：</w:t>
      </w:r>
      <w:r>
        <w:rPr>
          <w:rFonts w:hint="eastAsia" w:ascii="宋体" w:hAnsi="宋体" w:eastAsia="宋体" w:cs="宋体"/>
          <w:color w:val="000000"/>
          <w:highlight w:val="none"/>
          <w:u w:val="single"/>
        </w:rPr>
        <w:t xml:space="preserve">                                  （电子签章）</w:t>
      </w:r>
      <w:bookmarkEnd w:id="2237"/>
    </w:p>
    <w:p>
      <w:pPr>
        <w:spacing w:line="480" w:lineRule="auto"/>
        <w:ind w:left="2699"/>
        <w:rPr>
          <w:rFonts w:hint="eastAsia" w:ascii="宋体" w:hAnsi="宋体" w:eastAsia="宋体" w:cs="宋体"/>
          <w:color w:val="000000"/>
          <w:highlight w:val="none"/>
        </w:rPr>
      </w:pPr>
      <w:bookmarkStart w:id="2238" w:name="_Toc251051982"/>
      <w:r>
        <w:rPr>
          <w:rFonts w:hint="eastAsia" w:ascii="宋体" w:hAnsi="宋体" w:eastAsia="宋体" w:cs="宋体"/>
          <w:color w:val="000000"/>
          <w:highlight w:val="none"/>
        </w:rPr>
        <w:t>法定代表人：</w:t>
      </w:r>
      <w:r>
        <w:rPr>
          <w:rFonts w:hint="eastAsia" w:ascii="宋体" w:hAnsi="宋体" w:eastAsia="宋体" w:cs="宋体"/>
          <w:color w:val="000000"/>
          <w:highlight w:val="none"/>
          <w:u w:val="single"/>
        </w:rPr>
        <w:t xml:space="preserve">                            （签字或</w:t>
      </w:r>
      <w:r>
        <w:rPr>
          <w:rFonts w:hint="eastAsia" w:ascii="宋体" w:hAnsi="宋体" w:cs="宋体"/>
          <w:color w:val="000000"/>
          <w:highlight w:val="none"/>
          <w:u w:val="single"/>
          <w:lang w:eastAsia="zh-CN"/>
        </w:rPr>
        <w:t>签章</w:t>
      </w:r>
      <w:r>
        <w:rPr>
          <w:rFonts w:hint="eastAsia" w:ascii="宋体" w:hAnsi="宋体" w:eastAsia="宋体" w:cs="宋体"/>
          <w:color w:val="000000"/>
          <w:highlight w:val="none"/>
          <w:u w:val="single"/>
        </w:rPr>
        <w:t>）</w:t>
      </w:r>
      <w:bookmarkEnd w:id="2238"/>
    </w:p>
    <w:p>
      <w:pPr>
        <w:spacing w:line="480" w:lineRule="auto"/>
        <w:ind w:left="2699"/>
        <w:rPr>
          <w:rFonts w:hint="eastAsia" w:ascii="宋体" w:hAnsi="宋体" w:eastAsia="宋体" w:cs="宋体"/>
          <w:color w:val="000000"/>
          <w:highlight w:val="none"/>
        </w:rPr>
      </w:pPr>
      <w:bookmarkStart w:id="2239" w:name="_Toc251051983"/>
      <w:r>
        <w:rPr>
          <w:rFonts w:hint="eastAsia" w:ascii="宋体" w:hAnsi="宋体" w:eastAsia="宋体" w:cs="宋体"/>
          <w:color w:val="000000"/>
          <w:highlight w:val="none"/>
        </w:rPr>
        <w:t>授权委托日期：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日 </w:t>
      </w:r>
      <w:bookmarkEnd w:id="2239"/>
    </w:p>
    <w:p>
      <w:pPr>
        <w:spacing w:line="360" w:lineRule="auto"/>
        <w:rPr>
          <w:rFonts w:hint="eastAsia" w:ascii="宋体" w:hAnsi="宋体" w:eastAsia="宋体" w:cs="宋体"/>
          <w:color w:val="000000"/>
          <w:highlight w:val="none"/>
        </w:rPr>
      </w:pPr>
    </w:p>
    <w:p>
      <w:pPr>
        <w:spacing w:before="120" w:beforeLines="50" w:after="240" w:afterLines="100" w:line="440" w:lineRule="exact"/>
        <w:rPr>
          <w:rFonts w:hint="eastAsia" w:ascii="宋体" w:hAnsi="宋体" w:eastAsia="宋体" w:cs="宋体"/>
          <w:color w:val="000000"/>
          <w:highlight w:val="none"/>
        </w:rPr>
      </w:pPr>
      <w:r>
        <w:rPr>
          <w:rFonts w:hint="eastAsia" w:ascii="宋体" w:hAnsi="宋体" w:eastAsia="宋体" w:cs="宋体"/>
          <w:color w:val="000000"/>
          <w:highlight w:val="none"/>
        </w:rPr>
        <w:t>【备注：</w:t>
      </w:r>
      <w:r>
        <w:rPr>
          <w:rFonts w:hint="eastAsia" w:ascii="宋体" w:hAnsi="宋体" w:cs="宋体"/>
          <w:color w:val="000000"/>
          <w:highlight w:val="none"/>
          <w:lang w:eastAsia="zh-CN"/>
        </w:rPr>
        <w:t>委托代理时，必须</w:t>
      </w:r>
      <w:r>
        <w:rPr>
          <w:rFonts w:hint="eastAsia" w:ascii="宋体" w:hAnsi="宋体" w:eastAsia="宋体" w:cs="宋体"/>
          <w:color w:val="000000"/>
          <w:highlight w:val="none"/>
        </w:rPr>
        <w:t>附法定代表人身份证明及其身份证、委托代理人身份证，以上复印件均须加盖投标人单位公章】</w:t>
      </w:r>
    </w:p>
    <w:p>
      <w:pPr>
        <w:spacing w:before="120" w:beforeLines="50" w:after="240" w:afterLines="100" w:line="440" w:lineRule="exact"/>
        <w:rPr>
          <w:rFonts w:hint="eastAsia" w:ascii="宋体" w:hAnsi="宋体" w:eastAsia="宋体" w:cs="宋体"/>
          <w:color w:val="000000"/>
          <w:highlight w:val="none"/>
        </w:rPr>
      </w:pPr>
    </w:p>
    <w:p>
      <w:pPr>
        <w:spacing w:before="120" w:beforeLines="50" w:after="240" w:afterLines="100" w:line="440" w:lineRule="exact"/>
        <w:rPr>
          <w:rFonts w:hint="eastAsia" w:ascii="宋体" w:hAnsi="宋体" w:eastAsia="宋体" w:cs="宋体"/>
          <w:color w:val="000000"/>
          <w:highlight w:val="none"/>
        </w:rPr>
      </w:pPr>
    </w:p>
    <w:p>
      <w:pPr>
        <w:spacing w:before="120" w:beforeLines="50" w:after="240" w:afterLines="100" w:line="440" w:lineRule="exact"/>
        <w:rPr>
          <w:rFonts w:hint="eastAsia" w:ascii="宋体" w:hAnsi="宋体" w:eastAsia="宋体" w:cs="宋体"/>
          <w:color w:val="000000"/>
          <w:highlight w:val="none"/>
        </w:rPr>
      </w:pPr>
    </w:p>
    <w:p>
      <w:pPr>
        <w:spacing w:line="480" w:lineRule="auto"/>
        <w:ind w:firstLine="525" w:firstLineChars="250"/>
        <w:jc w:val="center"/>
        <w:rPr>
          <w:rFonts w:hint="eastAsia" w:ascii="宋体" w:hAnsi="宋体" w:eastAsia="宋体" w:cs="宋体"/>
          <w:color w:val="000000"/>
          <w:sz w:val="28"/>
          <w:szCs w:val="28"/>
          <w:highlight w:val="none"/>
        </w:rPr>
      </w:pPr>
      <w:r>
        <w:rPr>
          <w:rFonts w:hint="eastAsia" w:ascii="宋体" w:hAnsi="宋体" w:eastAsia="宋体" w:cs="宋体"/>
          <w:color w:val="000000"/>
          <w:highlight w:val="none"/>
        </w:rPr>
        <w:br w:type="page"/>
      </w:r>
      <w:bookmarkEnd w:id="2230"/>
      <w:bookmarkEnd w:id="2231"/>
      <w:bookmarkEnd w:id="2232"/>
      <w:r>
        <w:rPr>
          <w:rFonts w:hint="eastAsia" w:ascii="宋体" w:hAnsi="宋体" w:eastAsia="宋体" w:cs="宋体"/>
          <w:b/>
          <w:color w:val="000000"/>
          <w:sz w:val="28"/>
          <w:szCs w:val="28"/>
          <w:highlight w:val="none"/>
        </w:rPr>
        <w:t>法定代表人身份证明</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 标 人：</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单位性质：</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成立时间：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经营期限：</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    名：</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性     别：</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龄：</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职     务：</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系</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（投标人名称）的法定代表人。</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特此证明。</w:t>
      </w:r>
    </w:p>
    <w:p>
      <w:pPr>
        <w:spacing w:line="500" w:lineRule="exact"/>
        <w:rPr>
          <w:rFonts w:hint="eastAsia" w:ascii="宋体" w:hAnsi="宋体" w:eastAsia="宋体" w:cs="宋体"/>
          <w:color w:val="000000"/>
          <w:szCs w:val="21"/>
          <w:highlight w:val="none"/>
        </w:rPr>
      </w:pPr>
    </w:p>
    <w:p>
      <w:pPr>
        <w:spacing w:line="500" w:lineRule="exact"/>
        <w:rPr>
          <w:rFonts w:hint="eastAsia" w:ascii="宋体" w:hAnsi="宋体" w:eastAsia="宋体" w:cs="宋体"/>
          <w:color w:val="000000"/>
          <w:szCs w:val="21"/>
          <w:highlight w:val="none"/>
        </w:rPr>
      </w:pPr>
    </w:p>
    <w:p>
      <w:pPr>
        <w:wordWrap w:val="0"/>
        <w:spacing w:line="500" w:lineRule="exact"/>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（电子签章）</w:t>
      </w:r>
    </w:p>
    <w:p>
      <w:pPr>
        <w:wordWrap w:val="0"/>
        <w:spacing w:line="500" w:lineRule="exact"/>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pStyle w:val="4"/>
      </w:pPr>
    </w:p>
    <w:p/>
    <w:p>
      <w:pPr>
        <w:pStyle w:val="4"/>
      </w:pPr>
    </w:p>
    <w:p/>
    <w:p>
      <w:pPr>
        <w:pStyle w:val="4"/>
      </w:pPr>
    </w:p>
    <w:p>
      <w:pPr>
        <w:pStyle w:val="4"/>
      </w:pPr>
    </w:p>
    <w:p/>
    <w:p/>
    <w:p>
      <w:pPr>
        <w:spacing w:line="480" w:lineRule="auto"/>
        <w:ind w:firstLine="753" w:firstLineChars="250"/>
        <w:jc w:val="center"/>
        <w:rPr>
          <w:rFonts w:hint="eastAsia" w:ascii="宋体" w:hAnsi="宋体" w:eastAsia="宋体" w:cs="宋体"/>
          <w:color w:val="000000"/>
          <w:sz w:val="24"/>
          <w:highlight w:val="none"/>
        </w:rPr>
      </w:pPr>
      <w:r>
        <w:rPr>
          <w:rFonts w:hint="eastAsia" w:ascii="宋体" w:hAnsi="宋体" w:eastAsia="宋体" w:cs="宋体"/>
          <w:b/>
          <w:bCs/>
          <w:color w:val="000000"/>
          <w:kern w:val="2"/>
          <w:sz w:val="30"/>
          <w:szCs w:val="30"/>
          <w:highlight w:val="none"/>
          <w:lang w:val="en-US" w:eastAsia="zh-CN" w:bidi="ar-SA"/>
        </w:rPr>
        <w:t>2、投标人基本情况表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投标人名称</w:t>
            </w:r>
          </w:p>
        </w:tc>
        <w:tc>
          <w:tcPr>
            <w:tcW w:w="7615" w:type="dxa"/>
            <w:gridSpan w:val="8"/>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389" w:type="dxa"/>
            <w:gridSpan w:val="4"/>
            <w:noWrap w:val="0"/>
            <w:vAlign w:val="center"/>
          </w:tcPr>
          <w:p>
            <w:pPr>
              <w:jc w:val="center"/>
              <w:rPr>
                <w:rFonts w:hint="eastAsia" w:ascii="宋体" w:hAnsi="宋体" w:eastAsia="宋体" w:cs="宋体"/>
                <w:color w:val="000000"/>
                <w:szCs w:val="21"/>
                <w:highlight w:val="none"/>
              </w:rPr>
            </w:pPr>
          </w:p>
        </w:tc>
        <w:tc>
          <w:tcPr>
            <w:tcW w:w="12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邮政编码</w:t>
            </w:r>
          </w:p>
        </w:tc>
        <w:tc>
          <w:tcPr>
            <w:tcW w:w="2980" w:type="dxa"/>
            <w:gridSpan w:val="3"/>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联系方式</w:t>
            </w:r>
          </w:p>
        </w:tc>
        <w:tc>
          <w:tcPr>
            <w:tcW w:w="89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联系人</w:t>
            </w:r>
          </w:p>
        </w:tc>
        <w:tc>
          <w:tcPr>
            <w:tcW w:w="2492" w:type="dxa"/>
            <w:gridSpan w:val="3"/>
            <w:noWrap w:val="0"/>
            <w:vAlign w:val="center"/>
          </w:tcPr>
          <w:p>
            <w:pPr>
              <w:jc w:val="center"/>
              <w:rPr>
                <w:rFonts w:hint="eastAsia" w:ascii="宋体" w:hAnsi="宋体" w:eastAsia="宋体" w:cs="宋体"/>
                <w:color w:val="000000"/>
                <w:szCs w:val="21"/>
                <w:highlight w:val="none"/>
              </w:rPr>
            </w:pPr>
          </w:p>
        </w:tc>
        <w:tc>
          <w:tcPr>
            <w:tcW w:w="12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  话</w:t>
            </w:r>
          </w:p>
        </w:tc>
        <w:tc>
          <w:tcPr>
            <w:tcW w:w="2980" w:type="dxa"/>
            <w:gridSpan w:val="3"/>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pPr>
              <w:jc w:val="center"/>
              <w:rPr>
                <w:rFonts w:hint="eastAsia" w:ascii="宋体" w:hAnsi="宋体" w:eastAsia="宋体" w:cs="宋体"/>
                <w:color w:val="000000"/>
                <w:szCs w:val="21"/>
                <w:highlight w:val="none"/>
              </w:rPr>
            </w:pPr>
          </w:p>
        </w:tc>
        <w:tc>
          <w:tcPr>
            <w:tcW w:w="89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传  真</w:t>
            </w:r>
          </w:p>
        </w:tc>
        <w:tc>
          <w:tcPr>
            <w:tcW w:w="2492" w:type="dxa"/>
            <w:gridSpan w:val="3"/>
            <w:noWrap w:val="0"/>
            <w:vAlign w:val="center"/>
          </w:tcPr>
          <w:p>
            <w:pPr>
              <w:jc w:val="center"/>
              <w:rPr>
                <w:rFonts w:hint="eastAsia" w:ascii="宋体" w:hAnsi="宋体" w:eastAsia="宋体" w:cs="宋体"/>
                <w:color w:val="000000"/>
                <w:szCs w:val="21"/>
                <w:highlight w:val="none"/>
              </w:rPr>
            </w:pPr>
          </w:p>
        </w:tc>
        <w:tc>
          <w:tcPr>
            <w:tcW w:w="12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网  址</w:t>
            </w:r>
          </w:p>
        </w:tc>
        <w:tc>
          <w:tcPr>
            <w:tcW w:w="2980" w:type="dxa"/>
            <w:gridSpan w:val="3"/>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统一社会信用代码</w:t>
            </w:r>
          </w:p>
        </w:tc>
        <w:tc>
          <w:tcPr>
            <w:tcW w:w="7615" w:type="dxa"/>
            <w:gridSpan w:val="8"/>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p>
        </w:tc>
        <w:tc>
          <w:tcPr>
            <w:tcW w:w="89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姓名</w:t>
            </w:r>
          </w:p>
        </w:tc>
        <w:tc>
          <w:tcPr>
            <w:tcW w:w="1021" w:type="dxa"/>
            <w:noWrap w:val="0"/>
            <w:vAlign w:val="center"/>
          </w:tcPr>
          <w:p>
            <w:pPr>
              <w:jc w:val="center"/>
              <w:rPr>
                <w:rFonts w:hint="eastAsia" w:ascii="宋体" w:hAnsi="宋体" w:eastAsia="宋体" w:cs="宋体"/>
                <w:color w:val="000000"/>
                <w:szCs w:val="21"/>
                <w:highlight w:val="none"/>
              </w:rPr>
            </w:pPr>
          </w:p>
        </w:tc>
        <w:tc>
          <w:tcPr>
            <w:tcW w:w="1160"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技术职称</w:t>
            </w:r>
          </w:p>
        </w:tc>
        <w:tc>
          <w:tcPr>
            <w:tcW w:w="1620" w:type="dxa"/>
            <w:gridSpan w:val="3"/>
            <w:noWrap w:val="0"/>
            <w:vAlign w:val="center"/>
          </w:tcPr>
          <w:p>
            <w:pPr>
              <w:jc w:val="center"/>
              <w:rPr>
                <w:rFonts w:hint="eastAsia" w:ascii="宋体" w:hAnsi="宋体" w:eastAsia="宋体" w:cs="宋体"/>
                <w:color w:val="000000"/>
                <w:szCs w:val="21"/>
                <w:highlight w:val="none"/>
              </w:rPr>
            </w:pPr>
          </w:p>
        </w:tc>
        <w:tc>
          <w:tcPr>
            <w:tcW w:w="720"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197" w:type="dxa"/>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技术负责人</w:t>
            </w:r>
          </w:p>
        </w:tc>
        <w:tc>
          <w:tcPr>
            <w:tcW w:w="89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姓名</w:t>
            </w:r>
          </w:p>
        </w:tc>
        <w:tc>
          <w:tcPr>
            <w:tcW w:w="1021" w:type="dxa"/>
            <w:noWrap w:val="0"/>
            <w:vAlign w:val="center"/>
          </w:tcPr>
          <w:p>
            <w:pPr>
              <w:jc w:val="center"/>
              <w:rPr>
                <w:rFonts w:hint="eastAsia" w:ascii="宋体" w:hAnsi="宋体" w:eastAsia="宋体" w:cs="宋体"/>
                <w:color w:val="000000"/>
                <w:szCs w:val="21"/>
                <w:highlight w:val="none"/>
              </w:rPr>
            </w:pPr>
          </w:p>
        </w:tc>
        <w:tc>
          <w:tcPr>
            <w:tcW w:w="1160"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技术职称</w:t>
            </w:r>
          </w:p>
        </w:tc>
        <w:tc>
          <w:tcPr>
            <w:tcW w:w="1620" w:type="dxa"/>
            <w:gridSpan w:val="3"/>
            <w:noWrap w:val="0"/>
            <w:vAlign w:val="center"/>
          </w:tcPr>
          <w:p>
            <w:pPr>
              <w:jc w:val="center"/>
              <w:rPr>
                <w:rFonts w:hint="eastAsia" w:ascii="宋体" w:hAnsi="宋体" w:eastAsia="宋体" w:cs="宋体"/>
                <w:color w:val="000000"/>
                <w:szCs w:val="21"/>
                <w:highlight w:val="none"/>
              </w:rPr>
            </w:pPr>
          </w:p>
        </w:tc>
        <w:tc>
          <w:tcPr>
            <w:tcW w:w="720"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197" w:type="dxa"/>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成立时间</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5697" w:type="dxa"/>
            <w:gridSpan w:val="6"/>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资质等级</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restart"/>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其中</w:t>
            </w: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项目经理</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安全生产许可证号</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continue"/>
            <w:noWrap w:val="0"/>
            <w:vAlign w:val="center"/>
          </w:tcPr>
          <w:p>
            <w:pPr>
              <w:jc w:val="center"/>
              <w:rPr>
                <w:rFonts w:hint="eastAsia" w:ascii="宋体" w:hAnsi="宋体" w:eastAsia="宋体" w:cs="宋体"/>
                <w:color w:val="000000"/>
                <w:szCs w:val="21"/>
                <w:highlight w:val="none"/>
              </w:rPr>
            </w:pP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高级职称人员</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注册资金</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continue"/>
            <w:noWrap w:val="0"/>
            <w:vAlign w:val="center"/>
          </w:tcPr>
          <w:p>
            <w:pPr>
              <w:jc w:val="center"/>
              <w:rPr>
                <w:rFonts w:hint="eastAsia" w:ascii="宋体" w:hAnsi="宋体" w:eastAsia="宋体" w:cs="宋体"/>
                <w:color w:val="000000"/>
                <w:szCs w:val="21"/>
                <w:highlight w:val="none"/>
              </w:rPr>
            </w:pP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中级职称人员</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开户银行</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continue"/>
            <w:noWrap w:val="0"/>
            <w:vAlign w:val="center"/>
          </w:tcPr>
          <w:p>
            <w:pPr>
              <w:jc w:val="center"/>
              <w:rPr>
                <w:rFonts w:hint="eastAsia" w:ascii="宋体" w:hAnsi="宋体" w:eastAsia="宋体" w:cs="宋体"/>
                <w:color w:val="000000"/>
                <w:szCs w:val="21"/>
                <w:highlight w:val="none"/>
              </w:rPr>
            </w:pP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初级职称人员</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账号</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continue"/>
            <w:noWrap w:val="0"/>
            <w:vAlign w:val="center"/>
          </w:tcPr>
          <w:p>
            <w:pPr>
              <w:jc w:val="center"/>
              <w:rPr>
                <w:rFonts w:hint="eastAsia" w:ascii="宋体" w:hAnsi="宋体" w:eastAsia="宋体" w:cs="宋体"/>
                <w:color w:val="000000"/>
                <w:szCs w:val="21"/>
                <w:highlight w:val="none"/>
              </w:rPr>
            </w:pP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  工</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经营范围</w:t>
            </w:r>
          </w:p>
        </w:tc>
        <w:tc>
          <w:tcPr>
            <w:tcW w:w="7615" w:type="dxa"/>
            <w:gridSpan w:val="8"/>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c>
          <w:tcPr>
            <w:tcW w:w="7615" w:type="dxa"/>
            <w:gridSpan w:val="8"/>
            <w:noWrap w:val="0"/>
            <w:vAlign w:val="center"/>
          </w:tcPr>
          <w:p>
            <w:pPr>
              <w:jc w:val="center"/>
              <w:rPr>
                <w:rFonts w:hint="eastAsia" w:ascii="宋体" w:hAnsi="宋体" w:eastAsia="宋体" w:cs="宋体"/>
                <w:color w:val="000000"/>
                <w:szCs w:val="21"/>
                <w:highlight w:val="none"/>
              </w:rPr>
            </w:pPr>
          </w:p>
        </w:tc>
      </w:tr>
    </w:tbl>
    <w:p>
      <w:pPr>
        <w:spacing w:line="480" w:lineRule="auto"/>
        <w:ind w:firstLine="525" w:firstLineChars="25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 附有效的企业营业执照副本、 企业资质证书副本和安全生产许可证副本等的复印件。】</w:t>
      </w:r>
    </w:p>
    <w:p>
      <w:pPr>
        <w:spacing w:line="480" w:lineRule="auto"/>
        <w:ind w:firstLine="525" w:firstLineChars="250"/>
        <w:jc w:val="left"/>
        <w:rPr>
          <w:rFonts w:hint="eastAsia" w:ascii="宋体" w:hAnsi="宋体" w:eastAsia="宋体" w:cs="宋体"/>
          <w:color w:val="000000"/>
          <w:szCs w:val="21"/>
          <w:highlight w:val="none"/>
        </w:rPr>
      </w:pPr>
    </w:p>
    <w:p>
      <w:pPr>
        <w:pStyle w:val="4"/>
        <w:rPr>
          <w:rFonts w:hint="eastAsia"/>
        </w:rPr>
      </w:pPr>
    </w:p>
    <w:p>
      <w:pPr>
        <w:pStyle w:val="4"/>
      </w:pPr>
    </w:p>
    <w:p/>
    <w:p/>
    <w:p>
      <w:pPr>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br w:type="page"/>
      </w:r>
    </w:p>
    <w:p>
      <w:pPr>
        <w:spacing w:line="480" w:lineRule="auto"/>
        <w:ind w:firstLine="753" w:firstLineChars="250"/>
        <w:jc w:val="center"/>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t>3、建设工程项目管理承诺书</w:t>
      </w:r>
    </w:p>
    <w:p>
      <w:pPr>
        <w:spacing w:line="480" w:lineRule="auto"/>
        <w:jc w:val="left"/>
        <w:rPr>
          <w:rFonts w:hint="eastAsia" w:ascii="宋体" w:hAnsi="宋体" w:eastAsia="宋体" w:cs="宋体"/>
          <w:color w:val="000000"/>
          <w:highlight w:val="none"/>
        </w:rPr>
      </w:pPr>
      <w:r>
        <w:rPr>
          <w:rFonts w:hint="eastAsia" w:ascii="宋体" w:hAnsi="宋体" w:eastAsia="宋体" w:cs="宋体"/>
          <w:color w:val="000000"/>
          <w:highlight w:val="none"/>
        </w:rPr>
        <w:t>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（招标人名称）：</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作为参与</w:t>
      </w:r>
      <w:r>
        <w:rPr>
          <w:rFonts w:hint="eastAsia" w:ascii="宋体" w:hAnsi="宋体" w:eastAsia="宋体" w:cs="宋体"/>
          <w:color w:val="000000"/>
          <w:sz w:val="21"/>
          <w:szCs w:val="21"/>
          <w:highlight w:val="none"/>
          <w:u w:val="single"/>
        </w:rPr>
        <w:t xml:space="preserve">             （项目名称）        （标段名称）</w:t>
      </w:r>
      <w:r>
        <w:rPr>
          <w:rFonts w:hint="eastAsia" w:ascii="宋体" w:hAnsi="宋体" w:eastAsia="宋体" w:cs="宋体"/>
          <w:color w:val="000000"/>
          <w:highlight w:val="none"/>
        </w:rPr>
        <w:t>项目的投标方，根据国家、自治区相关文件规定，我方在此向招标人承诺：</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1、一旦中标，我方保证按照政府相关部门的规定，在项目开工前设农民工工资支付专用账户。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hint="eastAsia" w:ascii="宋体" w:hAnsi="宋体" w:eastAsia="宋体" w:cs="宋体"/>
          <w:color w:val="000000"/>
          <w:highlight w:val="none"/>
        </w:rPr>
      </w:pPr>
      <w:r>
        <w:rPr>
          <w:rFonts w:hint="eastAsia" w:ascii="宋体" w:hAnsi="宋体" w:eastAsia="宋体" w:cs="宋体"/>
          <w:color w:val="000000"/>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pPr>
        <w:spacing w:line="360" w:lineRule="auto"/>
        <w:jc w:val="left"/>
        <w:rPr>
          <w:rFonts w:hint="eastAsia" w:ascii="宋体" w:hAnsi="宋体" w:eastAsia="宋体" w:cs="宋体"/>
          <w:color w:val="000000"/>
          <w:highlight w:val="none"/>
        </w:rPr>
      </w:pPr>
    </w:p>
    <w:p>
      <w:pPr>
        <w:spacing w:line="360" w:lineRule="auto"/>
        <w:ind w:firstLine="2940" w:firstLineChars="1400"/>
        <w:jc w:val="left"/>
        <w:rPr>
          <w:rFonts w:hint="eastAsia" w:ascii="宋体" w:hAnsi="宋体" w:eastAsia="宋体" w:cs="宋体"/>
          <w:color w:val="000000"/>
          <w:highlight w:val="none"/>
          <w:u w:val="single"/>
        </w:rPr>
      </w:pPr>
      <w:r>
        <w:rPr>
          <w:rFonts w:hint="eastAsia" w:ascii="宋体" w:hAnsi="宋体" w:eastAsia="宋体" w:cs="宋体"/>
          <w:color w:val="000000"/>
          <w:highlight w:val="none"/>
        </w:rPr>
        <w:t>投标人：</w:t>
      </w:r>
      <w:r>
        <w:rPr>
          <w:rFonts w:hint="eastAsia" w:ascii="宋体" w:hAnsi="宋体" w:eastAsia="宋体" w:cs="宋体"/>
          <w:color w:val="000000"/>
          <w:highlight w:val="none"/>
          <w:u w:val="single"/>
        </w:rPr>
        <w:t xml:space="preserve">                     （电子签章）</w:t>
      </w:r>
    </w:p>
    <w:p>
      <w:pPr>
        <w:spacing w:line="480" w:lineRule="auto"/>
        <w:ind w:left="2699" w:firstLine="210" w:firstLineChars="100"/>
        <w:rPr>
          <w:rFonts w:hint="eastAsia" w:ascii="宋体" w:hAnsi="宋体" w:eastAsia="宋体" w:cs="宋体"/>
          <w:color w:val="000000"/>
          <w:highlight w:val="none"/>
        </w:rPr>
      </w:pPr>
      <w:r>
        <w:rPr>
          <w:rFonts w:hint="eastAsia" w:ascii="宋体" w:hAnsi="宋体" w:eastAsia="宋体" w:cs="宋体"/>
          <w:color w:val="000000"/>
          <w:highlight w:val="none"/>
        </w:rPr>
        <w:t>法定代表人：</w:t>
      </w:r>
      <w:r>
        <w:rPr>
          <w:rFonts w:hint="eastAsia" w:ascii="宋体" w:hAnsi="宋体" w:eastAsia="宋体" w:cs="宋体"/>
          <w:color w:val="000000"/>
          <w:highlight w:val="none"/>
          <w:u w:val="single"/>
        </w:rPr>
        <w:t xml:space="preserve">                   （签字或盖章）</w:t>
      </w:r>
    </w:p>
    <w:p>
      <w:pPr>
        <w:spacing w:line="360" w:lineRule="auto"/>
        <w:ind w:right="420" w:firstLine="2940" w:firstLineChars="1400"/>
        <w:rPr>
          <w:rFonts w:hint="eastAsia" w:ascii="宋体" w:hAnsi="宋体" w:eastAsia="宋体" w:cs="宋体"/>
          <w:color w:val="000000"/>
          <w:highlight w:val="none"/>
        </w:rPr>
      </w:pPr>
      <w:r>
        <w:rPr>
          <w:rFonts w:hint="eastAsia" w:ascii="宋体" w:hAnsi="宋体" w:eastAsia="宋体" w:cs="宋体"/>
          <w:color w:val="000000"/>
          <w:highlight w:val="none"/>
        </w:rPr>
        <w:t>日期：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color w:val="000000"/>
          <w:szCs w:val="21"/>
          <w:highlight w:val="none"/>
        </w:rPr>
        <w:br w:type="page"/>
      </w:r>
      <w:r>
        <w:rPr>
          <w:rFonts w:hint="eastAsia" w:ascii="宋体" w:hAnsi="宋体" w:eastAsia="宋体" w:cs="宋体"/>
          <w:b/>
          <w:color w:val="000000"/>
          <w:sz w:val="28"/>
          <w:szCs w:val="28"/>
          <w:highlight w:val="none"/>
        </w:rPr>
        <w:t>广西壮族自治区建筑工程安全文明施工措施项目清单内容</w:t>
      </w:r>
    </w:p>
    <w:p>
      <w:pPr>
        <w:ind w:firstLine="2310" w:firstLineChars="1100"/>
        <w:rPr>
          <w:rFonts w:hint="eastAsia" w:ascii="宋体" w:hAnsi="宋体" w:eastAsia="宋体" w:cs="宋体"/>
          <w:color w:val="000000"/>
          <w:highlight w:val="none"/>
        </w:rPr>
      </w:pPr>
      <w:bookmarkStart w:id="2240" w:name="_Toc419363893"/>
      <w:bookmarkStart w:id="2241" w:name="_Toc404006882"/>
      <w:bookmarkStart w:id="2242" w:name="_Toc402532179"/>
      <w:r>
        <w:rPr>
          <w:rFonts w:hint="eastAsia" w:ascii="宋体" w:hAnsi="宋体" w:eastAsia="宋体" w:cs="宋体"/>
          <w:color w:val="000000"/>
          <w:highlight w:val="none"/>
        </w:rPr>
        <w:t>（桂建质〔2015〕16号文附件一）</w:t>
      </w:r>
      <w:bookmarkEnd w:id="2240"/>
      <w:bookmarkEnd w:id="2241"/>
      <w:bookmarkEnd w:id="2242"/>
    </w:p>
    <w:p>
      <w:pPr>
        <w:pStyle w:val="155"/>
        <w:spacing w:line="0" w:lineRule="atLeast"/>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广西壮族自治区</w:t>
      </w:r>
    </w:p>
    <w:p>
      <w:pPr>
        <w:pStyle w:val="155"/>
        <w:spacing w:line="0" w:lineRule="atLeast"/>
        <w:jc w:val="center"/>
        <w:rPr>
          <w:rFonts w:hint="eastAsia" w:ascii="宋体" w:hAnsi="宋体" w:eastAsia="宋体" w:cs="宋体"/>
          <w:b/>
          <w:bCs/>
          <w:color w:val="000000"/>
          <w:w w:val="90"/>
          <w:sz w:val="24"/>
          <w:highlight w:val="none"/>
        </w:rPr>
      </w:pPr>
      <w:r>
        <w:rPr>
          <w:rFonts w:hint="eastAsia" w:ascii="宋体" w:hAnsi="宋体" w:eastAsia="宋体" w:cs="宋体"/>
          <w:b/>
          <w:bCs/>
          <w:color w:val="000000"/>
          <w:w w:val="90"/>
          <w:sz w:val="24"/>
          <w:highlight w:val="none"/>
        </w:rPr>
        <w:t>建设工程安全文明施工措施项目清单内容</w:t>
      </w:r>
    </w:p>
    <w:tbl>
      <w:tblPr>
        <w:tblStyle w:val="39"/>
        <w:tblW w:w="95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7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pPr>
              <w:pStyle w:val="155"/>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类别</w:t>
            </w:r>
          </w:p>
        </w:tc>
        <w:tc>
          <w:tcPr>
            <w:tcW w:w="2070" w:type="dxa"/>
            <w:gridSpan w:val="2"/>
            <w:noWrap w:val="0"/>
            <w:vAlign w:val="center"/>
          </w:tcPr>
          <w:p>
            <w:pPr>
              <w:pStyle w:val="155"/>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项目名称</w:t>
            </w:r>
          </w:p>
        </w:tc>
        <w:tc>
          <w:tcPr>
            <w:tcW w:w="6744" w:type="dxa"/>
            <w:noWrap w:val="0"/>
            <w:vAlign w:val="center"/>
          </w:tcPr>
          <w:p>
            <w:pPr>
              <w:pStyle w:val="155"/>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文明</w:t>
            </w:r>
          </w:p>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施工</w:t>
            </w:r>
          </w:p>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与</w:t>
            </w:r>
          </w:p>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环境</w:t>
            </w:r>
          </w:p>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保护</w:t>
            </w: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安全警示</w:t>
            </w:r>
          </w:p>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标志牌</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现场围挡</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现场采用封闭围挡，高度不小于1.8m。</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七牌二图</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企业标志</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场容场貌</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道路畅通。</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排水设施齐全畅通。</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材料堆放</w:t>
            </w:r>
          </w:p>
        </w:tc>
        <w:tc>
          <w:tcPr>
            <w:tcW w:w="6744" w:type="dxa"/>
            <w:noWrap w:val="0"/>
            <w:vAlign w:val="center"/>
          </w:tcPr>
          <w:p>
            <w:pPr>
              <w:pStyle w:val="155"/>
              <w:numPr>
                <w:ilvl w:val="0"/>
                <w:numId w:val="48"/>
              </w:numPr>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材料、构件、料具等堆放时，应有名称、品种、规格等标牌。</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水泥和其它易飞扬细颗粒建筑材料应封闭存放或采取覆盖等措施。</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现场防火</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垃圾清运</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施工现场应设置密闭式垃圾站，施工垃圾、生活垃圾应分类存放。</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宣传栏、环保及不扰民措施</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临时设施</w:t>
            </w: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现场办公</w:t>
            </w:r>
          </w:p>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生活设施</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施工现场办公、生活区与作业区分开设置，保持安全距离。</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restart"/>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施工现场</w:t>
            </w:r>
          </w:p>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临时用电</w:t>
            </w:r>
          </w:p>
        </w:tc>
        <w:tc>
          <w:tcPr>
            <w:tcW w:w="1545" w:type="dxa"/>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配电线路</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按照TN-S系统要求配备五芯电缆、四芯电缆和三芯电缆。</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按要求架设临时用电线路的电杆、横担、瓷夹、瓷瓶等，或电缆埋地的地沟。</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配电箱</w:t>
            </w:r>
          </w:p>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开关箱</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按三级配电要求，配备总配电箱、分配电箱、开关箱三类（铁质）标准电箱，开关箱应符合“一机、一箱、一闸、一漏”，三类电箱中的各类电器应是合格品。</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按两级保护的要求，选取符合容量要求和质量合格的总配电箱和开关箱中的漏电保护器。</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接地装置</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现场变配电装置</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pPr>
              <w:pStyle w:val="155"/>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类别</w:t>
            </w:r>
          </w:p>
        </w:tc>
        <w:tc>
          <w:tcPr>
            <w:tcW w:w="2070" w:type="dxa"/>
            <w:gridSpan w:val="2"/>
            <w:noWrap w:val="0"/>
            <w:vAlign w:val="center"/>
          </w:tcPr>
          <w:p>
            <w:pPr>
              <w:pStyle w:val="155"/>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项目名称</w:t>
            </w:r>
          </w:p>
        </w:tc>
        <w:tc>
          <w:tcPr>
            <w:tcW w:w="6744" w:type="dxa"/>
            <w:noWrap w:val="0"/>
            <w:vAlign w:val="center"/>
          </w:tcPr>
          <w:p>
            <w:pPr>
              <w:pStyle w:val="155"/>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安全施工</w:t>
            </w:r>
          </w:p>
        </w:tc>
        <w:tc>
          <w:tcPr>
            <w:tcW w:w="525" w:type="dxa"/>
            <w:vMerge w:val="restart"/>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高处作业防护</w:t>
            </w:r>
          </w:p>
        </w:tc>
        <w:tc>
          <w:tcPr>
            <w:tcW w:w="1545"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楼层、屋面、阳台等临边</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通道口</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预留洞口</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电梯井口</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楼梯边</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垂直方向交叉作业</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高处作业</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基坑、物料平台</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安全防护用品</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其它</w:t>
            </w:r>
          </w:p>
        </w:tc>
        <w:tc>
          <w:tcPr>
            <w:tcW w:w="525" w:type="dxa"/>
            <w:vMerge w:val="restart"/>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机械设备防护</w:t>
            </w:r>
          </w:p>
        </w:tc>
        <w:tc>
          <w:tcPr>
            <w:tcW w:w="1545" w:type="dxa"/>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中小型机械</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垂直运输设备</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垂直运输设备检测、检验、日常维护、保养等。</w:t>
            </w:r>
          </w:p>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专家论证审查</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应急救援预案</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5"/>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5"/>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非正常情况施工</w:t>
            </w:r>
          </w:p>
        </w:tc>
        <w:tc>
          <w:tcPr>
            <w:tcW w:w="6744" w:type="dxa"/>
            <w:noWrap w:val="0"/>
            <w:vAlign w:val="center"/>
          </w:tcPr>
          <w:p>
            <w:pPr>
              <w:pStyle w:val="155"/>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其它特殊情况下的防护费用，如：城市主干道、人流密集、河边等处施工及文物、古建筑、古树保护等。</w:t>
            </w:r>
          </w:p>
        </w:tc>
      </w:tr>
    </w:tbl>
    <w:p>
      <w:pPr>
        <w:spacing w:before="120" w:beforeLines="50"/>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注：本表所列建设工程安全文明施工费，是依据现行律法规及标准规范确定的。如法律法规和标准规范修订，本表所列项目应按照修订后的法律法规和标准规范进行调整。</w:t>
      </w:r>
    </w:p>
    <w:p>
      <w:pPr>
        <w:pStyle w:val="4"/>
      </w:pPr>
    </w:p>
    <w:p/>
    <w:p>
      <w:pPr>
        <w:pStyle w:val="4"/>
      </w:pPr>
    </w:p>
    <w:p/>
    <w:p>
      <w:pPr>
        <w:pStyle w:val="4"/>
      </w:pPr>
    </w:p>
    <w:p/>
    <w:p>
      <w:pPr>
        <w:pStyle w:val="4"/>
      </w:pPr>
    </w:p>
    <w:p/>
    <w:p>
      <w:pPr>
        <w:spacing w:line="360" w:lineRule="auto"/>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t>4、拟派项目经理、项目施工专职安全员</w:t>
      </w:r>
      <w:r>
        <w:rPr>
          <w:rFonts w:hint="eastAsia" w:ascii="宋体" w:hAnsi="宋体" w:cs="宋体"/>
          <w:b/>
          <w:bCs/>
          <w:color w:val="000000"/>
          <w:kern w:val="2"/>
          <w:sz w:val="30"/>
          <w:szCs w:val="30"/>
          <w:highlight w:val="none"/>
          <w:lang w:val="en-US" w:eastAsia="zh-CN" w:bidi="ar-SA"/>
        </w:rPr>
        <w:t>等</w:t>
      </w:r>
      <w:r>
        <w:rPr>
          <w:rFonts w:hint="eastAsia" w:ascii="宋体" w:hAnsi="宋体" w:eastAsia="宋体" w:cs="宋体"/>
          <w:b/>
          <w:bCs/>
          <w:color w:val="000000"/>
          <w:kern w:val="2"/>
          <w:sz w:val="30"/>
          <w:szCs w:val="30"/>
          <w:highlight w:val="none"/>
          <w:lang w:val="en-US" w:eastAsia="zh-CN" w:bidi="ar-SA"/>
        </w:rPr>
        <w:t>基本情况表；</w:t>
      </w:r>
    </w:p>
    <w:p>
      <w:pPr>
        <w:tabs>
          <w:tab w:val="left" w:pos="0"/>
        </w:tabs>
        <w:spacing w:line="360" w:lineRule="auto"/>
        <w:ind w:right="-210" w:firstLine="420" w:firstLineChars="200"/>
        <w:rPr>
          <w:rFonts w:hint="eastAsia" w:ascii="宋体" w:hAnsi="宋体" w:cs="宋体"/>
          <w:color w:val="auto"/>
          <w:szCs w:val="21"/>
          <w:highlight w:val="none"/>
        </w:rPr>
      </w:pPr>
      <w:r>
        <w:rPr>
          <w:rFonts w:hint="eastAsia" w:ascii="宋体" w:hAnsi="宋体" w:eastAsia="宋体" w:cs="宋体"/>
          <w:color w:val="000000"/>
          <w:szCs w:val="21"/>
          <w:highlight w:val="none"/>
        </w:rPr>
        <w:t xml:space="preserve">【备注： </w:t>
      </w:r>
      <w:r>
        <w:rPr>
          <w:rFonts w:hint="eastAsia" w:ascii="宋体" w:hAnsi="宋体" w:cs="宋体"/>
          <w:color w:val="auto"/>
          <w:highlight w:val="none"/>
        </w:rPr>
        <w:t>1.应附上述人员的相应注册证书，建造师安全生产考核合格证书（B类），项目施工专职安全员安全生产考核合格证书（C类），身份证</w:t>
      </w:r>
      <w:r>
        <w:rPr>
          <w:rFonts w:hint="eastAsia" w:ascii="宋体" w:hAnsi="宋体" w:cs="宋体"/>
          <w:b w:val="0"/>
          <w:bCs w:val="0"/>
          <w:color w:val="auto"/>
          <w:highlight w:val="none"/>
        </w:rPr>
        <w:t>等</w:t>
      </w:r>
      <w:r>
        <w:rPr>
          <w:rFonts w:hint="eastAsia" w:ascii="宋体" w:hAnsi="宋体" w:cs="宋体"/>
          <w:color w:val="auto"/>
          <w:highlight w:val="none"/>
        </w:rPr>
        <w:t>材料的复印件。项目经理注册建造师证书和安全生产考核合格证书（B类）、项目施工专职安全员安全生产考核合格证书（C类）。</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cs="宋体"/>
          <w:color w:val="auto"/>
          <w:szCs w:val="21"/>
          <w:highlight w:val="none"/>
        </w:rPr>
        <w:t>2.以上人员需提供</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截止时间前半年内连续三个月交纳的社保证明材料的复印件并加盖公章。（新办企业等按实际提供）</w:t>
      </w:r>
      <w:r>
        <w:rPr>
          <w:rFonts w:hint="eastAsia" w:ascii="宋体" w:hAnsi="宋体" w:eastAsia="宋体" w:cs="宋体"/>
          <w:color w:val="000000"/>
          <w:szCs w:val="21"/>
          <w:highlight w:val="none"/>
        </w:rPr>
        <w:t>】</w:t>
      </w:r>
    </w:p>
    <w:p>
      <w:pPr>
        <w:spacing w:before="120" w:beforeLines="50" w:line="360" w:lineRule="auto"/>
        <w:rPr>
          <w:rFonts w:hint="eastAsia" w:ascii="宋体" w:hAnsi="宋体" w:eastAsia="宋体" w:cs="宋体"/>
          <w:b/>
          <w:bCs/>
          <w:color w:val="000000"/>
          <w:kern w:val="2"/>
          <w:sz w:val="30"/>
          <w:szCs w:val="30"/>
          <w:highlight w:val="none"/>
          <w:lang w:val="en-US" w:eastAsia="zh-CN" w:bidi="ar-SA"/>
        </w:rPr>
      </w:pPr>
    </w:p>
    <w:p>
      <w:pPr>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br w:type="page"/>
      </w:r>
    </w:p>
    <w:p>
      <w:pPr>
        <w:spacing w:before="120" w:beforeLines="50" w:line="360" w:lineRule="auto"/>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t>5、</w:t>
      </w:r>
      <w:r>
        <w:rPr>
          <w:rFonts w:hint="eastAsia" w:ascii="宋体" w:hAnsi="宋体" w:cs="宋体"/>
          <w:b/>
          <w:bCs/>
          <w:color w:val="000000"/>
          <w:kern w:val="2"/>
          <w:sz w:val="30"/>
          <w:szCs w:val="30"/>
          <w:highlight w:val="none"/>
          <w:lang w:val="en-US" w:eastAsia="zh-CN" w:bidi="ar-SA"/>
        </w:rPr>
        <w:t>投标人</w:t>
      </w:r>
      <w:r>
        <w:rPr>
          <w:rFonts w:hint="eastAsia" w:ascii="宋体" w:hAnsi="宋体" w:eastAsia="宋体" w:cs="宋体"/>
          <w:b/>
          <w:bCs/>
          <w:color w:val="000000"/>
          <w:kern w:val="2"/>
          <w:sz w:val="30"/>
          <w:szCs w:val="30"/>
          <w:highlight w:val="none"/>
          <w:lang w:val="en-US" w:eastAsia="zh-CN" w:bidi="ar-SA"/>
        </w:rPr>
        <w:t>直接控股、管理关系信息表；</w:t>
      </w:r>
    </w:p>
    <w:p>
      <w:pPr>
        <w:snapToGrid w:val="0"/>
        <w:spacing w:before="50" w:after="120" w:afterLines="50"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投标人直接控股股东信息表</w:t>
      </w:r>
    </w:p>
    <w:tbl>
      <w:tblPr>
        <w:tblStyle w:val="39"/>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6"/>
        <w:gridCol w:w="1134"/>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bl>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3.供应商不存在直接控股股东的，则在“</w:t>
      </w:r>
      <w:r>
        <w:rPr>
          <w:rFonts w:hint="eastAsia" w:ascii="仿宋" w:hAnsi="仿宋" w:eastAsia="仿宋" w:cs="仿宋"/>
          <w:b/>
          <w:bCs/>
          <w:color w:val="auto"/>
          <w:kern w:val="0"/>
          <w:sz w:val="24"/>
          <w:highlight w:val="none"/>
        </w:rPr>
        <w:t>直接控股股东名称</w:t>
      </w:r>
      <w:r>
        <w:rPr>
          <w:rFonts w:hint="eastAsia" w:ascii="仿宋" w:hAnsi="仿宋" w:eastAsia="仿宋" w:cs="仿宋"/>
          <w:color w:val="auto"/>
          <w:sz w:val="24"/>
          <w:highlight w:val="none"/>
        </w:rPr>
        <w:t>”中填“无”。</w:t>
      </w: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ind w:left="-2" w:leftChars="-1" w:right="-817" w:rightChars="-38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法定代表人或者委托代理人（签字</w:t>
      </w:r>
      <w:r>
        <w:rPr>
          <w:rFonts w:hint="eastAsia" w:ascii="仿宋" w:hAnsi="仿宋" w:eastAsia="仿宋" w:cs="仿宋"/>
          <w:color w:val="auto"/>
          <w:sz w:val="24"/>
          <w:highlight w:val="none"/>
          <w:lang w:eastAsia="zh-CN"/>
        </w:rPr>
        <w:t>或签章</w:t>
      </w:r>
      <w:r>
        <w:rPr>
          <w:rFonts w:hint="eastAsia" w:ascii="仿宋" w:hAnsi="仿宋" w:eastAsia="仿宋" w:cs="仿宋"/>
          <w:color w:val="auto"/>
          <w:sz w:val="24"/>
          <w:highlight w:val="none"/>
        </w:rPr>
        <w:t xml:space="preserve">）： </w:t>
      </w:r>
    </w:p>
    <w:p>
      <w:pPr>
        <w:snapToGrid w:val="0"/>
        <w:spacing w:line="360" w:lineRule="auto"/>
        <w:ind w:left="-3" w:leftChars="-15" w:right="-817" w:rightChars="-389" w:hanging="28" w:hangingChars="1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投标人名称（电子签章）：</w:t>
      </w:r>
    </w:p>
    <w:p>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 w:val="24"/>
          <w:highlight w:val="none"/>
        </w:rPr>
        <w:t xml:space="preserve">                                    日期：    年   月   日</w:t>
      </w:r>
    </w:p>
    <w:p>
      <w:pPr>
        <w:snapToGrid w:val="0"/>
        <w:jc w:val="center"/>
        <w:rPr>
          <w:rFonts w:hint="eastAsia" w:ascii="仿宋" w:hAnsi="仿宋" w:eastAsia="仿宋" w:cs="仿宋"/>
          <w:b/>
          <w:color w:val="auto"/>
          <w:sz w:val="28"/>
          <w:szCs w:val="28"/>
          <w:highlight w:val="none"/>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投标人直接管理关系信息表</w:t>
      </w:r>
    </w:p>
    <w:tbl>
      <w:tblPr>
        <w:tblStyle w:val="39"/>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bl>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3.供应商不存在直接管理关系的，则在“</w:t>
      </w:r>
      <w:r>
        <w:rPr>
          <w:rFonts w:hint="eastAsia" w:ascii="仿宋" w:hAnsi="仿宋" w:eastAsia="仿宋" w:cs="仿宋"/>
          <w:b/>
          <w:bCs/>
          <w:color w:val="auto"/>
          <w:kern w:val="0"/>
          <w:sz w:val="24"/>
          <w:highlight w:val="none"/>
        </w:rPr>
        <w:t>直接管理关系单位名称</w:t>
      </w:r>
      <w:r>
        <w:rPr>
          <w:rFonts w:hint="eastAsia" w:ascii="仿宋" w:hAnsi="仿宋" w:eastAsia="仿宋" w:cs="仿宋"/>
          <w:color w:val="auto"/>
          <w:sz w:val="24"/>
          <w:highlight w:val="none"/>
        </w:rPr>
        <w:t>”中填“无”。</w:t>
      </w: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ind w:left="-2" w:leftChars="-1" w:right="-817" w:rightChars="-38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法定代表人或者委托代理人（签字</w:t>
      </w:r>
      <w:r>
        <w:rPr>
          <w:rFonts w:hint="eastAsia" w:ascii="仿宋" w:hAnsi="仿宋" w:eastAsia="仿宋" w:cs="仿宋"/>
          <w:color w:val="auto"/>
          <w:sz w:val="24"/>
          <w:highlight w:val="none"/>
          <w:lang w:eastAsia="zh-CN"/>
        </w:rPr>
        <w:t>或签章</w:t>
      </w:r>
      <w:r>
        <w:rPr>
          <w:rFonts w:hint="eastAsia" w:ascii="仿宋" w:hAnsi="仿宋" w:eastAsia="仿宋" w:cs="仿宋"/>
          <w:color w:val="auto"/>
          <w:sz w:val="24"/>
          <w:highlight w:val="none"/>
        </w:rPr>
        <w:t xml:space="preserve">）： </w:t>
      </w:r>
    </w:p>
    <w:p>
      <w:pPr>
        <w:snapToGrid w:val="0"/>
        <w:spacing w:line="360" w:lineRule="auto"/>
        <w:ind w:left="-3" w:leftChars="-15" w:right="-817" w:rightChars="-389" w:hanging="28" w:hangingChars="1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投标人名称（电子签章）：</w:t>
      </w:r>
    </w:p>
    <w:p>
      <w:pPr>
        <w:spacing w:before="120" w:beforeLines="50" w:line="360" w:lineRule="auto"/>
        <w:rPr>
          <w:rFonts w:hint="eastAsia" w:ascii="宋体" w:hAnsi="宋体" w:eastAsia="宋体" w:cs="宋体"/>
          <w:color w:val="000000"/>
          <w:szCs w:val="21"/>
          <w:highlight w:val="none"/>
        </w:rPr>
      </w:pPr>
      <w:r>
        <w:rPr>
          <w:rFonts w:hint="eastAsia" w:ascii="仿宋" w:hAnsi="仿宋" w:eastAsia="仿宋" w:cs="仿宋"/>
          <w:color w:val="auto"/>
          <w:sz w:val="24"/>
          <w:highlight w:val="none"/>
        </w:rPr>
        <w:t xml:space="preserve">                                日期：    年   月   日</w:t>
      </w:r>
    </w:p>
    <w:p>
      <w:pPr>
        <w:spacing w:before="120" w:beforeLines="50" w:line="360" w:lineRule="auto"/>
        <w:rPr>
          <w:rFonts w:hint="eastAsia" w:ascii="宋体" w:hAnsi="宋体" w:eastAsia="宋体" w:cs="宋体"/>
          <w:b/>
          <w:bCs/>
          <w:color w:val="000000"/>
          <w:kern w:val="2"/>
          <w:sz w:val="30"/>
          <w:szCs w:val="30"/>
          <w:highlight w:val="none"/>
          <w:lang w:val="en-US" w:eastAsia="zh-CN" w:bidi="ar-SA"/>
        </w:rPr>
      </w:pPr>
    </w:p>
    <w:p>
      <w:pPr>
        <w:numPr>
          <w:ilvl w:val="0"/>
          <w:numId w:val="0"/>
        </w:numPr>
        <w:spacing w:before="120" w:beforeLines="50" w:line="360" w:lineRule="auto"/>
        <w:rPr>
          <w:rFonts w:hint="eastAsia" w:ascii="宋体" w:hAnsi="宋体" w:eastAsia="宋体" w:cs="宋体"/>
          <w:b/>
          <w:bCs/>
          <w:color w:val="000000"/>
          <w:kern w:val="2"/>
          <w:sz w:val="30"/>
          <w:szCs w:val="30"/>
          <w:highlight w:val="none"/>
          <w:lang w:val="en-US" w:eastAsia="zh-CN" w:bidi="ar-SA"/>
        </w:rPr>
      </w:pPr>
    </w:p>
    <w:p>
      <w:pPr>
        <w:rPr>
          <w:rFonts w:hint="eastAsia" w:ascii="宋体" w:hAnsi="宋体" w:cs="宋体"/>
          <w:b/>
          <w:bCs/>
          <w:color w:val="000000"/>
          <w:kern w:val="2"/>
          <w:sz w:val="30"/>
          <w:szCs w:val="30"/>
          <w:highlight w:val="none"/>
          <w:lang w:val="en-US" w:eastAsia="zh-CN" w:bidi="ar-SA"/>
        </w:rPr>
      </w:pPr>
      <w:r>
        <w:rPr>
          <w:rFonts w:hint="eastAsia" w:ascii="宋体" w:hAnsi="宋体" w:cs="宋体"/>
          <w:b/>
          <w:bCs/>
          <w:color w:val="000000"/>
          <w:kern w:val="2"/>
          <w:sz w:val="30"/>
          <w:szCs w:val="30"/>
          <w:highlight w:val="none"/>
          <w:lang w:val="en-US" w:eastAsia="zh-CN" w:bidi="ar-SA"/>
        </w:rPr>
        <w:br w:type="page"/>
      </w:r>
    </w:p>
    <w:p>
      <w:pPr>
        <w:numPr>
          <w:ilvl w:val="0"/>
          <w:numId w:val="0"/>
        </w:numPr>
        <w:rPr>
          <w:rFonts w:hint="eastAsia" w:ascii="宋体" w:hAnsi="宋体" w:cs="宋体"/>
          <w:b/>
          <w:bCs/>
          <w:color w:val="000000"/>
          <w:kern w:val="2"/>
          <w:sz w:val="30"/>
          <w:szCs w:val="30"/>
          <w:highlight w:val="none"/>
          <w:lang w:val="en-US" w:eastAsia="zh-CN" w:bidi="ar-SA"/>
        </w:rPr>
      </w:pPr>
      <w:r>
        <w:rPr>
          <w:rFonts w:hint="eastAsia" w:ascii="宋体" w:hAnsi="宋体" w:cs="宋体"/>
          <w:b/>
          <w:bCs/>
          <w:color w:val="000000"/>
          <w:kern w:val="2"/>
          <w:sz w:val="30"/>
          <w:szCs w:val="30"/>
          <w:highlight w:val="none"/>
          <w:lang w:val="en-US" w:eastAsia="zh-CN" w:bidi="ar-SA"/>
        </w:rPr>
        <w:t>6、供应商为小微企业（本项目为专门面向 小微 企业预留项目，供应商必须提供 小微 企业证明函）</w:t>
      </w:r>
    </w:p>
    <w:p>
      <w:pPr>
        <w:snapToGrid w:val="0"/>
        <w:spacing w:before="120" w:beforeLines="50" w:after="50" w:line="300" w:lineRule="auto"/>
        <w:ind w:firstLine="3132" w:firstLineChars="1300"/>
        <w:jc w:val="left"/>
        <w:rPr>
          <w:rFonts w:hint="eastAsia" w:ascii="宋体" w:hAnsi="宋体" w:cs="宋体"/>
          <w:bCs/>
          <w:color w:val="auto"/>
          <w:sz w:val="24"/>
          <w:highlight w:val="none"/>
        </w:rPr>
      </w:pPr>
      <w:r>
        <w:rPr>
          <w:rFonts w:hint="eastAsia" w:ascii="宋体" w:hAnsi="宋体" w:cs="宋体"/>
          <w:b/>
          <w:color w:val="auto"/>
          <w:sz w:val="24"/>
          <w:highlight w:val="none"/>
          <w:lang w:eastAsia="zh-CN"/>
        </w:rPr>
        <w:t>小微</w:t>
      </w:r>
      <w:r>
        <w:rPr>
          <w:rFonts w:hint="eastAsia" w:ascii="宋体" w:hAnsi="宋体" w:cs="宋体"/>
          <w:b/>
          <w:color w:val="auto"/>
          <w:sz w:val="24"/>
          <w:highlight w:val="none"/>
        </w:rPr>
        <w:t>企业声明函（工程、服务）</w:t>
      </w:r>
    </w:p>
    <w:p>
      <w:pPr>
        <w:snapToGrid w:val="0"/>
        <w:spacing w:before="120" w:beforeLines="50" w:after="50" w:line="30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参加</w:t>
      </w:r>
      <w:r>
        <w:rPr>
          <w:rFonts w:hint="eastAsia" w:ascii="宋体" w:hAnsi="宋体" w:cs="宋体"/>
          <w:bCs/>
          <w:color w:val="auto"/>
          <w:sz w:val="24"/>
          <w:highlight w:val="none"/>
          <w:u w:val="single"/>
        </w:rPr>
        <w:t>（采购人名称）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w:t>
      </w:r>
      <w:r>
        <w:rPr>
          <w:rFonts w:hint="eastAsia" w:ascii="宋体" w:hAnsi="宋体" w:cs="宋体"/>
          <w:bCs/>
          <w:color w:val="auto"/>
          <w:sz w:val="24"/>
          <w:highlight w:val="none"/>
          <w:lang w:eastAsia="zh-CN"/>
        </w:rPr>
        <w:t>小微</w:t>
      </w:r>
      <w:r>
        <w:rPr>
          <w:rFonts w:hint="eastAsia" w:ascii="宋体" w:hAnsi="宋体" w:cs="宋体"/>
          <w:bCs/>
          <w:color w:val="auto"/>
          <w:sz w:val="24"/>
          <w:highlight w:val="none"/>
        </w:rPr>
        <w:t>企业（或者：服务全部由符合政策要求的</w:t>
      </w:r>
      <w:r>
        <w:rPr>
          <w:rFonts w:hint="eastAsia" w:ascii="宋体" w:hAnsi="宋体" w:cs="宋体"/>
          <w:bCs/>
          <w:color w:val="auto"/>
          <w:sz w:val="24"/>
          <w:highlight w:val="none"/>
          <w:lang w:eastAsia="zh-CN"/>
        </w:rPr>
        <w:t>小微</w:t>
      </w:r>
      <w:r>
        <w:rPr>
          <w:rFonts w:hint="eastAsia" w:ascii="宋体" w:hAnsi="宋体" w:cs="宋体"/>
          <w:bCs/>
          <w:color w:val="auto"/>
          <w:sz w:val="24"/>
          <w:highlight w:val="none"/>
        </w:rPr>
        <w:t>企业承接）。相关企业（含联合体中的</w:t>
      </w:r>
      <w:r>
        <w:rPr>
          <w:rFonts w:hint="eastAsia" w:ascii="宋体" w:hAnsi="宋体" w:cs="宋体"/>
          <w:bCs/>
          <w:color w:val="auto"/>
          <w:sz w:val="24"/>
          <w:highlight w:val="none"/>
          <w:lang w:eastAsia="zh-CN"/>
        </w:rPr>
        <w:t>小微</w:t>
      </w:r>
      <w:r>
        <w:rPr>
          <w:rFonts w:hint="eastAsia" w:ascii="宋体" w:hAnsi="宋体" w:cs="宋体"/>
          <w:bCs/>
          <w:color w:val="auto"/>
          <w:sz w:val="24"/>
          <w:highlight w:val="none"/>
        </w:rPr>
        <w:t>企业、签订分包意向协议的</w:t>
      </w:r>
      <w:r>
        <w:rPr>
          <w:rFonts w:hint="eastAsia" w:ascii="宋体" w:hAnsi="宋体" w:cs="宋体"/>
          <w:bCs/>
          <w:color w:val="auto"/>
          <w:sz w:val="24"/>
          <w:highlight w:val="none"/>
          <w:lang w:eastAsia="zh-CN"/>
        </w:rPr>
        <w:t>小微</w:t>
      </w:r>
      <w:r>
        <w:rPr>
          <w:rFonts w:hint="eastAsia" w:ascii="宋体" w:hAnsi="宋体" w:cs="宋体"/>
          <w:bCs/>
          <w:color w:val="auto"/>
          <w:sz w:val="24"/>
          <w:highlight w:val="none"/>
        </w:rPr>
        <w:t>企业）的具体情况如下：</w:t>
      </w:r>
    </w:p>
    <w:p>
      <w:pPr>
        <w:snapToGrid w:val="0"/>
        <w:spacing w:before="120" w:beforeLines="50" w:after="50" w:line="30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 xml:space="preserve"> ，属于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 承建（承接）企业为（企业名称），从业人员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万元，属于（小型企业、微型企业）； </w:t>
      </w:r>
    </w:p>
    <w:p>
      <w:pPr>
        <w:snapToGrid w:val="0"/>
        <w:spacing w:before="120" w:beforeLines="50" w:after="50" w:line="30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 xml:space="preserve">（标的名称） </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 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万元，属于（小型企业、微型企业）； </w:t>
      </w:r>
    </w:p>
    <w:p>
      <w:pPr>
        <w:snapToGrid w:val="0"/>
        <w:spacing w:before="120" w:beforeLines="50" w:after="50" w:line="30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以上企业，不属于大</w:t>
      </w:r>
      <w:r>
        <w:rPr>
          <w:rFonts w:hint="eastAsia" w:ascii="宋体" w:hAnsi="宋体" w:cs="宋体"/>
          <w:bCs/>
          <w:color w:val="auto"/>
          <w:sz w:val="24"/>
          <w:highlight w:val="none"/>
          <w:lang w:eastAsia="zh-CN"/>
        </w:rPr>
        <w:t>中</w:t>
      </w:r>
      <w:r>
        <w:rPr>
          <w:rFonts w:hint="eastAsia" w:ascii="宋体" w:hAnsi="宋体" w:cs="宋体"/>
          <w:bCs/>
          <w:color w:val="auto"/>
          <w:sz w:val="24"/>
          <w:highlight w:val="none"/>
        </w:rPr>
        <w:t>企业的分支机构，不存在控股股东为大</w:t>
      </w:r>
      <w:r>
        <w:rPr>
          <w:rFonts w:hint="eastAsia" w:ascii="宋体" w:hAnsi="宋体" w:cs="宋体"/>
          <w:bCs/>
          <w:color w:val="auto"/>
          <w:sz w:val="24"/>
          <w:highlight w:val="none"/>
          <w:lang w:eastAsia="zh-CN"/>
        </w:rPr>
        <w:t>中</w:t>
      </w:r>
      <w:r>
        <w:rPr>
          <w:rFonts w:hint="eastAsia" w:ascii="宋体" w:hAnsi="宋体" w:cs="宋体"/>
          <w:bCs/>
          <w:color w:val="auto"/>
          <w:sz w:val="24"/>
          <w:highlight w:val="none"/>
        </w:rPr>
        <w:t>企业的情形，也不存在与大</w:t>
      </w:r>
      <w:r>
        <w:rPr>
          <w:rFonts w:hint="eastAsia" w:ascii="宋体" w:hAnsi="宋体" w:cs="宋体"/>
          <w:bCs/>
          <w:color w:val="auto"/>
          <w:sz w:val="24"/>
          <w:highlight w:val="none"/>
          <w:lang w:eastAsia="zh-CN"/>
        </w:rPr>
        <w:t>中</w:t>
      </w:r>
      <w:r>
        <w:rPr>
          <w:rFonts w:hint="eastAsia" w:ascii="宋体" w:hAnsi="宋体" w:cs="宋体"/>
          <w:bCs/>
          <w:color w:val="auto"/>
          <w:sz w:val="24"/>
          <w:highlight w:val="none"/>
        </w:rPr>
        <w:t xml:space="preserve">企业的负责人为同一人的情形。本企业对上述声明内容的真实性负责。如有虚假，将依法承担相应责任。 </w:t>
      </w:r>
    </w:p>
    <w:p>
      <w:pPr>
        <w:snapToGrid w:val="0"/>
        <w:spacing w:before="120" w:beforeLines="50" w:after="50" w:line="300" w:lineRule="auto"/>
        <w:ind w:firstLine="480" w:firstLineChars="200"/>
        <w:jc w:val="right"/>
        <w:rPr>
          <w:rFonts w:hint="eastAsia" w:ascii="宋体" w:hAnsi="宋体" w:cs="宋体"/>
          <w:bCs/>
          <w:color w:val="auto"/>
          <w:sz w:val="24"/>
          <w:highlight w:val="none"/>
        </w:rPr>
      </w:pPr>
      <w:r>
        <w:rPr>
          <w:rFonts w:hint="eastAsia" w:ascii="宋体" w:hAnsi="宋体" w:cs="宋体"/>
          <w:bCs/>
          <w:color w:val="auto"/>
          <w:sz w:val="24"/>
          <w:highlight w:val="none"/>
        </w:rPr>
        <w:t>供应商（电子签章）：</w:t>
      </w:r>
    </w:p>
    <w:p>
      <w:pPr>
        <w:snapToGrid w:val="0"/>
        <w:spacing w:before="120" w:beforeLines="50" w:after="50" w:line="300" w:lineRule="auto"/>
        <w:ind w:firstLine="480" w:firstLineChars="200"/>
        <w:jc w:val="right"/>
        <w:rPr>
          <w:rFonts w:hint="eastAsia" w:ascii="宋体" w:hAnsi="宋体" w:cs="宋体"/>
          <w:bCs/>
          <w:color w:val="auto"/>
          <w:sz w:val="24"/>
          <w:highlight w:val="none"/>
        </w:rPr>
      </w:pPr>
      <w:r>
        <w:rPr>
          <w:rFonts w:hint="eastAsia" w:ascii="宋体" w:hAnsi="宋体" w:cs="宋体"/>
          <w:bCs/>
          <w:color w:val="auto"/>
          <w:sz w:val="24"/>
          <w:highlight w:val="none"/>
        </w:rPr>
        <w:t xml:space="preserve">日 期： </w:t>
      </w:r>
    </w:p>
    <w:p>
      <w:pPr>
        <w:snapToGrid w:val="0"/>
        <w:spacing w:before="120" w:beforeLines="50" w:after="50" w:line="300" w:lineRule="auto"/>
        <w:jc w:val="left"/>
        <w:rPr>
          <w:rFonts w:hint="eastAsia" w:ascii="宋体" w:hAnsi="宋体" w:cs="宋体"/>
          <w:color w:val="auto"/>
          <w:spacing w:val="6"/>
          <w:sz w:val="30"/>
          <w:szCs w:val="30"/>
          <w:highlight w:val="none"/>
        </w:rPr>
      </w:pPr>
      <w:r>
        <w:rPr>
          <w:rFonts w:hint="eastAsia" w:ascii="宋体" w:hAnsi="宋体" w:cs="宋体"/>
          <w:b/>
          <w:color w:val="auto"/>
          <w:sz w:val="24"/>
          <w:highlight w:val="none"/>
          <w:u w:val="single"/>
        </w:rPr>
        <w:t>从业人员、营业收入、资产总额填报上一年度数据，无上一年度数据的新成立企业可不填报。</w:t>
      </w:r>
    </w:p>
    <w:p>
      <w:pPr>
        <w:numPr>
          <w:ilvl w:val="0"/>
          <w:numId w:val="49"/>
        </w:numPr>
        <w:rPr>
          <w:rFonts w:hint="eastAsia" w:ascii="宋体" w:hAnsi="宋体" w:cs="宋体"/>
          <w:b/>
          <w:bCs/>
          <w:color w:val="000000"/>
          <w:kern w:val="2"/>
          <w:sz w:val="30"/>
          <w:szCs w:val="30"/>
          <w:highlight w:val="none"/>
          <w:lang w:val="en-US" w:eastAsia="zh-CN" w:bidi="ar-SA"/>
        </w:rPr>
      </w:pPr>
      <w:r>
        <w:rPr>
          <w:rFonts w:hint="eastAsia" w:ascii="宋体" w:hAnsi="宋体" w:cs="宋体"/>
          <w:b/>
          <w:bCs/>
          <w:color w:val="000000"/>
          <w:kern w:val="2"/>
          <w:sz w:val="30"/>
          <w:szCs w:val="30"/>
          <w:highlight w:val="none"/>
          <w:lang w:val="en-US" w:eastAsia="zh-CN" w:bidi="ar-SA"/>
        </w:rPr>
        <w:br w:type="page"/>
      </w:r>
    </w:p>
    <w:tbl>
      <w:tblPr>
        <w:tblStyle w:val="39"/>
        <w:tblW w:w="9639" w:type="dxa"/>
        <w:tblInd w:w="8" w:type="dxa"/>
        <w:tblLayout w:type="fixed"/>
        <w:tblCellMar>
          <w:top w:w="0" w:type="dxa"/>
          <w:left w:w="108" w:type="dxa"/>
          <w:bottom w:w="0" w:type="dxa"/>
          <w:right w:w="108" w:type="dxa"/>
        </w:tblCellMar>
      </w:tblPr>
      <w:tblGrid>
        <w:gridCol w:w="2075"/>
        <w:gridCol w:w="1513"/>
        <w:gridCol w:w="1075"/>
        <w:gridCol w:w="1800"/>
        <w:gridCol w:w="2155"/>
        <w:gridCol w:w="1021"/>
      </w:tblGrid>
      <w:tr>
        <w:tblPrEx>
          <w:tblCellMar>
            <w:top w:w="0" w:type="dxa"/>
            <w:left w:w="108" w:type="dxa"/>
            <w:bottom w:w="0" w:type="dxa"/>
            <w:right w:w="108" w:type="dxa"/>
          </w:tblCellMar>
        </w:tblPrEx>
        <w:trPr>
          <w:trHeight w:val="489" w:hRule="atLeast"/>
        </w:trPr>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行业名称</w:t>
            </w:r>
          </w:p>
        </w:tc>
        <w:tc>
          <w:tcPr>
            <w:tcW w:w="15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指标名称</w:t>
            </w:r>
          </w:p>
        </w:tc>
        <w:tc>
          <w:tcPr>
            <w:tcW w:w="1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计量单位</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中型</w:t>
            </w:r>
          </w:p>
        </w:tc>
        <w:tc>
          <w:tcPr>
            <w:tcW w:w="21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小型</w:t>
            </w:r>
          </w:p>
        </w:tc>
        <w:tc>
          <w:tcPr>
            <w:tcW w:w="102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微型</w:t>
            </w:r>
          </w:p>
        </w:tc>
      </w:tr>
      <w:tr>
        <w:tblPrEx>
          <w:tblCellMar>
            <w:top w:w="0" w:type="dxa"/>
            <w:left w:w="108" w:type="dxa"/>
            <w:bottom w:w="0" w:type="dxa"/>
            <w:right w:w="108" w:type="dxa"/>
          </w:tblCellMar>
        </w:tblPrEx>
        <w:trPr>
          <w:trHeight w:val="313" w:hRule="atLeast"/>
        </w:trPr>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农、林、牧、渔</w:t>
            </w:r>
            <w:r>
              <w:rPr>
                <w:rFonts w:hint="eastAsia" w:ascii="仿宋" w:hAnsi="仿宋" w:eastAsia="仿宋" w:cs="仿宋"/>
                <w:b/>
                <w:bCs/>
                <w:color w:val="auto"/>
                <w:kern w:val="0"/>
                <w:sz w:val="21"/>
                <w:szCs w:val="21"/>
                <w:highlight w:val="none"/>
                <w:lang w:eastAsia="zh-CN"/>
              </w:rPr>
              <w:t>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50≤Y＜500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tblPrEx>
          <w:tblCellMar>
            <w:top w:w="0" w:type="dxa"/>
            <w:left w:w="108" w:type="dxa"/>
            <w:bottom w:w="0" w:type="dxa"/>
            <w:right w:w="108" w:type="dxa"/>
          </w:tblCellMar>
        </w:tblPrEx>
        <w:trPr>
          <w:trHeight w:val="316"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工业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tblPrEx>
          <w:tblCellMar>
            <w:top w:w="0" w:type="dxa"/>
            <w:left w:w="108" w:type="dxa"/>
            <w:bottom w:w="0" w:type="dxa"/>
            <w:right w:w="108" w:type="dxa"/>
          </w:tblCellMar>
        </w:tblPrEx>
        <w:trPr>
          <w:trHeight w:val="242"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2000≤Y＜40000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tblPrEx>
          <w:tblCellMar>
            <w:top w:w="0" w:type="dxa"/>
            <w:left w:w="108" w:type="dxa"/>
            <w:bottom w:w="0" w:type="dxa"/>
            <w:right w:w="108" w:type="dxa"/>
          </w:tblCellMar>
        </w:tblPrEx>
        <w:trPr>
          <w:trHeight w:val="270"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建筑业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6000≤Y＜80000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300≤Y＜6000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tblPrEx>
          <w:tblCellMar>
            <w:top w:w="0" w:type="dxa"/>
            <w:left w:w="108" w:type="dxa"/>
            <w:bottom w:w="0" w:type="dxa"/>
            <w:right w:w="108" w:type="dxa"/>
          </w:tblCellMar>
        </w:tblPrEx>
        <w:trPr>
          <w:trHeight w:val="287"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5000≤Z＜80000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300≤Z＜5000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Z＜300</w:t>
            </w:r>
          </w:p>
        </w:tc>
      </w:tr>
      <w:tr>
        <w:tblPrEx>
          <w:tblCellMar>
            <w:top w:w="0" w:type="dxa"/>
            <w:left w:w="108" w:type="dxa"/>
            <w:bottom w:w="0" w:type="dxa"/>
            <w:right w:w="108" w:type="dxa"/>
          </w:tblCellMar>
        </w:tblPrEx>
        <w:trPr>
          <w:trHeight w:val="237"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批发业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20≤X＜200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5≤X＜20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X＜5</w:t>
            </w:r>
          </w:p>
        </w:tc>
      </w:tr>
      <w:tr>
        <w:tblPrEx>
          <w:tblCellMar>
            <w:top w:w="0" w:type="dxa"/>
            <w:left w:w="108" w:type="dxa"/>
            <w:bottom w:w="0" w:type="dxa"/>
            <w:right w:w="108" w:type="dxa"/>
          </w:tblCellMar>
        </w:tblPrEx>
        <w:trPr>
          <w:trHeight w:val="313"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5000≤Y＜40000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w:t>
            </w:r>
          </w:p>
        </w:tc>
      </w:tr>
      <w:tr>
        <w:tblPrEx>
          <w:tblCellMar>
            <w:top w:w="0" w:type="dxa"/>
            <w:left w:w="108" w:type="dxa"/>
            <w:bottom w:w="0" w:type="dxa"/>
            <w:right w:w="108" w:type="dxa"/>
          </w:tblCellMar>
        </w:tblPrEx>
        <w:trPr>
          <w:trHeight w:val="258"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零售业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50≤X＜300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10≤X＜50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CellMar>
            <w:top w:w="0" w:type="dxa"/>
            <w:left w:w="108" w:type="dxa"/>
            <w:bottom w:w="0" w:type="dxa"/>
            <w:right w:w="108" w:type="dxa"/>
          </w:tblCellMar>
        </w:tblPrEx>
        <w:trPr>
          <w:trHeight w:val="247"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100≤Y＜500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CellMar>
            <w:top w:w="0" w:type="dxa"/>
            <w:left w:w="108" w:type="dxa"/>
            <w:bottom w:w="0" w:type="dxa"/>
            <w:right w:w="108" w:type="dxa"/>
          </w:tblCellMar>
        </w:tblPrEx>
        <w:trPr>
          <w:trHeight w:val="321"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交通运输业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tblPrEx>
          <w:tblCellMar>
            <w:top w:w="0" w:type="dxa"/>
            <w:left w:w="108" w:type="dxa"/>
            <w:bottom w:w="0" w:type="dxa"/>
            <w:right w:w="108" w:type="dxa"/>
          </w:tblCellMar>
        </w:tblPrEx>
        <w:trPr>
          <w:trHeight w:val="270"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3000≤Y＜30000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200≤Y＜3000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w:t>
            </w:r>
          </w:p>
        </w:tc>
      </w:tr>
      <w:tr>
        <w:tblPrEx>
          <w:tblCellMar>
            <w:top w:w="0" w:type="dxa"/>
            <w:left w:w="108" w:type="dxa"/>
            <w:bottom w:w="0" w:type="dxa"/>
            <w:right w:w="108" w:type="dxa"/>
          </w:tblCellMar>
        </w:tblPrEx>
        <w:trPr>
          <w:trHeight w:val="295"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仓储业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tblPrEx>
          <w:tblCellMar>
            <w:top w:w="0" w:type="dxa"/>
            <w:left w:w="108" w:type="dxa"/>
            <w:bottom w:w="0" w:type="dxa"/>
            <w:right w:w="108" w:type="dxa"/>
          </w:tblCellMar>
        </w:tblPrEx>
        <w:trPr>
          <w:trHeight w:val="329"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1000≤Y＜30000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CellMar>
            <w:top w:w="0" w:type="dxa"/>
            <w:left w:w="108" w:type="dxa"/>
            <w:bottom w:w="0" w:type="dxa"/>
            <w:right w:w="108" w:type="dxa"/>
          </w:tblCellMar>
        </w:tblPrEx>
        <w:trPr>
          <w:trHeight w:val="319"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邮政业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tblPrEx>
          <w:tblCellMar>
            <w:top w:w="0" w:type="dxa"/>
            <w:left w:w="108" w:type="dxa"/>
            <w:bottom w:w="0" w:type="dxa"/>
            <w:right w:w="108" w:type="dxa"/>
          </w:tblCellMar>
        </w:tblPrEx>
        <w:trPr>
          <w:trHeight w:val="338"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2000≤Y＜30000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CellMar>
            <w:top w:w="0" w:type="dxa"/>
            <w:left w:w="108" w:type="dxa"/>
            <w:bottom w:w="0" w:type="dxa"/>
            <w:right w:w="108" w:type="dxa"/>
          </w:tblCellMar>
        </w:tblPrEx>
        <w:trPr>
          <w:trHeight w:val="313"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住宿业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CellMar>
            <w:top w:w="0" w:type="dxa"/>
            <w:left w:w="108" w:type="dxa"/>
            <w:bottom w:w="0" w:type="dxa"/>
            <w:right w:w="108" w:type="dxa"/>
          </w:tblCellMar>
        </w:tblPrEx>
        <w:trPr>
          <w:trHeight w:val="282"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CellMar>
            <w:top w:w="0" w:type="dxa"/>
            <w:left w:w="108" w:type="dxa"/>
            <w:bottom w:w="0" w:type="dxa"/>
            <w:right w:w="108" w:type="dxa"/>
          </w:tblCellMar>
        </w:tblPrEx>
        <w:trPr>
          <w:trHeight w:val="287"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餐饮业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CellMar>
            <w:top w:w="0" w:type="dxa"/>
            <w:left w:w="108" w:type="dxa"/>
            <w:bottom w:w="0" w:type="dxa"/>
            <w:right w:w="108" w:type="dxa"/>
          </w:tblCellMar>
        </w:tblPrEx>
        <w:trPr>
          <w:trHeight w:val="290"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CellMar>
            <w:top w:w="0" w:type="dxa"/>
            <w:left w:w="108" w:type="dxa"/>
            <w:bottom w:w="0" w:type="dxa"/>
            <w:right w:w="108" w:type="dxa"/>
          </w:tblCellMar>
        </w:tblPrEx>
        <w:trPr>
          <w:trHeight w:val="261"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信息传输业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CellMar>
            <w:top w:w="0" w:type="dxa"/>
            <w:left w:w="108" w:type="dxa"/>
            <w:bottom w:w="0" w:type="dxa"/>
            <w:right w:w="108" w:type="dxa"/>
          </w:tblCellMar>
        </w:tblPrEx>
        <w:trPr>
          <w:trHeight w:val="298"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CellMar>
            <w:top w:w="0" w:type="dxa"/>
            <w:left w:w="108" w:type="dxa"/>
            <w:bottom w:w="0" w:type="dxa"/>
            <w:right w:w="108" w:type="dxa"/>
          </w:tblCellMar>
        </w:tblPrEx>
        <w:trPr>
          <w:trHeight w:val="278"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软件和信息技术服务业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CellMar>
            <w:top w:w="0" w:type="dxa"/>
            <w:left w:w="108" w:type="dxa"/>
            <w:bottom w:w="0" w:type="dxa"/>
            <w:right w:w="108" w:type="dxa"/>
          </w:tblCellMar>
        </w:tblPrEx>
        <w:trPr>
          <w:trHeight w:val="380"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tblPrEx>
          <w:tblCellMar>
            <w:top w:w="0" w:type="dxa"/>
            <w:left w:w="108" w:type="dxa"/>
            <w:bottom w:w="0" w:type="dxa"/>
            <w:right w:w="108" w:type="dxa"/>
          </w:tblCellMar>
        </w:tblPrEx>
        <w:trPr>
          <w:trHeight w:val="331"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房地产开发经营</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1000≤Y＜200000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tblPrEx>
          <w:tblCellMar>
            <w:top w:w="0" w:type="dxa"/>
            <w:left w:w="108" w:type="dxa"/>
            <w:bottom w:w="0" w:type="dxa"/>
            <w:right w:w="108" w:type="dxa"/>
          </w:tblCellMar>
        </w:tblPrEx>
        <w:trPr>
          <w:trHeight w:val="375"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5000≤Z＜10000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2000≤Y＜5000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w:t>
            </w:r>
          </w:p>
        </w:tc>
      </w:tr>
      <w:tr>
        <w:tblPrEx>
          <w:tblCellMar>
            <w:top w:w="0" w:type="dxa"/>
            <w:left w:w="108" w:type="dxa"/>
            <w:bottom w:w="0" w:type="dxa"/>
            <w:right w:w="108" w:type="dxa"/>
          </w:tblCellMar>
        </w:tblPrEx>
        <w:trPr>
          <w:trHeight w:val="357"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物业管理</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tblPrEx>
          <w:tblCellMar>
            <w:top w:w="0" w:type="dxa"/>
            <w:left w:w="108" w:type="dxa"/>
            <w:bottom w:w="0" w:type="dxa"/>
            <w:right w:w="108" w:type="dxa"/>
          </w:tblCellMar>
        </w:tblPrEx>
        <w:trPr>
          <w:trHeight w:val="383"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w:t>
            </w:r>
          </w:p>
        </w:tc>
      </w:tr>
      <w:tr>
        <w:tblPrEx>
          <w:tblCellMar>
            <w:top w:w="0" w:type="dxa"/>
            <w:left w:w="108" w:type="dxa"/>
            <w:bottom w:w="0" w:type="dxa"/>
            <w:right w:w="108" w:type="dxa"/>
          </w:tblCellMar>
        </w:tblPrEx>
        <w:trPr>
          <w:trHeight w:val="366" w:hRule="atLeast"/>
        </w:trPr>
        <w:tc>
          <w:tcPr>
            <w:tcW w:w="2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租赁和商务服务业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CellMar>
            <w:top w:w="0" w:type="dxa"/>
            <w:left w:w="108" w:type="dxa"/>
            <w:bottom w:w="0" w:type="dxa"/>
            <w:right w:w="108" w:type="dxa"/>
          </w:tblCellMar>
        </w:tblPrEx>
        <w:trPr>
          <w:trHeight w:val="375" w:hRule="atLeast"/>
        </w:trPr>
        <w:tc>
          <w:tcPr>
            <w:tcW w:w="207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8000≤Z＜120000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100≤Z＜8000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CellMar>
            <w:top w:w="0" w:type="dxa"/>
            <w:left w:w="108" w:type="dxa"/>
            <w:bottom w:w="0" w:type="dxa"/>
            <w:right w:w="108" w:type="dxa"/>
          </w:tblCellMar>
        </w:tblPrEx>
        <w:trPr>
          <w:trHeight w:val="447" w:hRule="atLeast"/>
        </w:trPr>
        <w:tc>
          <w:tcPr>
            <w:tcW w:w="20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其他未列明行业</w:t>
            </w:r>
          </w:p>
        </w:tc>
        <w:tc>
          <w:tcPr>
            <w:tcW w:w="15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1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bl>
    <w:p>
      <w:pPr>
        <w:ind w:firstLine="480" w:firstLineChars="200"/>
        <w:rPr>
          <w:rFonts w:hint="eastAsia" w:ascii="宋体" w:hAnsi="宋体" w:cs="宋体"/>
          <w:b/>
          <w:bCs/>
          <w:color w:val="000000"/>
          <w:kern w:val="2"/>
          <w:sz w:val="30"/>
          <w:szCs w:val="30"/>
          <w:highlight w:val="none"/>
          <w:lang w:val="en-US" w:eastAsia="zh-CN" w:bidi="ar-SA"/>
        </w:rPr>
      </w:pPr>
      <w:r>
        <w:rPr>
          <w:rFonts w:hint="eastAsia" w:ascii="仿宋" w:hAnsi="仿宋" w:eastAsia="仿宋" w:cs="仿宋"/>
          <w:color w:val="auto"/>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cs="宋体"/>
          <w:b/>
          <w:bCs/>
          <w:color w:val="000000"/>
          <w:kern w:val="2"/>
          <w:sz w:val="30"/>
          <w:szCs w:val="30"/>
          <w:highlight w:val="none"/>
          <w:lang w:val="en-US" w:eastAsia="zh-CN" w:bidi="ar-SA"/>
        </w:rPr>
        <w:br w:type="page"/>
      </w:r>
    </w:p>
    <w:p>
      <w:pPr>
        <w:numPr>
          <w:ilvl w:val="0"/>
          <w:numId w:val="0"/>
        </w:numPr>
        <w:spacing w:before="120" w:beforeLines="50" w:line="360" w:lineRule="auto"/>
        <w:rPr>
          <w:rFonts w:hint="eastAsia" w:cs="宋体"/>
          <w:b/>
          <w:bCs/>
          <w:sz w:val="28"/>
          <w:szCs w:val="28"/>
        </w:rPr>
      </w:pPr>
      <w:r>
        <w:rPr>
          <w:rFonts w:hint="eastAsia" w:ascii="宋体" w:hAnsi="宋体" w:cs="宋体"/>
          <w:b/>
          <w:bCs/>
          <w:color w:val="000000"/>
          <w:kern w:val="2"/>
          <w:sz w:val="30"/>
          <w:szCs w:val="30"/>
          <w:highlight w:val="none"/>
          <w:lang w:val="en-US" w:eastAsia="zh-CN" w:bidi="ar-SA"/>
        </w:rPr>
        <w:t>7</w:t>
      </w:r>
      <w:r>
        <w:rPr>
          <w:rFonts w:hint="eastAsia" w:ascii="宋体" w:hAnsi="宋体" w:eastAsia="宋体" w:cs="宋体"/>
          <w:b/>
          <w:bCs/>
          <w:color w:val="000000"/>
          <w:kern w:val="2"/>
          <w:sz w:val="30"/>
          <w:szCs w:val="30"/>
          <w:highlight w:val="none"/>
          <w:lang w:val="en-US" w:eastAsia="zh-CN" w:bidi="ar-SA"/>
        </w:rPr>
        <w:t>、</w:t>
      </w:r>
      <w:r>
        <w:rPr>
          <w:rFonts w:hint="eastAsia" w:cs="宋体"/>
          <w:b/>
          <w:bCs/>
          <w:sz w:val="28"/>
          <w:szCs w:val="28"/>
        </w:rPr>
        <w:t>资格审查需要的其他材料：项目管理机构配备情况表、拟投入施工机械设备情况表、企业近3年已完成类似项目一览表（如有）、企业近3年信誉实力一览表（如有）、企业近3年财务状况表（如有）、近年发生的诉讼和仲裁情况（如有）等。</w:t>
      </w:r>
    </w:p>
    <w:p>
      <w:pPr>
        <w:numPr>
          <w:ilvl w:val="0"/>
          <w:numId w:val="0"/>
        </w:numPr>
        <w:spacing w:before="120" w:beforeLines="50" w:line="360" w:lineRule="auto"/>
        <w:rPr>
          <w:b/>
          <w:bCs/>
          <w:sz w:val="28"/>
          <w:szCs w:val="28"/>
        </w:rPr>
      </w:pPr>
      <w:r>
        <w:rPr>
          <w:rFonts w:hint="eastAsia" w:cs="宋体"/>
          <w:b/>
          <w:bCs/>
          <w:sz w:val="28"/>
          <w:szCs w:val="28"/>
        </w:rPr>
        <w:t>附表：</w:t>
      </w:r>
    </w:p>
    <w:p>
      <w:pPr>
        <w:tabs>
          <w:tab w:val="left" w:pos="826"/>
        </w:tabs>
        <w:snapToGrid w:val="0"/>
        <w:ind w:firstLine="482" w:firstLineChars="200"/>
        <w:rPr>
          <w:b/>
          <w:bCs/>
          <w:sz w:val="24"/>
          <w:szCs w:val="24"/>
        </w:rPr>
      </w:pPr>
      <w:r>
        <w:rPr>
          <w:rFonts w:hint="eastAsia" w:cs="宋体"/>
          <w:b/>
          <w:bCs/>
          <w:sz w:val="24"/>
          <w:szCs w:val="24"/>
        </w:rPr>
        <w:t>（</w:t>
      </w:r>
      <w:r>
        <w:rPr>
          <w:b/>
          <w:bCs/>
          <w:sz w:val="24"/>
          <w:szCs w:val="24"/>
        </w:rPr>
        <w:t>1</w:t>
      </w:r>
      <w:r>
        <w:rPr>
          <w:rFonts w:hint="eastAsia" w:cs="宋体"/>
          <w:b/>
          <w:bCs/>
          <w:sz w:val="24"/>
          <w:szCs w:val="24"/>
        </w:rPr>
        <w:t>）项目管理机构配备情况表</w:t>
      </w:r>
    </w:p>
    <w:p>
      <w:pPr>
        <w:tabs>
          <w:tab w:val="left" w:pos="826"/>
        </w:tabs>
        <w:snapToGrid w:val="0"/>
        <w:ind w:firstLine="482" w:firstLineChars="200"/>
        <w:rPr>
          <w:b/>
          <w:bCs/>
          <w:sz w:val="24"/>
          <w:szCs w:val="24"/>
        </w:rPr>
      </w:pPr>
    </w:p>
    <w:p>
      <w:pPr>
        <w:pStyle w:val="147"/>
        <w:outlineLvl w:val="0"/>
      </w:pPr>
      <w:r>
        <w:rPr>
          <w:u w:val="single"/>
        </w:rPr>
        <w:t xml:space="preserve">            </w:t>
      </w:r>
      <w:r>
        <w:rPr>
          <w:rFonts w:hint="eastAsia" w:cs="宋体"/>
          <w:u w:val="single"/>
        </w:rPr>
        <w:t>（招标工程项目名称）</w:t>
      </w:r>
      <w:r>
        <w:rPr>
          <w:rFonts w:hint="eastAsia" w:cs="宋体"/>
          <w:u w:val="single"/>
          <w:lang w:eastAsia="zh-CN"/>
        </w:rPr>
        <w:t>（标段名称）</w:t>
      </w:r>
      <w:r>
        <w:rPr>
          <w:u w:val="single"/>
        </w:rPr>
        <w:t xml:space="preserve">        </w:t>
      </w:r>
      <w:r>
        <w:t xml:space="preserve"> </w:t>
      </w:r>
      <w:r>
        <w:rPr>
          <w:rFonts w:hint="eastAsia" w:cs="宋体"/>
        </w:rPr>
        <w:t>工程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22" w:hangingChars="106"/>
              <w:jc w:val="center"/>
            </w:pPr>
            <w:r>
              <w:rPr>
                <w:rFonts w:hint="eastAsia" w:cs="宋体"/>
              </w:rPr>
              <w:t>岗位</w:t>
            </w:r>
          </w:p>
        </w:tc>
        <w:tc>
          <w:tcPr>
            <w:tcW w:w="829" w:type="dxa"/>
            <w:vMerge w:val="restart"/>
            <w:noWrap w:val="0"/>
            <w:vAlign w:val="center"/>
          </w:tcPr>
          <w:p>
            <w:pPr>
              <w:ind w:left="223" w:hanging="222" w:hangingChars="106"/>
              <w:jc w:val="center"/>
            </w:pPr>
            <w:r>
              <w:rPr>
                <w:rFonts w:hint="eastAsia" w:cs="宋体"/>
              </w:rPr>
              <w:t>姓名</w:t>
            </w:r>
          </w:p>
        </w:tc>
        <w:tc>
          <w:tcPr>
            <w:tcW w:w="816" w:type="dxa"/>
            <w:vMerge w:val="restart"/>
            <w:noWrap w:val="0"/>
            <w:vAlign w:val="center"/>
          </w:tcPr>
          <w:p>
            <w:pPr>
              <w:ind w:left="223" w:hanging="222" w:hangingChars="106"/>
              <w:jc w:val="center"/>
            </w:pPr>
            <w:r>
              <w:rPr>
                <w:rFonts w:hint="eastAsia" w:cs="宋体"/>
              </w:rPr>
              <w:t>职称</w:t>
            </w:r>
          </w:p>
        </w:tc>
        <w:tc>
          <w:tcPr>
            <w:tcW w:w="4592" w:type="dxa"/>
            <w:gridSpan w:val="4"/>
            <w:noWrap w:val="0"/>
            <w:vAlign w:val="center"/>
          </w:tcPr>
          <w:p>
            <w:pPr>
              <w:ind w:left="223" w:hanging="222" w:hangingChars="106"/>
              <w:jc w:val="center"/>
            </w:pPr>
            <w:r>
              <w:rPr>
                <w:rFonts w:hint="eastAsia" w:cs="宋体"/>
              </w:rPr>
              <w:t>执业或职业资格证明</w:t>
            </w:r>
          </w:p>
        </w:tc>
        <w:tc>
          <w:tcPr>
            <w:tcW w:w="2529" w:type="dxa"/>
            <w:gridSpan w:val="2"/>
            <w:noWrap w:val="0"/>
            <w:vAlign w:val="center"/>
          </w:tcPr>
          <w:p>
            <w:pPr>
              <w:ind w:left="223" w:hanging="222" w:hangingChars="106"/>
              <w:jc w:val="center"/>
            </w:pPr>
            <w:r>
              <w:rPr>
                <w:rFonts w:hint="eastAsia"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22" w:hangingChars="106"/>
              <w:jc w:val="center"/>
            </w:pPr>
          </w:p>
        </w:tc>
        <w:tc>
          <w:tcPr>
            <w:tcW w:w="829" w:type="dxa"/>
            <w:vMerge w:val="continue"/>
            <w:noWrap w:val="0"/>
            <w:vAlign w:val="center"/>
          </w:tcPr>
          <w:p>
            <w:pPr>
              <w:ind w:left="223" w:hanging="222" w:hangingChars="106"/>
              <w:jc w:val="center"/>
            </w:pPr>
          </w:p>
        </w:tc>
        <w:tc>
          <w:tcPr>
            <w:tcW w:w="816" w:type="dxa"/>
            <w:vMerge w:val="continue"/>
            <w:noWrap w:val="0"/>
            <w:vAlign w:val="center"/>
          </w:tcPr>
          <w:p>
            <w:pPr>
              <w:ind w:left="223" w:hanging="222" w:hangingChars="106"/>
              <w:jc w:val="center"/>
            </w:pPr>
          </w:p>
        </w:tc>
        <w:tc>
          <w:tcPr>
            <w:tcW w:w="1148" w:type="dxa"/>
            <w:noWrap w:val="0"/>
            <w:vAlign w:val="center"/>
          </w:tcPr>
          <w:p>
            <w:pPr>
              <w:ind w:left="223" w:hanging="222" w:hangingChars="106"/>
              <w:jc w:val="center"/>
            </w:pPr>
            <w:r>
              <w:rPr>
                <w:rFonts w:hint="eastAsia" w:cs="宋体"/>
              </w:rPr>
              <w:t>证书名称</w:t>
            </w:r>
          </w:p>
        </w:tc>
        <w:tc>
          <w:tcPr>
            <w:tcW w:w="1148" w:type="dxa"/>
            <w:noWrap w:val="0"/>
            <w:vAlign w:val="center"/>
          </w:tcPr>
          <w:p>
            <w:pPr>
              <w:ind w:left="223" w:hanging="222" w:hangingChars="106"/>
              <w:jc w:val="center"/>
            </w:pPr>
            <w:r>
              <w:rPr>
                <w:rFonts w:hint="eastAsia" w:cs="宋体"/>
              </w:rPr>
              <w:t>级别</w:t>
            </w:r>
          </w:p>
        </w:tc>
        <w:tc>
          <w:tcPr>
            <w:tcW w:w="1148" w:type="dxa"/>
            <w:noWrap w:val="0"/>
            <w:vAlign w:val="center"/>
          </w:tcPr>
          <w:p>
            <w:pPr>
              <w:ind w:left="223" w:hanging="222" w:hangingChars="106"/>
              <w:jc w:val="center"/>
            </w:pPr>
            <w:r>
              <w:rPr>
                <w:rFonts w:hint="eastAsia" w:cs="宋体"/>
              </w:rPr>
              <w:t>证号</w:t>
            </w:r>
          </w:p>
        </w:tc>
        <w:tc>
          <w:tcPr>
            <w:tcW w:w="1148" w:type="dxa"/>
            <w:noWrap w:val="0"/>
            <w:vAlign w:val="center"/>
          </w:tcPr>
          <w:p>
            <w:pPr>
              <w:ind w:left="223" w:hanging="222" w:hangingChars="106"/>
              <w:jc w:val="center"/>
            </w:pPr>
            <w:r>
              <w:rPr>
                <w:rFonts w:hint="eastAsia" w:cs="宋体"/>
              </w:rPr>
              <w:t>专业</w:t>
            </w:r>
          </w:p>
        </w:tc>
        <w:tc>
          <w:tcPr>
            <w:tcW w:w="850" w:type="dxa"/>
            <w:noWrap w:val="0"/>
            <w:vAlign w:val="center"/>
          </w:tcPr>
          <w:p>
            <w:pPr>
              <w:ind w:left="223" w:hanging="222" w:hangingChars="106"/>
              <w:jc w:val="center"/>
            </w:pPr>
            <w:r>
              <w:rPr>
                <w:rFonts w:hint="eastAsia" w:cs="宋体"/>
              </w:rPr>
              <w:t>项目数</w:t>
            </w:r>
          </w:p>
        </w:tc>
        <w:tc>
          <w:tcPr>
            <w:tcW w:w="1679" w:type="dxa"/>
            <w:noWrap w:val="0"/>
            <w:vAlign w:val="center"/>
          </w:tcPr>
          <w:p>
            <w:pPr>
              <w:ind w:left="223" w:hanging="222" w:hangingChars="106"/>
              <w:jc w:val="center"/>
            </w:pPr>
            <w:r>
              <w:rPr>
                <w:rFonts w:hint="eastAsia" w:cs="宋体"/>
              </w:rPr>
              <w:t>主要项目</w:t>
            </w:r>
          </w:p>
          <w:p>
            <w:pPr>
              <w:ind w:left="223" w:hanging="222" w:hangingChars="106"/>
              <w:jc w:val="center"/>
            </w:pPr>
            <w:r>
              <w:rPr>
                <w:rFonts w:hint="eastAsia"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val="0"/>
            <w:vAlign w:val="top"/>
          </w:tcPr>
          <w:p>
            <w:pPr>
              <w:spacing w:before="120" w:beforeLines="50" w:after="120" w:afterLines="50" w:line="360" w:lineRule="auto"/>
            </w:pPr>
            <w:r>
              <w:rPr>
                <w:rFonts w:hint="eastAsia" w:cs="宋体"/>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pPr>
    </w:p>
    <w:p>
      <w:pPr>
        <w:tabs>
          <w:tab w:val="left" w:pos="0"/>
        </w:tabs>
        <w:spacing w:line="360" w:lineRule="auto"/>
        <w:ind w:right="-210"/>
        <w:rPr>
          <w:rFonts w:eastAsia="楷体_GB2312"/>
        </w:rPr>
      </w:pPr>
      <w:r>
        <w:rPr>
          <w:rFonts w:hint="eastAsia" w:eastAsia="楷体_GB2312" w:cs="楷体_GB2312"/>
        </w:rPr>
        <w:t>【</w:t>
      </w:r>
      <w:r>
        <w:rPr>
          <w:rFonts w:hint="eastAsia" w:ascii="宋体" w:hAnsi="宋体" w:eastAsia="宋体" w:cs="宋体"/>
          <w:color w:val="000000"/>
          <w:highlight w:val="none"/>
        </w:rPr>
        <w:t>备注： 附以上各岗位人员资格证件复印件， 以及投标人认为需要的其他证明材料复印件。 以上复印件均须加盖投标人单位公章</w:t>
      </w:r>
      <w:r>
        <w:rPr>
          <w:rFonts w:hint="eastAsia" w:eastAsia="楷体_GB2312" w:cs="楷体_GB2312"/>
        </w:rPr>
        <w:t>】</w:t>
      </w:r>
    </w:p>
    <w:p>
      <w:pPr>
        <w:tabs>
          <w:tab w:val="left" w:pos="0"/>
        </w:tabs>
        <w:spacing w:line="360" w:lineRule="auto"/>
        <w:ind w:right="-210"/>
      </w:pPr>
    </w:p>
    <w:p>
      <w:pPr>
        <w:spacing w:before="120" w:beforeLines="50" w:after="120" w:afterLines="50" w:line="440" w:lineRule="exact"/>
        <w:ind w:left="772" w:leftChars="100" w:hanging="562" w:hangingChars="200"/>
        <w:jc w:val="center"/>
        <w:rPr>
          <w:b/>
          <w:bCs/>
          <w:sz w:val="28"/>
          <w:szCs w:val="28"/>
        </w:rPr>
        <w:sectPr>
          <w:footerReference r:id="rId8" w:type="default"/>
          <w:pgSz w:w="11905" w:h="16838"/>
          <w:pgMar w:top="1440" w:right="1157" w:bottom="1270" w:left="1287" w:header="851" w:footer="850" w:gutter="0"/>
          <w:cols w:space="720" w:num="1"/>
          <w:rtlGutter w:val="0"/>
          <w:docGrid w:linePitch="312" w:charSpace="0"/>
        </w:sectPr>
      </w:pPr>
    </w:p>
    <w:p>
      <w:pPr>
        <w:tabs>
          <w:tab w:val="left" w:pos="826"/>
        </w:tabs>
        <w:snapToGrid w:val="0"/>
        <w:ind w:firstLine="482" w:firstLineChars="200"/>
        <w:rPr>
          <w:b/>
          <w:bCs/>
          <w:sz w:val="24"/>
          <w:szCs w:val="24"/>
        </w:rPr>
      </w:pPr>
      <w:r>
        <w:rPr>
          <w:rFonts w:hint="eastAsia" w:cs="宋体"/>
          <w:b/>
          <w:bCs/>
          <w:sz w:val="24"/>
          <w:szCs w:val="24"/>
        </w:rPr>
        <w:t>（</w:t>
      </w:r>
      <w:r>
        <w:rPr>
          <w:b/>
          <w:bCs/>
          <w:sz w:val="24"/>
          <w:szCs w:val="24"/>
        </w:rPr>
        <w:t>2</w:t>
      </w:r>
      <w:r>
        <w:rPr>
          <w:rFonts w:hint="eastAsia" w:cs="宋体"/>
          <w:b/>
          <w:bCs/>
          <w:sz w:val="24"/>
          <w:szCs w:val="24"/>
        </w:rPr>
        <w:t>）拟投入施工机械设备情况表（格式自拟）</w:t>
      </w:r>
    </w:p>
    <w:p>
      <w:pPr>
        <w:spacing w:before="120" w:beforeLines="50" w:after="120" w:afterLines="50" w:line="440" w:lineRule="exact"/>
        <w:ind w:left="772" w:leftChars="100" w:hanging="562" w:hangingChars="200"/>
        <w:jc w:val="center"/>
        <w:rPr>
          <w:b/>
          <w:bCs/>
          <w:sz w:val="28"/>
          <w:szCs w:val="28"/>
        </w:rPr>
      </w:pPr>
    </w:p>
    <w:p>
      <w:pPr>
        <w:spacing w:before="120" w:beforeLines="50" w:after="120" w:afterLines="50" w:line="440" w:lineRule="exact"/>
        <w:ind w:left="772" w:leftChars="100" w:hanging="562" w:hangingChars="200"/>
        <w:jc w:val="center"/>
        <w:rPr>
          <w:b/>
          <w:bCs/>
          <w:sz w:val="28"/>
          <w:szCs w:val="28"/>
        </w:rPr>
        <w:sectPr>
          <w:pgSz w:w="11905" w:h="16838"/>
          <w:pgMar w:top="1440" w:right="1157" w:bottom="1270" w:left="1287" w:header="851" w:footer="850" w:gutter="0"/>
          <w:cols w:space="720" w:num="1"/>
          <w:rtlGutter w:val="0"/>
          <w:docGrid w:linePitch="312" w:charSpace="0"/>
        </w:sectPr>
      </w:pPr>
    </w:p>
    <w:p>
      <w:pPr>
        <w:tabs>
          <w:tab w:val="left" w:pos="826"/>
        </w:tabs>
        <w:snapToGrid w:val="0"/>
        <w:outlineLvl w:val="0"/>
        <w:rPr>
          <w:rFonts w:hint="eastAsia" w:eastAsia="宋体"/>
          <w:b/>
          <w:bCs/>
          <w:sz w:val="24"/>
          <w:szCs w:val="24"/>
          <w:lang w:eastAsia="zh-CN"/>
        </w:rPr>
      </w:pPr>
      <w:r>
        <w:rPr>
          <w:rFonts w:hint="eastAsia" w:cs="宋体"/>
          <w:b/>
          <w:bCs/>
          <w:sz w:val="24"/>
          <w:szCs w:val="24"/>
        </w:rPr>
        <w:t>（</w:t>
      </w:r>
      <w:r>
        <w:rPr>
          <w:b/>
          <w:bCs/>
          <w:sz w:val="24"/>
          <w:szCs w:val="24"/>
        </w:rPr>
        <w:t>3</w:t>
      </w:r>
      <w:r>
        <w:rPr>
          <w:rFonts w:hint="eastAsia" w:cs="宋体"/>
          <w:b/>
          <w:bCs/>
          <w:sz w:val="24"/>
          <w:szCs w:val="24"/>
        </w:rPr>
        <w:t>）企业</w:t>
      </w:r>
      <w:r>
        <w:rPr>
          <w:rFonts w:hint="eastAsia" w:cs="宋体"/>
          <w:b/>
          <w:bCs/>
          <w:sz w:val="24"/>
          <w:szCs w:val="24"/>
          <w:lang w:val="en-US" w:eastAsia="zh-CN"/>
        </w:rPr>
        <w:t>近三年</w:t>
      </w:r>
      <w:r>
        <w:rPr>
          <w:rFonts w:hint="eastAsia" w:cs="宋体"/>
          <w:b/>
          <w:bCs/>
          <w:sz w:val="24"/>
          <w:szCs w:val="24"/>
        </w:rPr>
        <w:t>已完成类似工程一览表</w:t>
      </w:r>
      <w:r>
        <w:rPr>
          <w:rFonts w:hint="eastAsia" w:cs="宋体"/>
          <w:b/>
          <w:bCs/>
          <w:sz w:val="24"/>
          <w:szCs w:val="24"/>
          <w:lang w:eastAsia="zh-CN"/>
        </w:rPr>
        <w:t>（</w:t>
      </w:r>
      <w:r>
        <w:rPr>
          <w:rFonts w:hint="eastAsia" w:cs="宋体"/>
          <w:b/>
          <w:bCs/>
          <w:sz w:val="24"/>
          <w:szCs w:val="24"/>
          <w:lang w:val="en-US" w:eastAsia="zh-CN"/>
        </w:rPr>
        <w:t>如有</w:t>
      </w:r>
      <w:r>
        <w:rPr>
          <w:rFonts w:hint="eastAsia" w:cs="宋体"/>
          <w:b/>
          <w:bCs/>
          <w:sz w:val="24"/>
          <w:szCs w:val="24"/>
          <w:lang w:eastAsia="zh-CN"/>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pPr>
              <w:jc w:val="center"/>
            </w:pPr>
            <w:r>
              <w:rPr>
                <w:rFonts w:hint="eastAsia" w:cs="宋体"/>
              </w:rPr>
              <w:t>序号</w:t>
            </w:r>
          </w:p>
        </w:tc>
        <w:tc>
          <w:tcPr>
            <w:tcW w:w="1701" w:type="dxa"/>
            <w:noWrap w:val="0"/>
            <w:vAlign w:val="center"/>
          </w:tcPr>
          <w:p>
            <w:pPr>
              <w:jc w:val="center"/>
            </w:pPr>
            <w:r>
              <w:rPr>
                <w:rFonts w:hint="eastAsia" w:cs="宋体"/>
              </w:rPr>
              <w:t>发包人名称</w:t>
            </w:r>
          </w:p>
        </w:tc>
        <w:tc>
          <w:tcPr>
            <w:tcW w:w="1417" w:type="dxa"/>
            <w:noWrap w:val="0"/>
            <w:vAlign w:val="center"/>
          </w:tcPr>
          <w:p>
            <w:pPr>
              <w:jc w:val="center"/>
            </w:pPr>
            <w:r>
              <w:rPr>
                <w:rFonts w:hint="eastAsia" w:cs="宋体"/>
              </w:rPr>
              <w:t>工程名称</w:t>
            </w:r>
          </w:p>
          <w:p>
            <w:pPr>
              <w:jc w:val="center"/>
            </w:pPr>
            <w:r>
              <w:rPr>
                <w:rFonts w:hint="eastAsia" w:cs="宋体"/>
              </w:rPr>
              <w:t>及建设地点</w:t>
            </w:r>
          </w:p>
        </w:tc>
        <w:tc>
          <w:tcPr>
            <w:tcW w:w="851" w:type="dxa"/>
            <w:noWrap w:val="0"/>
            <w:vAlign w:val="center"/>
          </w:tcPr>
          <w:p>
            <w:pPr>
              <w:jc w:val="center"/>
            </w:pPr>
            <w:r>
              <w:rPr>
                <w:rFonts w:hint="eastAsia" w:cs="宋体"/>
              </w:rPr>
              <w:t>结构</w:t>
            </w:r>
          </w:p>
          <w:p>
            <w:pPr>
              <w:jc w:val="center"/>
            </w:pPr>
            <w:r>
              <w:rPr>
                <w:rFonts w:hint="eastAsia" w:cs="宋体"/>
              </w:rPr>
              <w:t>类型</w:t>
            </w:r>
          </w:p>
        </w:tc>
        <w:tc>
          <w:tcPr>
            <w:tcW w:w="992" w:type="dxa"/>
            <w:noWrap w:val="0"/>
            <w:vAlign w:val="center"/>
          </w:tcPr>
          <w:p>
            <w:pPr>
              <w:jc w:val="center"/>
            </w:pPr>
            <w:r>
              <w:rPr>
                <w:rFonts w:hint="eastAsia" w:cs="宋体"/>
              </w:rPr>
              <w:t>建设</w:t>
            </w:r>
          </w:p>
          <w:p>
            <w:pPr>
              <w:jc w:val="center"/>
            </w:pPr>
            <w:r>
              <w:rPr>
                <w:rFonts w:hint="eastAsia" w:cs="宋体"/>
              </w:rPr>
              <w:t>规模</w:t>
            </w:r>
          </w:p>
        </w:tc>
        <w:tc>
          <w:tcPr>
            <w:tcW w:w="1134" w:type="dxa"/>
            <w:noWrap w:val="0"/>
            <w:vAlign w:val="center"/>
          </w:tcPr>
          <w:p>
            <w:pPr>
              <w:jc w:val="center"/>
            </w:pPr>
            <w:r>
              <w:rPr>
                <w:rFonts w:hint="eastAsia" w:cs="宋体"/>
              </w:rPr>
              <w:t>合同金额</w:t>
            </w:r>
          </w:p>
          <w:p>
            <w:pPr>
              <w:jc w:val="center"/>
            </w:pPr>
            <w:r>
              <w:rPr>
                <w:rFonts w:hint="eastAsia" w:cs="宋体"/>
              </w:rPr>
              <w:t>（万元）</w:t>
            </w:r>
          </w:p>
        </w:tc>
        <w:tc>
          <w:tcPr>
            <w:tcW w:w="1276" w:type="dxa"/>
            <w:noWrap w:val="0"/>
            <w:vAlign w:val="center"/>
          </w:tcPr>
          <w:p>
            <w:pPr>
              <w:jc w:val="center"/>
            </w:pPr>
            <w:r>
              <w:rPr>
                <w:rFonts w:hint="eastAsia" w:cs="宋体"/>
              </w:rPr>
              <w:t>竣工达到</w:t>
            </w:r>
          </w:p>
          <w:p>
            <w:pPr>
              <w:jc w:val="center"/>
            </w:pPr>
            <w:r>
              <w:rPr>
                <w:rFonts w:hint="eastAsia" w:cs="宋体"/>
              </w:rPr>
              <w:t>质量标准</w:t>
            </w:r>
          </w:p>
        </w:tc>
        <w:tc>
          <w:tcPr>
            <w:tcW w:w="1134" w:type="dxa"/>
            <w:noWrap w:val="0"/>
            <w:vAlign w:val="center"/>
          </w:tcPr>
          <w:p>
            <w:pPr>
              <w:jc w:val="center"/>
            </w:pPr>
            <w:r>
              <w:rPr>
                <w:rFonts w:hint="eastAsia" w:cs="宋体"/>
              </w:rPr>
              <w:t>开竣工</w:t>
            </w:r>
          </w:p>
          <w:p>
            <w:pPr>
              <w:jc w:val="center"/>
            </w:pPr>
            <w:r>
              <w:rPr>
                <w:rFonts w:hint="eastAsia" w:cs="宋体"/>
              </w:rPr>
              <w:t>日</w:t>
            </w:r>
            <w:r>
              <w:t xml:space="preserve">  </w:t>
            </w:r>
            <w:r>
              <w:rPr>
                <w:rFonts w:hint="eastAsia" w:cs="宋体"/>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bl>
    <w:p/>
    <w:p>
      <w:pPr>
        <w:rPr>
          <w:rFonts w:eastAsia="楷体_GB2312"/>
        </w:rPr>
      </w:pPr>
      <w:r>
        <w:rPr>
          <w:rFonts w:hint="eastAsia" w:eastAsia="楷体_GB2312" w:cs="楷体_GB2312"/>
        </w:rPr>
        <w:t>备注：</w:t>
      </w:r>
    </w:p>
    <w:p>
      <w:pPr>
        <w:ind w:left="630" w:leftChars="100" w:hanging="420" w:hangingChars="200"/>
        <w:rPr>
          <w:b/>
          <w:bCs/>
          <w:sz w:val="28"/>
          <w:szCs w:val="28"/>
        </w:rPr>
      </w:pPr>
      <w:r>
        <w:rPr>
          <w:rFonts w:hint="eastAsia" w:eastAsia="楷体_GB2312" w:cs="楷体_GB2312"/>
          <w:color w:val="000000"/>
          <w:highlight w:val="none"/>
        </w:rPr>
        <w:t>附以上类似工程的中标通知书（如有）、工程合同协议书、工程竣工验收证明材料的复印件，以及投标人认为需要增加的其他证明材料复印件，以上复印件均须加盖投标人单位公章。</w:t>
      </w:r>
    </w:p>
    <w:p>
      <w:pPr>
        <w:tabs>
          <w:tab w:val="left" w:pos="826"/>
        </w:tabs>
        <w:snapToGrid w:val="0"/>
        <w:outlineLvl w:val="0"/>
        <w:rPr>
          <w:rFonts w:hint="eastAsia" w:cs="宋体"/>
          <w:b/>
          <w:bCs/>
          <w:sz w:val="24"/>
          <w:szCs w:val="24"/>
        </w:rPr>
      </w:pPr>
    </w:p>
    <w:p>
      <w:pPr>
        <w:tabs>
          <w:tab w:val="left" w:pos="826"/>
        </w:tabs>
        <w:snapToGrid w:val="0"/>
        <w:outlineLvl w:val="0"/>
        <w:rPr>
          <w:rFonts w:hint="eastAsia" w:eastAsia="宋体"/>
          <w:b/>
          <w:bCs/>
          <w:sz w:val="24"/>
          <w:szCs w:val="24"/>
          <w:lang w:eastAsia="zh-CN"/>
        </w:rPr>
      </w:pPr>
      <w:r>
        <w:rPr>
          <w:rFonts w:hint="eastAsia" w:cs="宋体"/>
          <w:b/>
          <w:bCs/>
          <w:sz w:val="24"/>
          <w:szCs w:val="24"/>
        </w:rPr>
        <w:t>或企业</w:t>
      </w:r>
      <w:r>
        <w:rPr>
          <w:rFonts w:hint="eastAsia" w:cs="宋体"/>
          <w:b/>
          <w:bCs/>
          <w:sz w:val="24"/>
          <w:szCs w:val="24"/>
          <w:lang w:val="en-US" w:eastAsia="zh-CN"/>
        </w:rPr>
        <w:t>近三年</w:t>
      </w:r>
      <w:r>
        <w:rPr>
          <w:rFonts w:hint="eastAsia" w:cs="宋体"/>
          <w:b/>
          <w:bCs/>
          <w:sz w:val="24"/>
          <w:szCs w:val="24"/>
        </w:rPr>
        <w:t>在建类似工程一览表</w:t>
      </w:r>
      <w:r>
        <w:rPr>
          <w:rFonts w:hint="eastAsia" w:cs="宋体"/>
          <w:b/>
          <w:bCs/>
          <w:sz w:val="24"/>
          <w:szCs w:val="24"/>
          <w:lang w:eastAsia="zh-CN"/>
        </w:rPr>
        <w:t>（</w:t>
      </w:r>
      <w:r>
        <w:rPr>
          <w:rFonts w:hint="eastAsia" w:cs="宋体"/>
          <w:b/>
          <w:bCs/>
          <w:sz w:val="24"/>
          <w:szCs w:val="24"/>
          <w:lang w:val="en-US" w:eastAsia="zh-CN"/>
        </w:rPr>
        <w:t>如有</w:t>
      </w:r>
      <w:r>
        <w:rPr>
          <w:rFonts w:hint="eastAsia" w:cs="宋体"/>
          <w:b/>
          <w:bCs/>
          <w:sz w:val="24"/>
          <w:szCs w:val="24"/>
          <w:lang w:eastAsia="zh-CN"/>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pPr>
              <w:jc w:val="center"/>
            </w:pPr>
            <w:r>
              <w:rPr>
                <w:rFonts w:hint="eastAsia" w:cs="宋体"/>
              </w:rPr>
              <w:t>序号</w:t>
            </w:r>
          </w:p>
        </w:tc>
        <w:tc>
          <w:tcPr>
            <w:tcW w:w="1701" w:type="dxa"/>
            <w:noWrap w:val="0"/>
            <w:vAlign w:val="center"/>
          </w:tcPr>
          <w:p>
            <w:pPr>
              <w:jc w:val="center"/>
            </w:pPr>
            <w:r>
              <w:rPr>
                <w:rFonts w:hint="eastAsia" w:cs="宋体"/>
              </w:rPr>
              <w:t>发包人名称</w:t>
            </w:r>
          </w:p>
        </w:tc>
        <w:tc>
          <w:tcPr>
            <w:tcW w:w="1417" w:type="dxa"/>
            <w:noWrap w:val="0"/>
            <w:vAlign w:val="center"/>
          </w:tcPr>
          <w:p>
            <w:pPr>
              <w:jc w:val="center"/>
            </w:pPr>
            <w:r>
              <w:rPr>
                <w:rFonts w:hint="eastAsia" w:cs="宋体"/>
              </w:rPr>
              <w:t>工程名称</w:t>
            </w:r>
          </w:p>
          <w:p>
            <w:pPr>
              <w:jc w:val="center"/>
            </w:pPr>
            <w:r>
              <w:rPr>
                <w:rFonts w:hint="eastAsia" w:cs="宋体"/>
              </w:rPr>
              <w:t>及建设地点</w:t>
            </w:r>
          </w:p>
        </w:tc>
        <w:tc>
          <w:tcPr>
            <w:tcW w:w="851" w:type="dxa"/>
            <w:noWrap w:val="0"/>
            <w:vAlign w:val="center"/>
          </w:tcPr>
          <w:p>
            <w:pPr>
              <w:jc w:val="center"/>
            </w:pPr>
            <w:r>
              <w:rPr>
                <w:rFonts w:hint="eastAsia" w:cs="宋体"/>
              </w:rPr>
              <w:t>结构</w:t>
            </w:r>
          </w:p>
          <w:p>
            <w:pPr>
              <w:jc w:val="center"/>
            </w:pPr>
            <w:r>
              <w:rPr>
                <w:rFonts w:hint="eastAsia" w:cs="宋体"/>
              </w:rPr>
              <w:t>类型</w:t>
            </w:r>
          </w:p>
        </w:tc>
        <w:tc>
          <w:tcPr>
            <w:tcW w:w="992" w:type="dxa"/>
            <w:noWrap w:val="0"/>
            <w:vAlign w:val="center"/>
          </w:tcPr>
          <w:p>
            <w:pPr>
              <w:jc w:val="center"/>
            </w:pPr>
            <w:r>
              <w:rPr>
                <w:rFonts w:hint="eastAsia" w:cs="宋体"/>
              </w:rPr>
              <w:t>建设</w:t>
            </w:r>
          </w:p>
          <w:p>
            <w:pPr>
              <w:jc w:val="center"/>
            </w:pPr>
            <w:r>
              <w:rPr>
                <w:rFonts w:hint="eastAsia" w:cs="宋体"/>
              </w:rPr>
              <w:t>规模</w:t>
            </w:r>
          </w:p>
        </w:tc>
        <w:tc>
          <w:tcPr>
            <w:tcW w:w="1134" w:type="dxa"/>
            <w:noWrap w:val="0"/>
            <w:vAlign w:val="center"/>
          </w:tcPr>
          <w:p>
            <w:pPr>
              <w:jc w:val="center"/>
            </w:pPr>
            <w:r>
              <w:rPr>
                <w:rFonts w:hint="eastAsia" w:cs="宋体"/>
              </w:rPr>
              <w:t>合同金额</w:t>
            </w:r>
          </w:p>
          <w:p>
            <w:pPr>
              <w:jc w:val="center"/>
            </w:pPr>
            <w:r>
              <w:rPr>
                <w:rFonts w:hint="eastAsia" w:cs="宋体"/>
              </w:rPr>
              <w:t>（万元）</w:t>
            </w:r>
          </w:p>
        </w:tc>
        <w:tc>
          <w:tcPr>
            <w:tcW w:w="1276" w:type="dxa"/>
            <w:noWrap w:val="0"/>
            <w:vAlign w:val="center"/>
          </w:tcPr>
          <w:p>
            <w:pPr>
              <w:jc w:val="center"/>
            </w:pPr>
            <w:r>
              <w:rPr>
                <w:rFonts w:hint="eastAsia" w:cs="宋体"/>
              </w:rPr>
              <w:t>开工日期</w:t>
            </w:r>
          </w:p>
        </w:tc>
        <w:tc>
          <w:tcPr>
            <w:tcW w:w="1134" w:type="dxa"/>
            <w:noWrap w:val="0"/>
            <w:vAlign w:val="center"/>
          </w:tcPr>
          <w:p>
            <w:pPr>
              <w:jc w:val="center"/>
            </w:pPr>
            <w:r>
              <w:rPr>
                <w:rFonts w:hint="eastAsia" w:cs="宋体"/>
              </w:rPr>
              <w:t>计划竣工日期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bl>
    <w:p>
      <w:pPr>
        <w:spacing w:before="120" w:beforeLines="50" w:after="120" w:afterLines="50"/>
        <w:ind w:left="772" w:leftChars="100" w:hanging="562" w:hangingChars="200"/>
        <w:rPr>
          <w:b/>
          <w:bCs/>
          <w:sz w:val="28"/>
          <w:szCs w:val="28"/>
        </w:rPr>
      </w:pPr>
    </w:p>
    <w:p>
      <w:pPr>
        <w:rPr>
          <w:rFonts w:eastAsia="楷体_GB2312" w:cs="楷体_GB2312"/>
        </w:rPr>
      </w:pPr>
      <w:r>
        <w:rPr>
          <w:rFonts w:hint="eastAsia" w:eastAsia="楷体_GB2312" w:cs="楷体_GB2312"/>
        </w:rPr>
        <w:t>备注：</w:t>
      </w:r>
    </w:p>
    <w:p>
      <w:pPr>
        <w:ind w:firstLine="420" w:firstLineChars="200"/>
        <w:rPr>
          <w:rFonts w:eastAsia="楷体_GB2312" w:cs="楷体_GB2312"/>
        </w:rPr>
      </w:pPr>
      <w:r>
        <w:rPr>
          <w:rFonts w:hint="eastAsia" w:eastAsia="楷体_GB2312" w:cs="楷体_GB2312"/>
        </w:rPr>
        <w:t>附：</w:t>
      </w:r>
      <w:r>
        <w:rPr>
          <w:rFonts w:hint="eastAsia" w:eastAsia="楷体_GB2312" w:cs="楷体_GB2312"/>
          <w:color w:val="000000"/>
          <w:highlight w:val="none"/>
        </w:rPr>
        <w:t>如招标人选择接受在建工程作为业绩的，投标人应在投标文件组成的“业绩（在建工程）”节点上传相关证明材料的原件扫描件，内容包括：中标（发包）通知书、工程合同协议书有关页面等。</w:t>
      </w:r>
    </w:p>
    <w:p>
      <w:pPr>
        <w:ind w:firstLine="422" w:firstLineChars="200"/>
        <w:rPr>
          <w:rFonts w:eastAsia="楷体_GB2312"/>
          <w:b/>
          <w:bCs/>
        </w:rPr>
      </w:pPr>
    </w:p>
    <w:p>
      <w:pPr>
        <w:spacing w:before="120" w:beforeLines="50" w:after="120" w:afterLines="50"/>
        <w:ind w:left="772" w:leftChars="100" w:hanging="562" w:hangingChars="200"/>
        <w:rPr>
          <w:b/>
          <w:bCs/>
          <w:sz w:val="28"/>
          <w:szCs w:val="28"/>
        </w:rPr>
        <w:sectPr>
          <w:pgSz w:w="11905" w:h="16838"/>
          <w:pgMar w:top="1440" w:right="1157" w:bottom="1270" w:left="1287" w:header="851" w:footer="850" w:gutter="0"/>
          <w:cols w:space="720" w:num="1"/>
          <w:rtlGutter w:val="0"/>
          <w:docGrid w:linePitch="312" w:charSpace="0"/>
        </w:sectPr>
      </w:pPr>
    </w:p>
    <w:p>
      <w:pPr>
        <w:tabs>
          <w:tab w:val="left" w:pos="826"/>
        </w:tabs>
        <w:snapToGrid w:val="0"/>
        <w:ind w:firstLine="482" w:firstLineChars="200"/>
        <w:outlineLvl w:val="0"/>
        <w:rPr>
          <w:rFonts w:hint="eastAsia"/>
          <w:b/>
          <w:bCs/>
          <w:sz w:val="24"/>
          <w:szCs w:val="24"/>
        </w:rPr>
      </w:pPr>
      <w:r>
        <w:rPr>
          <w:rFonts w:hint="eastAsia" w:cs="宋体"/>
          <w:b/>
          <w:bCs/>
          <w:sz w:val="24"/>
          <w:szCs w:val="24"/>
        </w:rPr>
        <w:t>（</w:t>
      </w:r>
      <w:r>
        <w:rPr>
          <w:b/>
          <w:bCs/>
          <w:sz w:val="24"/>
          <w:szCs w:val="24"/>
        </w:rPr>
        <w:t>4</w:t>
      </w:r>
      <w:r>
        <w:rPr>
          <w:rFonts w:hint="eastAsia"/>
          <w:b/>
          <w:bCs/>
          <w:sz w:val="24"/>
          <w:szCs w:val="24"/>
        </w:rPr>
        <w:t>）</w:t>
      </w:r>
      <w:r>
        <w:rPr>
          <w:rFonts w:hint="eastAsia" w:ascii="宋体" w:hAnsi="宋体" w:eastAsia="宋体" w:cs="宋体"/>
          <w:b/>
          <w:color w:val="000000"/>
          <w:sz w:val="24"/>
          <w:highlight w:val="none"/>
        </w:rPr>
        <w:t>近</w:t>
      </w: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年企业信誉实力一览表</w:t>
      </w:r>
      <w:r>
        <w:rPr>
          <w:rFonts w:hint="eastAsia" w:cs="宋体"/>
          <w:b/>
          <w:bCs/>
          <w:sz w:val="24"/>
          <w:szCs w:val="24"/>
        </w:rPr>
        <w:t>(如有)</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r>
              <w:rPr>
                <w:rFonts w:hint="eastAsia" w:cs="宋体"/>
              </w:rPr>
              <w:t>序号</w:t>
            </w:r>
          </w:p>
        </w:tc>
        <w:tc>
          <w:tcPr>
            <w:tcW w:w="8359" w:type="dxa"/>
            <w:noWrap w:val="0"/>
            <w:vAlign w:val="center"/>
          </w:tcPr>
          <w:p>
            <w:pPr>
              <w:jc w:val="center"/>
            </w:pPr>
            <w:r>
              <w:rPr>
                <w:rFonts w:hint="eastAsia" w:cs="宋体"/>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bl>
    <w:p>
      <w:pPr>
        <w:tabs>
          <w:tab w:val="left" w:pos="826"/>
        </w:tabs>
        <w:snapToGrid w:val="0"/>
        <w:ind w:firstLine="482" w:firstLineChars="200"/>
        <w:rPr>
          <w:b/>
          <w:bCs/>
          <w:sz w:val="24"/>
          <w:szCs w:val="24"/>
        </w:rPr>
      </w:pPr>
    </w:p>
    <w:p>
      <w:pPr>
        <w:rPr>
          <w:rFonts w:eastAsia="楷体_GB2312"/>
        </w:rPr>
      </w:pPr>
      <w:r>
        <w:rPr>
          <w:rFonts w:hint="eastAsia" w:eastAsia="楷体_GB2312" w:cs="楷体_GB2312"/>
        </w:rPr>
        <w:t>备注：</w:t>
      </w:r>
    </w:p>
    <w:p>
      <w:pPr>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1、项目类别由招标人自行确定，但应与“评标办法前附表”第2.1.1条一致。</w:t>
      </w:r>
    </w:p>
    <w:p>
      <w:pPr>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2、考核期为：201</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年</w:t>
      </w:r>
      <w:r>
        <w:rPr>
          <w:rFonts w:hint="eastAsia" w:ascii="宋体" w:hAnsi="宋体" w:cs="宋体"/>
          <w:color w:val="000000"/>
          <w:highlight w:val="none"/>
          <w:lang w:val="en-US" w:eastAsia="zh-CN"/>
        </w:rPr>
        <w:t>1</w:t>
      </w:r>
      <w:r>
        <w:rPr>
          <w:rFonts w:hint="eastAsia" w:ascii="宋体" w:hAnsi="宋体" w:eastAsia="宋体" w:cs="宋体"/>
          <w:color w:val="000000"/>
          <w:highlight w:val="none"/>
        </w:rPr>
        <w:t>月1日至投标截止日。</w:t>
      </w:r>
    </w:p>
    <w:p>
      <w:pPr>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3、所有奖项、证书均需提供复印件，以上复印件均须加盖投标人单位公章。</w:t>
      </w:r>
    </w:p>
    <w:p>
      <w:pPr>
        <w:spacing w:before="120" w:beforeLines="50" w:after="120" w:afterLines="50" w:line="440" w:lineRule="exact"/>
        <w:ind w:left="772" w:leftChars="100" w:hanging="562" w:hangingChars="200"/>
        <w:jc w:val="center"/>
        <w:rPr>
          <w:b/>
          <w:bCs/>
          <w:sz w:val="28"/>
          <w:szCs w:val="28"/>
        </w:rPr>
      </w:pPr>
    </w:p>
    <w:p>
      <w:pPr>
        <w:spacing w:before="120" w:beforeLines="50" w:after="120" w:afterLines="50" w:line="440" w:lineRule="exact"/>
        <w:ind w:left="772" w:leftChars="100" w:hanging="562" w:hangingChars="200"/>
        <w:jc w:val="center"/>
        <w:rPr>
          <w:b/>
          <w:bCs/>
          <w:sz w:val="28"/>
          <w:szCs w:val="28"/>
        </w:rPr>
      </w:pPr>
    </w:p>
    <w:p>
      <w:pPr>
        <w:tabs>
          <w:tab w:val="left" w:pos="826"/>
        </w:tabs>
        <w:snapToGrid w:val="0"/>
        <w:ind w:firstLine="420" w:firstLineChars="200"/>
        <w:rPr>
          <w:rFonts w:hint="eastAsia" w:eastAsia="宋体"/>
          <w:b/>
          <w:bCs/>
          <w:sz w:val="28"/>
          <w:szCs w:val="28"/>
          <w:lang w:eastAsia="zh-CN"/>
        </w:rPr>
      </w:pPr>
      <w:r>
        <w:br w:type="page"/>
      </w:r>
      <w:r>
        <w:rPr>
          <w:rFonts w:hint="eastAsia" w:cs="宋体"/>
          <w:b/>
          <w:bCs/>
          <w:sz w:val="24"/>
          <w:szCs w:val="24"/>
        </w:rPr>
        <w:t>（</w:t>
      </w:r>
      <w:r>
        <w:rPr>
          <w:b/>
          <w:bCs/>
          <w:sz w:val="24"/>
          <w:szCs w:val="24"/>
        </w:rPr>
        <w:t>5</w:t>
      </w:r>
      <w:r>
        <w:rPr>
          <w:rFonts w:hint="eastAsia" w:cs="宋体"/>
          <w:b/>
          <w:bCs/>
          <w:sz w:val="24"/>
          <w:szCs w:val="24"/>
        </w:rPr>
        <w:t>）企业</w:t>
      </w:r>
      <w:r>
        <w:rPr>
          <w:rFonts w:hint="eastAsia" w:cs="宋体"/>
          <w:b/>
          <w:bCs/>
          <w:sz w:val="24"/>
          <w:szCs w:val="24"/>
          <w:lang w:val="en-US" w:eastAsia="zh-CN"/>
        </w:rPr>
        <w:t>近三年</w:t>
      </w:r>
      <w:r>
        <w:rPr>
          <w:rFonts w:hint="eastAsia" w:cs="宋体"/>
          <w:b/>
          <w:bCs/>
          <w:sz w:val="24"/>
          <w:szCs w:val="24"/>
        </w:rPr>
        <w:t>财务状况表</w:t>
      </w:r>
      <w:r>
        <w:rPr>
          <w:rFonts w:hint="eastAsia" w:cs="宋体"/>
          <w:b/>
          <w:bCs/>
          <w:sz w:val="24"/>
          <w:szCs w:val="24"/>
          <w:lang w:eastAsia="zh-CN"/>
        </w:rPr>
        <w:t>（</w:t>
      </w:r>
      <w:r>
        <w:rPr>
          <w:rFonts w:hint="eastAsia" w:cs="宋体"/>
          <w:b/>
          <w:bCs/>
          <w:sz w:val="24"/>
          <w:szCs w:val="24"/>
          <w:lang w:val="en-US" w:eastAsia="zh-CN"/>
        </w:rPr>
        <w:t>如有</w:t>
      </w:r>
      <w:r>
        <w:rPr>
          <w:rFonts w:hint="eastAsia" w:cs="宋体"/>
          <w:b/>
          <w:bCs/>
          <w:sz w:val="24"/>
          <w:szCs w:val="24"/>
          <w:lang w:eastAsia="zh-CN"/>
        </w:rPr>
        <w:t>）</w:t>
      </w:r>
    </w:p>
    <w:p>
      <w:pPr>
        <w:spacing w:line="460" w:lineRule="exact"/>
        <w:ind w:firstLine="630" w:firstLineChars="300"/>
      </w:pP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【备注：附经会计师事务所或审计机构审计的财务会计报表复印件，包括资产负债表、现金流量表、利润表复印件、投标人认为需要增加的其他证明材料复印件，以上复印件均须加盖投标人单位公章。】</w:t>
      </w:r>
    </w:p>
    <w:p>
      <w:pPr>
        <w:spacing w:line="460" w:lineRule="exact"/>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tabs>
          <w:tab w:val="left" w:pos="826"/>
        </w:tabs>
        <w:snapToGrid w:val="0"/>
        <w:ind w:firstLine="482" w:firstLineChars="200"/>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rPr>
        <w:t>（6）</w:t>
      </w:r>
      <w:r>
        <w:rPr>
          <w:rFonts w:hint="eastAsia" w:ascii="宋体" w:hAnsi="宋体" w:eastAsia="宋体" w:cs="宋体"/>
          <w:b/>
          <w:color w:val="000000"/>
          <w:sz w:val="24"/>
          <w:highlight w:val="none"/>
          <w:lang w:val="en-US" w:eastAsia="zh-CN"/>
        </w:rPr>
        <w:t>近3年</w:t>
      </w:r>
      <w:r>
        <w:rPr>
          <w:rFonts w:hint="eastAsia" w:cs="宋体"/>
          <w:b/>
          <w:bCs/>
          <w:color w:val="000000"/>
          <w:sz w:val="24"/>
          <w:szCs w:val="24"/>
          <w:highlight w:val="none"/>
        </w:rPr>
        <w:t>发生的诉讼和仲裁情况</w:t>
      </w:r>
      <w:r>
        <w:rPr>
          <w:rFonts w:hint="eastAsia" w:cs="宋体"/>
          <w:b/>
          <w:bCs/>
          <w:color w:val="000000"/>
          <w:sz w:val="24"/>
          <w:szCs w:val="24"/>
          <w:highlight w:val="none"/>
          <w:lang w:eastAsia="zh-CN"/>
        </w:rPr>
        <w:t>（</w:t>
      </w:r>
      <w:r>
        <w:rPr>
          <w:rFonts w:hint="eastAsia" w:cs="宋体"/>
          <w:b/>
          <w:bCs/>
          <w:color w:val="000000"/>
          <w:sz w:val="24"/>
          <w:szCs w:val="24"/>
          <w:highlight w:val="none"/>
          <w:lang w:val="en-US" w:eastAsia="zh-CN"/>
        </w:rPr>
        <w:t>如有</w:t>
      </w:r>
      <w:r>
        <w:rPr>
          <w:rFonts w:hint="eastAsia" w:cs="宋体"/>
          <w:b/>
          <w:bCs/>
          <w:color w:val="000000"/>
          <w:sz w:val="24"/>
          <w:szCs w:val="24"/>
          <w:highlight w:val="none"/>
          <w:lang w:eastAsia="zh-CN"/>
        </w:rPr>
        <w:t>）</w:t>
      </w:r>
    </w:p>
    <w:p>
      <w:pPr>
        <w:spacing w:line="360" w:lineRule="auto"/>
        <w:ind w:firstLine="420" w:firstLineChars="200"/>
        <w:rPr>
          <w:rFonts w:hint="eastAsia" w:ascii="宋体" w:hAnsi="宋体" w:eastAsia="宋体" w:cs="宋体"/>
          <w:color w:val="000000"/>
          <w:sz w:val="21"/>
          <w:szCs w:val="21"/>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23" w:type="dxa"/>
            <w:gridSpan w:val="5"/>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87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判决或裁定时间</w:t>
            </w:r>
          </w:p>
        </w:tc>
        <w:tc>
          <w:tcPr>
            <w:tcW w:w="1436"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诉讼相对人</w:t>
            </w:r>
          </w:p>
        </w:tc>
        <w:tc>
          <w:tcPr>
            <w:tcW w:w="1439"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诉讼原因</w:t>
            </w:r>
          </w:p>
        </w:tc>
        <w:tc>
          <w:tcPr>
            <w:tcW w:w="1437"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87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23" w:type="dxa"/>
            <w:gridSpan w:val="5"/>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87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裁决时间</w:t>
            </w:r>
          </w:p>
        </w:tc>
        <w:tc>
          <w:tcPr>
            <w:tcW w:w="1436"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仲裁相对人</w:t>
            </w:r>
          </w:p>
        </w:tc>
        <w:tc>
          <w:tcPr>
            <w:tcW w:w="1439"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仲裁原因</w:t>
            </w:r>
          </w:p>
        </w:tc>
        <w:tc>
          <w:tcPr>
            <w:tcW w:w="1437"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87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bl>
    <w:p>
      <w:pPr>
        <w:spacing w:line="360" w:lineRule="auto"/>
        <w:ind w:firstLine="420" w:firstLineChars="200"/>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【备注：近</w:t>
      </w:r>
      <w:r>
        <w:rPr>
          <w:rFonts w:hint="eastAsia" w:ascii="宋体" w:hAnsi="宋体" w:cs="宋体"/>
          <w:color w:val="000000"/>
          <w:highlight w:val="none"/>
          <w:lang w:val="en-US" w:eastAsia="zh-CN"/>
        </w:rPr>
        <w:t>3</w:t>
      </w:r>
      <w:r>
        <w:rPr>
          <w:rFonts w:hint="eastAsia" w:ascii="宋体" w:hAnsi="宋体" w:eastAsia="宋体" w:cs="宋体"/>
          <w:color w:val="000000"/>
          <w:highlight w:val="none"/>
        </w:rPr>
        <w:t>年发生的诉讼和仲裁情况仅限于投标人败诉的，且与履行施工承包合同有关的案件，不包括调解结案以及未裁决的仲裁或未终审判决的诉讼。附裁决书、裁定书、仲裁裁决书及有关文件的复印件并加盖投标人单位公章。】</w:t>
      </w: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sectPr>
          <w:pgSz w:w="11905" w:h="16838"/>
          <w:pgMar w:top="1440" w:right="1157" w:bottom="1270" w:left="1287" w:header="851" w:footer="850" w:gutter="0"/>
          <w:cols w:space="720" w:num="1"/>
          <w:rtlGutter w:val="0"/>
          <w:docGrid w:linePitch="312" w:charSpace="0"/>
        </w:sectPr>
      </w:pPr>
    </w:p>
    <w:p>
      <w:pPr>
        <w:jc w:val="center"/>
        <w:rPr>
          <w:sz w:val="32"/>
          <w:szCs w:val="32"/>
          <w:u w:val="single"/>
        </w:rPr>
      </w:pPr>
    </w:p>
    <w:p>
      <w:pPr>
        <w:jc w:val="center"/>
        <w:rPr>
          <w:sz w:val="32"/>
          <w:szCs w:val="32"/>
          <w:u w:val="single"/>
        </w:rPr>
      </w:pPr>
    </w:p>
    <w:p>
      <w:pPr>
        <w:jc w:val="center"/>
        <w:rPr>
          <w:sz w:val="28"/>
          <w:szCs w:val="28"/>
        </w:rPr>
      </w:pPr>
      <w:r>
        <w:rPr>
          <w:sz w:val="32"/>
          <w:szCs w:val="32"/>
          <w:u w:val="single"/>
        </w:rPr>
        <w:t xml:space="preserve">              </w:t>
      </w:r>
      <w:r>
        <w:rPr>
          <w:rFonts w:hint="eastAsia" w:cs="宋体"/>
          <w:sz w:val="28"/>
          <w:szCs w:val="28"/>
          <w:u w:val="single"/>
        </w:rPr>
        <w:t>（项目名称）</w:t>
      </w:r>
      <w:r>
        <w:rPr>
          <w:rFonts w:hint="eastAsia" w:cs="宋体"/>
          <w:sz w:val="28"/>
          <w:szCs w:val="28"/>
          <w:u w:val="single"/>
          <w:lang w:val="en-US" w:eastAsia="zh-CN"/>
        </w:rPr>
        <w:t xml:space="preserve">    </w:t>
      </w:r>
      <w:r>
        <w:rPr>
          <w:rFonts w:hint="eastAsia" w:cs="宋体"/>
          <w:sz w:val="28"/>
          <w:szCs w:val="28"/>
          <w:u w:val="single"/>
          <w:lang w:eastAsia="zh-CN"/>
        </w:rPr>
        <w:t>（</w:t>
      </w:r>
      <w:r>
        <w:rPr>
          <w:rFonts w:hint="eastAsia" w:cs="宋体"/>
          <w:sz w:val="28"/>
          <w:szCs w:val="28"/>
          <w:u w:val="single"/>
          <w:lang w:val="en-US" w:eastAsia="zh-CN"/>
        </w:rPr>
        <w:t>标段名称</w:t>
      </w:r>
      <w:r>
        <w:rPr>
          <w:rFonts w:hint="eastAsia" w:cs="宋体"/>
          <w:sz w:val="28"/>
          <w:szCs w:val="28"/>
          <w:u w:val="single"/>
          <w:lang w:eastAsia="zh-CN"/>
        </w:rPr>
        <w:t>）</w:t>
      </w:r>
      <w:r>
        <w:rPr>
          <w:rFonts w:hint="eastAsia" w:cs="宋体"/>
          <w:sz w:val="28"/>
          <w:szCs w:val="28"/>
        </w:rPr>
        <w:t>施工招标</w:t>
      </w:r>
    </w:p>
    <w:p>
      <w:pPr>
        <w:jc w:val="center"/>
        <w:rPr>
          <w:sz w:val="28"/>
          <w:szCs w:val="28"/>
        </w:rPr>
      </w:pPr>
    </w:p>
    <w:p>
      <w:pPr>
        <w:spacing w:before="240"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rFonts w:hint="eastAsia" w:cs="宋体"/>
          <w:sz w:val="28"/>
          <w:szCs w:val="28"/>
        </w:rPr>
      </w:pPr>
      <w:r>
        <w:rPr>
          <w:rFonts w:hint="eastAsia" w:cs="宋体"/>
          <w:sz w:val="28"/>
          <w:szCs w:val="28"/>
        </w:rPr>
        <w:t>所投分标：</w:t>
      </w:r>
      <w:r>
        <w:rPr>
          <w:rFonts w:hint="eastAsia" w:cs="宋体"/>
          <w:sz w:val="28"/>
          <w:szCs w:val="28"/>
          <w:u w:val="single"/>
          <w:lang w:val="en-US" w:eastAsia="zh-CN"/>
        </w:rPr>
        <w:t xml:space="preserve">                         </w:t>
      </w:r>
    </w:p>
    <w:p>
      <w:pPr>
        <w:spacing w:line="360" w:lineRule="auto"/>
        <w:ind w:firstLine="1400" w:firstLineChars="500"/>
        <w:rPr>
          <w:sz w:val="28"/>
          <w:szCs w:val="28"/>
        </w:rPr>
      </w:pPr>
      <w:r>
        <w:rPr>
          <w:rFonts w:hint="eastAsia" w:cs="宋体"/>
          <w:sz w:val="28"/>
          <w:szCs w:val="28"/>
        </w:rPr>
        <w:t>投标内容：</w:t>
      </w:r>
      <w:r>
        <w:rPr>
          <w:sz w:val="28"/>
          <w:szCs w:val="28"/>
          <w:u w:val="single"/>
        </w:rPr>
        <w:t xml:space="preserve">       </w:t>
      </w:r>
      <w:r>
        <w:rPr>
          <w:rFonts w:hint="eastAsia" w:cs="宋体"/>
          <w:sz w:val="28"/>
          <w:szCs w:val="28"/>
          <w:u w:val="single"/>
        </w:rPr>
        <w:t>商务标部分</w:t>
      </w:r>
      <w:r>
        <w:rPr>
          <w:sz w:val="28"/>
          <w:szCs w:val="28"/>
          <w:u w:val="single"/>
        </w:rPr>
        <w:t xml:space="preserve">        </w:t>
      </w:r>
    </w:p>
    <w:p>
      <w:pPr>
        <w:spacing w:line="360" w:lineRule="auto"/>
        <w:ind w:firstLine="1400" w:firstLineChars="500"/>
        <w:rPr>
          <w:sz w:val="28"/>
          <w:szCs w:val="28"/>
        </w:rPr>
      </w:pPr>
      <w:r>
        <w:rPr>
          <w:rFonts w:hint="eastAsia" w:cs="宋体"/>
          <w:sz w:val="28"/>
          <w:szCs w:val="28"/>
        </w:rPr>
        <w:t>投标人：</w:t>
      </w:r>
      <w:r>
        <w:rPr>
          <w:sz w:val="28"/>
          <w:szCs w:val="28"/>
          <w:u w:val="single"/>
        </w:rPr>
        <w:t xml:space="preserve">                                 </w:t>
      </w:r>
      <w:r>
        <w:rPr>
          <w:rFonts w:hint="eastAsia" w:cs="宋体"/>
          <w:sz w:val="28"/>
          <w:szCs w:val="28"/>
        </w:rPr>
        <w:t>（盖单位章）</w:t>
      </w:r>
    </w:p>
    <w:p>
      <w:pPr>
        <w:spacing w:line="360" w:lineRule="auto"/>
        <w:ind w:firstLine="1400" w:firstLineChars="500"/>
        <w:rPr>
          <w:sz w:val="28"/>
          <w:szCs w:val="28"/>
        </w:rPr>
      </w:pPr>
      <w:r>
        <w:rPr>
          <w:rFonts w:hint="eastAsia" w:cs="宋体"/>
          <w:sz w:val="28"/>
          <w:szCs w:val="28"/>
        </w:rPr>
        <w:t>法定代表人：</w:t>
      </w:r>
      <w:r>
        <w:rPr>
          <w:sz w:val="28"/>
          <w:szCs w:val="28"/>
          <w:u w:val="single"/>
        </w:rPr>
        <w:t xml:space="preserve">              </w:t>
      </w:r>
      <w:r>
        <w:rPr>
          <w:rFonts w:hint="eastAsia" w:cs="宋体"/>
          <w:sz w:val="28"/>
          <w:szCs w:val="28"/>
        </w:rPr>
        <w:t>（签字或</w:t>
      </w:r>
      <w:r>
        <w:rPr>
          <w:rFonts w:hint="eastAsia" w:cs="宋体"/>
          <w:sz w:val="28"/>
          <w:szCs w:val="28"/>
          <w:lang w:eastAsia="zh-CN"/>
        </w:rPr>
        <w:t>签章</w:t>
      </w:r>
      <w:r>
        <w:rPr>
          <w:rFonts w:hint="eastAsia" w:cs="宋体"/>
          <w:sz w:val="28"/>
          <w:szCs w:val="28"/>
        </w:rPr>
        <w:t>）</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pStyle w:val="147"/>
        <w:jc w:val="center"/>
        <w:outlineLvl w:val="0"/>
        <w:rPr>
          <w:b/>
          <w:bCs/>
        </w:rPr>
      </w:pPr>
      <w:r>
        <w:br w:type="page"/>
      </w:r>
      <w:bookmarkStart w:id="2243" w:name="_Toc389065355"/>
      <w:r>
        <w:rPr>
          <w:rFonts w:hint="eastAsia" w:cs="宋体"/>
          <w:b/>
          <w:bCs/>
          <w:sz w:val="24"/>
          <w:szCs w:val="24"/>
        </w:rPr>
        <w:t>一、投标函</w:t>
      </w:r>
      <w:bookmarkEnd w:id="2243"/>
    </w:p>
    <w:p>
      <w:pPr>
        <w:tabs>
          <w:tab w:val="left" w:pos="7560"/>
        </w:tabs>
        <w:spacing w:line="460" w:lineRule="exact"/>
        <w:ind w:firstLine="420" w:firstLineChars="200"/>
      </w:pPr>
      <w:r>
        <w:t>1</w:t>
      </w:r>
      <w:r>
        <w:rPr>
          <w:rFonts w:hint="eastAsia" w:cs="宋体"/>
        </w:rPr>
        <w:t>、根据你方项目编号为</w:t>
      </w:r>
      <w:r>
        <w:rPr>
          <w:u w:val="single"/>
        </w:rPr>
        <w:t xml:space="preserve">  </w:t>
      </w:r>
      <w:r>
        <w:rPr>
          <w:rFonts w:hint="eastAsia" w:cs="宋体"/>
          <w:u w:val="single"/>
        </w:rPr>
        <w:t>（项目编号）</w:t>
      </w:r>
      <w:r>
        <w:rPr>
          <w:u w:val="single"/>
        </w:rPr>
        <w:t xml:space="preserve">  </w:t>
      </w:r>
      <w:r>
        <w:rPr>
          <w:rFonts w:hint="eastAsia" w:cs="宋体"/>
        </w:rPr>
        <w:t>的</w:t>
      </w:r>
      <w:r>
        <w:rPr>
          <w:u w:val="single"/>
        </w:rPr>
        <w:t xml:space="preserve">  </w:t>
      </w:r>
      <w:r>
        <w:rPr>
          <w:rFonts w:hint="eastAsia" w:cs="宋体"/>
          <w:u w:val="single"/>
        </w:rPr>
        <w:t>（项目名称）</w:t>
      </w:r>
      <w:r>
        <w:rPr>
          <w:rFonts w:hint="eastAsia" w:cs="宋体"/>
          <w:u w:val="single"/>
          <w:lang w:eastAsia="zh-CN"/>
        </w:rPr>
        <w:t>（标段名称）</w:t>
      </w:r>
      <w:r>
        <w:rPr>
          <w:u w:val="single"/>
        </w:rPr>
        <w:t xml:space="preserve">  </w:t>
      </w:r>
      <w:r>
        <w:rPr>
          <w:rFonts w:hint="eastAsia" w:cs="宋体"/>
        </w:rPr>
        <w:t>工程招标文件，遵照《中华人民共和国招标投标法》等有关规定，经踏勘项目现场和研究上述招标文件的投标须知、合同条款、图纸、工程建设标准和工程量清单及其他有关文件后，我方愿以人民币（大写）</w:t>
      </w:r>
      <w:r>
        <w:rPr>
          <w:u w:val="single"/>
        </w:rPr>
        <w:t xml:space="preserve">      </w:t>
      </w:r>
      <w:r>
        <w:rPr>
          <w:rFonts w:hint="eastAsia" w:cs="宋体"/>
        </w:rPr>
        <w:t>（</w:t>
      </w:r>
      <w:r>
        <w:t>RMB</w:t>
      </w:r>
      <w:r>
        <w:rPr>
          <w:rFonts w:hint="eastAsia" w:cs="宋体"/>
          <w:u w:val="single"/>
        </w:rPr>
        <w:t>￥</w:t>
      </w:r>
      <w:r>
        <w:rPr>
          <w:u w:val="single"/>
        </w:rPr>
        <w:t xml:space="preserve">      </w:t>
      </w:r>
      <w:r>
        <w:rPr>
          <w:rFonts w:hint="eastAsia" w:cs="宋体"/>
        </w:rPr>
        <w:t>）</w:t>
      </w:r>
      <w:r>
        <w:rPr>
          <w:rFonts w:hint="eastAsia" w:ascii="宋体" w:hAnsi="宋体" w:eastAsia="宋体" w:cs="宋体"/>
          <w:color w:val="000000"/>
          <w:lang w:eastAsia="zh-CN"/>
        </w:rPr>
        <w:t>，</w:t>
      </w:r>
      <w:r>
        <w:rPr>
          <w:rFonts w:hint="eastAsia" w:cs="宋体"/>
        </w:rPr>
        <w:t>的投标总价并按上述图纸、合同条款、工程建设标准和工程量清单（如有时）的条件要求承包上述工程的施工、竣工，并承担任何质量缺陷保修责任。我方保证工程质量达到</w:t>
      </w:r>
      <w:r>
        <w:rPr>
          <w:u w:val="single"/>
        </w:rPr>
        <w:t xml:space="preserve">       </w:t>
      </w:r>
      <w:r>
        <w:rPr>
          <w:rFonts w:hint="eastAsia" w:cs="宋体"/>
        </w:rPr>
        <w:t>等级。</w:t>
      </w:r>
    </w:p>
    <w:p>
      <w:pPr>
        <w:tabs>
          <w:tab w:val="left" w:pos="7560"/>
        </w:tabs>
        <w:spacing w:line="460" w:lineRule="exact"/>
        <w:ind w:firstLine="420" w:firstLineChars="200"/>
      </w:pPr>
      <w:r>
        <w:t>2</w:t>
      </w:r>
      <w:r>
        <w:rPr>
          <w:rFonts w:hint="eastAsia" w:cs="宋体"/>
        </w:rPr>
        <w:t>、我方已详细审核全部招标文件，包括修改文件（如有时）及有关附件。</w:t>
      </w:r>
    </w:p>
    <w:p>
      <w:pPr>
        <w:tabs>
          <w:tab w:val="left" w:pos="7560"/>
        </w:tabs>
        <w:spacing w:line="460" w:lineRule="exact"/>
        <w:ind w:firstLine="420" w:firstLineChars="200"/>
      </w:pPr>
      <w:r>
        <w:t>3</w:t>
      </w:r>
      <w:r>
        <w:rPr>
          <w:rFonts w:hint="eastAsia" w:cs="宋体"/>
        </w:rPr>
        <w:t>、我方承认投标函附录是我方投标函的组成部分。</w:t>
      </w:r>
    </w:p>
    <w:p>
      <w:pPr>
        <w:tabs>
          <w:tab w:val="left" w:pos="7560"/>
        </w:tabs>
        <w:spacing w:line="460" w:lineRule="exact"/>
        <w:ind w:firstLine="420" w:firstLineChars="200"/>
      </w:pPr>
      <w:r>
        <w:t>4</w:t>
      </w:r>
      <w:r>
        <w:rPr>
          <w:rFonts w:hint="eastAsia" w:cs="宋体"/>
        </w:rPr>
        <w:t>、一旦我方中标，我方保证按合同书中规定的工期</w:t>
      </w:r>
      <w:r>
        <w:rPr>
          <w:u w:val="single"/>
        </w:rPr>
        <w:t xml:space="preserve">        </w:t>
      </w:r>
      <w:r>
        <w:rPr>
          <w:rFonts w:hint="eastAsia" w:cs="宋体"/>
        </w:rPr>
        <w:t>内完成并移交全部工程。</w:t>
      </w:r>
    </w:p>
    <w:p>
      <w:pPr>
        <w:tabs>
          <w:tab w:val="left" w:pos="7560"/>
        </w:tabs>
        <w:spacing w:line="460" w:lineRule="exact"/>
        <w:ind w:firstLine="420" w:firstLineChars="200"/>
      </w:pPr>
      <w:r>
        <w:t>5</w:t>
      </w:r>
      <w:r>
        <w:rPr>
          <w:rFonts w:hint="eastAsia" w:cs="宋体"/>
        </w:rPr>
        <w:t>、如果我方中标，我方将按照文件规定提交履约保证金作为履约担保。</w:t>
      </w:r>
    </w:p>
    <w:p>
      <w:pPr>
        <w:tabs>
          <w:tab w:val="left" w:pos="7560"/>
        </w:tabs>
        <w:spacing w:line="460" w:lineRule="exact"/>
        <w:ind w:firstLine="420" w:firstLineChars="200"/>
      </w:pPr>
      <w:r>
        <w:t>6</w:t>
      </w:r>
      <w:r>
        <w:rPr>
          <w:rFonts w:hint="eastAsia" w:cs="宋体"/>
        </w:rPr>
        <w:t>、我方同意所提交的投标文件在招标文件的“投标人须知”中第</w:t>
      </w:r>
      <w:r>
        <w:t>3.3.1</w:t>
      </w:r>
      <w:r>
        <w:rPr>
          <w:rFonts w:hint="eastAsia" w:cs="宋体"/>
        </w:rPr>
        <w:t>条规定的投标有效期内有效，在此期间内如果中标，我方将受此约束。</w:t>
      </w:r>
    </w:p>
    <w:p>
      <w:pPr>
        <w:tabs>
          <w:tab w:val="left" w:pos="7560"/>
        </w:tabs>
        <w:spacing w:line="460" w:lineRule="exact"/>
        <w:ind w:firstLine="420" w:firstLineChars="200"/>
      </w:pPr>
      <w:r>
        <w:t>7</w:t>
      </w:r>
      <w:r>
        <w:rPr>
          <w:rFonts w:hint="eastAsia" w:cs="宋体"/>
        </w:rPr>
        <w:t>、除非另外达成协议并生效，你方的中标通知书和本投标文件将成为约束双方的合同文件的组成部分。</w:t>
      </w:r>
    </w:p>
    <w:p>
      <w:pPr>
        <w:tabs>
          <w:tab w:val="left" w:pos="7560"/>
        </w:tabs>
        <w:spacing w:line="460" w:lineRule="exact"/>
        <w:ind w:firstLine="420" w:firstLineChars="200"/>
      </w:pPr>
    </w:p>
    <w:p>
      <w:pPr>
        <w:spacing w:line="360" w:lineRule="auto"/>
      </w:pPr>
    </w:p>
    <w:p>
      <w:pPr>
        <w:spacing w:line="360" w:lineRule="auto"/>
      </w:pPr>
    </w:p>
    <w:p>
      <w:pPr>
        <w:spacing w:line="360" w:lineRule="auto"/>
      </w:pPr>
    </w:p>
    <w:p>
      <w:pPr>
        <w:spacing w:line="360" w:lineRule="auto"/>
        <w:ind w:left="1000"/>
        <w:rPr>
          <w:u w:val="single"/>
        </w:rPr>
      </w:pPr>
      <w:r>
        <w:t xml:space="preserve">         </w:t>
      </w:r>
      <w:r>
        <w:rPr>
          <w:rFonts w:hint="eastAsia" w:cs="宋体"/>
        </w:rPr>
        <w:t>投</w:t>
      </w:r>
      <w:r>
        <w:t xml:space="preserve"> </w:t>
      </w:r>
      <w:r>
        <w:rPr>
          <w:rFonts w:hint="eastAsia" w:cs="宋体"/>
        </w:rPr>
        <w:t>标</w:t>
      </w:r>
      <w:r>
        <w:t xml:space="preserve"> </w:t>
      </w:r>
      <w:r>
        <w:rPr>
          <w:rFonts w:hint="eastAsia" w:cs="宋体"/>
        </w:rPr>
        <w:t>人：</w:t>
      </w:r>
      <w:r>
        <w:rPr>
          <w:u w:val="single"/>
        </w:rPr>
        <w:t xml:space="preserve">                                        </w:t>
      </w:r>
      <w:r>
        <w:rPr>
          <w:rFonts w:hint="eastAsia" w:cs="宋体"/>
          <w:u w:val="single"/>
        </w:rPr>
        <w:t>（电子签章）</w:t>
      </w:r>
    </w:p>
    <w:p>
      <w:pPr>
        <w:spacing w:line="360" w:lineRule="auto"/>
        <w:ind w:left="1000"/>
        <w:rPr>
          <w:u w:val="single"/>
        </w:rPr>
      </w:pPr>
      <w:r>
        <w:t xml:space="preserve">         </w:t>
      </w:r>
      <w:r>
        <w:rPr>
          <w:rFonts w:hint="eastAsia" w:cs="宋体"/>
        </w:rPr>
        <w:t>单位地址：</w:t>
      </w:r>
      <w:r>
        <w:rPr>
          <w:u w:val="single"/>
        </w:rPr>
        <w:t xml:space="preserve">                                        </w:t>
      </w:r>
    </w:p>
    <w:p>
      <w:pPr>
        <w:spacing w:line="360" w:lineRule="auto"/>
        <w:ind w:left="1000"/>
        <w:rPr>
          <w:u w:val="single"/>
        </w:rPr>
      </w:pPr>
      <w:r>
        <w:t xml:space="preserve">         </w:t>
      </w:r>
      <w:r>
        <w:rPr>
          <w:rFonts w:hint="eastAsia" w:cs="宋体"/>
        </w:rPr>
        <w:t>法定代表人：</w:t>
      </w:r>
      <w:r>
        <w:rPr>
          <w:u w:val="single"/>
        </w:rPr>
        <w:t xml:space="preserve">      </w:t>
      </w:r>
      <w:r>
        <w:rPr>
          <w:rFonts w:hint="eastAsia" w:cs="宋体"/>
          <w:u w:val="single"/>
        </w:rPr>
        <w:t>（签字或</w:t>
      </w:r>
      <w:r>
        <w:rPr>
          <w:rFonts w:hint="eastAsia" w:cs="宋体"/>
          <w:u w:val="single"/>
          <w:lang w:eastAsia="zh-CN"/>
        </w:rPr>
        <w:t>签章</w:t>
      </w:r>
      <w:r>
        <w:rPr>
          <w:rFonts w:hint="eastAsia" w:cs="宋体"/>
          <w:u w:val="single"/>
        </w:rPr>
        <w:t>）</w:t>
      </w:r>
    </w:p>
    <w:p>
      <w:pPr>
        <w:spacing w:line="360" w:lineRule="auto"/>
        <w:ind w:left="1000" w:leftChars="476" w:firstLine="945" w:firstLineChars="450"/>
      </w:pPr>
      <w:r>
        <w:rPr>
          <w:rFonts w:hint="eastAsia" w:cs="宋体"/>
        </w:rPr>
        <w:t>邮政编码：</w:t>
      </w:r>
      <w:r>
        <w:rPr>
          <w:u w:val="single"/>
        </w:rPr>
        <w:t xml:space="preserve">          </w:t>
      </w:r>
      <w:r>
        <w:rPr>
          <w:rFonts w:hint="eastAsia" w:cs="宋体"/>
        </w:rPr>
        <w:t>电话：</w:t>
      </w:r>
      <w:r>
        <w:rPr>
          <w:u w:val="single"/>
        </w:rPr>
        <w:t xml:space="preserve">         </w:t>
      </w:r>
      <w:r>
        <w:t xml:space="preserve"> </w:t>
      </w:r>
      <w:r>
        <w:rPr>
          <w:rFonts w:hint="eastAsia" w:cs="宋体"/>
        </w:rPr>
        <w:t>传真：</w:t>
      </w:r>
      <w:r>
        <w:rPr>
          <w:u w:val="single"/>
        </w:rPr>
        <w:t xml:space="preserve">          </w:t>
      </w:r>
    </w:p>
    <w:p>
      <w:pPr>
        <w:spacing w:line="360" w:lineRule="auto"/>
        <w:ind w:left="1000"/>
      </w:pPr>
      <w:r>
        <w:t xml:space="preserve">         </w:t>
      </w:r>
      <w:r>
        <w:rPr>
          <w:rFonts w:hint="eastAsia" w:cs="宋体"/>
        </w:rPr>
        <w:t>开户银行名称：</w:t>
      </w:r>
      <w:r>
        <w:rPr>
          <w:u w:val="single"/>
        </w:rPr>
        <w:t xml:space="preserve">                                    </w:t>
      </w:r>
    </w:p>
    <w:p>
      <w:pPr>
        <w:spacing w:line="360" w:lineRule="auto"/>
        <w:ind w:left="1000"/>
      </w:pPr>
      <w:r>
        <w:t xml:space="preserve">         </w:t>
      </w:r>
      <w:r>
        <w:rPr>
          <w:rFonts w:hint="eastAsia" w:cs="宋体"/>
        </w:rPr>
        <w:t>开户银行账号：</w:t>
      </w:r>
      <w:r>
        <w:rPr>
          <w:u w:val="single"/>
        </w:rPr>
        <w:t xml:space="preserve">                                    </w:t>
      </w:r>
    </w:p>
    <w:p>
      <w:pPr>
        <w:spacing w:line="360" w:lineRule="auto"/>
        <w:ind w:left="1000"/>
      </w:pPr>
      <w:r>
        <w:t xml:space="preserve">         </w:t>
      </w:r>
      <w:r>
        <w:rPr>
          <w:rFonts w:hint="eastAsia" w:cs="宋体"/>
        </w:rPr>
        <w:t>开户银行地址：</w:t>
      </w:r>
      <w:r>
        <w:rPr>
          <w:u w:val="single"/>
        </w:rPr>
        <w:t xml:space="preserve">                                    </w:t>
      </w:r>
    </w:p>
    <w:p>
      <w:pPr>
        <w:spacing w:line="360" w:lineRule="auto"/>
        <w:ind w:left="1000"/>
      </w:pPr>
      <w:r>
        <w:t xml:space="preserve">         </w:t>
      </w:r>
      <w:r>
        <w:rPr>
          <w:rFonts w:hint="eastAsia" w:cs="宋体"/>
        </w:rPr>
        <w:t>开户银行电话：</w:t>
      </w:r>
      <w:r>
        <w:rPr>
          <w:u w:val="single"/>
        </w:rPr>
        <w:t xml:space="preserve">                                    </w:t>
      </w:r>
    </w:p>
    <w:p>
      <w:pPr>
        <w:spacing w:line="360" w:lineRule="auto"/>
        <w:ind w:right="420" w:firstLine="1974" w:firstLineChars="940"/>
      </w:pPr>
      <w:r>
        <w:rPr>
          <w:rFonts w:hint="eastAsia" w:cs="宋体"/>
        </w:rPr>
        <w:t>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before="240" w:beforeLines="100" w:after="120" w:afterLines="50" w:line="510" w:lineRule="exact"/>
      </w:pPr>
    </w:p>
    <w:p>
      <w:pPr>
        <w:spacing w:before="240" w:beforeLines="100" w:after="120" w:afterLines="50" w:line="510" w:lineRule="exact"/>
        <w:sectPr>
          <w:pgSz w:w="11905" w:h="16838"/>
          <w:pgMar w:top="1440" w:right="1157" w:bottom="1270" w:left="1287" w:header="851" w:footer="850" w:gutter="0"/>
          <w:cols w:space="720" w:num="1"/>
          <w:rtlGutter w:val="0"/>
          <w:docGrid w:linePitch="312" w:charSpace="0"/>
        </w:sectPr>
      </w:pPr>
    </w:p>
    <w:p>
      <w:pPr>
        <w:pStyle w:val="147"/>
        <w:jc w:val="center"/>
        <w:outlineLvl w:val="0"/>
        <w:rPr>
          <w:b/>
          <w:bCs/>
          <w:sz w:val="24"/>
          <w:szCs w:val="24"/>
        </w:rPr>
      </w:pPr>
      <w:bookmarkStart w:id="2244" w:name="_Toc389065357"/>
      <w:r>
        <w:rPr>
          <w:rFonts w:hint="eastAsia" w:cs="宋体"/>
          <w:b/>
          <w:bCs/>
          <w:sz w:val="24"/>
          <w:szCs w:val="24"/>
        </w:rPr>
        <w:t>二、投标函附录</w:t>
      </w:r>
      <w:bookmarkEnd w:id="2244"/>
    </w:p>
    <w:p>
      <w:pPr>
        <w:pStyle w:val="147"/>
        <w:jc w:val="center"/>
        <w:rPr>
          <w:sz w:val="28"/>
          <w:szCs w:val="28"/>
        </w:rPr>
      </w:pPr>
    </w:p>
    <w:p>
      <w:pPr>
        <w:ind w:firstLine="514" w:firstLineChars="245"/>
        <w:rPr>
          <w:rFonts w:hint="eastAsia" w:cs="宋体"/>
        </w:rPr>
      </w:pPr>
    </w:p>
    <w:p>
      <w:pPr>
        <w:ind w:firstLine="514" w:firstLineChars="245"/>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rPr>
        <w:t xml:space="preserve">                        （标段）    </w:t>
      </w:r>
      <w:r>
        <w:rPr>
          <w:rFonts w:hint="eastAsia" w:ascii="宋体" w:hAnsi="宋体" w:eastAsia="宋体" w:cs="宋体"/>
          <w:color w:val="000000"/>
          <w:sz w:val="21"/>
          <w:szCs w:val="21"/>
          <w:highlight w:val="none"/>
          <w:u w:val="none"/>
        </w:rPr>
        <w:t>项目编号：</w:t>
      </w:r>
      <w:r>
        <w:rPr>
          <w:rFonts w:hint="eastAsia" w:ascii="宋体" w:hAnsi="宋体" w:eastAsia="宋体" w:cs="宋体"/>
          <w:color w:val="000000"/>
          <w:sz w:val="21"/>
          <w:szCs w:val="21"/>
          <w:highlight w:val="none"/>
          <w:u w:val="single"/>
        </w:rPr>
        <w:t xml:space="preserve">                     </w:t>
      </w:r>
    </w:p>
    <w:tbl>
      <w:tblPr>
        <w:tblStyle w:val="39"/>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0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4501"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项 目 内 容</w:t>
            </w:r>
          </w:p>
        </w:tc>
        <w:tc>
          <w:tcPr>
            <w:tcW w:w="4253"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磋  商  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4501" w:type="dxa"/>
            <w:noWrap w:val="0"/>
            <w:vAlign w:val="center"/>
          </w:tcPr>
          <w:p>
            <w:pPr>
              <w:spacing w:line="300" w:lineRule="auto"/>
              <w:rPr>
                <w:rFonts w:hint="eastAsia" w:ascii="宋体" w:hAnsi="宋体" w:cs="宋体"/>
                <w:color w:val="auto"/>
                <w:highlight w:val="none"/>
              </w:rPr>
            </w:pPr>
            <w:r>
              <w:rPr>
                <w:rFonts w:hint="eastAsia" w:ascii="宋体" w:hAnsi="宋体" w:cs="宋体"/>
                <w:color w:val="auto"/>
                <w:highlight w:val="none"/>
              </w:rPr>
              <w:t>履约保证金</w:t>
            </w:r>
          </w:p>
        </w:tc>
        <w:tc>
          <w:tcPr>
            <w:tcW w:w="4253" w:type="dxa"/>
            <w:noWrap w:val="0"/>
            <w:vAlign w:val="center"/>
          </w:tcPr>
          <w:p>
            <w:pPr>
              <w:spacing w:line="300" w:lineRule="auto"/>
              <w:rPr>
                <w:rFonts w:hint="eastAsia" w:ascii="宋体" w:hAnsi="宋体" w:cs="宋体"/>
                <w:color w:val="auto"/>
                <w:highlight w:val="none"/>
              </w:rPr>
            </w:pPr>
            <w:r>
              <w:rPr>
                <w:rFonts w:hint="eastAsia" w:ascii="宋体"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4501" w:type="dxa"/>
            <w:noWrap w:val="0"/>
            <w:vAlign w:val="center"/>
          </w:tcPr>
          <w:p>
            <w:pPr>
              <w:spacing w:line="300" w:lineRule="auto"/>
              <w:rPr>
                <w:rFonts w:hint="eastAsia" w:ascii="宋体" w:hAnsi="宋体" w:cs="宋体"/>
                <w:color w:val="auto"/>
                <w:highlight w:val="none"/>
              </w:rPr>
            </w:pPr>
            <w:r>
              <w:rPr>
                <w:rFonts w:hint="eastAsia" w:ascii="宋体" w:hAnsi="宋体" w:cs="宋体"/>
                <w:color w:val="auto"/>
                <w:highlight w:val="none"/>
              </w:rPr>
              <w:t>磋商有效期</w:t>
            </w:r>
          </w:p>
        </w:tc>
        <w:tc>
          <w:tcPr>
            <w:tcW w:w="4253" w:type="dxa"/>
            <w:noWrap w:val="0"/>
            <w:vAlign w:val="center"/>
          </w:tcPr>
          <w:p>
            <w:pPr>
              <w:spacing w:line="30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4501" w:type="dxa"/>
            <w:noWrap w:val="0"/>
            <w:vAlign w:val="center"/>
          </w:tcPr>
          <w:p>
            <w:pPr>
              <w:spacing w:line="300" w:lineRule="auto"/>
              <w:rPr>
                <w:rFonts w:hint="eastAsia" w:ascii="宋体" w:hAnsi="宋体" w:cs="宋体"/>
                <w:color w:val="auto"/>
                <w:highlight w:val="none"/>
              </w:rPr>
            </w:pPr>
            <w:r>
              <w:rPr>
                <w:rFonts w:hint="eastAsia" w:ascii="宋体" w:hAnsi="宋体" w:cs="宋体"/>
                <w:color w:val="auto"/>
                <w:highlight w:val="none"/>
              </w:rPr>
              <w:t>合同履行期限（工期）</w:t>
            </w:r>
          </w:p>
        </w:tc>
        <w:tc>
          <w:tcPr>
            <w:tcW w:w="4253" w:type="dxa"/>
            <w:noWrap w:val="0"/>
            <w:vAlign w:val="center"/>
          </w:tcPr>
          <w:p>
            <w:pPr>
              <w:spacing w:line="300" w:lineRule="auto"/>
              <w:ind w:firstLine="105" w:firstLineChars="50"/>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4</w:t>
            </w:r>
          </w:p>
        </w:tc>
        <w:tc>
          <w:tcPr>
            <w:tcW w:w="4501" w:type="dxa"/>
            <w:noWrap w:val="0"/>
            <w:vAlign w:val="center"/>
          </w:tcPr>
          <w:p>
            <w:pPr>
              <w:autoSpaceDE w:val="0"/>
              <w:autoSpaceDN w:val="0"/>
              <w:spacing w:line="300" w:lineRule="auto"/>
              <w:rPr>
                <w:rFonts w:hint="eastAsia" w:ascii="宋体" w:hAnsi="宋体" w:cs="宋体"/>
                <w:color w:val="auto"/>
                <w:spacing w:val="20"/>
                <w:highlight w:val="none"/>
              </w:rPr>
            </w:pPr>
            <w:r>
              <w:rPr>
                <w:rFonts w:hint="eastAsia" w:ascii="宋体" w:hAnsi="宋体" w:cs="宋体"/>
                <w:color w:val="auto"/>
                <w:spacing w:val="20"/>
                <w:highlight w:val="none"/>
              </w:rPr>
              <w:t>延误工期赔偿金额</w:t>
            </w:r>
          </w:p>
        </w:tc>
        <w:tc>
          <w:tcPr>
            <w:tcW w:w="4253" w:type="dxa"/>
            <w:noWrap w:val="0"/>
            <w:vAlign w:val="center"/>
          </w:tcPr>
          <w:p>
            <w:pPr>
              <w:autoSpaceDE w:val="0"/>
              <w:autoSpaceDN w:val="0"/>
              <w:spacing w:line="300" w:lineRule="auto"/>
              <w:rPr>
                <w:rFonts w:hint="eastAsia" w:ascii="宋体" w:hAnsi="宋体" w:cs="宋体"/>
                <w:color w:val="auto"/>
                <w:spacing w:val="20"/>
                <w:highlight w:val="none"/>
              </w:rPr>
            </w:pPr>
            <w:r>
              <w:rPr>
                <w:rFonts w:hint="eastAsia" w:ascii="宋体" w:hAnsi="宋体" w:cs="宋体"/>
                <w:color w:val="auto"/>
                <w:spacing w:val="20"/>
                <w:highlight w:val="none"/>
              </w:rPr>
              <w:t>响应合同条款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5</w:t>
            </w:r>
          </w:p>
        </w:tc>
        <w:tc>
          <w:tcPr>
            <w:tcW w:w="4501" w:type="dxa"/>
            <w:noWrap w:val="0"/>
            <w:vAlign w:val="center"/>
          </w:tcPr>
          <w:p>
            <w:pPr>
              <w:autoSpaceDE w:val="0"/>
              <w:autoSpaceDN w:val="0"/>
              <w:spacing w:line="300" w:lineRule="auto"/>
              <w:rPr>
                <w:rFonts w:hint="eastAsia" w:ascii="宋体" w:hAnsi="宋体" w:cs="宋体"/>
                <w:color w:val="auto"/>
                <w:spacing w:val="20"/>
                <w:highlight w:val="none"/>
              </w:rPr>
            </w:pPr>
            <w:r>
              <w:rPr>
                <w:rFonts w:hint="eastAsia" w:ascii="宋体" w:hAnsi="宋体" w:cs="宋体"/>
                <w:color w:val="auto"/>
                <w:spacing w:val="20"/>
                <w:highlight w:val="none"/>
              </w:rPr>
              <w:t>延误工期赔偿金额限额</w:t>
            </w:r>
          </w:p>
        </w:tc>
        <w:tc>
          <w:tcPr>
            <w:tcW w:w="4253" w:type="dxa"/>
            <w:noWrap w:val="0"/>
            <w:vAlign w:val="center"/>
          </w:tcPr>
          <w:p>
            <w:pPr>
              <w:autoSpaceDE w:val="0"/>
              <w:autoSpaceDN w:val="0"/>
              <w:spacing w:line="300" w:lineRule="auto"/>
              <w:rPr>
                <w:rFonts w:hint="eastAsia" w:ascii="宋体" w:hAnsi="宋体" w:cs="宋体"/>
                <w:color w:val="auto"/>
                <w:spacing w:val="20"/>
                <w:highlight w:val="none"/>
              </w:rPr>
            </w:pPr>
            <w:r>
              <w:rPr>
                <w:rFonts w:hint="eastAsia" w:ascii="宋体" w:hAnsi="宋体" w:cs="宋体"/>
                <w:color w:val="auto"/>
                <w:spacing w:val="20"/>
                <w:highlight w:val="none"/>
              </w:rPr>
              <w:t>响应合同条款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noWrap w:val="0"/>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tc>
        <w:tc>
          <w:tcPr>
            <w:tcW w:w="4501" w:type="dxa"/>
            <w:noWrap w:val="0"/>
            <w:vAlign w:val="center"/>
          </w:tcPr>
          <w:p>
            <w:pPr>
              <w:autoSpaceDE w:val="0"/>
              <w:autoSpaceDN w:val="0"/>
              <w:spacing w:line="300" w:lineRule="auto"/>
              <w:rPr>
                <w:rFonts w:hint="default" w:ascii="宋体" w:hAnsi="宋体" w:eastAsia="宋体" w:cs="宋体"/>
                <w:color w:val="auto"/>
                <w:spacing w:val="20"/>
                <w:highlight w:val="none"/>
                <w:lang w:val="en-US" w:eastAsia="zh-CN"/>
              </w:rPr>
            </w:pPr>
            <w:r>
              <w:rPr>
                <w:rFonts w:hint="eastAsia" w:ascii="宋体" w:hAnsi="宋体" w:cs="宋体"/>
                <w:color w:val="auto"/>
                <w:spacing w:val="20"/>
                <w:highlight w:val="none"/>
                <w:lang w:val="en-US" w:eastAsia="zh-CN"/>
              </w:rPr>
              <w:t>...</w:t>
            </w:r>
          </w:p>
        </w:tc>
        <w:tc>
          <w:tcPr>
            <w:tcW w:w="4253" w:type="dxa"/>
            <w:noWrap w:val="0"/>
            <w:vAlign w:val="center"/>
          </w:tcPr>
          <w:p>
            <w:pPr>
              <w:autoSpaceDE w:val="0"/>
              <w:autoSpaceDN w:val="0"/>
              <w:spacing w:line="300" w:lineRule="auto"/>
              <w:rPr>
                <w:rFonts w:hint="default" w:ascii="宋体" w:hAnsi="宋体" w:eastAsia="宋体" w:cs="宋体"/>
                <w:color w:val="auto"/>
                <w:spacing w:val="20"/>
                <w:highlight w:val="none"/>
                <w:lang w:val="en-US" w:eastAsia="zh-CN"/>
              </w:rPr>
            </w:pPr>
            <w:r>
              <w:rPr>
                <w:rFonts w:hint="eastAsia" w:ascii="宋体" w:hAnsi="宋体" w:cs="宋体"/>
                <w:color w:val="auto"/>
                <w:spacing w:val="20"/>
                <w:highlight w:val="none"/>
                <w:lang w:val="en-US" w:eastAsia="zh-CN"/>
              </w:rPr>
              <w:t>...</w:t>
            </w:r>
          </w:p>
        </w:tc>
      </w:tr>
    </w:tbl>
    <w:p>
      <w:pPr>
        <w:ind w:firstLine="514" w:firstLineChars="245"/>
        <w:rPr>
          <w:rFonts w:hint="eastAsia" w:cs="宋体"/>
        </w:rPr>
      </w:pPr>
    </w:p>
    <w:p>
      <w:pPr>
        <w:ind w:firstLine="514" w:firstLineChars="245"/>
        <w:rPr>
          <w:rFonts w:hint="eastAsia" w:cs="宋体"/>
        </w:rPr>
      </w:pPr>
    </w:p>
    <w:p>
      <w:pPr>
        <w:spacing w:line="480" w:lineRule="exact"/>
        <w:ind w:firstLine="420" w:firstLineChars="200"/>
      </w:pPr>
      <w:r>
        <w:rPr>
          <w:rFonts w:hint="eastAsia" w:cs="宋体"/>
        </w:rPr>
        <w:t>投标人（电子签章）：</w:t>
      </w:r>
    </w:p>
    <w:p>
      <w:pPr>
        <w:spacing w:line="480" w:lineRule="exact"/>
        <w:ind w:firstLine="420" w:firstLineChars="200"/>
      </w:pPr>
      <w:r>
        <w:rPr>
          <w:rFonts w:hint="eastAsia" w:cs="宋体"/>
        </w:rPr>
        <w:t>法人代表（签字或</w:t>
      </w:r>
      <w:r>
        <w:rPr>
          <w:rFonts w:hint="eastAsia" w:cs="宋体"/>
          <w:lang w:eastAsia="zh-CN"/>
        </w:rPr>
        <w:t>签章</w:t>
      </w:r>
      <w:r>
        <w:rPr>
          <w:rFonts w:hint="eastAsia" w:cs="宋体"/>
        </w:rPr>
        <w:t>）：</w:t>
      </w:r>
    </w:p>
    <w:p>
      <w:pPr>
        <w:spacing w:line="480" w:lineRule="exact"/>
        <w:ind w:firstLine="420" w:firstLineChars="200"/>
      </w:pPr>
      <w:r>
        <w:rPr>
          <w:rFonts w:hint="eastAsia" w:cs="宋体"/>
        </w:rPr>
        <w:t>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line="480" w:lineRule="auto"/>
        <w:ind w:firstLine="525" w:firstLineChars="250"/>
      </w:pPr>
    </w:p>
    <w:p>
      <w:pPr>
        <w:spacing w:line="480" w:lineRule="auto"/>
        <w:ind w:firstLine="525" w:firstLineChars="250"/>
      </w:pPr>
    </w:p>
    <w:p>
      <w:pPr>
        <w:pStyle w:val="147"/>
        <w:jc w:val="center"/>
        <w:outlineLvl w:val="0"/>
        <w:rPr>
          <w:b/>
          <w:bCs/>
          <w:sz w:val="24"/>
          <w:szCs w:val="24"/>
        </w:rPr>
      </w:pPr>
      <w:r>
        <w:br w:type="page"/>
      </w:r>
      <w:bookmarkStart w:id="2245" w:name="_Toc349639687"/>
      <w:bookmarkStart w:id="2246" w:name="_Toc349557654"/>
      <w:bookmarkStart w:id="2247" w:name="_Toc349215560"/>
      <w:bookmarkStart w:id="2248" w:name="_Toc349640339"/>
      <w:bookmarkStart w:id="2249" w:name="_Toc349555832"/>
      <w:bookmarkStart w:id="2250" w:name="_Toc349558044"/>
      <w:bookmarkStart w:id="2251" w:name="_Toc389065358"/>
      <w:r>
        <w:rPr>
          <w:rFonts w:hint="eastAsia" w:cs="宋体"/>
          <w:b/>
          <w:bCs/>
          <w:sz w:val="24"/>
          <w:szCs w:val="24"/>
        </w:rPr>
        <w:t>三、投标报价表</w:t>
      </w:r>
      <w:bookmarkEnd w:id="2245"/>
      <w:bookmarkEnd w:id="2246"/>
      <w:bookmarkEnd w:id="2247"/>
      <w:bookmarkEnd w:id="2248"/>
      <w:bookmarkEnd w:id="2249"/>
      <w:bookmarkEnd w:id="2250"/>
      <w:bookmarkEnd w:id="2251"/>
    </w:p>
    <w:p>
      <w:pPr>
        <w:spacing w:line="480" w:lineRule="auto"/>
      </w:pPr>
    </w:p>
    <w:p>
      <w:pPr>
        <w:ind w:right="-512" w:rightChars="-244"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rPr>
        <w:t xml:space="preserve">                 （标段）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rPr>
        <w:t>项目编号：</w:t>
      </w:r>
      <w:r>
        <w:rPr>
          <w:rFonts w:hint="eastAsia" w:ascii="宋体" w:hAnsi="宋体" w:eastAsia="宋体" w:cs="宋体"/>
          <w:color w:val="000000"/>
          <w:sz w:val="21"/>
          <w:szCs w:val="21"/>
          <w:highlight w:val="none"/>
          <w:u w:val="singl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774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7744" w:type="dxa"/>
            <w:noWrap w:val="0"/>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项目经理姓名：</w:t>
            </w:r>
          </w:p>
          <w:p>
            <w:pPr>
              <w:widowControl/>
              <w:rPr>
                <w:rFonts w:hint="eastAsia" w:ascii="宋体" w:hAnsi="宋体" w:eastAsia="宋体" w:cs="宋体"/>
                <w:color w:val="000000"/>
                <w:sz w:val="21"/>
                <w:szCs w:val="21"/>
                <w:highlight w:val="none"/>
              </w:rPr>
            </w:pPr>
          </w:p>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注册建造师证书专业、 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7744" w:type="dxa"/>
            <w:noWrap w:val="0"/>
            <w:vAlign w:val="center"/>
          </w:tcPr>
          <w:p>
            <w:pPr>
              <w:widowControl/>
              <w:spacing w:line="360" w:lineRule="auto"/>
              <w:rPr>
                <w:rFonts w:hint="eastAsia"/>
              </w:rPr>
            </w:pPr>
            <w:r>
              <w:rPr>
                <w:rFonts w:hint="eastAsia"/>
              </w:rPr>
              <w:t>投标总报价（大写人民币）：</w:t>
            </w:r>
            <w:r>
              <w:rPr>
                <w:rFonts w:hint="eastAsia"/>
                <w:u w:val="single"/>
              </w:rPr>
              <w:t xml:space="preserve">              </w:t>
            </w:r>
            <w:r>
              <w:rPr>
                <w:rFonts w:hint="eastAsia" w:ascii="宋体" w:hAnsi="宋体" w:eastAsia="宋体" w:cs="宋体"/>
                <w:color w:val="000000"/>
                <w:sz w:val="21"/>
                <w:szCs w:val="21"/>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7744" w:type="dxa"/>
            <w:noWrap w:val="0"/>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w:t>
            </w:r>
            <w:r>
              <w:rPr>
                <w:rFonts w:hint="eastAsia" w:ascii="宋体" w:hAnsi="宋体" w:eastAsia="宋体" w:cs="宋体"/>
                <w:color w:val="00000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7744" w:type="dxa"/>
            <w:noWrap w:val="0"/>
            <w:vAlign w:val="center"/>
          </w:tcPr>
          <w:p>
            <w:pPr>
              <w:widowControl/>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质量等级：</w:t>
            </w:r>
            <w:r>
              <w:rPr>
                <w:rFonts w:hint="eastAsia" w:ascii="宋体" w:hAnsi="宋体" w:cs="宋体"/>
                <w:color w:val="000000"/>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7744" w:type="dxa"/>
            <w:noWrap w:val="0"/>
            <w:vAlign w:val="center"/>
          </w:tcPr>
          <w:p>
            <w:pPr>
              <w:widowControl/>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其 他：</w:t>
            </w:r>
            <w:r>
              <w:rPr>
                <w:rFonts w:hint="eastAsia" w:ascii="宋体" w:hAnsi="宋体" w:cs="宋体"/>
                <w:color w:val="000000"/>
                <w:sz w:val="21"/>
                <w:szCs w:val="21"/>
                <w:highlight w:val="none"/>
                <w:u w:val="single"/>
                <w:lang w:val="en-US" w:eastAsia="zh-CN"/>
              </w:rPr>
              <w:t xml:space="preserve">            </w:t>
            </w:r>
          </w:p>
        </w:tc>
      </w:tr>
    </w:tbl>
    <w:p>
      <w:pPr>
        <w:ind w:left="-178" w:leftChars="-85" w:firstLine="155" w:firstLineChars="74"/>
        <w:rPr>
          <w:rFonts w:hint="eastAsia" w:ascii="宋体" w:hAnsi="宋体" w:eastAsia="宋体" w:cs="宋体"/>
          <w:color w:val="000000"/>
          <w:sz w:val="21"/>
          <w:szCs w:val="21"/>
          <w:highlight w:val="none"/>
        </w:rPr>
      </w:pPr>
    </w:p>
    <w:p>
      <w:pPr>
        <w:spacing w:line="48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 投标总报价应等于投标报价汇总表的合计数。</w:t>
      </w:r>
    </w:p>
    <w:p>
      <w:pPr>
        <w:pageBreakBefore w:val="0"/>
        <w:kinsoku/>
        <w:overflowPunct/>
        <w:topLinePunct w:val="0"/>
        <w:bidi w:val="0"/>
        <w:spacing w:line="440" w:lineRule="exact"/>
        <w:ind w:firstLine="210" w:firstLineChars="100"/>
        <w:rPr>
          <w:rFonts w:hint="eastAsia" w:ascii="宋体" w:hAnsi="宋体" w:eastAsia="宋体" w:cs="宋体"/>
          <w:sz w:val="21"/>
          <w:szCs w:val="21"/>
        </w:rPr>
      </w:pPr>
    </w:p>
    <w:p>
      <w:pPr>
        <w:pageBreakBefore w:val="0"/>
        <w:kinsoku/>
        <w:overflowPunct/>
        <w:topLinePunct w:val="0"/>
        <w:bidi w:val="0"/>
        <w:spacing w:line="440" w:lineRule="exact"/>
        <w:ind w:firstLine="210" w:firstLineChars="100"/>
        <w:rPr>
          <w:rFonts w:hint="eastAsia" w:ascii="宋体" w:hAnsi="宋体" w:eastAsia="宋体" w:cs="宋体"/>
          <w:sz w:val="21"/>
          <w:szCs w:val="21"/>
          <w:u w:val="single"/>
        </w:rPr>
      </w:pPr>
      <w:r>
        <w:rPr>
          <w:rFonts w:hint="eastAsia" w:ascii="宋体" w:hAnsi="宋体" w:eastAsia="宋体" w:cs="宋体"/>
          <w:sz w:val="21"/>
          <w:szCs w:val="21"/>
        </w:rPr>
        <w:t xml:space="preserve">投标人（电子签章）：  </w:t>
      </w:r>
      <w:r>
        <w:rPr>
          <w:rFonts w:hint="eastAsia" w:ascii="宋体" w:hAnsi="宋体" w:eastAsia="宋体" w:cs="宋体"/>
          <w:sz w:val="21"/>
          <w:szCs w:val="21"/>
          <w:u w:val="single"/>
        </w:rPr>
        <w:t xml:space="preserve">            </w:t>
      </w:r>
    </w:p>
    <w:p>
      <w:pPr>
        <w:pageBreakBefore w:val="0"/>
        <w:kinsoku/>
        <w:overflowPunct/>
        <w:topLinePunct w:val="0"/>
        <w:bidi w:val="0"/>
        <w:spacing w:line="440" w:lineRule="exact"/>
        <w:ind w:firstLine="210" w:firstLineChars="10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法定代表人或其委托代理人（签字或</w:t>
      </w:r>
      <w:r>
        <w:rPr>
          <w:rFonts w:hint="eastAsia" w:ascii="宋体" w:hAnsi="宋体" w:cs="宋体"/>
          <w:sz w:val="21"/>
          <w:szCs w:val="21"/>
          <w:lang w:eastAsia="zh-CN"/>
        </w:rPr>
        <w:t>签章</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pageBreakBefore w:val="0"/>
        <w:kinsoku/>
        <w:overflowPunct/>
        <w:topLinePunct w:val="0"/>
        <w:bidi w:val="0"/>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21"/>
        <w:pageBreakBefore w:val="0"/>
        <w:tabs>
          <w:tab w:val="left" w:pos="2472"/>
        </w:tabs>
        <w:kinsoku/>
        <w:overflowPunct/>
        <w:topLinePunct w:val="0"/>
        <w:bidi w:val="0"/>
        <w:spacing w:line="440" w:lineRule="exact"/>
        <w:jc w:val="center"/>
        <w:outlineLvl w:val="0"/>
        <w:rPr>
          <w:rFonts w:hint="eastAsia" w:ascii="宋体" w:hAnsi="宋体" w:eastAsia="宋体" w:cs="宋体"/>
          <w:b/>
          <w:sz w:val="21"/>
          <w:szCs w:val="21"/>
        </w:rPr>
        <w:sectPr>
          <w:pgSz w:w="11905" w:h="16838"/>
          <w:pgMar w:top="1332" w:right="1304" w:bottom="1219" w:left="1304" w:header="720" w:footer="720" w:gutter="0"/>
          <w:pgNumType w:fmt="decimal"/>
          <w:cols w:space="720" w:num="1"/>
          <w:rtlGutter w:val="0"/>
          <w:docGrid w:type="lines" w:linePitch="332" w:charSpace="0"/>
        </w:sectPr>
      </w:pPr>
    </w:p>
    <w:p>
      <w:pPr>
        <w:ind w:left="-178" w:leftChars="-85" w:right="-512" w:rightChars="-244"/>
        <w:jc w:val="left"/>
        <w:rPr>
          <w:rFonts w:hint="eastAsia" w:cs="宋体"/>
        </w:rPr>
      </w:pPr>
    </w:p>
    <w:p>
      <w:pPr>
        <w:pStyle w:val="147"/>
        <w:ind w:firstLine="422"/>
        <w:jc w:val="center"/>
        <w:outlineLvl w:val="0"/>
        <w:rPr>
          <w:b/>
          <w:bCs/>
          <w:sz w:val="24"/>
          <w:szCs w:val="24"/>
        </w:rPr>
      </w:pPr>
      <w:bookmarkStart w:id="2252" w:name="_Toc389065359"/>
      <w:r>
        <w:rPr>
          <w:rFonts w:hint="eastAsia" w:cs="宋体"/>
          <w:b/>
          <w:bCs/>
          <w:sz w:val="24"/>
          <w:szCs w:val="24"/>
        </w:rPr>
        <w:t>四、已标价工程量清单</w:t>
      </w:r>
      <w:bookmarkEnd w:id="2252"/>
    </w:p>
    <w:p>
      <w:pPr>
        <w:pStyle w:val="147"/>
        <w:jc w:val="center"/>
        <w:rPr>
          <w:b/>
          <w:bCs/>
          <w:sz w:val="28"/>
          <w:szCs w:val="28"/>
        </w:rPr>
      </w:pPr>
    </w:p>
    <w:p>
      <w:pPr>
        <w:spacing w:line="360" w:lineRule="auto"/>
        <w:ind w:firstLine="420" w:firstLineChars="200"/>
      </w:pPr>
      <w:r>
        <w:rPr>
          <w:rFonts w:hint="eastAsia" w:ascii="宋体" w:hAnsi="宋体" w:eastAsia="宋体" w:cs="宋体"/>
          <w:lang w:val="en-US" w:eastAsia="zh-CN"/>
        </w:rPr>
        <w:t>1.</w:t>
      </w:r>
      <w:r>
        <w:rPr>
          <w:rFonts w:hint="eastAsia" w:ascii="宋体" w:hAnsi="宋体" w:eastAsia="宋体" w:cs="宋体"/>
        </w:rPr>
        <w:t>已标价工程量清单应按第五章“工程量清单”中的相关表格及投标报价说明填写。构成合同文件的已标价工程量清单包括第五章“工程量清单”有关工程量清单、投标报价以及其他说明的内容</w:t>
      </w:r>
      <w:r>
        <w:rPr>
          <w:rFonts w:hint="eastAsia" w:cs="宋体"/>
        </w:rPr>
        <w:t>。</w:t>
      </w:r>
    </w:p>
    <w:p>
      <w:pPr>
        <w:jc w:val="center"/>
        <w:rPr>
          <w:sz w:val="32"/>
          <w:szCs w:val="32"/>
        </w:rPr>
      </w:pPr>
    </w:p>
    <w:p>
      <w:pPr>
        <w:pStyle w:val="2"/>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rPr>
          <w:sz w:val="32"/>
          <w:szCs w:val="32"/>
        </w:rPr>
      </w:pPr>
    </w:p>
    <w:p>
      <w:pPr>
        <w:pStyle w:val="27"/>
        <w:rPr>
          <w:sz w:val="32"/>
          <w:szCs w:val="32"/>
        </w:rPr>
      </w:pPr>
    </w:p>
    <w:p>
      <w:pPr>
        <w:pStyle w:val="27"/>
        <w:rPr>
          <w:sz w:val="32"/>
          <w:szCs w:val="32"/>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2、封面</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1680" w:firstLineChars="600"/>
        <w:rPr>
          <w:rFonts w:hint="eastAsia" w:ascii="宋体" w:hAnsi="宋体" w:eastAsia="宋体" w:cs="宋体"/>
          <w:color w:val="000000"/>
          <w:sz w:val="28"/>
          <w:highlight w:val="none"/>
        </w:rPr>
      </w:pP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p>
    <w:p>
      <w:pPr>
        <w:jc w:val="center"/>
        <w:rPr>
          <w:rFonts w:hint="eastAsia" w:ascii="宋体" w:hAnsi="宋体" w:eastAsia="宋体" w:cs="宋体"/>
          <w:b/>
          <w:color w:val="000000"/>
          <w:sz w:val="32"/>
          <w:szCs w:val="32"/>
          <w:highlight w:val="none"/>
        </w:rPr>
      </w:pPr>
    </w:p>
    <w:p>
      <w:pPr>
        <w:pStyle w:val="4"/>
        <w:jc w:val="center"/>
        <w:rPr>
          <w:rFonts w:hint="eastAsia"/>
        </w:rPr>
      </w:pPr>
      <w:r>
        <w:rPr>
          <w:rFonts w:hint="eastAsia"/>
        </w:rPr>
        <w:t>（标段名称）</w:t>
      </w:r>
    </w:p>
    <w:p>
      <w:pPr>
        <w:jc w:val="center"/>
        <w:rPr>
          <w:rFonts w:hint="eastAsia" w:ascii="宋体" w:hAnsi="宋体" w:eastAsia="宋体" w:cs="宋体"/>
          <w:b/>
          <w:color w:val="000000"/>
          <w:sz w:val="32"/>
          <w:szCs w:val="32"/>
          <w:highlight w:val="none"/>
        </w:rPr>
      </w:pPr>
    </w:p>
    <w:p>
      <w:pPr>
        <w:jc w:val="center"/>
        <w:rPr>
          <w:rFonts w:hint="eastAsia" w:ascii="宋体" w:hAnsi="宋体" w:eastAsia="宋体" w:cs="宋体"/>
          <w:b/>
          <w:color w:val="000000"/>
          <w:sz w:val="32"/>
          <w:szCs w:val="32"/>
          <w:highlight w:val="none"/>
        </w:rPr>
      </w:pP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工程量清单报价表</w:t>
      </w:r>
    </w:p>
    <w:p>
      <w:pPr>
        <w:jc w:val="center"/>
        <w:rPr>
          <w:rFonts w:hint="eastAsia" w:ascii="宋体" w:hAnsi="宋体" w:eastAsia="宋体" w:cs="宋体"/>
          <w:b/>
          <w:color w:val="000000"/>
          <w:sz w:val="28"/>
          <w:highlight w:val="none"/>
          <w:lang w:val="en-US" w:eastAsia="zh-CN"/>
        </w:rPr>
      </w:pPr>
    </w:p>
    <w:p>
      <w:pPr>
        <w:ind w:firstLine="2800" w:firstLineChars="1000"/>
        <w:jc w:val="left"/>
        <w:rPr>
          <w:rFonts w:hint="default" w:ascii="宋体" w:hAnsi="宋体" w:eastAsia="宋体" w:cs="宋体"/>
          <w:b/>
          <w:color w:val="000000"/>
          <w:sz w:val="28"/>
          <w:highlight w:val="none"/>
          <w:u w:val="single"/>
          <w:lang w:val="en-US" w:eastAsia="zh-CN"/>
        </w:rPr>
      </w:pPr>
      <w:r>
        <w:rPr>
          <w:rFonts w:hint="eastAsia" w:ascii="宋体" w:hAnsi="宋体" w:cs="宋体"/>
          <w:b/>
          <w:color w:val="000000"/>
          <w:sz w:val="28"/>
          <w:highlight w:val="none"/>
          <w:lang w:val="en-US" w:eastAsia="zh-CN"/>
        </w:rPr>
        <w:t>项目</w:t>
      </w:r>
      <w:r>
        <w:rPr>
          <w:rFonts w:hint="eastAsia" w:ascii="宋体" w:hAnsi="宋体" w:eastAsia="宋体" w:cs="宋体"/>
          <w:b/>
          <w:color w:val="000000"/>
          <w:sz w:val="28"/>
          <w:highlight w:val="none"/>
          <w:lang w:val="en-US" w:eastAsia="zh-CN"/>
        </w:rPr>
        <w:t>编号</w:t>
      </w:r>
      <w:r>
        <w:rPr>
          <w:rFonts w:hint="eastAsia" w:ascii="宋体" w:hAnsi="宋体" w:eastAsia="宋体" w:cs="宋体"/>
          <w:b/>
          <w:color w:val="000000"/>
          <w:sz w:val="28"/>
          <w:highlight w:val="none"/>
        </w:rPr>
        <w:t>：</w:t>
      </w:r>
      <w:r>
        <w:rPr>
          <w:rFonts w:hint="eastAsia" w:ascii="宋体" w:hAnsi="宋体" w:eastAsia="宋体" w:cs="宋体"/>
          <w:b/>
          <w:color w:val="000000"/>
          <w:sz w:val="28"/>
          <w:highlight w:val="none"/>
          <w:u w:val="single"/>
          <w:lang w:val="en-US" w:eastAsia="zh-CN"/>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4"/>
        <w:rPr>
          <w:rFonts w:hint="eastAsia" w:ascii="宋体" w:hAnsi="宋体" w:eastAsia="宋体" w:cs="宋体"/>
          <w:color w:val="000000"/>
          <w:sz w:val="28"/>
          <w:highlight w:val="none"/>
        </w:rPr>
      </w:pPr>
    </w:p>
    <w:p>
      <w:pPr>
        <w:rPr>
          <w:rFonts w:hint="eastAsia" w:ascii="宋体" w:hAnsi="宋体" w:eastAsia="宋体" w:cs="宋体"/>
          <w:color w:val="000000"/>
          <w:sz w:val="28"/>
          <w:highlight w:val="none"/>
        </w:rPr>
      </w:pPr>
    </w:p>
    <w:p>
      <w:pPr>
        <w:pStyle w:val="4"/>
        <w:rPr>
          <w:rFonts w:hint="eastAsia"/>
        </w:rPr>
      </w:pP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280" w:firstLineChars="100"/>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投  标  人：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r>
        <w:rPr>
          <w:rFonts w:hint="eastAsia" w:ascii="宋体" w:hAnsi="宋体" w:cs="宋体"/>
          <w:color w:val="000000"/>
          <w:sz w:val="28"/>
          <w:highlight w:val="none"/>
          <w:lang w:eastAsia="zh-CN"/>
        </w:rPr>
        <w:t>电子签章</w:t>
      </w: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法 定 代 表 人</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（或委托代理人）：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(签字</w:t>
      </w:r>
      <w:r>
        <w:rPr>
          <w:rFonts w:hint="eastAsia" w:ascii="宋体" w:hAnsi="宋体" w:cs="宋体"/>
          <w:color w:val="000000"/>
          <w:sz w:val="28"/>
          <w:highlight w:val="none"/>
          <w:lang w:eastAsia="zh-CN"/>
        </w:rPr>
        <w:t>或签章</w:t>
      </w: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280" w:firstLineChars="100"/>
        <w:rPr>
          <w:rFonts w:hint="eastAsia" w:ascii="宋体" w:hAnsi="宋体" w:eastAsia="宋体" w:cs="宋体"/>
          <w:color w:val="000000"/>
          <w:sz w:val="28"/>
          <w:highlight w:val="none"/>
          <w:u w:val="single"/>
        </w:rPr>
      </w:pPr>
      <w:r>
        <w:rPr>
          <w:rFonts w:hint="eastAsia" w:ascii="宋体" w:hAnsi="宋体" w:eastAsia="宋体" w:cs="宋体"/>
          <w:color w:val="000000"/>
          <w:sz w:val="28"/>
          <w:highlight w:val="none"/>
        </w:rPr>
        <w:t xml:space="preserve">编制时间：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u w:val="single"/>
          <w:lang w:val="en-US" w:eastAsia="zh-CN"/>
        </w:rPr>
        <w:t xml:space="preserve">      </w:t>
      </w:r>
      <w:r>
        <w:rPr>
          <w:rFonts w:hint="eastAsia" w:ascii="宋体" w:hAnsi="宋体" w:eastAsia="宋体" w:cs="宋体"/>
          <w:color w:val="000000"/>
          <w:sz w:val="28"/>
          <w:highlight w:val="none"/>
          <w:u w:val="single"/>
        </w:rPr>
        <w:t xml:space="preserve">   </w:t>
      </w:r>
    </w:p>
    <w:p>
      <w:pPr>
        <w:pStyle w:val="147"/>
        <w:ind w:firstLine="422"/>
        <w:jc w:val="center"/>
        <w:outlineLvl w:val="0"/>
        <w:rPr>
          <w:rFonts w:hint="eastAsia" w:ascii="Times New Roman" w:hAnsi="Times New Roman" w:eastAsia="宋体" w:cs="宋体"/>
          <w:b/>
          <w:bCs/>
          <w:sz w:val="24"/>
          <w:szCs w:val="24"/>
          <w:lang w:val="en-US" w:eastAsia="zh-CN"/>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3、投标报价汇总表</w:t>
      </w: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投  标  总  价</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工  程  名  称：</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default" w:ascii="宋体" w:hAnsi="宋体" w:eastAsia="宋体" w:cs="宋体"/>
          <w:color w:val="000000"/>
          <w:sz w:val="28"/>
          <w:highlight w:val="none"/>
          <w:lang w:val="en-US" w:eastAsia="zh-CN"/>
        </w:rPr>
      </w:pPr>
      <w:r>
        <w:rPr>
          <w:rFonts w:hint="eastAsia" w:ascii="宋体" w:hAnsi="宋体" w:eastAsia="宋体" w:cs="宋体"/>
          <w:color w:val="000000"/>
          <w:sz w:val="28"/>
          <w:highlight w:val="none"/>
        </w:rPr>
        <w:t>标</w:t>
      </w:r>
      <w:r>
        <w:rPr>
          <w:rFonts w:hint="eastAsia" w:ascii="宋体" w:hAnsi="宋体" w:cs="宋体"/>
          <w:color w:val="000000"/>
          <w:sz w:val="28"/>
          <w:highlight w:val="none"/>
          <w:lang w:val="en-US" w:eastAsia="zh-CN"/>
        </w:rPr>
        <w:t xml:space="preserve">  </w:t>
      </w:r>
      <w:r>
        <w:rPr>
          <w:rFonts w:hint="eastAsia" w:ascii="宋体" w:hAnsi="宋体" w:eastAsia="宋体" w:cs="宋体"/>
          <w:color w:val="000000"/>
          <w:sz w:val="28"/>
          <w:highlight w:val="none"/>
        </w:rPr>
        <w:t>段</w:t>
      </w:r>
      <w:r>
        <w:rPr>
          <w:rFonts w:hint="eastAsia" w:ascii="宋体" w:hAnsi="宋体" w:cs="宋体"/>
          <w:color w:val="000000"/>
          <w:sz w:val="28"/>
          <w:highlight w:val="none"/>
          <w:lang w:val="en-US" w:eastAsia="zh-CN"/>
        </w:rPr>
        <w:t xml:space="preserve">  </w:t>
      </w:r>
      <w:r>
        <w:rPr>
          <w:rFonts w:hint="eastAsia" w:ascii="宋体" w:hAnsi="宋体" w:eastAsia="宋体" w:cs="宋体"/>
          <w:color w:val="000000"/>
          <w:sz w:val="28"/>
          <w:highlight w:val="none"/>
        </w:rPr>
        <w:t>名</w:t>
      </w:r>
      <w:r>
        <w:rPr>
          <w:rFonts w:hint="eastAsia" w:ascii="宋体" w:hAnsi="宋体" w:cs="宋体"/>
          <w:color w:val="000000"/>
          <w:sz w:val="28"/>
          <w:highlight w:val="none"/>
          <w:lang w:val="en-US" w:eastAsia="zh-CN"/>
        </w:rPr>
        <w:t xml:space="preserve">  </w:t>
      </w:r>
      <w:r>
        <w:rPr>
          <w:rFonts w:hint="eastAsia" w:ascii="宋体" w:hAnsi="宋体" w:eastAsia="宋体" w:cs="宋体"/>
          <w:color w:val="000000"/>
          <w:sz w:val="28"/>
          <w:highlight w:val="none"/>
        </w:rPr>
        <w:t>称</w:t>
      </w:r>
      <w:r>
        <w:rPr>
          <w:rFonts w:hint="eastAsia" w:ascii="宋体" w:hAnsi="宋体" w:cs="宋体"/>
          <w:color w:val="000000"/>
          <w:sz w:val="28"/>
          <w:highlight w:val="none"/>
          <w:lang w:eastAsia="zh-CN"/>
        </w:rPr>
        <w:t>：</w:t>
      </w:r>
      <w:r>
        <w:rPr>
          <w:rFonts w:hint="eastAsia" w:ascii="宋体" w:hAnsi="宋体" w:cs="宋体"/>
          <w:color w:val="000000"/>
          <w:sz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cs="宋体"/>
          <w:color w:val="000000"/>
          <w:sz w:val="28"/>
          <w:highlight w:val="none"/>
          <w:lang w:val="en-US" w:eastAsia="zh-CN"/>
        </w:rPr>
        <w:t>项  目</w:t>
      </w:r>
      <w:r>
        <w:rPr>
          <w:rFonts w:hint="eastAsia" w:ascii="宋体" w:hAnsi="宋体" w:eastAsia="宋体" w:cs="宋体"/>
          <w:color w:val="000000"/>
          <w:sz w:val="28"/>
          <w:highlight w:val="none"/>
        </w:rPr>
        <w:t xml:space="preserve">  编  号：</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投标总价(小写)：</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(大写)：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u w:val="single"/>
          <w:lang w:val="en-US" w:eastAsia="zh-CN"/>
        </w:rPr>
        <w:t xml:space="preserve">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投标总报价 (A)：</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spacing w:line="420" w:lineRule="exact"/>
        <w:ind w:firstLine="4320" w:firstLineChars="18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(填入投标函和投标函附录) </w:t>
      </w:r>
    </w:p>
    <w:p>
      <w:pPr>
        <w:spacing w:line="420" w:lineRule="exact"/>
        <w:ind w:firstLine="3840" w:firstLineChars="1600"/>
        <w:rPr>
          <w:rFonts w:hint="eastAsia" w:ascii="宋体" w:hAnsi="宋体" w:eastAsia="宋体" w:cs="宋体"/>
          <w:color w:val="000000"/>
          <w:sz w:val="24"/>
          <w:highlight w:val="none"/>
        </w:rPr>
      </w:pPr>
    </w:p>
    <w:p>
      <w:pPr>
        <w:spacing w:line="420" w:lineRule="exact"/>
        <w:ind w:firstLine="2400" w:firstLineChars="10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cs="宋体"/>
          <w:color w:val="000000"/>
          <w:sz w:val="24"/>
          <w:highlight w:val="none"/>
          <w:u w:val="single"/>
          <w:lang w:eastAsia="zh-CN"/>
        </w:rPr>
        <w:t>电子签章</w:t>
      </w:r>
      <w:r>
        <w:rPr>
          <w:rFonts w:hint="eastAsia" w:ascii="宋体" w:hAnsi="宋体" w:eastAsia="宋体" w:cs="宋体"/>
          <w:color w:val="000000"/>
          <w:sz w:val="24"/>
          <w:highlight w:val="none"/>
          <w:u w:val="single"/>
        </w:rPr>
        <w:t>)</w:t>
      </w:r>
    </w:p>
    <w:p>
      <w:pPr>
        <w:spacing w:line="420" w:lineRule="exact"/>
        <w:rPr>
          <w:rFonts w:hint="eastAsia" w:ascii="宋体" w:hAnsi="宋体" w:eastAsia="宋体" w:cs="宋体"/>
          <w:color w:val="000000"/>
          <w:sz w:val="24"/>
          <w:highlight w:val="none"/>
        </w:rPr>
      </w:pPr>
    </w:p>
    <w:p>
      <w:pPr>
        <w:spacing w:line="420" w:lineRule="exact"/>
        <w:ind w:firstLine="2400" w:firstLineChars="10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w:t>
      </w:r>
      <w:r>
        <w:rPr>
          <w:rFonts w:hint="eastAsia" w:ascii="宋体" w:hAnsi="宋体" w:cs="宋体"/>
          <w:color w:val="000000"/>
          <w:sz w:val="24"/>
          <w:highlight w:val="none"/>
          <w:u w:val="single"/>
          <w:lang w:eastAsia="zh-CN"/>
        </w:rPr>
        <w:t>字或签章</w:t>
      </w:r>
      <w:r>
        <w:rPr>
          <w:rFonts w:hint="eastAsia" w:ascii="宋体" w:hAnsi="宋体" w:eastAsia="宋体" w:cs="宋体"/>
          <w:color w:val="000000"/>
          <w:sz w:val="24"/>
          <w:highlight w:val="none"/>
          <w:u w:val="single"/>
        </w:rPr>
        <w:t>)</w:t>
      </w:r>
    </w:p>
    <w:p>
      <w:pPr>
        <w:spacing w:line="420" w:lineRule="exact"/>
        <w:ind w:firstLine="2313" w:firstLineChars="964"/>
        <w:rPr>
          <w:rFonts w:hint="eastAsia" w:ascii="宋体" w:hAnsi="宋体" w:eastAsia="宋体" w:cs="宋体"/>
          <w:color w:val="000000"/>
          <w:sz w:val="24"/>
          <w:highlight w:val="none"/>
        </w:rPr>
      </w:pPr>
    </w:p>
    <w:p>
      <w:pPr>
        <w:spacing w:line="500" w:lineRule="exact"/>
        <w:ind w:firstLine="3920" w:firstLineChars="1400"/>
        <w:rPr>
          <w:rFonts w:hint="eastAsia" w:ascii="宋体" w:hAnsi="宋体" w:eastAsia="宋体" w:cs="宋体"/>
          <w:color w:val="000000"/>
          <w:sz w:val="28"/>
          <w:highlight w:val="none"/>
        </w:rPr>
      </w:pPr>
      <w:r>
        <w:rPr>
          <w:rFonts w:hint="eastAsia" w:ascii="宋体" w:hAnsi="宋体" w:eastAsia="宋体" w:cs="宋体"/>
          <w:color w:val="000000"/>
          <w:sz w:val="28"/>
          <w:highlight w:val="none"/>
        </w:rPr>
        <w:t>编  制  时  间：</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年</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月</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日</w:t>
      </w: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4、工程项目总价表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工程项目总价表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427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8"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427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工程项目名称</w:t>
            </w:r>
          </w:p>
        </w:tc>
        <w:tc>
          <w:tcPr>
            <w:tcW w:w="280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一级××项目  </w:t>
            </w: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一级××项目  </w:t>
            </w: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措施项目  </w:t>
            </w: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其他项目</w:t>
            </w: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2800" w:type="dxa"/>
            <w:noWrap w:val="0"/>
            <w:vAlign w:val="center"/>
          </w:tcPr>
          <w:p>
            <w:pPr>
              <w:rPr>
                <w:rFonts w:hint="eastAsia" w:ascii="宋体" w:hAnsi="宋体" w:eastAsia="宋体" w:cs="宋体"/>
                <w:color w:val="000000"/>
                <w:sz w:val="24"/>
                <w:highlight w:val="none"/>
              </w:rPr>
            </w:pPr>
          </w:p>
        </w:tc>
      </w:tr>
    </w:tbl>
    <w:p>
      <w:pPr>
        <w:ind w:right="560"/>
        <w:jc w:val="right"/>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cs="宋体"/>
          <w:color w:val="000000"/>
          <w:sz w:val="24"/>
          <w:highlight w:val="none"/>
          <w:u w:val="single"/>
          <w:lang w:eastAsia="zh-CN"/>
        </w:rPr>
        <w:t>电子签章</w:t>
      </w:r>
      <w:r>
        <w:rPr>
          <w:rFonts w:hint="eastAsia" w:ascii="宋体" w:hAnsi="宋体" w:eastAsia="宋体" w:cs="宋体"/>
          <w:color w:val="000000"/>
          <w:sz w:val="24"/>
          <w:highlight w:val="none"/>
          <w:u w:val="single"/>
        </w:rPr>
        <w:t>)</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w:t>
      </w:r>
      <w:r>
        <w:rPr>
          <w:rFonts w:hint="eastAsia" w:ascii="宋体" w:hAnsi="宋体" w:cs="宋体"/>
          <w:color w:val="000000"/>
          <w:sz w:val="24"/>
          <w:highlight w:val="none"/>
          <w:u w:val="single"/>
          <w:lang w:eastAsia="zh-CN"/>
        </w:rPr>
        <w:t>字或签章</w:t>
      </w:r>
      <w:r>
        <w:rPr>
          <w:rFonts w:hint="eastAsia" w:ascii="宋体" w:hAnsi="宋体" w:eastAsia="宋体" w:cs="宋体"/>
          <w:color w:val="000000"/>
          <w:sz w:val="24"/>
          <w:highlight w:val="none"/>
          <w:u w:val="single"/>
        </w:rPr>
        <w:t>)</w:t>
      </w:r>
    </w:p>
    <w:p>
      <w:pPr>
        <w:spacing w:line="420" w:lineRule="exact"/>
        <w:ind w:firstLine="2313" w:firstLineChars="964"/>
        <w:rPr>
          <w:rFonts w:hint="eastAsia" w:ascii="宋体" w:hAnsi="宋体" w:eastAsia="宋体" w:cs="宋体"/>
          <w:color w:val="000000"/>
          <w:sz w:val="24"/>
          <w:highlight w:val="none"/>
        </w:rPr>
      </w:pPr>
    </w:p>
    <w:p>
      <w:pPr>
        <w:ind w:right="560"/>
        <w:jc w:val="right"/>
        <w:rPr>
          <w:rFonts w:hint="eastAsia" w:ascii="宋体" w:hAnsi="宋体" w:eastAsia="宋体" w:cs="宋体"/>
          <w:color w:val="000000"/>
          <w:sz w:val="28"/>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jc w:val="center"/>
        <w:rPr>
          <w:rFonts w:hint="eastAsia" w:ascii="宋体" w:hAnsi="宋体" w:eastAsia="宋体" w:cs="宋体"/>
          <w:b/>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5、分类分项工程量清单计价表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分类分项工程量清单计价表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64"/>
        <w:gridCol w:w="1761"/>
        <w:gridCol w:w="964"/>
        <w:gridCol w:w="836"/>
        <w:gridCol w:w="836"/>
        <w:gridCol w:w="836"/>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7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76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项目编码</w:t>
            </w:r>
          </w:p>
        </w:tc>
        <w:tc>
          <w:tcPr>
            <w:tcW w:w="176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96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w:t>
            </w:r>
          </w:p>
        </w:tc>
        <w:tc>
          <w:tcPr>
            <w:tcW w:w="83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数量</w:t>
            </w:r>
          </w:p>
        </w:tc>
        <w:tc>
          <w:tcPr>
            <w:tcW w:w="83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(元)</w:t>
            </w:r>
          </w:p>
        </w:tc>
        <w:tc>
          <w:tcPr>
            <w:tcW w:w="83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合价</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(元)</w:t>
            </w:r>
          </w:p>
        </w:tc>
        <w:tc>
          <w:tcPr>
            <w:tcW w:w="1413"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主要技术</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条款编码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一级xx项目  </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二级xx项目</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三级xx项目  </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50xxxxxxxxxx</w:t>
            </w: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最末一级项目</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一级xx项目  </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二级xx项目  </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三级xx项目</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50xxxxxxxxxx</w:t>
            </w: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最末一级项目</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bl>
    <w:p>
      <w:pPr>
        <w:rPr>
          <w:rFonts w:hint="eastAsia" w:ascii="宋体" w:hAnsi="宋体" w:eastAsia="宋体" w:cs="宋体"/>
          <w:color w:val="000000"/>
          <w:sz w:val="28"/>
          <w:highlight w:val="none"/>
        </w:rPr>
      </w:pPr>
    </w:p>
    <w:p>
      <w:pPr>
        <w:spacing w:line="420" w:lineRule="exact"/>
        <w:ind w:firstLine="3080" w:firstLineChars="1100"/>
        <w:rPr>
          <w:rFonts w:hint="eastAsia" w:ascii="宋体" w:hAnsi="宋体" w:eastAsia="宋体" w:cs="宋体"/>
          <w:color w:val="000000"/>
          <w:sz w:val="24"/>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4"/>
          <w:highlight w:val="none"/>
        </w:rPr>
        <w:t>投标人：</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cs="宋体"/>
          <w:color w:val="000000"/>
          <w:sz w:val="24"/>
          <w:highlight w:val="none"/>
          <w:u w:val="single"/>
          <w:lang w:eastAsia="zh-CN"/>
        </w:rPr>
        <w:t>电子签章</w:t>
      </w:r>
      <w:r>
        <w:rPr>
          <w:rFonts w:hint="eastAsia" w:ascii="宋体" w:hAnsi="宋体" w:eastAsia="宋体" w:cs="宋体"/>
          <w:color w:val="000000"/>
          <w:sz w:val="24"/>
          <w:highlight w:val="none"/>
          <w:u w:val="single"/>
        </w:rPr>
        <w:t>)</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w:t>
      </w:r>
      <w:r>
        <w:rPr>
          <w:rFonts w:hint="eastAsia" w:ascii="宋体" w:hAnsi="宋体" w:cs="宋体"/>
          <w:color w:val="000000"/>
          <w:sz w:val="24"/>
          <w:highlight w:val="none"/>
          <w:u w:val="single"/>
          <w:lang w:eastAsia="zh-CN"/>
        </w:rPr>
        <w:t>字或签章</w:t>
      </w:r>
      <w:r>
        <w:rPr>
          <w:rFonts w:hint="eastAsia" w:ascii="宋体" w:hAnsi="宋体" w:eastAsia="宋体" w:cs="宋体"/>
          <w:color w:val="000000"/>
          <w:sz w:val="24"/>
          <w:highlight w:val="none"/>
          <w:u w:val="single"/>
        </w:rPr>
        <w:t>)</w:t>
      </w:r>
    </w:p>
    <w:p>
      <w:pPr>
        <w:ind w:firstLine="4680" w:firstLineChars="1950"/>
        <w:rPr>
          <w:rFonts w:hint="eastAsia" w:ascii="宋体" w:hAnsi="宋体" w:eastAsia="宋体" w:cs="宋体"/>
          <w:color w:val="000000"/>
          <w:sz w:val="28"/>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6、措施项目清单计价表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措施项目清单计价表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序号</w:t>
            </w:r>
          </w:p>
        </w:tc>
        <w:tc>
          <w:tcPr>
            <w:tcW w:w="3096" w:type="dxa"/>
            <w:noWrap w:val="0"/>
            <w:vAlign w:val="top"/>
          </w:tcPr>
          <w:p>
            <w:pPr>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项目名称</w:t>
            </w:r>
          </w:p>
        </w:tc>
        <w:tc>
          <w:tcPr>
            <w:tcW w:w="3096" w:type="dxa"/>
            <w:noWrap w:val="0"/>
            <w:vAlign w:val="top"/>
          </w:tcPr>
          <w:p>
            <w:pPr>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合计</w:t>
            </w:r>
          </w:p>
        </w:tc>
        <w:tc>
          <w:tcPr>
            <w:tcW w:w="3096" w:type="dxa"/>
            <w:noWrap w:val="0"/>
            <w:vAlign w:val="top"/>
          </w:tcPr>
          <w:p>
            <w:pPr>
              <w:jc w:val="center"/>
              <w:rPr>
                <w:rFonts w:hint="eastAsia" w:ascii="宋体" w:hAnsi="宋体" w:eastAsia="宋体" w:cs="宋体"/>
                <w:color w:val="000000"/>
                <w:sz w:val="28"/>
                <w:highlight w:val="none"/>
              </w:rPr>
            </w:pPr>
          </w:p>
        </w:tc>
      </w:tr>
    </w:tbl>
    <w:p>
      <w:pPr>
        <w:spacing w:before="156" w:beforeLines="50"/>
        <w:rPr>
          <w:rFonts w:hint="eastAsia" w:ascii="宋体" w:hAnsi="宋体" w:eastAsia="宋体" w:cs="宋体"/>
          <w:color w:val="000000"/>
          <w:sz w:val="24"/>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4"/>
          <w:highlight w:val="none"/>
        </w:rPr>
        <w:t>投标人：</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cs="宋体"/>
          <w:color w:val="000000"/>
          <w:sz w:val="24"/>
          <w:highlight w:val="none"/>
          <w:u w:val="single"/>
          <w:lang w:eastAsia="zh-CN"/>
        </w:rPr>
        <w:t>电子签章</w:t>
      </w:r>
      <w:r>
        <w:rPr>
          <w:rFonts w:hint="eastAsia" w:ascii="宋体" w:hAnsi="宋体" w:eastAsia="宋体" w:cs="宋体"/>
          <w:color w:val="000000"/>
          <w:sz w:val="24"/>
          <w:highlight w:val="none"/>
          <w:u w:val="single"/>
        </w:rPr>
        <w:t>)</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w:t>
      </w:r>
      <w:r>
        <w:rPr>
          <w:rFonts w:hint="eastAsia" w:ascii="宋体" w:hAnsi="宋体" w:cs="宋体"/>
          <w:color w:val="000000"/>
          <w:sz w:val="24"/>
          <w:highlight w:val="none"/>
          <w:u w:val="single"/>
          <w:lang w:eastAsia="zh-CN"/>
        </w:rPr>
        <w:t>字或签章</w:t>
      </w:r>
      <w:r>
        <w:rPr>
          <w:rFonts w:hint="eastAsia" w:ascii="宋体" w:hAnsi="宋体" w:eastAsia="宋体" w:cs="宋体"/>
          <w:color w:val="000000"/>
          <w:sz w:val="24"/>
          <w:highlight w:val="none"/>
          <w:u w:val="single"/>
        </w:rPr>
        <w:t>)</w:t>
      </w:r>
    </w:p>
    <w:p>
      <w:pPr>
        <w:spacing w:line="420" w:lineRule="exact"/>
        <w:ind w:firstLine="2313" w:firstLineChars="964"/>
        <w:rPr>
          <w:rFonts w:hint="eastAsia" w:ascii="宋体" w:hAnsi="宋体" w:eastAsia="宋体" w:cs="宋体"/>
          <w:color w:val="000000"/>
          <w:sz w:val="24"/>
          <w:highlight w:val="none"/>
        </w:rPr>
      </w:pPr>
    </w:p>
    <w:p>
      <w:pPr>
        <w:ind w:firstLine="6480" w:firstLineChars="270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pStyle w:val="26"/>
        <w:rPr>
          <w:rFonts w:hint="eastAsia"/>
          <w:color w:val="000000"/>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7、其他项目清单计价表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其他项目清单计价表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23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2322"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金额(元)</w:t>
            </w:r>
          </w:p>
        </w:tc>
        <w:tc>
          <w:tcPr>
            <w:tcW w:w="2322"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bl>
    <w:p>
      <w:pPr>
        <w:spacing w:before="156" w:beforeLines="50"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cs="宋体"/>
          <w:color w:val="000000"/>
          <w:sz w:val="24"/>
          <w:highlight w:val="none"/>
          <w:u w:val="single"/>
          <w:lang w:eastAsia="zh-CN"/>
        </w:rPr>
        <w:t>电子签章</w:t>
      </w:r>
      <w:r>
        <w:rPr>
          <w:rFonts w:hint="eastAsia" w:ascii="宋体" w:hAnsi="宋体" w:eastAsia="宋体" w:cs="宋体"/>
          <w:color w:val="000000"/>
          <w:sz w:val="24"/>
          <w:highlight w:val="none"/>
          <w:u w:val="single"/>
        </w:rPr>
        <w:t>)</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w:t>
      </w:r>
      <w:r>
        <w:rPr>
          <w:rFonts w:hint="eastAsia" w:ascii="宋体" w:hAnsi="宋体" w:cs="宋体"/>
          <w:color w:val="000000"/>
          <w:sz w:val="24"/>
          <w:highlight w:val="none"/>
          <w:u w:val="single"/>
          <w:lang w:eastAsia="zh-CN"/>
        </w:rPr>
        <w:t>字或签章</w:t>
      </w:r>
      <w:r>
        <w:rPr>
          <w:rFonts w:hint="eastAsia" w:ascii="宋体" w:hAnsi="宋体" w:eastAsia="宋体" w:cs="宋体"/>
          <w:color w:val="000000"/>
          <w:sz w:val="24"/>
          <w:highlight w:val="none"/>
          <w:u w:val="single"/>
        </w:rPr>
        <w:t>)</w:t>
      </w:r>
    </w:p>
    <w:p>
      <w:pPr>
        <w:spacing w:line="420" w:lineRule="exact"/>
        <w:ind w:firstLine="2313" w:firstLineChars="964"/>
        <w:rPr>
          <w:rFonts w:hint="eastAsia" w:ascii="宋体" w:hAnsi="宋体" w:eastAsia="宋体" w:cs="宋体"/>
          <w:color w:val="000000"/>
          <w:sz w:val="24"/>
          <w:highlight w:val="none"/>
        </w:rPr>
      </w:pPr>
    </w:p>
    <w:p>
      <w:pPr>
        <w:jc w:val="right"/>
        <w:rPr>
          <w:rFonts w:hint="eastAsia" w:ascii="宋体" w:hAnsi="宋体" w:eastAsia="宋体" w:cs="宋体"/>
          <w:color w:val="000000"/>
          <w:sz w:val="28"/>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8、零星工作（计工日）项目计价表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零星工作（计工日）项目计价表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型号规格</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计量单位</w:t>
            </w:r>
          </w:p>
        </w:tc>
        <w:tc>
          <w:tcPr>
            <w:tcW w:w="14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单价（元）</w:t>
            </w:r>
          </w:p>
        </w:tc>
        <w:tc>
          <w:tcPr>
            <w:tcW w:w="14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人工</w:t>
            </w: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w:t>
            </w: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机械</w:t>
            </w: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bl>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2800" w:firstLineChars="1000"/>
        <w:rPr>
          <w:rFonts w:hint="eastAsia" w:ascii="宋体" w:hAnsi="宋体" w:eastAsia="宋体" w:cs="宋体"/>
          <w:color w:val="000000"/>
          <w:sz w:val="24"/>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4"/>
          <w:highlight w:val="none"/>
        </w:rPr>
        <w:t>投标人：</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cs="宋体"/>
          <w:color w:val="000000"/>
          <w:sz w:val="24"/>
          <w:highlight w:val="none"/>
          <w:u w:val="single"/>
          <w:lang w:eastAsia="zh-CN"/>
        </w:rPr>
        <w:t>电子签章</w:t>
      </w:r>
      <w:r>
        <w:rPr>
          <w:rFonts w:hint="eastAsia" w:ascii="宋体" w:hAnsi="宋体" w:eastAsia="宋体" w:cs="宋体"/>
          <w:color w:val="000000"/>
          <w:sz w:val="24"/>
          <w:highlight w:val="none"/>
          <w:u w:val="single"/>
        </w:rPr>
        <w:t>)</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w:t>
      </w:r>
      <w:r>
        <w:rPr>
          <w:rFonts w:hint="eastAsia" w:ascii="宋体" w:hAnsi="宋体" w:cs="宋体"/>
          <w:color w:val="000000"/>
          <w:sz w:val="24"/>
          <w:highlight w:val="none"/>
          <w:u w:val="single"/>
          <w:lang w:eastAsia="zh-CN"/>
        </w:rPr>
        <w:t>字或签章</w:t>
      </w:r>
      <w:r>
        <w:rPr>
          <w:rFonts w:hint="eastAsia" w:ascii="宋体" w:hAnsi="宋体" w:eastAsia="宋体" w:cs="宋体"/>
          <w:color w:val="000000"/>
          <w:sz w:val="24"/>
          <w:highlight w:val="none"/>
          <w:u w:val="single"/>
        </w:rPr>
        <w:t>)</w:t>
      </w:r>
    </w:p>
    <w:p>
      <w:pPr>
        <w:jc w:val="right"/>
        <w:rPr>
          <w:rFonts w:hint="eastAsia" w:ascii="宋体" w:hAnsi="宋体" w:eastAsia="宋体" w:cs="宋体"/>
          <w:color w:val="000000"/>
          <w:sz w:val="24"/>
          <w:highlight w:val="none"/>
          <w:u w:val="single"/>
        </w:rPr>
      </w:pPr>
    </w:p>
    <w:p>
      <w:pPr>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pStyle w:val="6"/>
        <w:spacing w:before="0" w:after="0" w:line="377" w:lineRule="auto"/>
        <w:rPr>
          <w:rFonts w:hint="eastAsia" w:ascii="宋体" w:hAnsi="宋体" w:eastAsia="宋体" w:cs="宋体"/>
          <w:color w:val="000000"/>
          <w:sz w:val="24"/>
          <w:szCs w:val="24"/>
          <w:highlight w:val="none"/>
        </w:rPr>
        <w:sectPr>
          <w:pgSz w:w="11906" w:h="16838"/>
          <w:pgMar w:top="1440" w:right="1418" w:bottom="1134" w:left="1418" w:header="851" w:footer="992" w:gutter="0"/>
          <w:pgNumType w:fmt="decimal"/>
          <w:cols w:space="720" w:num="1"/>
          <w:docGrid w:type="linesAndChars" w:linePitch="312" w:charSpace="0"/>
        </w:sect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9、工程单价汇总表</w:t>
      </w:r>
    </w:p>
    <w:p>
      <w:pPr>
        <w:rPr>
          <w:rFonts w:hint="eastAsia" w:ascii="宋体" w:hAnsi="宋体" w:eastAsia="宋体" w:cs="宋体"/>
          <w:color w:val="000000"/>
          <w:kern w:val="0"/>
          <w:highlight w:val="none"/>
          <w:lang w:eastAsia="zh-CN"/>
        </w:rPr>
      </w:pPr>
      <w:r>
        <w:rPr>
          <w:rFonts w:hint="eastAsia" w:ascii="宋体" w:hAnsi="宋体" w:cs="宋体"/>
          <w:color w:val="000000"/>
          <w:kern w:val="0"/>
          <w:highlight w:val="none"/>
          <w:lang w:eastAsia="zh-CN"/>
        </w:rPr>
        <w:t>项目</w:t>
      </w:r>
      <w:r>
        <w:rPr>
          <w:rFonts w:hint="eastAsia" w:ascii="宋体" w:hAnsi="宋体" w:eastAsia="宋体" w:cs="宋体"/>
          <w:color w:val="000000"/>
          <w:kern w:val="0"/>
          <w:highlight w:val="none"/>
          <w:lang w:eastAsia="zh-CN"/>
        </w:rPr>
        <w:t>编号：</w:t>
      </w:r>
    </w:p>
    <w:p>
      <w:pP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工程名称： （项目名称） （标段名称）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8"/>
        <w:gridCol w:w="1362"/>
        <w:gridCol w:w="1127"/>
        <w:gridCol w:w="549"/>
        <w:gridCol w:w="780"/>
        <w:gridCol w:w="764"/>
        <w:gridCol w:w="796"/>
        <w:gridCol w:w="840"/>
        <w:gridCol w:w="840"/>
        <w:gridCol w:w="840"/>
        <w:gridCol w:w="1272"/>
        <w:gridCol w:w="720"/>
        <w:gridCol w:w="617"/>
        <w:gridCol w:w="709"/>
        <w:gridCol w:w="708"/>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trPr>
        <w:tc>
          <w:tcPr>
            <w:tcW w:w="578"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362"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项目编码</w:t>
            </w:r>
          </w:p>
        </w:tc>
        <w:tc>
          <w:tcPr>
            <w:tcW w:w="1127"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549"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计量</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单位</w:t>
            </w:r>
          </w:p>
        </w:tc>
        <w:tc>
          <w:tcPr>
            <w:tcW w:w="78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人工费</w:t>
            </w:r>
          </w:p>
        </w:tc>
        <w:tc>
          <w:tcPr>
            <w:tcW w:w="764"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材料费</w:t>
            </w:r>
          </w:p>
        </w:tc>
        <w:tc>
          <w:tcPr>
            <w:tcW w:w="796"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机械</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使用费</w:t>
            </w:r>
          </w:p>
        </w:tc>
        <w:tc>
          <w:tcPr>
            <w:tcW w:w="84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其他直接费</w:t>
            </w:r>
          </w:p>
        </w:tc>
        <w:tc>
          <w:tcPr>
            <w:tcW w:w="84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现场经费</w:t>
            </w:r>
          </w:p>
        </w:tc>
        <w:tc>
          <w:tcPr>
            <w:tcW w:w="84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施 工</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管理费</w:t>
            </w:r>
          </w:p>
        </w:tc>
        <w:tc>
          <w:tcPr>
            <w:tcW w:w="1272"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社会保障及企业计提费</w:t>
            </w:r>
          </w:p>
        </w:tc>
        <w:tc>
          <w:tcPr>
            <w:tcW w:w="72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企业</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利润</w:t>
            </w:r>
          </w:p>
        </w:tc>
        <w:tc>
          <w:tcPr>
            <w:tcW w:w="617"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价差</w:t>
            </w:r>
          </w:p>
        </w:tc>
        <w:tc>
          <w:tcPr>
            <w:tcW w:w="709"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风险金</w:t>
            </w:r>
          </w:p>
        </w:tc>
        <w:tc>
          <w:tcPr>
            <w:tcW w:w="708"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税金</w:t>
            </w:r>
          </w:p>
        </w:tc>
        <w:tc>
          <w:tcPr>
            <w:tcW w:w="1053"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4"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建筑工程</w:t>
            </w: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1.1</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土方开挖工程</w:t>
            </w: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1.1.1</w:t>
            </w:r>
          </w:p>
        </w:tc>
        <w:tc>
          <w:tcPr>
            <w:tcW w:w="1362"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500101xxxxxx</w:t>
            </w:r>
          </w:p>
        </w:tc>
        <w:tc>
          <w:tcPr>
            <w:tcW w:w="1127" w:type="dxa"/>
            <w:noWrap w:val="0"/>
            <w:vAlign w:val="top"/>
          </w:tcPr>
          <w:p>
            <w:pPr>
              <w:rPr>
                <w:rFonts w:hint="eastAsia" w:ascii="宋体" w:hAnsi="宋体" w:eastAsia="宋体" w:cs="宋体"/>
                <w:color w:val="000000"/>
                <w:highlight w:val="none"/>
              </w:rPr>
            </w:pP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1.1.2</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安装工程</w:t>
            </w: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2.1</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机电设备安装工程</w:t>
            </w: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2.1.1</w:t>
            </w:r>
          </w:p>
        </w:tc>
        <w:tc>
          <w:tcPr>
            <w:tcW w:w="1362"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500201xxxxxx</w:t>
            </w:r>
          </w:p>
        </w:tc>
        <w:tc>
          <w:tcPr>
            <w:tcW w:w="1127" w:type="dxa"/>
            <w:noWrap w:val="0"/>
            <w:vAlign w:val="top"/>
          </w:tcPr>
          <w:p>
            <w:pPr>
              <w:rPr>
                <w:rFonts w:hint="eastAsia" w:ascii="宋体" w:hAnsi="宋体" w:eastAsia="宋体" w:cs="宋体"/>
                <w:color w:val="000000"/>
                <w:highlight w:val="none"/>
              </w:rPr>
            </w:pP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2.1.2</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bl>
    <w:p>
      <w:pPr>
        <w:pStyle w:val="6"/>
        <w:spacing w:before="0" w:after="0" w:line="377" w:lineRule="auto"/>
        <w:rPr>
          <w:rFonts w:hint="eastAsia" w:ascii="宋体" w:hAnsi="宋体" w:eastAsia="宋体" w:cs="宋体"/>
          <w:color w:val="000000"/>
          <w:sz w:val="24"/>
          <w:szCs w:val="24"/>
          <w:highlight w:val="none"/>
        </w:rPr>
        <w:sectPr>
          <w:pgSz w:w="16838" w:h="11906" w:orient="landscape"/>
          <w:pgMar w:top="1418" w:right="1134" w:bottom="1418" w:left="1440" w:header="851" w:footer="992" w:gutter="0"/>
          <w:pgNumType w:fmt="decimal"/>
          <w:cols w:space="720" w:num="1"/>
          <w:docGrid w:type="lines" w:linePitch="312" w:charSpace="0"/>
        </w:sect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10、工程单价费（税）率汇总表</w:t>
      </w:r>
    </w:p>
    <w:p>
      <w:pPr>
        <w:jc w:val="center"/>
        <w:rPr>
          <w:rFonts w:hint="eastAsia" w:ascii="宋体" w:hAnsi="宋体" w:eastAsia="宋体" w:cs="宋体"/>
          <w:b/>
          <w:color w:val="000000"/>
          <w:sz w:val="30"/>
          <w:szCs w:val="30"/>
          <w:highlight w:val="none"/>
        </w:rPr>
      </w:pP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工程单价费（税）率汇总表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r>
        <w:rPr>
          <w:rFonts w:hint="eastAsia" w:ascii="宋体" w:hAnsi="宋体" w:eastAsia="宋体" w:cs="宋体"/>
          <w:color w:val="000000"/>
          <w:sz w:val="28"/>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440"/>
        <w:gridCol w:w="105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restart"/>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420" w:type="dxa"/>
            <w:vMerge w:val="restart"/>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工程类别</w:t>
            </w:r>
          </w:p>
        </w:tc>
        <w:tc>
          <w:tcPr>
            <w:tcW w:w="4261" w:type="dxa"/>
            <w:gridSpan w:val="3"/>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工程单价费（税）率（%）</w:t>
            </w:r>
          </w:p>
        </w:tc>
        <w:tc>
          <w:tcPr>
            <w:tcW w:w="2460" w:type="dxa"/>
            <w:vMerge w:val="restart"/>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continue"/>
            <w:noWrap w:val="0"/>
            <w:vAlign w:val="center"/>
          </w:tcPr>
          <w:p>
            <w:pPr>
              <w:jc w:val="center"/>
              <w:rPr>
                <w:rFonts w:hint="eastAsia" w:ascii="宋体" w:hAnsi="宋体" w:eastAsia="宋体" w:cs="宋体"/>
                <w:color w:val="000000"/>
                <w:sz w:val="24"/>
                <w:highlight w:val="none"/>
              </w:rPr>
            </w:pPr>
          </w:p>
        </w:tc>
        <w:tc>
          <w:tcPr>
            <w:tcW w:w="1420" w:type="dxa"/>
            <w:vMerge w:val="continue"/>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施工管理费</w:t>
            </w:r>
          </w:p>
        </w:tc>
        <w:tc>
          <w:tcPr>
            <w:tcW w:w="144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企业利润</w:t>
            </w:r>
          </w:p>
        </w:tc>
        <w:tc>
          <w:tcPr>
            <w:tcW w:w="1053"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税金</w:t>
            </w:r>
          </w:p>
        </w:tc>
        <w:tc>
          <w:tcPr>
            <w:tcW w:w="2460" w:type="dxa"/>
            <w:vMerge w:val="continue"/>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建筑工程</w:t>
            </w: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安装工程</w:t>
            </w: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bl>
    <w:p>
      <w:pPr>
        <w:rPr>
          <w:rFonts w:hint="eastAsia" w:ascii="宋体" w:hAnsi="宋体" w:eastAsia="宋体" w:cs="宋体"/>
          <w:color w:val="000000"/>
          <w:sz w:val="28"/>
          <w:highlight w:val="none"/>
        </w:rPr>
      </w:pPr>
    </w:p>
    <w:p>
      <w:pPr>
        <w:jc w:val="right"/>
        <w:rPr>
          <w:rFonts w:hint="eastAsia" w:ascii="宋体" w:hAnsi="宋体" w:eastAsia="宋体" w:cs="宋体"/>
          <w:color w:val="000000"/>
          <w:sz w:val="28"/>
          <w:highlight w:val="none"/>
        </w:rPr>
      </w:pPr>
    </w:p>
    <w:p>
      <w:pPr>
        <w:pStyle w:val="26"/>
        <w:rPr>
          <w:rFonts w:hint="eastAsia"/>
          <w:color w:val="000000"/>
          <w:highlight w:val="none"/>
        </w:rPr>
      </w:pPr>
    </w:p>
    <w:p>
      <w:pPr>
        <w:jc w:val="right"/>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11、投标人生产电、风、水、砂石基础单价汇总表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投标人生产电、风、水、砂石基础单价汇总表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r>
        <w:rPr>
          <w:rFonts w:hint="eastAsia" w:ascii="宋体" w:hAnsi="宋体" w:eastAsia="宋体" w:cs="宋体"/>
          <w:color w:val="000000"/>
          <w:sz w:val="28"/>
          <w:highlight w:val="none"/>
        </w:rPr>
        <w:t xml:space="preserve"> </w:t>
      </w:r>
    </w:p>
    <w:p>
      <w:pPr>
        <w:spacing w:line="360" w:lineRule="auto"/>
        <w:ind w:right="480" w:firstLine="6360" w:firstLineChars="26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单位：元</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2"/>
        <w:gridCol w:w="676"/>
        <w:gridCol w:w="690"/>
        <w:gridCol w:w="720"/>
        <w:gridCol w:w="840"/>
        <w:gridCol w:w="840"/>
        <w:gridCol w:w="854"/>
        <w:gridCol w:w="646"/>
        <w:gridCol w:w="630"/>
        <w:gridCol w:w="644"/>
        <w:gridCol w:w="7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9" w:hRule="atLeast"/>
        </w:trPr>
        <w:tc>
          <w:tcPr>
            <w:tcW w:w="622"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67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69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规格</w:t>
            </w:r>
          </w:p>
        </w:tc>
        <w:tc>
          <w:tcPr>
            <w:tcW w:w="7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w:t>
            </w:r>
          </w:p>
        </w:tc>
        <w:tc>
          <w:tcPr>
            <w:tcW w:w="84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人工费</w:t>
            </w:r>
          </w:p>
        </w:tc>
        <w:tc>
          <w:tcPr>
            <w:tcW w:w="84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材料费</w:t>
            </w:r>
          </w:p>
        </w:tc>
        <w:tc>
          <w:tcPr>
            <w:tcW w:w="85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机械</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使用费</w:t>
            </w:r>
          </w:p>
        </w:tc>
        <w:tc>
          <w:tcPr>
            <w:tcW w:w="646" w:type="dxa"/>
            <w:noWrap w:val="0"/>
            <w:vAlign w:val="center"/>
          </w:tcPr>
          <w:p>
            <w:pPr>
              <w:jc w:val="center"/>
              <w:rPr>
                <w:rFonts w:hint="eastAsia" w:ascii="宋体" w:hAnsi="宋体" w:eastAsia="宋体" w:cs="宋体"/>
                <w:color w:val="000000"/>
                <w:sz w:val="24"/>
                <w:highlight w:val="none"/>
              </w:rPr>
            </w:pPr>
          </w:p>
        </w:tc>
        <w:tc>
          <w:tcPr>
            <w:tcW w:w="630" w:type="dxa"/>
            <w:noWrap w:val="0"/>
            <w:vAlign w:val="center"/>
          </w:tcPr>
          <w:p>
            <w:pPr>
              <w:jc w:val="center"/>
              <w:rPr>
                <w:rFonts w:hint="eastAsia" w:ascii="宋体" w:hAnsi="宋体" w:eastAsia="宋体" w:cs="宋体"/>
                <w:color w:val="000000"/>
                <w:sz w:val="24"/>
                <w:highlight w:val="none"/>
              </w:rPr>
            </w:pPr>
          </w:p>
        </w:tc>
        <w:tc>
          <w:tcPr>
            <w:tcW w:w="644" w:type="dxa"/>
            <w:noWrap w:val="0"/>
            <w:vAlign w:val="center"/>
          </w:tcPr>
          <w:p>
            <w:pPr>
              <w:jc w:val="center"/>
              <w:rPr>
                <w:rFonts w:hint="eastAsia" w:ascii="宋体" w:hAnsi="宋体" w:eastAsia="宋体" w:cs="宋体"/>
                <w:color w:val="000000"/>
                <w:sz w:val="24"/>
                <w:highlight w:val="none"/>
              </w:rPr>
            </w:pPr>
          </w:p>
        </w:tc>
        <w:tc>
          <w:tcPr>
            <w:tcW w:w="70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1392"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bl>
    <w:p>
      <w:pPr>
        <w:jc w:val="right"/>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jc w:val="right"/>
        <w:rPr>
          <w:rFonts w:hint="eastAsia" w:ascii="宋体" w:hAnsi="宋体" w:eastAsia="宋体" w:cs="宋体"/>
          <w:color w:val="000000"/>
          <w:sz w:val="28"/>
          <w:highlight w:val="none"/>
        </w:rPr>
      </w:pPr>
    </w:p>
    <w:p>
      <w:pPr>
        <w:pStyle w:val="4"/>
        <w:rPr>
          <w:rFonts w:hint="eastAsia"/>
        </w:rPr>
      </w:pPr>
    </w:p>
    <w:p>
      <w:pPr>
        <w:jc w:val="right"/>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12、投标人生产混凝土配合比材料费表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投标人生产混凝土配合比材料费表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666"/>
        <w:gridCol w:w="1095"/>
        <w:gridCol w:w="1095"/>
        <w:gridCol w:w="684"/>
        <w:gridCol w:w="670"/>
        <w:gridCol w:w="617"/>
        <w:gridCol w:w="509"/>
        <w:gridCol w:w="495"/>
        <w:gridCol w:w="274"/>
        <w:gridCol w:w="274"/>
        <w:gridCol w:w="274"/>
        <w:gridCol w:w="105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634"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66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工程</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部位</w:t>
            </w:r>
          </w:p>
        </w:tc>
        <w:tc>
          <w:tcPr>
            <w:tcW w:w="1095"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混凝土</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强度等级</w:t>
            </w:r>
          </w:p>
        </w:tc>
        <w:tc>
          <w:tcPr>
            <w:tcW w:w="1095"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水泥</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强度等级</w:t>
            </w:r>
          </w:p>
        </w:tc>
        <w:tc>
          <w:tcPr>
            <w:tcW w:w="684"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级配</w:t>
            </w:r>
          </w:p>
        </w:tc>
        <w:tc>
          <w:tcPr>
            <w:tcW w:w="670"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水灰</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比</w:t>
            </w:r>
          </w:p>
        </w:tc>
        <w:tc>
          <w:tcPr>
            <w:tcW w:w="2443" w:type="dxa"/>
            <w:gridSpan w:val="6"/>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预算材料量（kg/m</w:t>
            </w:r>
            <w:r>
              <w:rPr>
                <w:rFonts w:hint="eastAsia" w:ascii="宋体" w:hAnsi="宋体" w:eastAsia="宋体" w:cs="宋体"/>
                <w:color w:val="000000"/>
                <w:highlight w:val="none"/>
                <w:vertAlign w:val="superscript"/>
              </w:rPr>
              <w:t>3</w:t>
            </w:r>
            <w:r>
              <w:rPr>
                <w:rFonts w:hint="eastAsia" w:ascii="宋体" w:hAnsi="宋体" w:eastAsia="宋体" w:cs="宋体"/>
                <w:color w:val="000000"/>
                <w:highlight w:val="none"/>
              </w:rPr>
              <w:t>）</w:t>
            </w:r>
          </w:p>
        </w:tc>
        <w:tc>
          <w:tcPr>
            <w:tcW w:w="1051"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单 价 （元/m</w:t>
            </w:r>
            <w:r>
              <w:rPr>
                <w:rFonts w:hint="eastAsia" w:ascii="宋体" w:hAnsi="宋体" w:eastAsia="宋体" w:cs="宋体"/>
                <w:color w:val="000000"/>
                <w:highlight w:val="none"/>
                <w:vertAlign w:val="superscript"/>
              </w:rPr>
              <w:t>3</w:t>
            </w:r>
            <w:r>
              <w:rPr>
                <w:rFonts w:hint="eastAsia" w:ascii="宋体" w:hAnsi="宋体" w:eastAsia="宋体" w:cs="宋体"/>
                <w:color w:val="000000"/>
                <w:highlight w:val="none"/>
              </w:rPr>
              <w:t>）</w:t>
            </w:r>
          </w:p>
        </w:tc>
        <w:tc>
          <w:tcPr>
            <w:tcW w:w="788"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634" w:type="dxa"/>
            <w:vMerge w:val="continue"/>
            <w:noWrap w:val="0"/>
            <w:vAlign w:val="center"/>
          </w:tcPr>
          <w:p>
            <w:pPr>
              <w:jc w:val="center"/>
              <w:rPr>
                <w:rFonts w:hint="eastAsia" w:ascii="宋体" w:hAnsi="宋体" w:eastAsia="宋体" w:cs="宋体"/>
                <w:color w:val="000000"/>
                <w:highlight w:val="none"/>
              </w:rPr>
            </w:pPr>
          </w:p>
        </w:tc>
        <w:tc>
          <w:tcPr>
            <w:tcW w:w="666" w:type="dxa"/>
            <w:vMerge w:val="continue"/>
            <w:noWrap w:val="0"/>
            <w:vAlign w:val="center"/>
          </w:tcPr>
          <w:p>
            <w:pPr>
              <w:jc w:val="center"/>
              <w:rPr>
                <w:rFonts w:hint="eastAsia" w:ascii="宋体" w:hAnsi="宋体" w:eastAsia="宋体" w:cs="宋体"/>
                <w:color w:val="000000"/>
                <w:highlight w:val="none"/>
              </w:rPr>
            </w:pPr>
          </w:p>
        </w:tc>
        <w:tc>
          <w:tcPr>
            <w:tcW w:w="1095" w:type="dxa"/>
            <w:vMerge w:val="continue"/>
            <w:noWrap w:val="0"/>
            <w:vAlign w:val="center"/>
          </w:tcPr>
          <w:p>
            <w:pPr>
              <w:jc w:val="center"/>
              <w:rPr>
                <w:rFonts w:hint="eastAsia" w:ascii="宋体" w:hAnsi="宋体" w:eastAsia="宋体" w:cs="宋体"/>
                <w:color w:val="000000"/>
                <w:highlight w:val="none"/>
              </w:rPr>
            </w:pPr>
          </w:p>
        </w:tc>
        <w:tc>
          <w:tcPr>
            <w:tcW w:w="1095" w:type="dxa"/>
            <w:vMerge w:val="continue"/>
            <w:noWrap w:val="0"/>
            <w:vAlign w:val="center"/>
          </w:tcPr>
          <w:p>
            <w:pPr>
              <w:jc w:val="center"/>
              <w:rPr>
                <w:rFonts w:hint="eastAsia" w:ascii="宋体" w:hAnsi="宋体" w:eastAsia="宋体" w:cs="宋体"/>
                <w:color w:val="000000"/>
                <w:highlight w:val="none"/>
              </w:rPr>
            </w:pPr>
          </w:p>
        </w:tc>
        <w:tc>
          <w:tcPr>
            <w:tcW w:w="684" w:type="dxa"/>
            <w:vMerge w:val="continue"/>
            <w:noWrap w:val="0"/>
            <w:vAlign w:val="center"/>
          </w:tcPr>
          <w:p>
            <w:pPr>
              <w:jc w:val="center"/>
              <w:rPr>
                <w:rFonts w:hint="eastAsia" w:ascii="宋体" w:hAnsi="宋体" w:eastAsia="宋体" w:cs="宋体"/>
                <w:color w:val="000000"/>
                <w:highlight w:val="none"/>
              </w:rPr>
            </w:pPr>
          </w:p>
        </w:tc>
        <w:tc>
          <w:tcPr>
            <w:tcW w:w="670" w:type="dxa"/>
            <w:vMerge w:val="continue"/>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水泥</w:t>
            </w:r>
          </w:p>
        </w:tc>
        <w:tc>
          <w:tcPr>
            <w:tcW w:w="509"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砂</w:t>
            </w:r>
          </w:p>
        </w:tc>
        <w:tc>
          <w:tcPr>
            <w:tcW w:w="495"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石</w:t>
            </w: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vMerge w:val="continue"/>
            <w:noWrap w:val="0"/>
            <w:vAlign w:val="center"/>
          </w:tcPr>
          <w:p>
            <w:pPr>
              <w:jc w:val="center"/>
              <w:rPr>
                <w:rFonts w:hint="eastAsia" w:ascii="宋体" w:hAnsi="宋体" w:eastAsia="宋体" w:cs="宋体"/>
                <w:color w:val="000000"/>
                <w:highlight w:val="none"/>
              </w:rPr>
            </w:pPr>
          </w:p>
        </w:tc>
        <w:tc>
          <w:tcPr>
            <w:tcW w:w="788" w:type="dxa"/>
            <w:vMerge w:val="continue"/>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bl>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13、招标人供应材料价格汇总表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招标人供应材料价格汇总表（若招标人提供）</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70"/>
        <w:gridCol w:w="1765"/>
        <w:gridCol w:w="1569"/>
        <w:gridCol w:w="176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57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材料名称</w:t>
            </w:r>
          </w:p>
        </w:tc>
        <w:tc>
          <w:tcPr>
            <w:tcW w:w="1765"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型号规格</w:t>
            </w:r>
          </w:p>
        </w:tc>
        <w:tc>
          <w:tcPr>
            <w:tcW w:w="156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计量单位</w:t>
            </w:r>
          </w:p>
        </w:tc>
        <w:tc>
          <w:tcPr>
            <w:tcW w:w="176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供应价（元）</w:t>
            </w:r>
          </w:p>
        </w:tc>
        <w:tc>
          <w:tcPr>
            <w:tcW w:w="171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bl>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14、投标人自行采购主要材料预算价格汇总表</w:t>
      </w:r>
    </w:p>
    <w:p>
      <w:pPr>
        <w:jc w:val="center"/>
        <w:rPr>
          <w:rFonts w:hint="eastAsia" w:ascii="宋体" w:hAnsi="宋体" w:eastAsia="宋体" w:cs="宋体"/>
          <w:color w:val="000000"/>
          <w:sz w:val="30"/>
          <w:szCs w:val="30"/>
          <w:highlight w:val="none"/>
        </w:rPr>
      </w:pPr>
      <w:r>
        <w:rPr>
          <w:rFonts w:hint="eastAsia" w:ascii="宋体" w:hAnsi="宋体" w:eastAsia="宋体" w:cs="宋体"/>
          <w:b/>
          <w:color w:val="000000"/>
          <w:sz w:val="30"/>
          <w:szCs w:val="30"/>
          <w:highlight w:val="none"/>
        </w:rPr>
        <w:t>投标人自行采购主要材料预算价格汇总表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r>
        <w:rPr>
          <w:rFonts w:hint="eastAsia" w:ascii="宋体" w:hAnsi="宋体" w:eastAsia="宋体" w:cs="宋体"/>
          <w:color w:val="000000"/>
          <w:sz w:val="28"/>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69"/>
        <w:gridCol w:w="1764"/>
        <w:gridCol w:w="1569"/>
        <w:gridCol w:w="193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56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材料名称</w:t>
            </w:r>
          </w:p>
        </w:tc>
        <w:tc>
          <w:tcPr>
            <w:tcW w:w="176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型号规格</w:t>
            </w:r>
          </w:p>
        </w:tc>
        <w:tc>
          <w:tcPr>
            <w:tcW w:w="156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计量单位</w:t>
            </w:r>
          </w:p>
        </w:tc>
        <w:tc>
          <w:tcPr>
            <w:tcW w:w="19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预算价（元）</w:t>
            </w:r>
          </w:p>
        </w:tc>
        <w:tc>
          <w:tcPr>
            <w:tcW w:w="154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bl>
    <w:p>
      <w:pPr>
        <w:ind w:firstLine="3780" w:firstLineChars="1350"/>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pStyle w:val="6"/>
        <w:spacing w:before="0" w:after="0" w:line="377" w:lineRule="auto"/>
        <w:rPr>
          <w:rFonts w:hint="eastAsia" w:ascii="宋体" w:hAnsi="宋体" w:eastAsia="宋体" w:cs="宋体"/>
          <w:color w:val="000000"/>
          <w:sz w:val="24"/>
          <w:szCs w:val="24"/>
          <w:highlight w:val="none"/>
        </w:rPr>
      </w:pPr>
    </w:p>
    <w:p>
      <w:pPr>
        <w:rPr>
          <w:rFonts w:hint="eastAsia" w:ascii="宋体" w:hAnsi="宋体" w:eastAsia="宋体" w:cs="宋体"/>
          <w:color w:val="000000"/>
          <w:sz w:val="24"/>
          <w:szCs w:val="24"/>
          <w:highlight w:val="none"/>
        </w:rPr>
      </w:pPr>
    </w:p>
    <w:p>
      <w:pPr>
        <w:pStyle w:val="26"/>
        <w:rPr>
          <w:rFonts w:hint="eastAsia" w:ascii="宋体" w:hAnsi="宋体" w:eastAsia="宋体" w:cs="宋体"/>
          <w:color w:val="000000"/>
          <w:sz w:val="24"/>
          <w:szCs w:val="24"/>
          <w:highlight w:val="none"/>
        </w:rPr>
      </w:pPr>
    </w:p>
    <w:p>
      <w:pPr>
        <w:pStyle w:val="26"/>
        <w:rPr>
          <w:rFonts w:hint="eastAsia" w:ascii="宋体" w:hAnsi="宋体" w:eastAsia="宋体" w:cs="宋体"/>
          <w:color w:val="000000"/>
          <w:sz w:val="24"/>
          <w:szCs w:val="24"/>
          <w:highlight w:val="none"/>
        </w:rPr>
      </w:pPr>
    </w:p>
    <w:p>
      <w:pPr>
        <w:pStyle w:val="26"/>
        <w:rPr>
          <w:rFonts w:hint="eastAsia" w:ascii="宋体" w:hAnsi="宋体" w:eastAsia="宋体" w:cs="宋体"/>
          <w:color w:val="000000"/>
          <w:sz w:val="24"/>
          <w:szCs w:val="24"/>
          <w:highlight w:val="none"/>
        </w:rPr>
      </w:pPr>
    </w:p>
    <w:p>
      <w:pPr>
        <w:pStyle w:val="26"/>
        <w:rPr>
          <w:rFonts w:hint="eastAsia" w:ascii="宋体" w:hAnsi="宋体" w:eastAsia="宋体" w:cs="宋体"/>
          <w:color w:val="000000"/>
          <w:sz w:val="24"/>
          <w:szCs w:val="24"/>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15、招标人提供施工机械台时（班）费汇总表</w:t>
      </w:r>
    </w:p>
    <w:p>
      <w:pPr>
        <w:jc w:val="center"/>
        <w:rPr>
          <w:rFonts w:hint="eastAsia" w:ascii="宋体" w:hAnsi="宋体" w:eastAsia="宋体" w:cs="宋体"/>
          <w:b/>
          <w:color w:val="000000"/>
          <w:sz w:val="30"/>
          <w:szCs w:val="30"/>
          <w:highlight w:val="none"/>
        </w:rPr>
      </w:pP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招标人提供施工机械台时（班）费汇总表（若招标人提供）</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 </w:t>
      </w:r>
    </w:p>
    <w:p>
      <w:pPr>
        <w:spacing w:line="360" w:lineRule="auto"/>
        <w:ind w:right="480" w:firstLine="5400" w:firstLineChars="2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单位：元／台时（班）</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6"/>
        <w:gridCol w:w="1020"/>
        <w:gridCol w:w="1036"/>
        <w:gridCol w:w="1156"/>
        <w:gridCol w:w="759"/>
        <w:gridCol w:w="720"/>
        <w:gridCol w:w="540"/>
        <w:gridCol w:w="570"/>
        <w:gridCol w:w="508"/>
        <w:gridCol w:w="318"/>
        <w:gridCol w:w="344"/>
        <w:gridCol w:w="342"/>
        <w:gridCol w:w="602"/>
        <w:gridCol w:w="7"/>
        <w:gridCol w:w="62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56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020"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机械名称</w:t>
            </w:r>
          </w:p>
        </w:tc>
        <w:tc>
          <w:tcPr>
            <w:tcW w:w="103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型号规格</w:t>
            </w:r>
          </w:p>
        </w:tc>
        <w:tc>
          <w:tcPr>
            <w:tcW w:w="115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招标人收取的折旧费</w:t>
            </w:r>
          </w:p>
        </w:tc>
        <w:tc>
          <w:tcPr>
            <w:tcW w:w="4710" w:type="dxa"/>
            <w:gridSpan w:val="10"/>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投标人应计算的费用</w:t>
            </w:r>
          </w:p>
        </w:tc>
        <w:tc>
          <w:tcPr>
            <w:tcW w:w="630" w:type="dxa"/>
            <w:gridSpan w:val="2"/>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60" w:hRule="atLeast"/>
          <w:jc w:val="center"/>
        </w:trPr>
        <w:tc>
          <w:tcPr>
            <w:tcW w:w="566" w:type="dxa"/>
            <w:vMerge w:val="continue"/>
            <w:noWrap w:val="0"/>
            <w:vAlign w:val="center"/>
          </w:tcPr>
          <w:p>
            <w:pPr>
              <w:jc w:val="center"/>
              <w:rPr>
                <w:rFonts w:hint="eastAsia" w:ascii="宋体" w:hAnsi="宋体" w:eastAsia="宋体" w:cs="宋体"/>
                <w:color w:val="000000"/>
                <w:highlight w:val="none"/>
              </w:rPr>
            </w:pPr>
          </w:p>
        </w:tc>
        <w:tc>
          <w:tcPr>
            <w:tcW w:w="1020" w:type="dxa"/>
            <w:vMerge w:val="continue"/>
            <w:noWrap w:val="0"/>
            <w:vAlign w:val="center"/>
          </w:tcPr>
          <w:p>
            <w:pPr>
              <w:jc w:val="center"/>
              <w:rPr>
                <w:rFonts w:hint="eastAsia" w:ascii="宋体" w:hAnsi="宋体" w:eastAsia="宋体" w:cs="宋体"/>
                <w:color w:val="000000"/>
                <w:highlight w:val="none"/>
              </w:rPr>
            </w:pPr>
          </w:p>
        </w:tc>
        <w:tc>
          <w:tcPr>
            <w:tcW w:w="1036" w:type="dxa"/>
            <w:vMerge w:val="continue"/>
            <w:noWrap w:val="0"/>
            <w:vAlign w:val="center"/>
          </w:tcPr>
          <w:p>
            <w:pPr>
              <w:jc w:val="center"/>
              <w:rPr>
                <w:rFonts w:hint="eastAsia" w:ascii="宋体" w:hAnsi="宋体" w:eastAsia="宋体" w:cs="宋体"/>
                <w:color w:val="000000"/>
                <w:highlight w:val="none"/>
              </w:rPr>
            </w:pPr>
          </w:p>
        </w:tc>
        <w:tc>
          <w:tcPr>
            <w:tcW w:w="1156" w:type="dxa"/>
            <w:vMerge w:val="continue"/>
            <w:noWrap w:val="0"/>
            <w:vAlign w:val="center"/>
          </w:tcPr>
          <w:p>
            <w:pPr>
              <w:jc w:val="center"/>
              <w:rPr>
                <w:rFonts w:hint="eastAsia" w:ascii="宋体" w:hAnsi="宋体" w:eastAsia="宋体" w:cs="宋体"/>
                <w:color w:val="000000"/>
                <w:highlight w:val="none"/>
              </w:rPr>
            </w:pPr>
          </w:p>
        </w:tc>
        <w:tc>
          <w:tcPr>
            <w:tcW w:w="759"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维修费</w:t>
            </w:r>
          </w:p>
        </w:tc>
        <w:tc>
          <w:tcPr>
            <w:tcW w:w="72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安拆费</w:t>
            </w:r>
          </w:p>
        </w:tc>
        <w:tc>
          <w:tcPr>
            <w:tcW w:w="54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人工</w:t>
            </w:r>
          </w:p>
        </w:tc>
        <w:tc>
          <w:tcPr>
            <w:tcW w:w="57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柴油</w:t>
            </w:r>
          </w:p>
        </w:tc>
        <w:tc>
          <w:tcPr>
            <w:tcW w:w="508"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电</w:t>
            </w:r>
          </w:p>
        </w:tc>
        <w:tc>
          <w:tcPr>
            <w:tcW w:w="318" w:type="dxa"/>
            <w:noWrap w:val="0"/>
            <w:vAlign w:val="center"/>
          </w:tcPr>
          <w:p>
            <w:pPr>
              <w:jc w:val="center"/>
              <w:rPr>
                <w:rFonts w:hint="eastAsia" w:ascii="宋体" w:hAnsi="宋体" w:eastAsia="宋体" w:cs="宋体"/>
                <w:color w:val="000000"/>
                <w:highlight w:val="none"/>
              </w:rPr>
            </w:pPr>
          </w:p>
        </w:tc>
        <w:tc>
          <w:tcPr>
            <w:tcW w:w="344" w:type="dxa"/>
            <w:noWrap w:val="0"/>
            <w:vAlign w:val="center"/>
          </w:tcPr>
          <w:p>
            <w:pPr>
              <w:jc w:val="center"/>
              <w:rPr>
                <w:rFonts w:hint="eastAsia" w:ascii="宋体" w:hAnsi="宋体" w:eastAsia="宋体" w:cs="宋体"/>
                <w:color w:val="000000"/>
                <w:highlight w:val="none"/>
              </w:rPr>
            </w:pPr>
          </w:p>
        </w:tc>
        <w:tc>
          <w:tcPr>
            <w:tcW w:w="342" w:type="dxa"/>
            <w:noWrap w:val="0"/>
            <w:vAlign w:val="center"/>
          </w:tcPr>
          <w:p>
            <w:pPr>
              <w:jc w:val="center"/>
              <w:rPr>
                <w:rFonts w:hint="eastAsia" w:ascii="宋体" w:hAnsi="宋体" w:eastAsia="宋体" w:cs="宋体"/>
                <w:color w:val="000000"/>
                <w:highlight w:val="none"/>
              </w:rPr>
            </w:pPr>
          </w:p>
        </w:tc>
        <w:tc>
          <w:tcPr>
            <w:tcW w:w="602"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小计</w:t>
            </w:r>
          </w:p>
        </w:tc>
        <w:tc>
          <w:tcPr>
            <w:tcW w:w="630" w:type="dxa"/>
            <w:gridSpan w:val="2"/>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bl>
    <w:p>
      <w:pPr>
        <w:ind w:right="560"/>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3780" w:firstLineChars="1350"/>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jc w:val="right"/>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16、投标人自备施工机械台时（班）费汇总表</w:t>
      </w:r>
    </w:p>
    <w:p>
      <w:pPr>
        <w:jc w:val="right"/>
        <w:rPr>
          <w:rFonts w:hint="eastAsia" w:ascii="宋体" w:hAnsi="宋体" w:eastAsia="宋体" w:cs="宋体"/>
          <w:color w:val="000000"/>
          <w:sz w:val="28"/>
          <w:highlight w:val="none"/>
        </w:rPr>
      </w:pP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投标人自备施工机械台时（班）费汇总表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 </w:t>
      </w:r>
    </w:p>
    <w:p>
      <w:pPr>
        <w:spacing w:line="360" w:lineRule="auto"/>
        <w:ind w:right="480" w:firstLine="6840" w:firstLineChars="2850"/>
        <w:rPr>
          <w:rFonts w:hint="eastAsia" w:ascii="宋体" w:hAnsi="宋体" w:eastAsia="宋体" w:cs="宋体"/>
          <w:color w:val="000000"/>
          <w:sz w:val="28"/>
          <w:highlight w:val="none"/>
        </w:rPr>
      </w:pPr>
      <w:r>
        <w:rPr>
          <w:rFonts w:hint="eastAsia" w:ascii="宋体" w:hAnsi="宋体" w:eastAsia="宋体" w:cs="宋体"/>
          <w:color w:val="000000"/>
          <w:sz w:val="24"/>
          <w:highlight w:val="none"/>
        </w:rPr>
        <w:t>单位：元／台时（班）</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020"/>
        <w:gridCol w:w="1036"/>
        <w:gridCol w:w="794"/>
        <w:gridCol w:w="810"/>
        <w:gridCol w:w="823"/>
        <w:gridCol w:w="584"/>
        <w:gridCol w:w="611"/>
        <w:gridCol w:w="630"/>
        <w:gridCol w:w="420"/>
        <w:gridCol w:w="327"/>
        <w:gridCol w:w="257"/>
        <w:gridCol w:w="257"/>
        <w:gridCol w:w="602"/>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567"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020"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机械名称</w:t>
            </w:r>
          </w:p>
        </w:tc>
        <w:tc>
          <w:tcPr>
            <w:tcW w:w="103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型号规格</w:t>
            </w:r>
          </w:p>
        </w:tc>
        <w:tc>
          <w:tcPr>
            <w:tcW w:w="3011" w:type="dxa"/>
            <w:gridSpan w:val="4"/>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一类费用</w:t>
            </w:r>
          </w:p>
        </w:tc>
        <w:tc>
          <w:tcPr>
            <w:tcW w:w="3104" w:type="dxa"/>
            <w:gridSpan w:val="7"/>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二类费用</w:t>
            </w:r>
          </w:p>
        </w:tc>
        <w:tc>
          <w:tcPr>
            <w:tcW w:w="63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567" w:type="dxa"/>
            <w:vMerge w:val="continue"/>
            <w:noWrap w:val="0"/>
            <w:vAlign w:val="center"/>
          </w:tcPr>
          <w:p>
            <w:pPr>
              <w:jc w:val="center"/>
              <w:rPr>
                <w:rFonts w:hint="eastAsia" w:ascii="宋体" w:hAnsi="宋体" w:eastAsia="宋体" w:cs="宋体"/>
                <w:color w:val="000000"/>
                <w:highlight w:val="none"/>
              </w:rPr>
            </w:pPr>
          </w:p>
        </w:tc>
        <w:tc>
          <w:tcPr>
            <w:tcW w:w="1020" w:type="dxa"/>
            <w:vMerge w:val="continue"/>
            <w:noWrap w:val="0"/>
            <w:vAlign w:val="center"/>
          </w:tcPr>
          <w:p>
            <w:pPr>
              <w:jc w:val="center"/>
              <w:rPr>
                <w:rFonts w:hint="eastAsia" w:ascii="宋体" w:hAnsi="宋体" w:eastAsia="宋体" w:cs="宋体"/>
                <w:color w:val="000000"/>
                <w:highlight w:val="none"/>
              </w:rPr>
            </w:pPr>
          </w:p>
        </w:tc>
        <w:tc>
          <w:tcPr>
            <w:tcW w:w="1036" w:type="dxa"/>
            <w:vMerge w:val="continue"/>
            <w:noWrap w:val="0"/>
            <w:vAlign w:val="center"/>
          </w:tcPr>
          <w:p>
            <w:pPr>
              <w:jc w:val="center"/>
              <w:rPr>
                <w:rFonts w:hint="eastAsia" w:ascii="宋体" w:hAnsi="宋体" w:eastAsia="宋体" w:cs="宋体"/>
                <w:color w:val="000000"/>
                <w:highlight w:val="none"/>
              </w:rPr>
            </w:pPr>
          </w:p>
        </w:tc>
        <w:tc>
          <w:tcPr>
            <w:tcW w:w="794"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折旧费</w:t>
            </w:r>
          </w:p>
        </w:tc>
        <w:tc>
          <w:tcPr>
            <w:tcW w:w="81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维修费</w:t>
            </w:r>
          </w:p>
        </w:tc>
        <w:tc>
          <w:tcPr>
            <w:tcW w:w="823"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安拆费</w:t>
            </w:r>
          </w:p>
        </w:tc>
        <w:tc>
          <w:tcPr>
            <w:tcW w:w="584"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小计</w:t>
            </w:r>
          </w:p>
        </w:tc>
        <w:tc>
          <w:tcPr>
            <w:tcW w:w="611"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人工</w:t>
            </w:r>
          </w:p>
        </w:tc>
        <w:tc>
          <w:tcPr>
            <w:tcW w:w="63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柴油</w:t>
            </w:r>
          </w:p>
        </w:tc>
        <w:tc>
          <w:tcPr>
            <w:tcW w:w="42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电</w:t>
            </w:r>
          </w:p>
        </w:tc>
        <w:tc>
          <w:tcPr>
            <w:tcW w:w="327" w:type="dxa"/>
            <w:noWrap w:val="0"/>
            <w:vAlign w:val="center"/>
          </w:tcPr>
          <w:p>
            <w:pPr>
              <w:jc w:val="center"/>
              <w:rPr>
                <w:rFonts w:hint="eastAsia" w:ascii="宋体" w:hAnsi="宋体" w:eastAsia="宋体" w:cs="宋体"/>
                <w:color w:val="000000"/>
                <w:highlight w:val="none"/>
              </w:rPr>
            </w:pPr>
          </w:p>
        </w:tc>
        <w:tc>
          <w:tcPr>
            <w:tcW w:w="257" w:type="dxa"/>
            <w:noWrap w:val="0"/>
            <w:vAlign w:val="center"/>
          </w:tcPr>
          <w:p>
            <w:pPr>
              <w:jc w:val="center"/>
              <w:rPr>
                <w:rFonts w:hint="eastAsia" w:ascii="宋体" w:hAnsi="宋体" w:eastAsia="宋体" w:cs="宋体"/>
                <w:color w:val="000000"/>
                <w:highlight w:val="none"/>
              </w:rPr>
            </w:pPr>
          </w:p>
        </w:tc>
        <w:tc>
          <w:tcPr>
            <w:tcW w:w="257" w:type="dxa"/>
            <w:noWrap w:val="0"/>
            <w:vAlign w:val="center"/>
          </w:tcPr>
          <w:p>
            <w:pPr>
              <w:jc w:val="center"/>
              <w:rPr>
                <w:rFonts w:hint="eastAsia" w:ascii="宋体" w:hAnsi="宋体" w:eastAsia="宋体" w:cs="宋体"/>
                <w:color w:val="000000"/>
                <w:highlight w:val="none"/>
              </w:rPr>
            </w:pPr>
          </w:p>
        </w:tc>
        <w:tc>
          <w:tcPr>
            <w:tcW w:w="602"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小计</w:t>
            </w:r>
          </w:p>
        </w:tc>
        <w:tc>
          <w:tcPr>
            <w:tcW w:w="630"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bl>
    <w:p>
      <w:pPr>
        <w:rPr>
          <w:rFonts w:hint="eastAsia" w:ascii="宋体" w:hAnsi="宋体" w:eastAsia="宋体" w:cs="宋体"/>
          <w:color w:val="000000"/>
          <w:sz w:val="28"/>
          <w:highlight w:val="none"/>
        </w:rPr>
      </w:pPr>
    </w:p>
    <w:p>
      <w:pPr>
        <w:jc w:val="right"/>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17、总价项目分类分项工程分解表 </w:t>
      </w:r>
    </w:p>
    <w:p>
      <w:pPr>
        <w:jc w:val="center"/>
        <w:rPr>
          <w:rFonts w:hint="eastAsia" w:ascii="宋体" w:hAnsi="宋体" w:eastAsia="宋体" w:cs="宋体"/>
          <w:b/>
          <w:bCs/>
          <w:color w:val="000000"/>
          <w:sz w:val="28"/>
          <w:highlight w:val="none"/>
        </w:rPr>
      </w:pPr>
    </w:p>
    <w:p>
      <w:pPr>
        <w:jc w:val="center"/>
        <w:rPr>
          <w:rFonts w:hint="eastAsia" w:ascii="宋体" w:hAnsi="宋体" w:eastAsia="宋体" w:cs="宋体"/>
          <w:color w:val="000000"/>
          <w:sz w:val="28"/>
          <w:highlight w:val="none"/>
        </w:rPr>
      </w:pPr>
      <w:r>
        <w:rPr>
          <w:rFonts w:hint="eastAsia" w:ascii="宋体" w:hAnsi="宋体" w:eastAsia="宋体" w:cs="宋体"/>
          <w:b/>
          <w:bCs/>
          <w:color w:val="000000"/>
          <w:sz w:val="28"/>
          <w:highlight w:val="none"/>
        </w:rPr>
        <w:t>总价项目分类分项工程分解表（如有）</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8"/>
          <w:szCs w:val="28"/>
          <w:highlight w:val="none"/>
        </w:rPr>
        <w:t xml:space="preserve">   </w:t>
      </w:r>
      <w:r>
        <w:rPr>
          <w:rFonts w:hint="eastAsia" w:ascii="宋体" w:hAnsi="宋体" w:eastAsia="宋体" w:cs="宋体"/>
          <w:color w:val="000000"/>
          <w:kern w:val="0"/>
          <w:sz w:val="24"/>
          <w:szCs w:val="24"/>
          <w:highlight w:val="none"/>
        </w:rPr>
        <w:t xml:space="preserve"> 投标人填入工程量清单的总价承包项目（如有）应按下列表格格式编制分解表，每一总价承包项目一份，项目编号和名称应与工程量清单一致。</w:t>
      </w:r>
    </w:p>
    <w:p>
      <w:pPr>
        <w:pStyle w:val="21"/>
        <w:autoSpaceDE w:val="0"/>
        <w:autoSpaceDN w:val="0"/>
        <w:adjustRightInd w:val="0"/>
        <w:spacing w:line="500" w:lineRule="atLeast"/>
        <w:jc w:val="center"/>
        <w:textAlignment w:val="bottom"/>
        <w:rPr>
          <w:rFonts w:hint="eastAsia" w:ascii="宋体" w:hAnsi="宋体" w:eastAsia="宋体" w:cs="宋体"/>
          <w:b/>
          <w:bCs/>
          <w:color w:val="000000"/>
          <w:sz w:val="28"/>
          <w:highlight w:val="none"/>
        </w:rPr>
      </w:pPr>
    </w:p>
    <w:p>
      <w:pPr>
        <w:pStyle w:val="21"/>
        <w:autoSpaceDE w:val="0"/>
        <w:autoSpaceDN w:val="0"/>
        <w:adjustRightInd w:val="0"/>
        <w:spacing w:line="500" w:lineRule="atLeast"/>
        <w:jc w:val="center"/>
        <w:textAlignment w:val="bottom"/>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sz w:val="28"/>
          <w:highlight w:val="none"/>
        </w:rPr>
        <w:t>总价项目分类分项工程分解表</w:t>
      </w:r>
      <w:r>
        <w:rPr>
          <w:rFonts w:hint="eastAsia" w:ascii="宋体" w:hAnsi="宋体" w:eastAsia="宋体" w:cs="宋体"/>
          <w:b/>
          <w:bCs/>
          <w:color w:val="000000"/>
          <w:kern w:val="0"/>
          <w:sz w:val="24"/>
          <w:szCs w:val="24"/>
          <w:highlight w:val="none"/>
        </w:rPr>
        <w:t>(格式)</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w:t>
      </w: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工程名称： </w:t>
      </w:r>
      <w:r>
        <w:rPr>
          <w:rFonts w:hint="eastAsia" w:ascii="宋体" w:hAnsi="宋体" w:eastAsia="宋体" w:cs="宋体"/>
          <w:color w:val="000000"/>
          <w:kern w:val="0"/>
          <w:sz w:val="24"/>
          <w:szCs w:val="24"/>
          <w:highlight w:val="none"/>
          <w:u w:val="single"/>
        </w:rPr>
        <w:t>（项目名称） （标段名称）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序号</w:t>
            </w:r>
          </w:p>
        </w:tc>
        <w:tc>
          <w:tcPr>
            <w:tcW w:w="1160"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项目编码</w:t>
            </w:r>
          </w:p>
        </w:tc>
        <w:tc>
          <w:tcPr>
            <w:tcW w:w="1161"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　目　名　称</w:t>
            </w:r>
          </w:p>
        </w:tc>
        <w:tc>
          <w:tcPr>
            <w:tcW w:w="1161"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计量单位</w:t>
            </w:r>
          </w:p>
        </w:tc>
        <w:tc>
          <w:tcPr>
            <w:tcW w:w="1161"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工程数量</w:t>
            </w:r>
          </w:p>
        </w:tc>
        <w:tc>
          <w:tcPr>
            <w:tcW w:w="1161" w:type="dxa"/>
            <w:noWrap w:val="0"/>
            <w:vAlign w:val="top"/>
          </w:tcPr>
          <w:p>
            <w:pPr>
              <w:autoSpaceDE w:val="0"/>
              <w:autoSpaceDN w:val="0"/>
              <w:adjustRightInd w:val="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　价</w:t>
            </w:r>
          </w:p>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（元）</w:t>
            </w:r>
          </w:p>
        </w:tc>
        <w:tc>
          <w:tcPr>
            <w:tcW w:w="1161" w:type="dxa"/>
            <w:noWrap w:val="0"/>
            <w:vAlign w:val="top"/>
          </w:tcPr>
          <w:p>
            <w:pPr>
              <w:autoSpaceDE w:val="0"/>
              <w:autoSpaceDN w:val="0"/>
              <w:adjustRightInd w:val="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　价</w:t>
            </w:r>
          </w:p>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（元）</w:t>
            </w:r>
          </w:p>
        </w:tc>
        <w:tc>
          <w:tcPr>
            <w:tcW w:w="1161"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bl>
    <w:p>
      <w:pPr>
        <w:pStyle w:val="21"/>
        <w:autoSpaceDE w:val="0"/>
        <w:autoSpaceDN w:val="0"/>
        <w:adjustRightInd w:val="0"/>
        <w:spacing w:line="500" w:lineRule="atLeast"/>
        <w:textAlignment w:val="bottom"/>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注:项目编码应遵守《水利工程工程量清单计价规范》（ＧＢ５０５０１—２００７)</w:t>
      </w:r>
    </w:p>
    <w:p>
      <w:pPr>
        <w:rPr>
          <w:rFonts w:hint="eastAsia" w:ascii="宋体" w:hAnsi="宋体" w:eastAsia="宋体" w:cs="宋体"/>
          <w:color w:val="000000"/>
          <w:sz w:val="24"/>
          <w:highlight w:val="none"/>
        </w:rPr>
      </w:pPr>
    </w:p>
    <w:p>
      <w:pPr>
        <w:ind w:firstLine="2640" w:firstLineChars="1100"/>
        <w:rPr>
          <w:rFonts w:hint="eastAsia" w:ascii="宋体" w:hAnsi="宋体" w:eastAsia="宋体" w:cs="宋体"/>
          <w:color w:val="000000"/>
          <w:sz w:val="24"/>
          <w:highlight w:val="none"/>
        </w:rPr>
      </w:pPr>
    </w:p>
    <w:p>
      <w:pPr>
        <w:jc w:val="center"/>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jc w:val="center"/>
        <w:rPr>
          <w:rFonts w:hint="eastAsia" w:ascii="宋体" w:hAnsi="宋体" w:eastAsia="宋体" w:cs="宋体"/>
          <w:b/>
          <w:color w:val="000000"/>
          <w:sz w:val="30"/>
          <w:szCs w:val="30"/>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r>
        <w:rPr>
          <w:rFonts w:hint="eastAsia" w:ascii="宋体" w:hAnsi="宋体" w:eastAsia="宋体" w:cs="宋体"/>
          <w:color w:val="000000"/>
          <w:sz w:val="24"/>
          <w:szCs w:val="24"/>
          <w:highlight w:val="none"/>
        </w:rPr>
        <w:drawing>
          <wp:anchor distT="0" distB="0" distL="114300" distR="114300" simplePos="0" relativeHeight="251659264" behindDoc="1" locked="1" layoutInCell="1" allowOverlap="1">
            <wp:simplePos x="0" y="0"/>
            <wp:positionH relativeFrom="column">
              <wp:posOffset>5029200</wp:posOffset>
            </wp:positionH>
            <wp:positionV relativeFrom="paragraph">
              <wp:posOffset>9969500</wp:posOffset>
            </wp:positionV>
            <wp:extent cx="584200" cy="558800"/>
            <wp:effectExtent l="0" t="0" r="0" b="0"/>
            <wp:wrapNone/>
            <wp:docPr id="1" name="图片 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38"/>
                    <pic:cNvPicPr>
                      <a:picLocks noChangeAspect="1"/>
                    </pic:cNvPicPr>
                  </pic:nvPicPr>
                  <pic:blipFill>
                    <a:blip r:embed="rId15"/>
                    <a:stretch>
                      <a:fillRect/>
                    </a:stretch>
                  </pic:blipFill>
                  <pic:spPr>
                    <a:xfrm>
                      <a:off x="0" y="0"/>
                      <a:ext cx="584200" cy="558800"/>
                    </a:xfrm>
                    <a:prstGeom prst="rect">
                      <a:avLst/>
                    </a:prstGeom>
                    <a:noFill/>
                    <a:ln>
                      <a:noFill/>
                    </a:ln>
                  </pic:spPr>
                </pic:pic>
              </a:graphicData>
            </a:graphic>
          </wp:anchor>
        </w:drawing>
      </w:r>
      <w:r>
        <w:rPr>
          <w:rFonts w:hint="eastAsia" w:ascii="宋体" w:hAnsi="宋体" w:eastAsia="宋体" w:cs="宋体"/>
          <w:color w:val="000000"/>
          <w:sz w:val="24"/>
          <w:szCs w:val="24"/>
          <w:highlight w:val="none"/>
        </w:rPr>
        <w:t>、工程单价计算表</w:t>
      </w:r>
    </w:p>
    <w:p>
      <w:pPr>
        <w:jc w:val="center"/>
        <w:rPr>
          <w:rFonts w:hint="eastAsia"/>
        </w:rPr>
      </w:pPr>
      <w:r>
        <w:rPr>
          <w:rFonts w:hint="eastAsia" w:ascii="宋体" w:hAnsi="宋体" w:eastAsia="宋体" w:cs="宋体"/>
          <w:b/>
          <w:color w:val="000000"/>
          <w:sz w:val="24"/>
          <w:highlight w:val="none"/>
        </w:rPr>
        <w:t>工程单价计算表</w:t>
      </w:r>
    </w:p>
    <w:p>
      <w:pPr>
        <w:jc w:val="center"/>
        <w:rPr>
          <w:rFonts w:hint="eastAsia" w:ascii="宋体" w:hAnsi="宋体" w:eastAsia="宋体" w:cs="宋体"/>
          <w:b/>
          <w:color w:val="000000"/>
          <w:sz w:val="24"/>
          <w:highlight w:val="none"/>
          <w:u w:val="single"/>
        </w:rPr>
      </w:pPr>
      <w:r>
        <w:rPr>
          <w:rFonts w:hint="eastAsia" w:ascii="宋体" w:hAnsi="宋体" w:eastAsia="宋体" w:cs="宋体"/>
          <w:color w:val="000000"/>
          <w:sz w:val="24"/>
          <w:highlight w:val="none"/>
          <w:u w:val="single"/>
        </w:rPr>
        <w:t xml:space="preserve">               </w:t>
      </w:r>
      <w:r>
        <w:rPr>
          <w:rFonts w:hint="eastAsia" w:ascii="宋体" w:hAnsi="宋体" w:eastAsia="宋体" w:cs="宋体"/>
          <w:b/>
          <w:color w:val="000000"/>
          <w:sz w:val="24"/>
          <w:highlight w:val="none"/>
          <w:u w:val="single"/>
        </w:rPr>
        <w:t>工程</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单价编号:                                         定额单位： </w:t>
      </w:r>
    </w:p>
    <w:tbl>
      <w:tblPr>
        <w:tblStyle w:val="39"/>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31"/>
        <w:gridCol w:w="1354"/>
        <w:gridCol w:w="1354"/>
        <w:gridCol w:w="801"/>
        <w:gridCol w:w="163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847" w:type="dxa"/>
            <w:gridSpan w:val="7"/>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135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型号规格</w:t>
            </w:r>
          </w:p>
        </w:tc>
        <w:tc>
          <w:tcPr>
            <w:tcW w:w="135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计量单位</w:t>
            </w:r>
          </w:p>
        </w:tc>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数量</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单价（元）</w:t>
            </w:r>
          </w:p>
        </w:tc>
        <w:tc>
          <w:tcPr>
            <w:tcW w:w="2275"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直接费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人工费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1.2</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1.3</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机械使用费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1.4</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其他直接费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1.5</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现场经费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施工管理费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社会保障及企业计提费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企业利润</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价差</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风险金</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税金</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bl>
    <w:p>
      <w:pPr>
        <w:rPr>
          <w:rFonts w:hint="eastAsia"/>
          <w:color w:val="000000"/>
          <w:highlight w:val="none"/>
        </w:rPr>
      </w:pPr>
    </w:p>
    <w:p>
      <w:pPr>
        <w:pStyle w:val="6"/>
        <w:spacing w:before="0" w:after="0" w:line="377" w:lineRule="auto"/>
        <w:rPr>
          <w:rFonts w:hint="eastAsia" w:ascii="宋体" w:hAnsi="宋体" w:eastAsia="宋体" w:cs="宋体"/>
          <w:color w:val="000000"/>
          <w:sz w:val="24"/>
          <w:szCs w:val="24"/>
          <w:highlight w:val="none"/>
        </w:rPr>
      </w:pPr>
    </w:p>
    <w:p>
      <w:pPr>
        <w:rPr>
          <w:rFonts w:hint="eastAsia"/>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19、人工费单位汇总表</w:t>
      </w:r>
    </w:p>
    <w:p>
      <w:pPr>
        <w:ind w:firstLine="480" w:firstLineChars="200"/>
        <w:jc w:val="center"/>
        <w:rPr>
          <w:rFonts w:hint="eastAsia" w:ascii="宋体" w:hAnsi="宋体" w:eastAsia="宋体" w:cs="宋体"/>
          <w:color w:val="000000"/>
          <w:sz w:val="24"/>
          <w:highlight w:val="none"/>
        </w:rPr>
      </w:pPr>
    </w:p>
    <w:p>
      <w:pPr>
        <w:ind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人工费单位汇总表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eastAsia="zh-CN"/>
        </w:rPr>
        <w:t>项目</w:t>
      </w:r>
      <w:r>
        <w:rPr>
          <w:rFonts w:hint="eastAsia" w:ascii="宋体" w:hAnsi="宋体" w:eastAsia="宋体" w:cs="宋体"/>
          <w:color w:val="000000"/>
          <w:kern w:val="0"/>
          <w:sz w:val="24"/>
          <w:szCs w:val="24"/>
          <w:highlight w:val="none"/>
          <w:lang w:eastAsia="zh-CN"/>
        </w:rPr>
        <w:t>编号：</w:t>
      </w:r>
    </w:p>
    <w:p>
      <w:pPr>
        <w:pStyle w:val="168"/>
        <w:jc w:val="both"/>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949"/>
        <w:gridCol w:w="1967"/>
        <w:gridCol w:w="196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9"/>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序号</w:t>
            </w:r>
          </w:p>
        </w:tc>
        <w:tc>
          <w:tcPr>
            <w:tcW w:w="2949" w:type="dxa"/>
            <w:noWrap w:val="0"/>
            <w:vAlign w:val="center"/>
          </w:tcPr>
          <w:p>
            <w:pPr>
              <w:pStyle w:val="169"/>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　　种</w:t>
            </w:r>
          </w:p>
        </w:tc>
        <w:tc>
          <w:tcPr>
            <w:tcW w:w="1967" w:type="dxa"/>
            <w:noWrap w:val="0"/>
            <w:vAlign w:val="center"/>
          </w:tcPr>
          <w:p>
            <w:pPr>
              <w:autoSpaceDE w:val="0"/>
              <w:autoSpaceDN w:val="0"/>
              <w:adjustRightInd w:val="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单　　位</w:t>
            </w:r>
          </w:p>
        </w:tc>
        <w:tc>
          <w:tcPr>
            <w:tcW w:w="1969" w:type="dxa"/>
            <w:noWrap w:val="0"/>
            <w:vAlign w:val="center"/>
          </w:tcPr>
          <w:p>
            <w:pPr>
              <w:pStyle w:val="169"/>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单　价（元）</w:t>
            </w:r>
          </w:p>
        </w:tc>
        <w:tc>
          <w:tcPr>
            <w:tcW w:w="1259" w:type="dxa"/>
            <w:noWrap w:val="0"/>
            <w:vAlign w:val="center"/>
          </w:tcPr>
          <w:p>
            <w:pPr>
              <w:pStyle w:val="169"/>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9"/>
              <w:rPr>
                <w:rFonts w:hint="eastAsia" w:ascii="宋体" w:hAnsi="宋体" w:eastAsia="宋体" w:cs="宋体"/>
                <w:color w:val="000000"/>
                <w:sz w:val="24"/>
                <w:szCs w:val="24"/>
                <w:highlight w:val="none"/>
              </w:rPr>
            </w:pPr>
          </w:p>
        </w:tc>
        <w:tc>
          <w:tcPr>
            <w:tcW w:w="2949" w:type="dxa"/>
            <w:noWrap w:val="0"/>
            <w:vAlign w:val="center"/>
          </w:tcPr>
          <w:p>
            <w:pPr>
              <w:pStyle w:val="169"/>
              <w:rPr>
                <w:rFonts w:hint="eastAsia" w:ascii="宋体" w:hAnsi="宋体" w:eastAsia="宋体" w:cs="宋体"/>
                <w:color w:val="000000"/>
                <w:sz w:val="24"/>
                <w:szCs w:val="24"/>
                <w:highlight w:val="none"/>
              </w:rPr>
            </w:pPr>
          </w:p>
        </w:tc>
        <w:tc>
          <w:tcPr>
            <w:tcW w:w="1967" w:type="dxa"/>
            <w:noWrap w:val="0"/>
            <w:vAlign w:val="center"/>
          </w:tcPr>
          <w:p>
            <w:pPr>
              <w:pStyle w:val="169"/>
              <w:rPr>
                <w:rFonts w:hint="eastAsia" w:ascii="宋体" w:hAnsi="宋体" w:eastAsia="宋体" w:cs="宋体"/>
                <w:color w:val="000000"/>
                <w:sz w:val="24"/>
                <w:szCs w:val="24"/>
                <w:highlight w:val="none"/>
              </w:rPr>
            </w:pPr>
          </w:p>
        </w:tc>
        <w:tc>
          <w:tcPr>
            <w:tcW w:w="1969" w:type="dxa"/>
            <w:noWrap w:val="0"/>
            <w:vAlign w:val="center"/>
          </w:tcPr>
          <w:p>
            <w:pPr>
              <w:pStyle w:val="169"/>
              <w:rPr>
                <w:rFonts w:hint="eastAsia" w:ascii="宋体" w:hAnsi="宋体" w:eastAsia="宋体" w:cs="宋体"/>
                <w:color w:val="000000"/>
                <w:sz w:val="24"/>
                <w:szCs w:val="24"/>
                <w:highlight w:val="none"/>
              </w:rPr>
            </w:pPr>
          </w:p>
        </w:tc>
        <w:tc>
          <w:tcPr>
            <w:tcW w:w="1259" w:type="dxa"/>
            <w:noWrap w:val="0"/>
            <w:vAlign w:val="center"/>
          </w:tcPr>
          <w:p>
            <w:pPr>
              <w:pStyle w:val="16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9"/>
              <w:rPr>
                <w:rFonts w:hint="eastAsia" w:ascii="宋体" w:hAnsi="宋体" w:eastAsia="宋体" w:cs="宋体"/>
                <w:color w:val="000000"/>
                <w:sz w:val="24"/>
                <w:szCs w:val="24"/>
                <w:highlight w:val="none"/>
              </w:rPr>
            </w:pPr>
          </w:p>
        </w:tc>
        <w:tc>
          <w:tcPr>
            <w:tcW w:w="2949" w:type="dxa"/>
            <w:noWrap w:val="0"/>
            <w:vAlign w:val="center"/>
          </w:tcPr>
          <w:p>
            <w:pPr>
              <w:pStyle w:val="169"/>
              <w:rPr>
                <w:rFonts w:hint="eastAsia" w:ascii="宋体" w:hAnsi="宋体" w:eastAsia="宋体" w:cs="宋体"/>
                <w:color w:val="000000"/>
                <w:sz w:val="24"/>
                <w:szCs w:val="24"/>
                <w:highlight w:val="none"/>
              </w:rPr>
            </w:pPr>
          </w:p>
        </w:tc>
        <w:tc>
          <w:tcPr>
            <w:tcW w:w="1967" w:type="dxa"/>
            <w:noWrap w:val="0"/>
            <w:vAlign w:val="center"/>
          </w:tcPr>
          <w:p>
            <w:pPr>
              <w:pStyle w:val="169"/>
              <w:rPr>
                <w:rFonts w:hint="eastAsia" w:ascii="宋体" w:hAnsi="宋体" w:eastAsia="宋体" w:cs="宋体"/>
                <w:color w:val="000000"/>
                <w:sz w:val="24"/>
                <w:szCs w:val="24"/>
                <w:highlight w:val="none"/>
              </w:rPr>
            </w:pPr>
          </w:p>
        </w:tc>
        <w:tc>
          <w:tcPr>
            <w:tcW w:w="1969" w:type="dxa"/>
            <w:noWrap w:val="0"/>
            <w:vAlign w:val="center"/>
          </w:tcPr>
          <w:p>
            <w:pPr>
              <w:pStyle w:val="169"/>
              <w:rPr>
                <w:rFonts w:hint="eastAsia" w:ascii="宋体" w:hAnsi="宋体" w:eastAsia="宋体" w:cs="宋体"/>
                <w:color w:val="000000"/>
                <w:sz w:val="24"/>
                <w:szCs w:val="24"/>
                <w:highlight w:val="none"/>
              </w:rPr>
            </w:pPr>
          </w:p>
        </w:tc>
        <w:tc>
          <w:tcPr>
            <w:tcW w:w="1259" w:type="dxa"/>
            <w:noWrap w:val="0"/>
            <w:vAlign w:val="center"/>
          </w:tcPr>
          <w:p>
            <w:pPr>
              <w:pStyle w:val="16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2" w:type="dxa"/>
            <w:noWrap w:val="0"/>
            <w:vAlign w:val="center"/>
          </w:tcPr>
          <w:p>
            <w:pPr>
              <w:pStyle w:val="169"/>
              <w:rPr>
                <w:rFonts w:hint="eastAsia" w:ascii="宋体" w:hAnsi="宋体" w:eastAsia="宋体" w:cs="宋体"/>
                <w:color w:val="000000"/>
                <w:sz w:val="24"/>
                <w:szCs w:val="24"/>
                <w:highlight w:val="none"/>
              </w:rPr>
            </w:pPr>
          </w:p>
        </w:tc>
        <w:tc>
          <w:tcPr>
            <w:tcW w:w="2949" w:type="dxa"/>
            <w:noWrap w:val="0"/>
            <w:vAlign w:val="center"/>
          </w:tcPr>
          <w:p>
            <w:pPr>
              <w:pStyle w:val="169"/>
              <w:rPr>
                <w:rFonts w:hint="eastAsia" w:ascii="宋体" w:hAnsi="宋体" w:eastAsia="宋体" w:cs="宋体"/>
                <w:color w:val="000000"/>
                <w:sz w:val="24"/>
                <w:szCs w:val="24"/>
                <w:highlight w:val="none"/>
              </w:rPr>
            </w:pPr>
          </w:p>
        </w:tc>
        <w:tc>
          <w:tcPr>
            <w:tcW w:w="1967" w:type="dxa"/>
            <w:noWrap w:val="0"/>
            <w:vAlign w:val="center"/>
          </w:tcPr>
          <w:p>
            <w:pPr>
              <w:pStyle w:val="169"/>
              <w:rPr>
                <w:rFonts w:hint="eastAsia" w:ascii="宋体" w:hAnsi="宋体" w:eastAsia="宋体" w:cs="宋体"/>
                <w:color w:val="000000"/>
                <w:sz w:val="24"/>
                <w:szCs w:val="24"/>
                <w:highlight w:val="none"/>
              </w:rPr>
            </w:pPr>
          </w:p>
        </w:tc>
        <w:tc>
          <w:tcPr>
            <w:tcW w:w="1969" w:type="dxa"/>
            <w:noWrap w:val="0"/>
            <w:vAlign w:val="center"/>
          </w:tcPr>
          <w:p>
            <w:pPr>
              <w:pStyle w:val="169"/>
              <w:rPr>
                <w:rFonts w:hint="eastAsia" w:ascii="宋体" w:hAnsi="宋体" w:eastAsia="宋体" w:cs="宋体"/>
                <w:color w:val="000000"/>
                <w:sz w:val="24"/>
                <w:szCs w:val="24"/>
                <w:highlight w:val="none"/>
              </w:rPr>
            </w:pPr>
          </w:p>
        </w:tc>
        <w:tc>
          <w:tcPr>
            <w:tcW w:w="1259" w:type="dxa"/>
            <w:noWrap w:val="0"/>
            <w:vAlign w:val="center"/>
          </w:tcPr>
          <w:p>
            <w:pPr>
              <w:pStyle w:val="16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9"/>
              <w:rPr>
                <w:rFonts w:hint="eastAsia" w:ascii="宋体" w:hAnsi="宋体" w:eastAsia="宋体" w:cs="宋体"/>
                <w:color w:val="000000"/>
                <w:sz w:val="24"/>
                <w:szCs w:val="24"/>
                <w:highlight w:val="none"/>
              </w:rPr>
            </w:pPr>
          </w:p>
        </w:tc>
        <w:tc>
          <w:tcPr>
            <w:tcW w:w="2949" w:type="dxa"/>
            <w:noWrap w:val="0"/>
            <w:vAlign w:val="center"/>
          </w:tcPr>
          <w:p>
            <w:pPr>
              <w:pStyle w:val="169"/>
              <w:rPr>
                <w:rFonts w:hint="eastAsia" w:ascii="宋体" w:hAnsi="宋体" w:eastAsia="宋体" w:cs="宋体"/>
                <w:color w:val="000000"/>
                <w:sz w:val="24"/>
                <w:szCs w:val="24"/>
                <w:highlight w:val="none"/>
              </w:rPr>
            </w:pPr>
          </w:p>
        </w:tc>
        <w:tc>
          <w:tcPr>
            <w:tcW w:w="1967" w:type="dxa"/>
            <w:noWrap w:val="0"/>
            <w:vAlign w:val="center"/>
          </w:tcPr>
          <w:p>
            <w:pPr>
              <w:pStyle w:val="169"/>
              <w:rPr>
                <w:rFonts w:hint="eastAsia" w:ascii="宋体" w:hAnsi="宋体" w:eastAsia="宋体" w:cs="宋体"/>
                <w:color w:val="000000"/>
                <w:sz w:val="24"/>
                <w:szCs w:val="24"/>
                <w:highlight w:val="none"/>
              </w:rPr>
            </w:pPr>
          </w:p>
        </w:tc>
        <w:tc>
          <w:tcPr>
            <w:tcW w:w="1969" w:type="dxa"/>
            <w:noWrap w:val="0"/>
            <w:vAlign w:val="center"/>
          </w:tcPr>
          <w:p>
            <w:pPr>
              <w:pStyle w:val="169"/>
              <w:rPr>
                <w:rFonts w:hint="eastAsia" w:ascii="宋体" w:hAnsi="宋体" w:eastAsia="宋体" w:cs="宋体"/>
                <w:color w:val="000000"/>
                <w:sz w:val="24"/>
                <w:szCs w:val="24"/>
                <w:highlight w:val="none"/>
              </w:rPr>
            </w:pPr>
          </w:p>
        </w:tc>
        <w:tc>
          <w:tcPr>
            <w:tcW w:w="1259" w:type="dxa"/>
            <w:noWrap w:val="0"/>
            <w:vAlign w:val="center"/>
          </w:tcPr>
          <w:p>
            <w:pPr>
              <w:pStyle w:val="16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9"/>
              <w:rPr>
                <w:rFonts w:hint="eastAsia" w:ascii="宋体" w:hAnsi="宋体" w:eastAsia="宋体" w:cs="宋体"/>
                <w:color w:val="000000"/>
                <w:sz w:val="24"/>
                <w:szCs w:val="24"/>
                <w:highlight w:val="none"/>
              </w:rPr>
            </w:pPr>
          </w:p>
        </w:tc>
        <w:tc>
          <w:tcPr>
            <w:tcW w:w="2949" w:type="dxa"/>
            <w:noWrap w:val="0"/>
            <w:vAlign w:val="center"/>
          </w:tcPr>
          <w:p>
            <w:pPr>
              <w:pStyle w:val="169"/>
              <w:rPr>
                <w:rFonts w:hint="eastAsia" w:ascii="宋体" w:hAnsi="宋体" w:eastAsia="宋体" w:cs="宋体"/>
                <w:color w:val="000000"/>
                <w:sz w:val="24"/>
                <w:szCs w:val="24"/>
                <w:highlight w:val="none"/>
              </w:rPr>
            </w:pPr>
          </w:p>
        </w:tc>
        <w:tc>
          <w:tcPr>
            <w:tcW w:w="1967" w:type="dxa"/>
            <w:noWrap w:val="0"/>
            <w:vAlign w:val="center"/>
          </w:tcPr>
          <w:p>
            <w:pPr>
              <w:pStyle w:val="169"/>
              <w:rPr>
                <w:rFonts w:hint="eastAsia" w:ascii="宋体" w:hAnsi="宋体" w:eastAsia="宋体" w:cs="宋体"/>
                <w:color w:val="000000"/>
                <w:sz w:val="24"/>
                <w:szCs w:val="24"/>
                <w:highlight w:val="none"/>
              </w:rPr>
            </w:pPr>
          </w:p>
        </w:tc>
        <w:tc>
          <w:tcPr>
            <w:tcW w:w="1969" w:type="dxa"/>
            <w:noWrap w:val="0"/>
            <w:vAlign w:val="center"/>
          </w:tcPr>
          <w:p>
            <w:pPr>
              <w:pStyle w:val="169"/>
              <w:rPr>
                <w:rFonts w:hint="eastAsia" w:ascii="宋体" w:hAnsi="宋体" w:eastAsia="宋体" w:cs="宋体"/>
                <w:color w:val="000000"/>
                <w:sz w:val="24"/>
                <w:szCs w:val="24"/>
                <w:highlight w:val="none"/>
              </w:rPr>
            </w:pPr>
          </w:p>
        </w:tc>
        <w:tc>
          <w:tcPr>
            <w:tcW w:w="1259" w:type="dxa"/>
            <w:noWrap w:val="0"/>
            <w:vAlign w:val="center"/>
          </w:tcPr>
          <w:p>
            <w:pPr>
              <w:pStyle w:val="16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9"/>
              <w:rPr>
                <w:rFonts w:hint="eastAsia" w:ascii="宋体" w:hAnsi="宋体" w:eastAsia="宋体" w:cs="宋体"/>
                <w:color w:val="000000"/>
                <w:sz w:val="24"/>
                <w:szCs w:val="24"/>
                <w:highlight w:val="none"/>
              </w:rPr>
            </w:pPr>
          </w:p>
        </w:tc>
        <w:tc>
          <w:tcPr>
            <w:tcW w:w="2949" w:type="dxa"/>
            <w:noWrap w:val="0"/>
            <w:vAlign w:val="center"/>
          </w:tcPr>
          <w:p>
            <w:pPr>
              <w:pStyle w:val="169"/>
              <w:rPr>
                <w:rFonts w:hint="eastAsia" w:ascii="宋体" w:hAnsi="宋体" w:eastAsia="宋体" w:cs="宋体"/>
                <w:color w:val="000000"/>
                <w:sz w:val="24"/>
                <w:szCs w:val="24"/>
                <w:highlight w:val="none"/>
              </w:rPr>
            </w:pPr>
          </w:p>
        </w:tc>
        <w:tc>
          <w:tcPr>
            <w:tcW w:w="1967" w:type="dxa"/>
            <w:noWrap w:val="0"/>
            <w:vAlign w:val="center"/>
          </w:tcPr>
          <w:p>
            <w:pPr>
              <w:pStyle w:val="169"/>
              <w:rPr>
                <w:rFonts w:hint="eastAsia" w:ascii="宋体" w:hAnsi="宋体" w:eastAsia="宋体" w:cs="宋体"/>
                <w:color w:val="000000"/>
                <w:sz w:val="24"/>
                <w:szCs w:val="24"/>
                <w:highlight w:val="none"/>
              </w:rPr>
            </w:pPr>
          </w:p>
        </w:tc>
        <w:tc>
          <w:tcPr>
            <w:tcW w:w="1969" w:type="dxa"/>
            <w:noWrap w:val="0"/>
            <w:vAlign w:val="center"/>
          </w:tcPr>
          <w:p>
            <w:pPr>
              <w:pStyle w:val="169"/>
              <w:rPr>
                <w:rFonts w:hint="eastAsia" w:ascii="宋体" w:hAnsi="宋体" w:eastAsia="宋体" w:cs="宋体"/>
                <w:color w:val="000000"/>
                <w:sz w:val="24"/>
                <w:szCs w:val="24"/>
                <w:highlight w:val="none"/>
              </w:rPr>
            </w:pPr>
          </w:p>
        </w:tc>
        <w:tc>
          <w:tcPr>
            <w:tcW w:w="1259" w:type="dxa"/>
            <w:noWrap w:val="0"/>
            <w:vAlign w:val="center"/>
          </w:tcPr>
          <w:p>
            <w:pPr>
              <w:pStyle w:val="16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2" w:type="dxa"/>
            <w:noWrap w:val="0"/>
            <w:vAlign w:val="center"/>
          </w:tcPr>
          <w:p>
            <w:pPr>
              <w:pStyle w:val="169"/>
              <w:rPr>
                <w:rFonts w:hint="eastAsia" w:ascii="宋体" w:hAnsi="宋体" w:eastAsia="宋体" w:cs="宋体"/>
                <w:color w:val="000000"/>
                <w:sz w:val="24"/>
                <w:szCs w:val="24"/>
                <w:highlight w:val="none"/>
              </w:rPr>
            </w:pPr>
          </w:p>
        </w:tc>
        <w:tc>
          <w:tcPr>
            <w:tcW w:w="2949" w:type="dxa"/>
            <w:noWrap w:val="0"/>
            <w:vAlign w:val="center"/>
          </w:tcPr>
          <w:p>
            <w:pPr>
              <w:pStyle w:val="169"/>
              <w:jc w:val="center"/>
              <w:rPr>
                <w:rFonts w:hint="eastAsia" w:ascii="宋体" w:hAnsi="宋体" w:eastAsia="宋体" w:cs="宋体"/>
                <w:color w:val="000000"/>
                <w:sz w:val="24"/>
                <w:szCs w:val="24"/>
                <w:highlight w:val="none"/>
              </w:rPr>
            </w:pPr>
          </w:p>
        </w:tc>
        <w:tc>
          <w:tcPr>
            <w:tcW w:w="1967" w:type="dxa"/>
            <w:noWrap w:val="0"/>
            <w:vAlign w:val="center"/>
          </w:tcPr>
          <w:p>
            <w:pPr>
              <w:pStyle w:val="169"/>
              <w:rPr>
                <w:rFonts w:hint="eastAsia" w:ascii="宋体" w:hAnsi="宋体" w:eastAsia="宋体" w:cs="宋体"/>
                <w:color w:val="000000"/>
                <w:sz w:val="24"/>
                <w:szCs w:val="24"/>
                <w:highlight w:val="none"/>
              </w:rPr>
            </w:pPr>
          </w:p>
        </w:tc>
        <w:tc>
          <w:tcPr>
            <w:tcW w:w="1969" w:type="dxa"/>
            <w:noWrap w:val="0"/>
            <w:vAlign w:val="center"/>
          </w:tcPr>
          <w:p>
            <w:pPr>
              <w:pStyle w:val="169"/>
              <w:rPr>
                <w:rFonts w:hint="eastAsia" w:ascii="宋体" w:hAnsi="宋体" w:eastAsia="宋体" w:cs="宋体"/>
                <w:color w:val="000000"/>
                <w:sz w:val="24"/>
                <w:szCs w:val="24"/>
                <w:highlight w:val="none"/>
              </w:rPr>
            </w:pPr>
          </w:p>
        </w:tc>
        <w:tc>
          <w:tcPr>
            <w:tcW w:w="1259" w:type="dxa"/>
            <w:noWrap w:val="0"/>
            <w:vAlign w:val="center"/>
          </w:tcPr>
          <w:p>
            <w:pPr>
              <w:pStyle w:val="169"/>
              <w:rPr>
                <w:rFonts w:hint="eastAsia" w:ascii="宋体" w:hAnsi="宋体" w:eastAsia="宋体" w:cs="宋体"/>
                <w:color w:val="000000"/>
                <w:sz w:val="24"/>
                <w:szCs w:val="24"/>
                <w:highlight w:val="none"/>
              </w:rPr>
            </w:pPr>
          </w:p>
        </w:tc>
      </w:tr>
    </w:tbl>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spacing w:line="480" w:lineRule="atLeast"/>
        <w:jc w:val="center"/>
        <w:rPr>
          <w:rFonts w:hint="eastAsia" w:ascii="宋体" w:hAnsi="宋体" w:eastAsia="宋体" w:cs="宋体"/>
          <w:color w:val="000000"/>
          <w:sz w:val="28"/>
          <w:highlight w:val="none"/>
        </w:rPr>
      </w:pPr>
    </w:p>
    <w:p>
      <w:pPr>
        <w:spacing w:line="480" w:lineRule="atLeast"/>
        <w:jc w:val="center"/>
        <w:rPr>
          <w:rFonts w:hint="eastAsia" w:ascii="宋体" w:hAnsi="宋体" w:eastAsia="宋体" w:cs="宋体"/>
          <w:color w:val="000000"/>
          <w:sz w:val="28"/>
          <w:highlight w:val="none"/>
        </w:rPr>
      </w:pPr>
    </w:p>
    <w:p>
      <w:pPr>
        <w:spacing w:line="360" w:lineRule="auto"/>
        <w:jc w:val="left"/>
        <w:rPr>
          <w:rFonts w:hint="eastAsia" w:ascii="宋体" w:hAnsi="宋体" w:eastAsia="宋体" w:cs="宋体"/>
          <w:color w:val="000000"/>
          <w:sz w:val="28"/>
          <w:highlight w:val="none"/>
        </w:rPr>
      </w:pPr>
    </w:p>
    <w:p>
      <w:pPr>
        <w:spacing w:line="360" w:lineRule="auto"/>
        <w:jc w:val="left"/>
        <w:rPr>
          <w:rFonts w:hint="eastAsia" w:ascii="宋体" w:hAnsi="宋体" w:eastAsia="宋体" w:cs="宋体"/>
          <w:color w:val="000000"/>
          <w:sz w:val="28"/>
          <w:highlight w:val="none"/>
        </w:rPr>
      </w:pPr>
    </w:p>
    <w:p>
      <w:pPr>
        <w:spacing w:line="360" w:lineRule="auto"/>
        <w:jc w:val="left"/>
        <w:rPr>
          <w:rFonts w:hint="eastAsia" w:ascii="宋体" w:hAnsi="宋体" w:eastAsia="宋体" w:cs="宋体"/>
          <w:color w:val="000000"/>
          <w:sz w:val="28"/>
          <w:szCs w:val="28"/>
          <w:highlight w:val="none"/>
        </w:rPr>
      </w:pPr>
    </w:p>
    <w:p>
      <w:pPr>
        <w:spacing w:line="480" w:lineRule="atLeast"/>
        <w:ind w:firstLine="2741" w:firstLineChars="1300"/>
        <w:rPr>
          <w:rFonts w:hint="eastAsia" w:ascii="宋体" w:hAnsi="宋体" w:eastAsia="宋体" w:cs="宋体"/>
          <w:b/>
          <w:bCs/>
          <w:color w:val="000000"/>
          <w:sz w:val="28"/>
          <w:highlight w:val="none"/>
        </w:rPr>
      </w:pPr>
      <w:r>
        <w:rPr>
          <w:rFonts w:hint="eastAsia" w:ascii="宋体" w:hAnsi="宋体" w:eastAsia="宋体" w:cs="宋体"/>
          <w:b/>
          <w:color w:val="000000"/>
          <w:highlight w:val="none"/>
        </w:rPr>
        <w:br w:type="page"/>
      </w:r>
      <w:r>
        <w:rPr>
          <w:rFonts w:hint="eastAsia" w:ascii="宋体" w:hAnsi="宋体" w:eastAsia="宋体" w:cs="宋体"/>
          <w:b/>
          <w:bCs/>
          <w:color w:val="000000"/>
          <w:sz w:val="28"/>
          <w:highlight w:val="none"/>
        </w:rPr>
        <w:t>20、资金流估算表</w:t>
      </w:r>
    </w:p>
    <w:p>
      <w:pPr>
        <w:ind w:firstLine="241" w:firstLineChars="100"/>
        <w:jc w:val="center"/>
        <w:rPr>
          <w:rFonts w:hint="eastAsia" w:ascii="宋体" w:hAnsi="宋体" w:eastAsia="宋体" w:cs="宋体"/>
          <w:b/>
          <w:bCs/>
          <w:color w:val="000000"/>
          <w:sz w:val="24"/>
          <w:highlight w:val="none"/>
        </w:rPr>
      </w:pPr>
    </w:p>
    <w:p>
      <w:pPr>
        <w:ind w:firstLine="241" w:firstLineChars="10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资金流估算表(格式)</w:t>
      </w:r>
    </w:p>
    <w:p>
      <w:pPr>
        <w:ind w:firstLine="280" w:firstLineChars="100"/>
        <w:jc w:val="center"/>
        <w:rPr>
          <w:rFonts w:hint="eastAsia" w:ascii="宋体" w:hAnsi="宋体" w:eastAsia="宋体" w:cs="宋体"/>
          <w:color w:val="000000"/>
          <w:sz w:val="24"/>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4"/>
          <w:highlight w:val="none"/>
        </w:rPr>
        <w:t xml:space="preserve">       金额单位：元</w:t>
      </w:r>
    </w:p>
    <w:tbl>
      <w:tblPr>
        <w:tblStyle w:val="3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9"/>
        <w:gridCol w:w="1227"/>
        <w:gridCol w:w="840"/>
        <w:gridCol w:w="1004"/>
        <w:gridCol w:w="1181"/>
        <w:gridCol w:w="840"/>
        <w:gridCol w:w="797"/>
        <w:gridCol w:w="693"/>
        <w:gridCol w:w="1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97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年份</w:t>
            </w:r>
          </w:p>
        </w:tc>
        <w:tc>
          <w:tcPr>
            <w:tcW w:w="12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月</w:t>
            </w:r>
          </w:p>
        </w:tc>
        <w:tc>
          <w:tcPr>
            <w:tcW w:w="8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w:t>
            </w: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w:t>
            </w:r>
          </w:p>
        </w:tc>
        <w:tc>
          <w:tcPr>
            <w:tcW w:w="118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完成工作</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量付款</w:t>
            </w:r>
          </w:p>
        </w:tc>
        <w:tc>
          <w:tcPr>
            <w:tcW w:w="8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保留金</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扣留</w:t>
            </w:r>
          </w:p>
        </w:tc>
        <w:tc>
          <w:tcPr>
            <w:tcW w:w="79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预付款扣还</w:t>
            </w:r>
          </w:p>
        </w:tc>
        <w:tc>
          <w:tcPr>
            <w:tcW w:w="6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  它</w:t>
            </w:r>
          </w:p>
        </w:tc>
        <w:tc>
          <w:tcPr>
            <w:tcW w:w="157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应收款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206"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    计</w:t>
            </w: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bl>
    <w:p>
      <w:pPr>
        <w:jc w:val="center"/>
        <w:rPr>
          <w:rFonts w:hint="eastAsia" w:ascii="宋体" w:hAnsi="宋体" w:eastAsia="宋体" w:cs="宋体"/>
          <w:color w:val="000000"/>
          <w:highlight w:val="none"/>
        </w:rPr>
      </w:pPr>
    </w:p>
    <w:p>
      <w:pPr>
        <w:pStyle w:val="147"/>
        <w:ind w:firstLine="422"/>
        <w:jc w:val="center"/>
        <w:outlineLvl w:val="0"/>
        <w:rPr>
          <w:rFonts w:hint="eastAsia" w:ascii="Times New Roman" w:hAnsi="Times New Roman" w:eastAsia="宋体" w:cs="宋体"/>
          <w:b/>
          <w:bCs/>
          <w:sz w:val="24"/>
          <w:szCs w:val="24"/>
          <w:lang w:val="en-US" w:eastAsia="zh-CN"/>
        </w:rPr>
      </w:pPr>
      <w:r>
        <w:rPr>
          <w:rFonts w:hint="eastAsia" w:ascii="宋体" w:hAnsi="宋体" w:eastAsia="宋体" w:cs="宋体"/>
          <w:b/>
          <w:bCs/>
          <w:color w:val="000000"/>
          <w:sz w:val="24"/>
          <w:highlight w:val="none"/>
        </w:rPr>
        <w:t>注：完成工作量付款合计数不含建筑意外伤害保险费。</w:t>
      </w: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val="en-US" w:eastAsia="zh-CN"/>
        </w:rPr>
      </w:pPr>
    </w:p>
    <w:p>
      <w:pPr>
        <w:pStyle w:val="147"/>
        <w:ind w:firstLine="422"/>
        <w:jc w:val="center"/>
        <w:outlineLvl w:val="0"/>
        <w:rPr>
          <w:rFonts w:hint="eastAsia" w:ascii="Times New Roman" w:hAnsi="Times New Roman" w:eastAsia="宋体" w:cs="宋体"/>
          <w:b/>
          <w:bCs/>
          <w:sz w:val="24"/>
          <w:szCs w:val="24"/>
          <w:lang w:eastAsia="zh-CN"/>
        </w:rPr>
      </w:pPr>
      <w:r>
        <w:rPr>
          <w:rFonts w:hint="eastAsia" w:ascii="Times New Roman" w:hAnsi="Times New Roman" w:eastAsia="宋体" w:cs="宋体"/>
          <w:b/>
          <w:bCs/>
          <w:sz w:val="24"/>
          <w:szCs w:val="24"/>
          <w:lang w:val="en-US" w:eastAsia="zh-CN"/>
        </w:rPr>
        <w:t>五、</w:t>
      </w:r>
      <w:r>
        <w:rPr>
          <w:rFonts w:hint="eastAsia" w:ascii="Times New Roman" w:hAnsi="Times New Roman" w:eastAsia="宋体" w:cs="宋体"/>
          <w:b/>
          <w:bCs/>
          <w:sz w:val="24"/>
          <w:szCs w:val="24"/>
        </w:rPr>
        <w:t>投标报价需要的其他资料（</w:t>
      </w:r>
      <w:r>
        <w:rPr>
          <w:rFonts w:hint="eastAsia" w:ascii="Times New Roman" w:hAnsi="Times New Roman" w:eastAsia="宋体" w:cs="宋体"/>
          <w:b/>
          <w:bCs/>
          <w:sz w:val="24"/>
          <w:szCs w:val="24"/>
          <w:lang w:val="en-US" w:eastAsia="zh-CN"/>
        </w:rPr>
        <w:t>如有，请提供</w:t>
      </w:r>
      <w:r>
        <w:rPr>
          <w:rFonts w:hint="eastAsia" w:ascii="Times New Roman" w:hAnsi="Times New Roman" w:eastAsia="宋体" w:cs="宋体"/>
          <w:b/>
          <w:bCs/>
          <w:sz w:val="24"/>
          <w:szCs w:val="24"/>
        </w:rPr>
        <w:t>）</w:t>
      </w:r>
    </w:p>
    <w:p>
      <w:pPr>
        <w:pageBreakBefore w:val="0"/>
        <w:kinsoku/>
        <w:topLinePunct w:val="0"/>
        <w:bidi w:val="0"/>
        <w:spacing w:line="400" w:lineRule="exact"/>
        <w:jc w:val="center"/>
        <w:rPr>
          <w:rFonts w:hint="eastAsia" w:ascii="仿宋" w:hAnsi="仿宋" w:eastAsia="仿宋" w:cs="仿宋"/>
          <w:b/>
          <w:bCs/>
          <w:color w:val="000000"/>
          <w:sz w:val="32"/>
          <w:szCs w:val="32"/>
          <w:highlight w:val="none"/>
        </w:rPr>
      </w:pPr>
    </w:p>
    <w:p>
      <w:pPr>
        <w:pageBreakBefore w:val="0"/>
        <w:kinsoku/>
        <w:topLinePunct w:val="0"/>
        <w:bidi w:val="0"/>
        <w:spacing w:line="400" w:lineRule="exact"/>
        <w:jc w:val="center"/>
        <w:rPr>
          <w:rFonts w:hint="eastAsia" w:ascii="仿宋" w:hAnsi="仿宋" w:eastAsia="仿宋" w:cs="仿宋"/>
          <w:b/>
          <w:bCs/>
          <w:color w:val="000000"/>
          <w:sz w:val="32"/>
          <w:szCs w:val="32"/>
          <w:highlight w:val="none"/>
        </w:rPr>
      </w:pPr>
    </w:p>
    <w:p>
      <w:pPr>
        <w:rPr>
          <w:rFonts w:ascii="Times New Roman" w:hAnsi="Times New Roman" w:eastAsia="宋体" w:cs="Times New Roman"/>
          <w:sz w:val="32"/>
          <w:szCs w:val="32"/>
        </w:rPr>
      </w:pPr>
      <w:r>
        <w:rPr>
          <w:rFonts w:ascii="Times New Roman" w:hAnsi="Times New Roman" w:eastAsia="宋体" w:cs="Times New Roman"/>
          <w:sz w:val="32"/>
          <w:szCs w:val="32"/>
        </w:rPr>
        <w:br w:type="page"/>
      </w:r>
    </w:p>
    <w:p>
      <w:bookmarkStart w:id="2286" w:name="_GoBack"/>
      <w:bookmarkEnd w:id="2286"/>
    </w:p>
    <w:p>
      <w:pPr>
        <w:jc w:val="center"/>
        <w:rPr>
          <w:sz w:val="32"/>
          <w:szCs w:val="32"/>
          <w:u w:val="single"/>
        </w:rPr>
      </w:pPr>
    </w:p>
    <w:p>
      <w:pPr>
        <w:jc w:val="center"/>
        <w:rPr>
          <w:sz w:val="32"/>
          <w:szCs w:val="32"/>
          <w:u w:val="single"/>
        </w:rPr>
      </w:pPr>
    </w:p>
    <w:p>
      <w:pPr>
        <w:jc w:val="center"/>
        <w:rPr>
          <w:sz w:val="28"/>
          <w:szCs w:val="28"/>
        </w:rPr>
      </w:pPr>
      <w:r>
        <w:rPr>
          <w:sz w:val="32"/>
          <w:szCs w:val="32"/>
          <w:u w:val="single"/>
        </w:rPr>
        <w:t xml:space="preserve">           </w:t>
      </w:r>
      <w:r>
        <w:rPr>
          <w:rFonts w:hint="eastAsia" w:cs="宋体"/>
          <w:sz w:val="28"/>
          <w:szCs w:val="28"/>
          <w:u w:val="single"/>
        </w:rPr>
        <w:t>（项目名称）</w:t>
      </w:r>
      <w:r>
        <w:rPr>
          <w:rFonts w:hint="eastAsia" w:cs="宋体"/>
          <w:sz w:val="28"/>
          <w:szCs w:val="28"/>
          <w:u w:val="single"/>
          <w:lang w:val="en-US" w:eastAsia="zh-CN"/>
        </w:rPr>
        <w:t xml:space="preserve">    </w:t>
      </w:r>
      <w:r>
        <w:rPr>
          <w:rFonts w:hint="eastAsia" w:cs="宋体"/>
          <w:sz w:val="28"/>
          <w:szCs w:val="28"/>
          <w:u w:val="single"/>
          <w:lang w:eastAsia="zh-CN"/>
        </w:rPr>
        <w:t>（</w:t>
      </w:r>
      <w:r>
        <w:rPr>
          <w:rFonts w:hint="eastAsia" w:cs="宋体"/>
          <w:sz w:val="28"/>
          <w:szCs w:val="28"/>
          <w:u w:val="single"/>
          <w:lang w:val="en-US" w:eastAsia="zh-CN"/>
        </w:rPr>
        <w:t>标段名称</w:t>
      </w:r>
      <w:r>
        <w:rPr>
          <w:rFonts w:hint="eastAsia" w:cs="宋体"/>
          <w:sz w:val="28"/>
          <w:szCs w:val="28"/>
          <w:u w:val="single"/>
          <w:lang w:eastAsia="zh-CN"/>
        </w:rPr>
        <w:t>）</w:t>
      </w:r>
      <w:r>
        <w:rPr>
          <w:rFonts w:hint="eastAsia" w:cs="宋体"/>
          <w:sz w:val="28"/>
          <w:szCs w:val="28"/>
        </w:rPr>
        <w:t>施工招标</w:t>
      </w:r>
    </w:p>
    <w:p>
      <w:pPr>
        <w:jc w:val="center"/>
        <w:rPr>
          <w:sz w:val="28"/>
          <w:szCs w:val="28"/>
        </w:rPr>
      </w:pPr>
    </w:p>
    <w:p>
      <w:pPr>
        <w:spacing w:before="240"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980" w:firstLineChars="350"/>
        <w:rPr>
          <w:rFonts w:hint="eastAsia" w:cs="宋体"/>
          <w:sz w:val="28"/>
          <w:szCs w:val="28"/>
        </w:rPr>
      </w:pPr>
      <w:r>
        <w:rPr>
          <w:rFonts w:hint="eastAsia" w:cs="宋体"/>
          <w:sz w:val="28"/>
          <w:szCs w:val="28"/>
        </w:rPr>
        <w:t>所投分标：</w:t>
      </w:r>
      <w:r>
        <w:rPr>
          <w:rFonts w:hint="eastAsia" w:cs="宋体"/>
          <w:sz w:val="28"/>
          <w:szCs w:val="28"/>
          <w:u w:val="single"/>
          <w:lang w:val="en-US" w:eastAsia="zh-CN"/>
        </w:rPr>
        <w:t xml:space="preserve">                         </w:t>
      </w:r>
    </w:p>
    <w:p>
      <w:pPr>
        <w:spacing w:line="360" w:lineRule="auto"/>
        <w:ind w:firstLine="980" w:firstLineChars="350"/>
        <w:rPr>
          <w:sz w:val="28"/>
          <w:szCs w:val="28"/>
          <w:u w:val="single"/>
        </w:rPr>
      </w:pPr>
      <w:r>
        <w:rPr>
          <w:rFonts w:hint="eastAsia" w:cs="宋体"/>
          <w:sz w:val="28"/>
          <w:szCs w:val="28"/>
        </w:rPr>
        <w:t>投标内容：</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cs="宋体"/>
          <w:sz w:val="28"/>
          <w:szCs w:val="28"/>
          <w:u w:val="single"/>
        </w:rPr>
        <w:t>技术标部分</w:t>
      </w:r>
      <w:r>
        <w:rPr>
          <w:sz w:val="28"/>
          <w:szCs w:val="28"/>
          <w:u w:val="single"/>
        </w:rPr>
        <w:t xml:space="preserve">       </w:t>
      </w:r>
    </w:p>
    <w:p>
      <w:pPr>
        <w:spacing w:line="360" w:lineRule="auto"/>
        <w:ind w:firstLine="980" w:firstLineChars="350"/>
        <w:rPr>
          <w:sz w:val="28"/>
          <w:szCs w:val="28"/>
        </w:rPr>
      </w:pPr>
      <w:r>
        <w:rPr>
          <w:rFonts w:hint="eastAsia" w:cs="宋体"/>
          <w:sz w:val="28"/>
          <w:szCs w:val="28"/>
        </w:rPr>
        <w:t>投标人：</w:t>
      </w:r>
      <w:r>
        <w:rPr>
          <w:sz w:val="28"/>
          <w:szCs w:val="28"/>
          <w:u w:val="single"/>
        </w:rPr>
        <w:t xml:space="preserve">                               </w:t>
      </w:r>
      <w:r>
        <w:rPr>
          <w:rFonts w:hint="eastAsia" w:cs="宋体"/>
          <w:sz w:val="28"/>
          <w:szCs w:val="28"/>
        </w:rPr>
        <w:t>（</w:t>
      </w:r>
      <w:r>
        <w:rPr>
          <w:rFonts w:hint="eastAsia" w:cs="宋体"/>
          <w:sz w:val="28"/>
          <w:szCs w:val="28"/>
          <w:lang w:eastAsia="zh-CN"/>
        </w:rPr>
        <w:t>电子签章</w:t>
      </w:r>
      <w:r>
        <w:rPr>
          <w:rFonts w:hint="eastAsia" w:cs="宋体"/>
          <w:sz w:val="28"/>
          <w:szCs w:val="28"/>
        </w:rPr>
        <w:t>）</w:t>
      </w:r>
    </w:p>
    <w:p>
      <w:pPr>
        <w:spacing w:line="360" w:lineRule="auto"/>
        <w:ind w:firstLine="980" w:firstLineChars="350"/>
        <w:rPr>
          <w:sz w:val="28"/>
          <w:szCs w:val="28"/>
        </w:rPr>
      </w:pPr>
      <w:r>
        <w:rPr>
          <w:rFonts w:hint="eastAsia" w:cs="宋体"/>
          <w:sz w:val="28"/>
          <w:szCs w:val="28"/>
        </w:rPr>
        <w:t>法定代表人：</w:t>
      </w:r>
      <w:r>
        <w:rPr>
          <w:sz w:val="28"/>
          <w:szCs w:val="28"/>
          <w:u w:val="single"/>
        </w:rPr>
        <w:t xml:space="preserve">           </w:t>
      </w:r>
      <w:r>
        <w:rPr>
          <w:rFonts w:hint="eastAsia" w:cs="宋体"/>
          <w:sz w:val="28"/>
          <w:szCs w:val="28"/>
        </w:rPr>
        <w:t>（签字或签章）</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spacing w:line="360" w:lineRule="exact"/>
        <w:ind w:firstLine="560" w:firstLineChars="200"/>
        <w:jc w:val="center"/>
        <w:rPr>
          <w:b/>
          <w:bCs/>
          <w:sz w:val="28"/>
          <w:szCs w:val="28"/>
        </w:rPr>
      </w:pPr>
      <w:r>
        <w:rPr>
          <w:sz w:val="28"/>
          <w:szCs w:val="28"/>
        </w:rPr>
        <w:br w:type="page"/>
      </w:r>
      <w:bookmarkStart w:id="2253" w:name="_Toc172364022"/>
      <w:bookmarkStart w:id="2254" w:name="_Toc173579002"/>
      <w:bookmarkStart w:id="2255" w:name="_Toc251052160"/>
      <w:bookmarkStart w:id="2256" w:name="_Toc153274944"/>
      <w:r>
        <w:rPr>
          <w:rFonts w:hint="eastAsia" w:cs="宋体"/>
          <w:b/>
          <w:bCs/>
          <w:sz w:val="28"/>
          <w:szCs w:val="28"/>
        </w:rPr>
        <w:t>目</w:t>
      </w:r>
      <w:r>
        <w:rPr>
          <w:b/>
          <w:bCs/>
          <w:sz w:val="28"/>
          <w:szCs w:val="28"/>
        </w:rPr>
        <w:t xml:space="preserve">   </w:t>
      </w:r>
      <w:r>
        <w:rPr>
          <w:rFonts w:hint="eastAsia" w:cs="宋体"/>
          <w:b/>
          <w:bCs/>
          <w:sz w:val="28"/>
          <w:szCs w:val="28"/>
        </w:rPr>
        <w:t>录</w:t>
      </w:r>
    </w:p>
    <w:p>
      <w:pPr>
        <w:spacing w:line="360" w:lineRule="exact"/>
        <w:ind w:firstLine="640" w:firstLineChars="200"/>
        <w:rPr>
          <w:sz w:val="32"/>
          <w:szCs w:val="32"/>
        </w:rPr>
      </w:pPr>
    </w:p>
    <w:p>
      <w:pPr>
        <w:pStyle w:val="147"/>
        <w:spacing w:line="460" w:lineRule="exact"/>
      </w:pPr>
      <w:r>
        <w:rPr>
          <w:rFonts w:hint="eastAsia"/>
        </w:rPr>
        <w:t>一</w:t>
      </w:r>
      <w:r>
        <w:rPr>
          <w:rFonts w:hint="eastAsia" w:cs="宋体"/>
        </w:rPr>
        <w:t>、施工组织设计；</w:t>
      </w:r>
    </w:p>
    <w:p>
      <w:pPr>
        <w:pStyle w:val="153"/>
        <w:spacing w:line="460" w:lineRule="exact"/>
      </w:pPr>
      <w:r>
        <w:rPr>
          <w:rFonts w:hint="eastAsia"/>
        </w:rPr>
        <w:t>二</w:t>
      </w:r>
      <w:r>
        <w:rPr>
          <w:rFonts w:hint="eastAsia" w:cs="宋体"/>
        </w:rPr>
        <w:t>、拟分包计划表；</w:t>
      </w:r>
    </w:p>
    <w:p>
      <w:pPr>
        <w:pStyle w:val="153"/>
        <w:spacing w:line="460" w:lineRule="exact"/>
      </w:pPr>
      <w:r>
        <w:rPr>
          <w:rFonts w:hint="eastAsia"/>
        </w:rPr>
        <w:t>三</w:t>
      </w:r>
      <w:r>
        <w:rPr>
          <w:rFonts w:hint="eastAsia" w:cs="宋体"/>
        </w:rPr>
        <w:t>、项目管理机构。</w:t>
      </w:r>
    </w:p>
    <w:p>
      <w:pPr>
        <w:pStyle w:val="147"/>
        <w:rPr>
          <w:b/>
          <w:bCs/>
        </w:rPr>
      </w:pPr>
    </w:p>
    <w:p>
      <w:pPr>
        <w:pStyle w:val="147"/>
        <w:rPr>
          <w:b/>
          <w:bCs/>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p>
    <w:p>
      <w:pPr>
        <w:pStyle w:val="161"/>
        <w:rPr>
          <w:rFonts w:hint="eastAsia"/>
        </w:rPr>
      </w:pPr>
    </w:p>
    <w:p>
      <w:pPr>
        <w:spacing w:line="360" w:lineRule="exact"/>
        <w:ind w:firstLine="560" w:firstLineChars="200"/>
        <w:rPr>
          <w:sz w:val="28"/>
          <w:szCs w:val="28"/>
        </w:rPr>
      </w:pPr>
    </w:p>
    <w:p>
      <w:pPr>
        <w:spacing w:line="360" w:lineRule="exact"/>
        <w:ind w:firstLine="560" w:firstLineChars="200"/>
        <w:rPr>
          <w:rFonts w:hint="eastAsia"/>
          <w:sz w:val="28"/>
          <w:szCs w:val="28"/>
        </w:rPr>
      </w:pPr>
    </w:p>
    <w:p>
      <w:pPr>
        <w:rPr>
          <w:rFonts w:hint="eastAsia" w:ascii="宋体" w:hAnsi="宋体"/>
        </w:rPr>
      </w:pPr>
    </w:p>
    <w:p>
      <w:pPr>
        <w:pStyle w:val="147"/>
        <w:jc w:val="center"/>
        <w:outlineLvl w:val="0"/>
        <w:rPr>
          <w:b/>
          <w:bCs/>
          <w:sz w:val="24"/>
          <w:szCs w:val="24"/>
        </w:rPr>
      </w:pPr>
      <w:bookmarkStart w:id="2257" w:name="_Toc389065360"/>
      <w:r>
        <w:rPr>
          <w:rFonts w:hint="eastAsia" w:cs="宋体"/>
          <w:b/>
          <w:bCs/>
          <w:sz w:val="24"/>
          <w:szCs w:val="24"/>
        </w:rPr>
        <w:t>一、施工组织设计</w:t>
      </w:r>
      <w:bookmarkEnd w:id="2257"/>
    </w:p>
    <w:p/>
    <w:p>
      <w:pPr>
        <w:spacing w:line="360" w:lineRule="auto"/>
        <w:ind w:firstLine="420" w:firstLineChars="200"/>
        <w:rPr>
          <w:rFonts w:hint="eastAsia" w:ascii="宋体" w:hAnsi="宋体"/>
        </w:rPr>
      </w:pPr>
      <w:r>
        <w:rPr>
          <w:rFonts w:hint="eastAsia"/>
        </w:rPr>
        <w:t>一、</w:t>
      </w:r>
      <w:r>
        <w:rPr>
          <w:rFonts w:hint="eastAsia" w:ascii="宋体" w:hAnsi="宋体"/>
        </w:rPr>
        <w:t>技术标的</w:t>
      </w:r>
      <w:r>
        <w:t>施工组织</w:t>
      </w:r>
      <w:r>
        <w:rPr>
          <w:rFonts w:hint="eastAsia"/>
        </w:rPr>
        <w:t>设计</w:t>
      </w:r>
      <w:r>
        <w:rPr>
          <w:rFonts w:hint="eastAsia" w:ascii="宋体" w:hAnsi="宋体"/>
        </w:rPr>
        <w:t>编制要求：</w:t>
      </w:r>
    </w:p>
    <w:p>
      <w:pPr>
        <w:spacing w:line="360" w:lineRule="auto"/>
        <w:ind w:firstLine="567" w:firstLineChars="270"/>
        <w:rPr>
          <w:rFonts w:hint="eastAsia"/>
        </w:rPr>
      </w:pPr>
      <w:r>
        <w:rPr>
          <w:rFonts w:hint="eastAsia" w:ascii="宋体" w:hAnsi="宋体"/>
        </w:rPr>
        <w:t>1、技术标</w:t>
      </w:r>
      <w:r>
        <w:t>施工组织</w:t>
      </w:r>
      <w:r>
        <w:rPr>
          <w:rFonts w:hint="eastAsia"/>
        </w:rPr>
        <w:t>设计</w:t>
      </w:r>
      <w:r>
        <w:rPr>
          <w:rFonts w:hint="eastAsia" w:ascii="宋体" w:hAnsi="宋体"/>
        </w:rPr>
        <w:t>应</w:t>
      </w:r>
      <w:r>
        <w:rPr>
          <w:rFonts w:hint="eastAsia"/>
        </w:rPr>
        <w:t>按投标人须知3.1.</w:t>
      </w:r>
      <w:r>
        <w:t>1</w:t>
      </w:r>
      <w:r>
        <w:rPr>
          <w:rFonts w:hint="eastAsia"/>
        </w:rPr>
        <w:t>.3</w:t>
      </w:r>
      <w:r>
        <w:t>施工组织</w:t>
      </w:r>
      <w:r>
        <w:rPr>
          <w:rFonts w:hint="eastAsia"/>
        </w:rPr>
        <w:t>设计要求的内容顺序编制，可</w:t>
      </w:r>
      <w:r>
        <w:rPr>
          <w:rFonts w:hint="eastAsia" w:ascii="宋体" w:hAnsi="宋体"/>
        </w:rPr>
        <w:t>采用文字并结合图表形式说明施工方法</w:t>
      </w:r>
      <w:r>
        <w:rPr>
          <w:rFonts w:hint="eastAsia"/>
        </w:rPr>
        <w:t>。</w:t>
      </w:r>
    </w:p>
    <w:p>
      <w:pPr>
        <w:spacing w:line="360" w:lineRule="auto"/>
        <w:ind w:firstLine="567" w:firstLineChars="270"/>
        <w:rPr>
          <w:rFonts w:ascii="宋体" w:hAnsi="宋体"/>
        </w:rPr>
      </w:pPr>
      <w:r>
        <w:rPr>
          <w:rFonts w:hint="eastAsia" w:ascii="宋体" w:hAnsi="宋体"/>
        </w:rPr>
        <w:t>2、技术标</w:t>
      </w:r>
      <w:r>
        <w:t>施工组织</w:t>
      </w:r>
      <w:r>
        <w:rPr>
          <w:rFonts w:hint="eastAsia"/>
        </w:rPr>
        <w:t>设计</w:t>
      </w:r>
      <w:r>
        <w:rPr>
          <w:rFonts w:hint="eastAsia" w:ascii="宋体" w:hAnsi="宋体"/>
        </w:rPr>
        <w:t>除采用文字表述外可附下列图表，图表及格式要求附后。</w:t>
      </w:r>
    </w:p>
    <w:p>
      <w:pPr>
        <w:spacing w:line="460" w:lineRule="exact"/>
        <w:ind w:firstLine="420" w:firstLineChars="200"/>
      </w:pPr>
      <w:r>
        <w:rPr>
          <w:rFonts w:hint="eastAsia" w:cs="宋体"/>
        </w:rPr>
        <w:t>附表一</w:t>
      </w:r>
      <w:r>
        <w:t xml:space="preserve">  </w:t>
      </w:r>
      <w:r>
        <w:rPr>
          <w:rFonts w:hint="eastAsia" w:cs="宋体"/>
        </w:rPr>
        <w:t>拟投入本工程的主要施工设备表</w:t>
      </w:r>
    </w:p>
    <w:p>
      <w:pPr>
        <w:spacing w:line="460" w:lineRule="exact"/>
        <w:ind w:firstLine="420" w:firstLineChars="200"/>
      </w:pPr>
      <w:r>
        <w:rPr>
          <w:rFonts w:hint="eastAsia" w:cs="宋体"/>
        </w:rPr>
        <w:t>附表二</w:t>
      </w:r>
      <w:r>
        <w:t xml:space="preserve">  </w:t>
      </w:r>
      <w:r>
        <w:rPr>
          <w:rFonts w:hint="eastAsia" w:cs="宋体"/>
        </w:rPr>
        <w:t>拟配备本工程的试验和检测仪器设备表</w:t>
      </w:r>
    </w:p>
    <w:p>
      <w:pPr>
        <w:spacing w:line="460" w:lineRule="exact"/>
        <w:ind w:firstLine="420" w:firstLineChars="200"/>
      </w:pPr>
      <w:r>
        <w:rPr>
          <w:rFonts w:hint="eastAsia" w:cs="宋体"/>
        </w:rPr>
        <w:t>附表三</w:t>
      </w:r>
      <w:r>
        <w:t xml:space="preserve">  </w:t>
      </w:r>
      <w:r>
        <w:rPr>
          <w:rFonts w:hint="eastAsia" w:cs="宋体"/>
        </w:rPr>
        <w:t>劳动力计划表</w:t>
      </w:r>
    </w:p>
    <w:p>
      <w:pPr>
        <w:spacing w:line="460" w:lineRule="exact"/>
        <w:ind w:firstLine="420" w:firstLineChars="200"/>
      </w:pPr>
      <w:r>
        <w:rPr>
          <w:rFonts w:hint="eastAsia" w:cs="宋体"/>
        </w:rPr>
        <w:t>附表四</w:t>
      </w:r>
      <w:r>
        <w:t xml:space="preserve">  </w:t>
      </w:r>
      <w:r>
        <w:rPr>
          <w:rFonts w:hint="eastAsia" w:cs="宋体"/>
        </w:rPr>
        <w:t>计划开、竣工日期和施工进度计划（网络图或横道图）</w:t>
      </w:r>
    </w:p>
    <w:p>
      <w:pPr>
        <w:spacing w:line="460" w:lineRule="exact"/>
        <w:ind w:firstLine="420" w:firstLineChars="200"/>
      </w:pPr>
      <w:r>
        <w:rPr>
          <w:rFonts w:hint="eastAsia" w:cs="宋体"/>
        </w:rPr>
        <w:t>附表五</w:t>
      </w:r>
      <w:r>
        <w:t xml:space="preserve">  </w:t>
      </w:r>
      <w:r>
        <w:rPr>
          <w:rFonts w:hint="eastAsia" w:cs="宋体"/>
        </w:rPr>
        <w:t>施工总平面图</w:t>
      </w:r>
    </w:p>
    <w:p>
      <w:pPr>
        <w:spacing w:line="460" w:lineRule="exact"/>
        <w:ind w:firstLine="420" w:firstLineChars="200"/>
      </w:pPr>
      <w:r>
        <w:rPr>
          <w:rFonts w:hint="eastAsia" w:cs="宋体"/>
        </w:rPr>
        <w:t>附表六</w:t>
      </w:r>
      <w:r>
        <w:t xml:space="preserve">  </w:t>
      </w:r>
      <w:r>
        <w:rPr>
          <w:rFonts w:hint="eastAsia" w:cs="宋体"/>
        </w:rPr>
        <w:t>临时用地表</w:t>
      </w:r>
    </w:p>
    <w:p>
      <w:pPr>
        <w:spacing w:line="360" w:lineRule="auto"/>
        <w:ind w:firstLine="420" w:firstLineChars="200"/>
      </w:pPr>
      <w:r>
        <w:rPr>
          <w:rFonts w:ascii="宋体" w:hAnsi="宋体"/>
        </w:rPr>
        <w:br w:type="page"/>
      </w:r>
      <w:bookmarkEnd w:id="2253"/>
      <w:bookmarkEnd w:id="2254"/>
      <w:bookmarkEnd w:id="2255"/>
      <w:bookmarkEnd w:id="2256"/>
      <w:r>
        <w:rPr>
          <w:rFonts w:hint="eastAsia" w:cs="宋体"/>
        </w:rPr>
        <w:t>附表一：拟投入本工程的主要施工设备表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jc w:val="center"/>
            </w:pPr>
            <w:r>
              <w:rPr>
                <w:rFonts w:hint="eastAsia" w:cs="宋体"/>
              </w:rPr>
              <w:t>序号</w:t>
            </w:r>
          </w:p>
        </w:tc>
        <w:tc>
          <w:tcPr>
            <w:tcW w:w="1226" w:type="dxa"/>
            <w:noWrap w:val="0"/>
            <w:vAlign w:val="center"/>
          </w:tcPr>
          <w:p>
            <w:pPr>
              <w:jc w:val="center"/>
            </w:pPr>
            <w:r>
              <w:rPr>
                <w:rFonts w:hint="eastAsia" w:cs="宋体"/>
              </w:rPr>
              <w:t>设备名称</w:t>
            </w:r>
          </w:p>
        </w:tc>
        <w:tc>
          <w:tcPr>
            <w:tcW w:w="851" w:type="dxa"/>
            <w:noWrap w:val="0"/>
            <w:vAlign w:val="center"/>
          </w:tcPr>
          <w:p>
            <w:pPr>
              <w:jc w:val="center"/>
            </w:pPr>
            <w:r>
              <w:rPr>
                <w:rFonts w:hint="eastAsia" w:cs="宋体"/>
              </w:rPr>
              <w:t>型号</w:t>
            </w:r>
          </w:p>
          <w:p>
            <w:pPr>
              <w:jc w:val="center"/>
            </w:pPr>
            <w:r>
              <w:rPr>
                <w:rFonts w:hint="eastAsia" w:cs="宋体"/>
              </w:rPr>
              <w:t>规格</w:t>
            </w:r>
          </w:p>
        </w:tc>
        <w:tc>
          <w:tcPr>
            <w:tcW w:w="708" w:type="dxa"/>
            <w:noWrap w:val="0"/>
            <w:vAlign w:val="center"/>
          </w:tcPr>
          <w:p>
            <w:pPr>
              <w:jc w:val="center"/>
            </w:pPr>
            <w:r>
              <w:rPr>
                <w:rFonts w:hint="eastAsia" w:cs="宋体"/>
              </w:rPr>
              <w:t>数量</w:t>
            </w:r>
          </w:p>
        </w:tc>
        <w:tc>
          <w:tcPr>
            <w:tcW w:w="709" w:type="dxa"/>
            <w:noWrap w:val="0"/>
            <w:vAlign w:val="center"/>
          </w:tcPr>
          <w:p>
            <w:pPr>
              <w:jc w:val="center"/>
            </w:pPr>
            <w:r>
              <w:rPr>
                <w:rFonts w:hint="eastAsia" w:cs="宋体"/>
              </w:rPr>
              <w:t>国别</w:t>
            </w:r>
          </w:p>
          <w:p>
            <w:pPr>
              <w:jc w:val="center"/>
            </w:pPr>
            <w:r>
              <w:rPr>
                <w:rFonts w:hint="eastAsia" w:cs="宋体"/>
              </w:rPr>
              <w:t>产地</w:t>
            </w:r>
          </w:p>
        </w:tc>
        <w:tc>
          <w:tcPr>
            <w:tcW w:w="851" w:type="dxa"/>
            <w:noWrap w:val="0"/>
            <w:vAlign w:val="center"/>
          </w:tcPr>
          <w:p>
            <w:pPr>
              <w:jc w:val="center"/>
            </w:pPr>
            <w:r>
              <w:rPr>
                <w:rFonts w:hint="eastAsia" w:cs="宋体"/>
              </w:rPr>
              <w:t>制造</w:t>
            </w:r>
          </w:p>
          <w:p>
            <w:pPr>
              <w:jc w:val="center"/>
            </w:pPr>
            <w:r>
              <w:rPr>
                <w:rFonts w:hint="eastAsia" w:cs="宋体"/>
              </w:rPr>
              <w:t>年份</w:t>
            </w:r>
          </w:p>
        </w:tc>
        <w:tc>
          <w:tcPr>
            <w:tcW w:w="1134" w:type="dxa"/>
            <w:noWrap w:val="0"/>
            <w:vAlign w:val="center"/>
          </w:tcPr>
          <w:p>
            <w:pPr>
              <w:jc w:val="center"/>
            </w:pPr>
            <w:r>
              <w:rPr>
                <w:rFonts w:hint="eastAsia" w:cs="宋体"/>
              </w:rPr>
              <w:t>额定功率</w:t>
            </w:r>
          </w:p>
          <w:p>
            <w:pPr>
              <w:jc w:val="center"/>
            </w:pPr>
            <w:r>
              <w:rPr>
                <w:rFonts w:hint="eastAsia" w:cs="宋体"/>
              </w:rPr>
              <w:t>（</w:t>
            </w:r>
            <w:r>
              <w:t>KW</w:t>
            </w:r>
            <w:r>
              <w:rPr>
                <w:rFonts w:hint="eastAsia" w:cs="宋体"/>
              </w:rPr>
              <w:t>）</w:t>
            </w:r>
          </w:p>
        </w:tc>
        <w:tc>
          <w:tcPr>
            <w:tcW w:w="992" w:type="dxa"/>
            <w:noWrap w:val="0"/>
            <w:vAlign w:val="center"/>
          </w:tcPr>
          <w:p>
            <w:pPr>
              <w:jc w:val="center"/>
            </w:pPr>
            <w:r>
              <w:rPr>
                <w:rFonts w:hint="eastAsia" w:cs="宋体"/>
              </w:rPr>
              <w:t>生产</w:t>
            </w:r>
          </w:p>
          <w:p>
            <w:pPr>
              <w:jc w:val="center"/>
            </w:pPr>
            <w:r>
              <w:rPr>
                <w:rFonts w:hint="eastAsia" w:cs="宋体"/>
              </w:rPr>
              <w:t>能力</w:t>
            </w:r>
          </w:p>
        </w:tc>
        <w:tc>
          <w:tcPr>
            <w:tcW w:w="1134" w:type="dxa"/>
            <w:noWrap w:val="0"/>
            <w:vAlign w:val="center"/>
          </w:tcPr>
          <w:p>
            <w:pPr>
              <w:jc w:val="center"/>
            </w:pPr>
            <w:r>
              <w:rPr>
                <w:rFonts w:hint="eastAsia" w:cs="宋体"/>
              </w:rPr>
              <w:t>用于施</w:t>
            </w:r>
          </w:p>
          <w:p>
            <w:pPr>
              <w:jc w:val="center"/>
            </w:pPr>
            <w:r>
              <w:rPr>
                <w:rFonts w:hint="eastAsia" w:cs="宋体"/>
              </w:rPr>
              <w:t>工部位</w:t>
            </w:r>
          </w:p>
        </w:tc>
        <w:tc>
          <w:tcPr>
            <w:tcW w:w="992" w:type="dxa"/>
            <w:noWrap w:val="0"/>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ind w:firstLine="420" w:firstLineChars="200"/>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bl>
    <w:p/>
    <w:p/>
    <w:p>
      <w:r>
        <w:rPr>
          <w:rFonts w:hint="eastAsia" w:cs="宋体"/>
        </w:rPr>
        <w:t>附表二：拟配备本工程的试验和检测仪器设备表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jc w:val="center"/>
            </w:pPr>
            <w:r>
              <w:rPr>
                <w:rFonts w:hint="eastAsia" w:cs="宋体"/>
              </w:rPr>
              <w:t>序号</w:t>
            </w:r>
          </w:p>
        </w:tc>
        <w:tc>
          <w:tcPr>
            <w:tcW w:w="1226" w:type="dxa"/>
            <w:noWrap w:val="0"/>
            <w:vAlign w:val="center"/>
          </w:tcPr>
          <w:p>
            <w:pPr>
              <w:jc w:val="center"/>
            </w:pPr>
            <w:r>
              <w:rPr>
                <w:rFonts w:hint="eastAsia" w:cs="宋体"/>
              </w:rPr>
              <w:t>仪器设备名称</w:t>
            </w:r>
          </w:p>
        </w:tc>
        <w:tc>
          <w:tcPr>
            <w:tcW w:w="851" w:type="dxa"/>
            <w:noWrap w:val="0"/>
            <w:vAlign w:val="center"/>
          </w:tcPr>
          <w:p>
            <w:pPr>
              <w:jc w:val="center"/>
            </w:pPr>
            <w:r>
              <w:rPr>
                <w:rFonts w:hint="eastAsia" w:cs="宋体"/>
              </w:rPr>
              <w:t>型号</w:t>
            </w:r>
          </w:p>
          <w:p>
            <w:pPr>
              <w:jc w:val="center"/>
            </w:pPr>
            <w:r>
              <w:rPr>
                <w:rFonts w:hint="eastAsia" w:cs="宋体"/>
              </w:rPr>
              <w:t>规格</w:t>
            </w:r>
          </w:p>
        </w:tc>
        <w:tc>
          <w:tcPr>
            <w:tcW w:w="708" w:type="dxa"/>
            <w:noWrap w:val="0"/>
            <w:vAlign w:val="center"/>
          </w:tcPr>
          <w:p>
            <w:pPr>
              <w:jc w:val="center"/>
            </w:pPr>
            <w:r>
              <w:rPr>
                <w:rFonts w:hint="eastAsia" w:cs="宋体"/>
              </w:rPr>
              <w:t>数量</w:t>
            </w:r>
          </w:p>
        </w:tc>
        <w:tc>
          <w:tcPr>
            <w:tcW w:w="709" w:type="dxa"/>
            <w:noWrap w:val="0"/>
            <w:vAlign w:val="center"/>
          </w:tcPr>
          <w:p>
            <w:pPr>
              <w:jc w:val="center"/>
            </w:pPr>
            <w:r>
              <w:rPr>
                <w:rFonts w:hint="eastAsia" w:cs="宋体"/>
              </w:rPr>
              <w:t>国别</w:t>
            </w:r>
          </w:p>
          <w:p>
            <w:pPr>
              <w:jc w:val="center"/>
            </w:pPr>
            <w:r>
              <w:rPr>
                <w:rFonts w:hint="eastAsia" w:cs="宋体"/>
              </w:rPr>
              <w:t>产地</w:t>
            </w:r>
          </w:p>
        </w:tc>
        <w:tc>
          <w:tcPr>
            <w:tcW w:w="1134" w:type="dxa"/>
            <w:noWrap w:val="0"/>
            <w:vAlign w:val="center"/>
          </w:tcPr>
          <w:p>
            <w:pPr>
              <w:jc w:val="center"/>
            </w:pPr>
            <w:r>
              <w:rPr>
                <w:rFonts w:hint="eastAsia" w:cs="宋体"/>
              </w:rPr>
              <w:t>制造年份</w:t>
            </w:r>
          </w:p>
        </w:tc>
        <w:tc>
          <w:tcPr>
            <w:tcW w:w="1276" w:type="dxa"/>
            <w:noWrap w:val="0"/>
            <w:vAlign w:val="center"/>
          </w:tcPr>
          <w:p>
            <w:pPr>
              <w:jc w:val="center"/>
            </w:pPr>
            <w:r>
              <w:rPr>
                <w:rFonts w:hint="eastAsia" w:cs="宋体"/>
              </w:rPr>
              <w:t>已使用</w:t>
            </w:r>
          </w:p>
          <w:p>
            <w:pPr>
              <w:jc w:val="center"/>
            </w:pPr>
            <w:r>
              <w:rPr>
                <w:rFonts w:hint="eastAsia" w:cs="宋体"/>
              </w:rPr>
              <w:t>台时数</w:t>
            </w:r>
          </w:p>
        </w:tc>
        <w:tc>
          <w:tcPr>
            <w:tcW w:w="1134" w:type="dxa"/>
            <w:noWrap w:val="0"/>
            <w:vAlign w:val="center"/>
          </w:tcPr>
          <w:p>
            <w:pPr>
              <w:jc w:val="center"/>
            </w:pPr>
            <w:r>
              <w:rPr>
                <w:rFonts w:hint="eastAsia" w:cs="宋体"/>
              </w:rPr>
              <w:t>用途</w:t>
            </w:r>
          </w:p>
        </w:tc>
        <w:tc>
          <w:tcPr>
            <w:tcW w:w="1559" w:type="dxa"/>
            <w:noWrap w:val="0"/>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pPr>
          </w:p>
        </w:tc>
        <w:tc>
          <w:tcPr>
            <w:tcW w:w="1226" w:type="dxa"/>
            <w:noWrap w:val="0"/>
            <w:vAlign w:val="center"/>
          </w:tcPr>
          <w:p>
            <w:pPr>
              <w:spacing w:line="360" w:lineRule="auto"/>
              <w:ind w:firstLine="420" w:firstLineChars="200"/>
            </w:pPr>
          </w:p>
        </w:tc>
        <w:tc>
          <w:tcPr>
            <w:tcW w:w="851" w:type="dxa"/>
            <w:noWrap w:val="0"/>
            <w:vAlign w:val="center"/>
          </w:tcPr>
          <w:p>
            <w:pPr>
              <w:spacing w:line="360" w:lineRule="auto"/>
              <w:ind w:firstLine="420" w:firstLineChars="200"/>
            </w:pPr>
          </w:p>
        </w:tc>
        <w:tc>
          <w:tcPr>
            <w:tcW w:w="708" w:type="dxa"/>
            <w:noWrap w:val="0"/>
            <w:vAlign w:val="center"/>
          </w:tcPr>
          <w:p>
            <w:pPr>
              <w:spacing w:line="360" w:lineRule="auto"/>
              <w:ind w:firstLine="420" w:firstLineChars="200"/>
            </w:pPr>
          </w:p>
        </w:tc>
        <w:tc>
          <w:tcPr>
            <w:tcW w:w="709"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276"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559" w:type="dxa"/>
            <w:noWrap w:val="0"/>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pPr>
          </w:p>
        </w:tc>
        <w:tc>
          <w:tcPr>
            <w:tcW w:w="1226" w:type="dxa"/>
            <w:noWrap w:val="0"/>
            <w:vAlign w:val="center"/>
          </w:tcPr>
          <w:p>
            <w:pPr>
              <w:spacing w:line="360" w:lineRule="auto"/>
              <w:ind w:firstLine="420" w:firstLineChars="200"/>
            </w:pPr>
          </w:p>
        </w:tc>
        <w:tc>
          <w:tcPr>
            <w:tcW w:w="851" w:type="dxa"/>
            <w:noWrap w:val="0"/>
            <w:vAlign w:val="center"/>
          </w:tcPr>
          <w:p>
            <w:pPr>
              <w:spacing w:line="360" w:lineRule="auto"/>
              <w:ind w:firstLine="420" w:firstLineChars="200"/>
            </w:pPr>
          </w:p>
        </w:tc>
        <w:tc>
          <w:tcPr>
            <w:tcW w:w="708" w:type="dxa"/>
            <w:noWrap w:val="0"/>
            <w:vAlign w:val="center"/>
          </w:tcPr>
          <w:p>
            <w:pPr>
              <w:spacing w:line="360" w:lineRule="auto"/>
              <w:ind w:firstLine="420" w:firstLineChars="200"/>
            </w:pPr>
          </w:p>
        </w:tc>
        <w:tc>
          <w:tcPr>
            <w:tcW w:w="709"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276"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559" w:type="dxa"/>
            <w:noWrap w:val="0"/>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pPr>
          </w:p>
        </w:tc>
        <w:tc>
          <w:tcPr>
            <w:tcW w:w="1226" w:type="dxa"/>
            <w:noWrap w:val="0"/>
            <w:vAlign w:val="center"/>
          </w:tcPr>
          <w:p>
            <w:pPr>
              <w:spacing w:line="360" w:lineRule="auto"/>
              <w:ind w:firstLine="420" w:firstLineChars="200"/>
            </w:pPr>
          </w:p>
        </w:tc>
        <w:tc>
          <w:tcPr>
            <w:tcW w:w="851" w:type="dxa"/>
            <w:noWrap w:val="0"/>
            <w:vAlign w:val="center"/>
          </w:tcPr>
          <w:p>
            <w:pPr>
              <w:spacing w:line="360" w:lineRule="auto"/>
              <w:ind w:firstLine="420" w:firstLineChars="200"/>
            </w:pPr>
          </w:p>
        </w:tc>
        <w:tc>
          <w:tcPr>
            <w:tcW w:w="708" w:type="dxa"/>
            <w:noWrap w:val="0"/>
            <w:vAlign w:val="center"/>
          </w:tcPr>
          <w:p>
            <w:pPr>
              <w:spacing w:line="360" w:lineRule="auto"/>
              <w:ind w:firstLine="420" w:firstLineChars="200"/>
            </w:pPr>
          </w:p>
        </w:tc>
        <w:tc>
          <w:tcPr>
            <w:tcW w:w="709"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276"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559" w:type="dxa"/>
            <w:noWrap w:val="0"/>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pPr>
          </w:p>
        </w:tc>
        <w:tc>
          <w:tcPr>
            <w:tcW w:w="1226" w:type="dxa"/>
            <w:noWrap w:val="0"/>
            <w:vAlign w:val="center"/>
          </w:tcPr>
          <w:p>
            <w:pPr>
              <w:spacing w:line="360" w:lineRule="auto"/>
              <w:ind w:firstLine="420" w:firstLineChars="200"/>
            </w:pPr>
          </w:p>
        </w:tc>
        <w:tc>
          <w:tcPr>
            <w:tcW w:w="851" w:type="dxa"/>
            <w:noWrap w:val="0"/>
            <w:vAlign w:val="center"/>
          </w:tcPr>
          <w:p>
            <w:pPr>
              <w:spacing w:line="360" w:lineRule="auto"/>
              <w:ind w:firstLine="420" w:firstLineChars="200"/>
            </w:pPr>
          </w:p>
        </w:tc>
        <w:tc>
          <w:tcPr>
            <w:tcW w:w="708" w:type="dxa"/>
            <w:noWrap w:val="0"/>
            <w:vAlign w:val="center"/>
          </w:tcPr>
          <w:p>
            <w:pPr>
              <w:spacing w:line="360" w:lineRule="auto"/>
              <w:ind w:firstLine="420" w:firstLineChars="200"/>
            </w:pPr>
          </w:p>
        </w:tc>
        <w:tc>
          <w:tcPr>
            <w:tcW w:w="709"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276"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559" w:type="dxa"/>
            <w:noWrap w:val="0"/>
            <w:vAlign w:val="center"/>
          </w:tcPr>
          <w:p>
            <w:pPr>
              <w:spacing w:line="360" w:lineRule="auto"/>
              <w:ind w:firstLine="420" w:firstLineChars="200"/>
            </w:pPr>
          </w:p>
        </w:tc>
      </w:tr>
    </w:tbl>
    <w:p/>
    <w:p/>
    <w:p/>
    <w:p>
      <w:r>
        <w:rPr>
          <w:rFonts w:hint="eastAsia" w:cs="宋体"/>
        </w:rPr>
        <w:t>附表三：劳动力计划表</w:t>
      </w:r>
    </w:p>
    <w:p>
      <w:pPr>
        <w:ind w:firstLine="7245" w:firstLineChars="3450"/>
      </w:pPr>
      <w:r>
        <w:t xml:space="preserve">    </w:t>
      </w:r>
      <w:r>
        <w:rPr>
          <w:rFonts w:hint="eastAsia" w:cs="宋体"/>
        </w:rPr>
        <w:t>单位：人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r>
              <w:rPr>
                <w:rFonts w:hint="eastAsia" w:cs="宋体"/>
              </w:rPr>
              <w:t>工种</w:t>
            </w:r>
          </w:p>
        </w:tc>
        <w:tc>
          <w:tcPr>
            <w:tcW w:w="8506" w:type="dxa"/>
            <w:gridSpan w:val="7"/>
            <w:noWrap w:val="0"/>
            <w:vAlign w:val="center"/>
          </w:tcPr>
          <w:p>
            <w:pPr>
              <w:spacing w:line="360" w:lineRule="auto"/>
              <w:jc w:val="center"/>
            </w:pPr>
            <w:r>
              <w:rPr>
                <w:rFonts w:hint="eastAsia" w:cs="宋体"/>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bl>
    <w:p/>
    <w:p>
      <w:pPr>
        <w:rPr>
          <w:b/>
          <w:bCs/>
          <w:sz w:val="18"/>
          <w:szCs w:val="18"/>
        </w:rPr>
      </w:pPr>
    </w:p>
    <w:p>
      <w:r>
        <w:rPr>
          <w:rFonts w:hint="eastAsia" w:cs="宋体"/>
        </w:rPr>
        <w:t>附表四：计划开、竣工日期和施工进度计划（网络图或横道图）</w:t>
      </w:r>
    </w:p>
    <w:p>
      <w:pPr>
        <w:spacing w:line="460" w:lineRule="exact"/>
        <w:ind w:left="-6" w:firstLine="420"/>
      </w:pPr>
      <w:r>
        <w:t xml:space="preserve">1. </w:t>
      </w:r>
      <w:r>
        <w:rPr>
          <w:rFonts w:hint="eastAsia" w:cs="宋体"/>
        </w:rPr>
        <w:t>投标人应提交施工进度计划，说明按招标文件要求的工期进行施工的各个关键日期。中标的投标人还应按合同条件有关条款的要求提交详细的施工进度计划。</w:t>
      </w:r>
    </w:p>
    <w:p>
      <w:pPr>
        <w:spacing w:line="460" w:lineRule="exact"/>
        <w:ind w:left="-6" w:firstLine="420"/>
      </w:pPr>
      <w:r>
        <w:t xml:space="preserve">2. </w:t>
      </w:r>
      <w:r>
        <w:rPr>
          <w:rFonts w:hint="eastAsia" w:cs="宋体"/>
        </w:rPr>
        <w:t>施工进度计划可采用网络图（或横道图）表示，说明计划开工日期和各分项工程各阶段的完工日期和分包合同签订的日期。</w:t>
      </w:r>
    </w:p>
    <w:p>
      <w:pPr>
        <w:spacing w:line="460" w:lineRule="exact"/>
        <w:ind w:left="-6" w:firstLine="420"/>
      </w:pPr>
      <w:r>
        <w:t xml:space="preserve">3. </w:t>
      </w:r>
      <w:r>
        <w:rPr>
          <w:rFonts w:hint="eastAsia" w:cs="宋体"/>
        </w:rPr>
        <w:t>施工进度计划应与施工组织设计相适应。</w:t>
      </w:r>
    </w:p>
    <w:p>
      <w:pPr>
        <w:spacing w:line="360" w:lineRule="auto"/>
        <w:ind w:left="-6" w:firstLine="420"/>
      </w:pPr>
    </w:p>
    <w:p/>
    <w:p>
      <w:r>
        <w:rPr>
          <w:rFonts w:hint="eastAsia" w:cs="宋体"/>
        </w:rPr>
        <w:t>附表五：施工总平面图</w:t>
      </w:r>
    </w:p>
    <w:p>
      <w:pPr>
        <w:spacing w:line="460" w:lineRule="exact"/>
        <w:ind w:firstLine="420" w:firstLineChars="200"/>
      </w:pPr>
      <w:r>
        <w:rPr>
          <w:rFonts w:hint="eastAsia" w:cs="宋体"/>
        </w:rPr>
        <w:t>投标人应递交一份施工总平面图，绘出现场临时设施布置图表并附文字说明，说明临时设施、加工车间、现场办公、设备及仓储、供电、供水、卫生、生活、道路、消防等设施的情况和布置。</w:t>
      </w:r>
    </w:p>
    <w:p/>
    <w:p/>
    <w:p>
      <w:r>
        <w:rPr>
          <w:rFonts w:hint="eastAsia" w:cs="宋体"/>
        </w:rPr>
        <w:t>附表六：临时用地表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pPr>
            <w:r>
              <w:rPr>
                <w:rFonts w:hint="eastAsia" w:cs="宋体"/>
              </w:rPr>
              <w:t>用途</w:t>
            </w:r>
          </w:p>
        </w:tc>
        <w:tc>
          <w:tcPr>
            <w:tcW w:w="2357" w:type="dxa"/>
            <w:noWrap w:val="0"/>
            <w:vAlign w:val="center"/>
          </w:tcPr>
          <w:p>
            <w:pPr>
              <w:jc w:val="center"/>
            </w:pPr>
            <w:r>
              <w:rPr>
                <w:rFonts w:hint="eastAsia" w:cs="宋体"/>
              </w:rPr>
              <w:t>面积（平方米）</w:t>
            </w:r>
          </w:p>
        </w:tc>
        <w:tc>
          <w:tcPr>
            <w:tcW w:w="2356" w:type="dxa"/>
            <w:noWrap w:val="0"/>
            <w:vAlign w:val="center"/>
          </w:tcPr>
          <w:p>
            <w:pPr>
              <w:jc w:val="center"/>
            </w:pPr>
            <w:r>
              <w:rPr>
                <w:rFonts w:hint="eastAsia" w:cs="宋体"/>
              </w:rPr>
              <w:t>位置</w:t>
            </w:r>
          </w:p>
        </w:tc>
        <w:tc>
          <w:tcPr>
            <w:tcW w:w="2357" w:type="dxa"/>
            <w:noWrap w:val="0"/>
            <w:vAlign w:val="center"/>
          </w:tcPr>
          <w:p>
            <w:pPr>
              <w:jc w:val="center"/>
            </w:pPr>
            <w:r>
              <w:rPr>
                <w:rFonts w:hint="eastAsia" w:cs="宋体"/>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tc>
        <w:tc>
          <w:tcPr>
            <w:tcW w:w="2357" w:type="dxa"/>
            <w:noWrap w:val="0"/>
            <w:vAlign w:val="top"/>
          </w:tcPr>
          <w:p/>
        </w:tc>
        <w:tc>
          <w:tcPr>
            <w:tcW w:w="2356" w:type="dxa"/>
            <w:noWrap w:val="0"/>
            <w:vAlign w:val="top"/>
          </w:tcPr>
          <w:p/>
        </w:tc>
        <w:tc>
          <w:tcPr>
            <w:tcW w:w="2357"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tc>
        <w:tc>
          <w:tcPr>
            <w:tcW w:w="2357" w:type="dxa"/>
            <w:noWrap w:val="0"/>
            <w:vAlign w:val="top"/>
          </w:tcPr>
          <w:p/>
        </w:tc>
        <w:tc>
          <w:tcPr>
            <w:tcW w:w="2356" w:type="dxa"/>
            <w:noWrap w:val="0"/>
            <w:vAlign w:val="top"/>
          </w:tcPr>
          <w:p/>
        </w:tc>
        <w:tc>
          <w:tcPr>
            <w:tcW w:w="2357"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tc>
        <w:tc>
          <w:tcPr>
            <w:tcW w:w="2357" w:type="dxa"/>
            <w:noWrap w:val="0"/>
            <w:vAlign w:val="top"/>
          </w:tcPr>
          <w:p/>
        </w:tc>
        <w:tc>
          <w:tcPr>
            <w:tcW w:w="2356" w:type="dxa"/>
            <w:noWrap w:val="0"/>
            <w:vAlign w:val="top"/>
          </w:tcPr>
          <w:p/>
        </w:tc>
        <w:tc>
          <w:tcPr>
            <w:tcW w:w="2357"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tc>
        <w:tc>
          <w:tcPr>
            <w:tcW w:w="2357" w:type="dxa"/>
            <w:noWrap w:val="0"/>
            <w:vAlign w:val="top"/>
          </w:tcPr>
          <w:p/>
        </w:tc>
        <w:tc>
          <w:tcPr>
            <w:tcW w:w="2356" w:type="dxa"/>
            <w:noWrap w:val="0"/>
            <w:vAlign w:val="top"/>
          </w:tcPr>
          <w:p/>
        </w:tc>
        <w:tc>
          <w:tcPr>
            <w:tcW w:w="2357" w:type="dxa"/>
            <w:noWrap w:val="0"/>
            <w:vAlign w:val="top"/>
          </w:tcPr>
          <w:p/>
        </w:tc>
      </w:tr>
    </w:tbl>
    <w:p/>
    <w:p/>
    <w:p>
      <w:pPr>
        <w:rPr>
          <w:rFonts w:hint="eastAsia"/>
        </w:rPr>
      </w:pPr>
    </w:p>
    <w:p>
      <w:pPr>
        <w:pStyle w:val="147"/>
        <w:jc w:val="center"/>
        <w:outlineLvl w:val="0"/>
        <w:rPr>
          <w:b/>
          <w:bCs/>
          <w:sz w:val="24"/>
          <w:szCs w:val="24"/>
        </w:rPr>
      </w:pPr>
      <w:bookmarkStart w:id="2258" w:name="_Toc389065361"/>
      <w:r>
        <w:rPr>
          <w:rFonts w:hint="eastAsia" w:cs="宋体"/>
          <w:b/>
          <w:bCs/>
          <w:sz w:val="24"/>
          <w:szCs w:val="24"/>
        </w:rPr>
        <w:t>二、拟分包计划表</w:t>
      </w:r>
      <w:bookmarkEnd w:id="2258"/>
    </w:p>
    <w:p>
      <w:pPr>
        <w:pStyle w:val="147"/>
        <w:jc w:val="center"/>
        <w:rPr>
          <w:b/>
          <w:bCs/>
          <w:sz w:val="28"/>
          <w:szCs w:val="28"/>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43"/>
        <w:gridCol w:w="751"/>
        <w:gridCol w:w="950"/>
        <w:gridCol w:w="1123"/>
        <w:gridCol w:w="1090"/>
        <w:gridCol w:w="119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restart"/>
            <w:noWrap w:val="0"/>
            <w:tcMar>
              <w:left w:w="108" w:type="dxa"/>
              <w:right w:w="108" w:type="dxa"/>
            </w:tcMar>
            <w:vAlign w:val="center"/>
          </w:tcPr>
          <w:p>
            <w:pPr>
              <w:jc w:val="center"/>
            </w:pPr>
            <w:r>
              <w:rPr>
                <w:rFonts w:hint="eastAsia" w:cs="宋体"/>
              </w:rPr>
              <w:t>序</w:t>
            </w:r>
          </w:p>
          <w:p>
            <w:pPr>
              <w:jc w:val="center"/>
            </w:pPr>
            <w:r>
              <w:rPr>
                <w:rFonts w:hint="eastAsia" w:cs="宋体"/>
              </w:rPr>
              <w:t>号</w:t>
            </w:r>
          </w:p>
        </w:tc>
        <w:tc>
          <w:tcPr>
            <w:tcW w:w="1843" w:type="dxa"/>
            <w:vMerge w:val="restart"/>
            <w:noWrap w:val="0"/>
            <w:tcMar>
              <w:left w:w="108" w:type="dxa"/>
              <w:right w:w="108" w:type="dxa"/>
            </w:tcMar>
            <w:vAlign w:val="center"/>
          </w:tcPr>
          <w:p>
            <w:pPr>
              <w:jc w:val="center"/>
            </w:pPr>
            <w:r>
              <w:rPr>
                <w:rFonts w:hint="eastAsia" w:cs="宋体"/>
              </w:rPr>
              <w:t>拟分包项目名称、范围及理由</w:t>
            </w:r>
          </w:p>
        </w:tc>
        <w:tc>
          <w:tcPr>
            <w:tcW w:w="5111" w:type="dxa"/>
            <w:gridSpan w:val="5"/>
            <w:noWrap w:val="0"/>
            <w:tcMar>
              <w:left w:w="108" w:type="dxa"/>
              <w:right w:w="108" w:type="dxa"/>
            </w:tcMar>
            <w:vAlign w:val="center"/>
          </w:tcPr>
          <w:p>
            <w:pPr>
              <w:jc w:val="center"/>
            </w:pPr>
            <w:r>
              <w:rPr>
                <w:rFonts w:hint="eastAsia" w:cs="宋体"/>
              </w:rPr>
              <w:t>拟选分包人</w:t>
            </w:r>
          </w:p>
        </w:tc>
        <w:tc>
          <w:tcPr>
            <w:tcW w:w="1469" w:type="dxa"/>
            <w:vMerge w:val="restart"/>
            <w:noWrap w:val="0"/>
            <w:tcMar>
              <w:left w:w="108" w:type="dxa"/>
              <w:right w:w="108" w:type="dxa"/>
            </w:tcMar>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1701" w:type="dxa"/>
            <w:gridSpan w:val="2"/>
            <w:noWrap w:val="0"/>
            <w:tcMar>
              <w:left w:w="108" w:type="dxa"/>
              <w:right w:w="108" w:type="dxa"/>
            </w:tcMar>
            <w:vAlign w:val="center"/>
          </w:tcPr>
          <w:p>
            <w:pPr>
              <w:jc w:val="center"/>
            </w:pPr>
            <w:r>
              <w:rPr>
                <w:rFonts w:hint="eastAsia" w:cs="宋体"/>
              </w:rPr>
              <w:t>拟选分包人名称</w:t>
            </w:r>
          </w:p>
        </w:tc>
        <w:tc>
          <w:tcPr>
            <w:tcW w:w="1123" w:type="dxa"/>
            <w:noWrap w:val="0"/>
            <w:tcMar>
              <w:left w:w="108" w:type="dxa"/>
              <w:right w:w="108" w:type="dxa"/>
            </w:tcMar>
            <w:vAlign w:val="center"/>
          </w:tcPr>
          <w:p>
            <w:pPr>
              <w:jc w:val="center"/>
            </w:pPr>
            <w:r>
              <w:rPr>
                <w:rFonts w:hint="eastAsia" w:cs="宋体"/>
              </w:rPr>
              <w:t>注册地点</w:t>
            </w:r>
          </w:p>
        </w:tc>
        <w:tc>
          <w:tcPr>
            <w:tcW w:w="1090" w:type="dxa"/>
            <w:noWrap w:val="0"/>
            <w:tcMar>
              <w:left w:w="108" w:type="dxa"/>
              <w:right w:w="108" w:type="dxa"/>
            </w:tcMar>
            <w:vAlign w:val="center"/>
          </w:tcPr>
          <w:p>
            <w:pPr>
              <w:jc w:val="center"/>
            </w:pPr>
            <w:r>
              <w:rPr>
                <w:rFonts w:hint="eastAsia" w:cs="宋体"/>
              </w:rPr>
              <w:t>企业资质</w:t>
            </w:r>
          </w:p>
        </w:tc>
        <w:tc>
          <w:tcPr>
            <w:tcW w:w="1197" w:type="dxa"/>
            <w:noWrap w:val="0"/>
            <w:tcMar>
              <w:left w:w="108" w:type="dxa"/>
              <w:right w:w="108" w:type="dxa"/>
            </w:tcMar>
            <w:vAlign w:val="center"/>
          </w:tcPr>
          <w:p>
            <w:pPr>
              <w:jc w:val="center"/>
            </w:pPr>
            <w:r>
              <w:rPr>
                <w:rFonts w:hint="eastAsia" w:cs="宋体"/>
              </w:rPr>
              <w:t>有关业绩</w:t>
            </w:r>
          </w:p>
        </w:tc>
        <w:tc>
          <w:tcPr>
            <w:tcW w:w="1469" w:type="dxa"/>
            <w:vMerge w:val="continue"/>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restart"/>
            <w:noWrap w:val="0"/>
            <w:tcMar>
              <w:left w:w="108" w:type="dxa"/>
              <w:right w:w="108" w:type="dxa"/>
            </w:tcMar>
            <w:vAlign w:val="center"/>
          </w:tcPr>
          <w:p>
            <w:pPr>
              <w:jc w:val="center"/>
            </w:pPr>
          </w:p>
        </w:tc>
        <w:tc>
          <w:tcPr>
            <w:tcW w:w="1843" w:type="dxa"/>
            <w:vMerge w:val="restart"/>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1</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2</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3</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restart"/>
            <w:noWrap w:val="0"/>
            <w:tcMar>
              <w:left w:w="108" w:type="dxa"/>
              <w:right w:w="108" w:type="dxa"/>
            </w:tcMar>
            <w:vAlign w:val="center"/>
          </w:tcPr>
          <w:p>
            <w:pPr>
              <w:jc w:val="center"/>
            </w:pPr>
          </w:p>
        </w:tc>
        <w:tc>
          <w:tcPr>
            <w:tcW w:w="1843" w:type="dxa"/>
            <w:vMerge w:val="restart"/>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1</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2</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3</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bl>
    <w:p>
      <w:pPr>
        <w:spacing w:line="440" w:lineRule="exact"/>
        <w:ind w:right="420" w:firstLine="420" w:firstLineChars="200"/>
      </w:pPr>
      <w:r>
        <w:rPr>
          <w:rFonts w:hint="eastAsia" w:cs="宋体"/>
        </w:rPr>
        <w:t>备注：本表所列分包仅限于承包人自行施工范围内的非主体、非关键工程。</w:t>
      </w:r>
    </w:p>
    <w:p>
      <w:pPr>
        <w:wordWrap w:val="0"/>
        <w:spacing w:line="440" w:lineRule="exact"/>
        <w:ind w:right="420"/>
        <w:jc w:val="right"/>
      </w:pPr>
    </w:p>
    <w:p>
      <w:pPr>
        <w:spacing w:line="440" w:lineRule="exact"/>
        <w:ind w:right="420"/>
        <w:jc w:val="right"/>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r>
        <w:t xml:space="preserve">  </w:t>
      </w:r>
    </w:p>
    <w:p>
      <w:pPr>
        <w:spacing w:line="360" w:lineRule="auto"/>
        <w:ind w:firstLine="490"/>
        <w:jc w:val="center"/>
      </w:pPr>
    </w:p>
    <w:p>
      <w:pPr>
        <w:spacing w:line="360" w:lineRule="auto"/>
        <w:ind w:firstLine="490"/>
        <w:jc w:val="center"/>
      </w:pPr>
    </w:p>
    <w:p>
      <w:pPr>
        <w:spacing w:line="360" w:lineRule="auto"/>
        <w:ind w:firstLine="490"/>
        <w:jc w:val="center"/>
      </w:pPr>
    </w:p>
    <w:p>
      <w:pPr>
        <w:pStyle w:val="4"/>
      </w:pPr>
    </w:p>
    <w:p>
      <w:pPr>
        <w:spacing w:line="360" w:lineRule="auto"/>
        <w:ind w:firstLine="490"/>
        <w:jc w:val="center"/>
      </w:pPr>
    </w:p>
    <w:p>
      <w:pPr>
        <w:spacing w:line="360" w:lineRule="auto"/>
        <w:ind w:firstLine="490"/>
        <w:jc w:val="center"/>
      </w:pPr>
    </w:p>
    <w:p>
      <w:pPr>
        <w:pStyle w:val="147"/>
        <w:jc w:val="center"/>
        <w:outlineLvl w:val="0"/>
        <w:rPr>
          <w:rFonts w:cs="宋体"/>
          <w:b/>
          <w:bCs/>
          <w:sz w:val="24"/>
          <w:szCs w:val="24"/>
        </w:rPr>
      </w:pPr>
      <w:r>
        <w:rPr>
          <w:rFonts w:hint="eastAsia" w:cs="宋体"/>
          <w:b/>
          <w:bCs/>
          <w:sz w:val="24"/>
          <w:szCs w:val="24"/>
        </w:rPr>
        <w:t>三、项目管理机构</w:t>
      </w:r>
    </w:p>
    <w:p>
      <w:pPr>
        <w:pStyle w:val="147"/>
        <w:jc w:val="center"/>
        <w:outlineLvl w:val="0"/>
        <w:rPr>
          <w:b/>
          <w:bCs/>
          <w:sz w:val="24"/>
          <w:szCs w:val="24"/>
        </w:rPr>
      </w:pPr>
      <w:bookmarkStart w:id="2259" w:name="_Toc153274947"/>
      <w:bookmarkStart w:id="2260" w:name="_Toc172364025"/>
      <w:bookmarkStart w:id="2261" w:name="_Toc173579005"/>
      <w:bookmarkStart w:id="2262" w:name="_Toc251052184"/>
    </w:p>
    <w:p>
      <w:pPr>
        <w:pStyle w:val="147"/>
        <w:jc w:val="center"/>
        <w:outlineLvl w:val="0"/>
        <w:rPr>
          <w:b/>
          <w:bCs/>
          <w:sz w:val="28"/>
          <w:szCs w:val="28"/>
        </w:rPr>
      </w:pPr>
      <w:r>
        <w:rPr>
          <w:b/>
          <w:bCs/>
          <w:sz w:val="24"/>
          <w:szCs w:val="24"/>
        </w:rPr>
        <w:t>1</w:t>
      </w:r>
      <w:r>
        <w:rPr>
          <w:rFonts w:hint="eastAsia" w:cs="宋体"/>
          <w:b/>
          <w:bCs/>
          <w:sz w:val="24"/>
          <w:szCs w:val="24"/>
        </w:rPr>
        <w:t>、项目管理机构配备情况表</w:t>
      </w:r>
      <w:bookmarkEnd w:id="2259"/>
      <w:bookmarkEnd w:id="2260"/>
      <w:bookmarkEnd w:id="2261"/>
      <w:bookmarkEnd w:id="2262"/>
    </w:p>
    <w:p>
      <w:pPr>
        <w:pStyle w:val="147"/>
        <w:rPr>
          <w:u w:val="single"/>
        </w:rPr>
      </w:pPr>
    </w:p>
    <w:p>
      <w:pPr>
        <w:pStyle w:val="147"/>
      </w:pPr>
      <w:r>
        <w:rPr>
          <w:u w:val="single"/>
        </w:rPr>
        <w:t xml:space="preserve">            </w:t>
      </w:r>
      <w:bookmarkStart w:id="2263" w:name="_Toc251052185"/>
      <w:r>
        <w:rPr>
          <w:rFonts w:hint="eastAsia" w:cs="宋体"/>
          <w:u w:val="single"/>
        </w:rPr>
        <w:t>（项目名称）</w:t>
      </w:r>
      <w:r>
        <w:rPr>
          <w:u w:val="single"/>
        </w:rPr>
        <w:t xml:space="preserve"> </w:t>
      </w:r>
      <w:r>
        <w:rPr>
          <w:rFonts w:hint="eastAsia" w:cs="宋体"/>
          <w:u w:val="single"/>
          <w:lang w:eastAsia="zh-CN"/>
        </w:rPr>
        <w:t>（标段名称）</w:t>
      </w:r>
      <w:r>
        <w:rPr>
          <w:u w:val="single"/>
        </w:rPr>
        <w:t xml:space="preserve">       </w:t>
      </w:r>
      <w:r>
        <w:t xml:space="preserve"> </w:t>
      </w:r>
      <w:r>
        <w:rPr>
          <w:rFonts w:hint="eastAsia" w:cs="宋体"/>
        </w:rPr>
        <w:t>工程</w:t>
      </w:r>
      <w:r>
        <w:t xml:space="preserve"> </w:t>
      </w:r>
      <w:bookmarkEnd w:id="2263"/>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22" w:hangingChars="106"/>
              <w:jc w:val="center"/>
            </w:pPr>
            <w:r>
              <w:rPr>
                <w:rFonts w:hint="eastAsia" w:cs="宋体"/>
              </w:rPr>
              <w:t>岗位</w:t>
            </w:r>
          </w:p>
        </w:tc>
        <w:tc>
          <w:tcPr>
            <w:tcW w:w="829" w:type="dxa"/>
            <w:vMerge w:val="restart"/>
            <w:noWrap w:val="0"/>
            <w:vAlign w:val="center"/>
          </w:tcPr>
          <w:p>
            <w:pPr>
              <w:ind w:left="223" w:hanging="222" w:hangingChars="106"/>
              <w:jc w:val="center"/>
            </w:pPr>
            <w:bookmarkStart w:id="2264" w:name="_Toc251052187"/>
            <w:r>
              <w:rPr>
                <w:rFonts w:hint="eastAsia" w:cs="宋体"/>
              </w:rPr>
              <w:t>姓名</w:t>
            </w:r>
            <w:bookmarkEnd w:id="2264"/>
          </w:p>
        </w:tc>
        <w:tc>
          <w:tcPr>
            <w:tcW w:w="816" w:type="dxa"/>
            <w:vMerge w:val="restart"/>
            <w:noWrap w:val="0"/>
            <w:vAlign w:val="center"/>
          </w:tcPr>
          <w:p>
            <w:pPr>
              <w:ind w:left="223" w:hanging="222" w:hangingChars="106"/>
              <w:jc w:val="center"/>
            </w:pPr>
            <w:bookmarkStart w:id="2265" w:name="_Toc251052188"/>
            <w:r>
              <w:rPr>
                <w:rFonts w:hint="eastAsia" w:cs="宋体"/>
              </w:rPr>
              <w:t>职称</w:t>
            </w:r>
            <w:bookmarkEnd w:id="2265"/>
          </w:p>
        </w:tc>
        <w:tc>
          <w:tcPr>
            <w:tcW w:w="4592" w:type="dxa"/>
            <w:gridSpan w:val="4"/>
            <w:noWrap w:val="0"/>
            <w:vAlign w:val="center"/>
          </w:tcPr>
          <w:p>
            <w:pPr>
              <w:ind w:left="223" w:hanging="222" w:hangingChars="106"/>
              <w:jc w:val="center"/>
            </w:pPr>
            <w:bookmarkStart w:id="2266" w:name="_Toc251052189"/>
            <w:r>
              <w:rPr>
                <w:rFonts w:hint="eastAsia" w:cs="宋体"/>
              </w:rPr>
              <w:t>执业或职业资格证明</w:t>
            </w:r>
            <w:bookmarkEnd w:id="2266"/>
          </w:p>
        </w:tc>
        <w:tc>
          <w:tcPr>
            <w:tcW w:w="2126" w:type="dxa"/>
            <w:gridSpan w:val="2"/>
            <w:noWrap w:val="0"/>
            <w:vAlign w:val="center"/>
          </w:tcPr>
          <w:p>
            <w:pPr>
              <w:ind w:left="223" w:hanging="222" w:hangingChars="106"/>
              <w:jc w:val="center"/>
            </w:pPr>
            <w:bookmarkStart w:id="2267" w:name="_Toc251052190"/>
            <w:r>
              <w:rPr>
                <w:rFonts w:hint="eastAsia" w:cs="宋体"/>
              </w:rPr>
              <w:t>承担完工</w:t>
            </w:r>
            <w:bookmarkEnd w:id="2267"/>
            <w:bookmarkStart w:id="2268" w:name="_Toc251052191"/>
            <w:r>
              <w:rPr>
                <w:rFonts w:hint="eastAsia" w:cs="宋体"/>
              </w:rPr>
              <w:t>工程情况</w:t>
            </w:r>
            <w:bookmarkEnd w:id="22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22" w:hangingChars="106"/>
              <w:jc w:val="center"/>
            </w:pPr>
          </w:p>
        </w:tc>
        <w:tc>
          <w:tcPr>
            <w:tcW w:w="829" w:type="dxa"/>
            <w:vMerge w:val="continue"/>
            <w:noWrap w:val="0"/>
            <w:vAlign w:val="center"/>
          </w:tcPr>
          <w:p>
            <w:pPr>
              <w:ind w:left="223" w:hanging="222" w:hangingChars="106"/>
              <w:jc w:val="center"/>
            </w:pPr>
          </w:p>
        </w:tc>
        <w:tc>
          <w:tcPr>
            <w:tcW w:w="816" w:type="dxa"/>
            <w:vMerge w:val="continue"/>
            <w:noWrap w:val="0"/>
            <w:vAlign w:val="center"/>
          </w:tcPr>
          <w:p>
            <w:pPr>
              <w:ind w:left="223" w:hanging="222" w:hangingChars="106"/>
              <w:jc w:val="center"/>
            </w:pPr>
          </w:p>
        </w:tc>
        <w:tc>
          <w:tcPr>
            <w:tcW w:w="1148" w:type="dxa"/>
            <w:noWrap w:val="0"/>
            <w:vAlign w:val="center"/>
          </w:tcPr>
          <w:p>
            <w:pPr>
              <w:ind w:left="223" w:hanging="222" w:hangingChars="106"/>
              <w:jc w:val="center"/>
            </w:pPr>
            <w:bookmarkStart w:id="2269" w:name="_Toc251052192"/>
            <w:r>
              <w:rPr>
                <w:rFonts w:hint="eastAsia" w:cs="宋体"/>
              </w:rPr>
              <w:t>证书名称</w:t>
            </w:r>
            <w:bookmarkEnd w:id="2269"/>
          </w:p>
        </w:tc>
        <w:tc>
          <w:tcPr>
            <w:tcW w:w="1148" w:type="dxa"/>
            <w:noWrap w:val="0"/>
            <w:vAlign w:val="center"/>
          </w:tcPr>
          <w:p>
            <w:pPr>
              <w:ind w:left="223" w:hanging="222" w:hangingChars="106"/>
              <w:jc w:val="center"/>
            </w:pPr>
            <w:bookmarkStart w:id="2270" w:name="_Toc251052193"/>
            <w:r>
              <w:rPr>
                <w:rFonts w:hint="eastAsia" w:cs="宋体"/>
              </w:rPr>
              <w:t>级别</w:t>
            </w:r>
            <w:bookmarkEnd w:id="2270"/>
          </w:p>
        </w:tc>
        <w:tc>
          <w:tcPr>
            <w:tcW w:w="1148" w:type="dxa"/>
            <w:noWrap w:val="0"/>
            <w:vAlign w:val="center"/>
          </w:tcPr>
          <w:p>
            <w:pPr>
              <w:ind w:left="223" w:hanging="222" w:hangingChars="106"/>
              <w:jc w:val="center"/>
            </w:pPr>
            <w:bookmarkStart w:id="2271" w:name="_Toc251052194"/>
            <w:r>
              <w:rPr>
                <w:rFonts w:hint="eastAsia" w:cs="宋体"/>
              </w:rPr>
              <w:t>证号</w:t>
            </w:r>
            <w:bookmarkEnd w:id="2271"/>
          </w:p>
        </w:tc>
        <w:tc>
          <w:tcPr>
            <w:tcW w:w="1148" w:type="dxa"/>
            <w:noWrap w:val="0"/>
            <w:vAlign w:val="center"/>
          </w:tcPr>
          <w:p>
            <w:pPr>
              <w:ind w:left="223" w:hanging="222" w:hangingChars="106"/>
              <w:jc w:val="center"/>
            </w:pPr>
            <w:bookmarkStart w:id="2272" w:name="_Toc251052195"/>
            <w:r>
              <w:rPr>
                <w:rFonts w:hint="eastAsia" w:cs="宋体"/>
              </w:rPr>
              <w:t>专业</w:t>
            </w:r>
            <w:bookmarkEnd w:id="2272"/>
          </w:p>
        </w:tc>
        <w:tc>
          <w:tcPr>
            <w:tcW w:w="850" w:type="dxa"/>
            <w:noWrap w:val="0"/>
            <w:vAlign w:val="center"/>
          </w:tcPr>
          <w:p>
            <w:pPr>
              <w:ind w:left="223" w:hanging="222" w:hangingChars="106"/>
              <w:jc w:val="center"/>
            </w:pPr>
            <w:bookmarkStart w:id="2273" w:name="_Toc251052197"/>
            <w:r>
              <w:rPr>
                <w:rFonts w:hint="eastAsia" w:cs="宋体"/>
              </w:rPr>
              <w:t>项目数</w:t>
            </w:r>
            <w:bookmarkEnd w:id="2273"/>
          </w:p>
        </w:tc>
        <w:tc>
          <w:tcPr>
            <w:tcW w:w="1276" w:type="dxa"/>
            <w:noWrap w:val="0"/>
            <w:vAlign w:val="center"/>
          </w:tcPr>
          <w:p>
            <w:pPr>
              <w:ind w:left="223" w:hanging="222" w:hangingChars="106"/>
              <w:jc w:val="center"/>
            </w:pPr>
            <w:bookmarkStart w:id="2274" w:name="_Toc251052198"/>
            <w:r>
              <w:rPr>
                <w:rFonts w:hint="eastAsia" w:cs="宋体"/>
              </w:rPr>
              <w:t>主要项目</w:t>
            </w:r>
          </w:p>
          <w:p>
            <w:pPr>
              <w:ind w:left="223" w:hanging="222" w:hangingChars="106"/>
              <w:jc w:val="center"/>
            </w:pPr>
            <w:r>
              <w:rPr>
                <w:rFonts w:hint="eastAsia" w:cs="宋体"/>
              </w:rPr>
              <w:t>名称</w:t>
            </w:r>
            <w:bookmarkEnd w:id="22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r>
              <w:rPr>
                <w:rFonts w:hint="eastAsia" w:cs="宋体"/>
              </w:rPr>
              <w:t>施工员</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r>
              <w:rPr>
                <w:rFonts w:hint="eastAsia" w:cs="宋体"/>
              </w:rPr>
              <w:t>质量员</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0"/>
            <w:vAlign w:val="center"/>
          </w:tcPr>
          <w:p>
            <w:pPr>
              <w:ind w:left="223" w:hanging="222" w:hangingChars="106"/>
              <w:jc w:val="center"/>
            </w:pPr>
            <w:r>
              <w:rPr>
                <w:rFonts w:hint="eastAsia" w:cs="宋体"/>
              </w:rPr>
              <w:t>安全员</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r>
              <w:rPr>
                <w:rFonts w:hint="eastAsia" w:cs="宋体"/>
              </w:rPr>
              <w:t>材料员</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r>
              <w:t>……</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pPr>
              <w:spacing w:line="360" w:lineRule="auto"/>
            </w:pPr>
            <w:bookmarkStart w:id="2275" w:name="_Toc251052199"/>
            <w:r>
              <w:rPr>
                <w:rFonts w:hint="eastAsia" w:cs="宋体"/>
              </w:rPr>
              <w:t>一旦我单位中标，将实行项目经理负责制，我方保证并配备上述项目管理机构。上述填报内容真实，若不真实，愿按有关规定接受处理。项目管理班子机构设置、职责分工等情况另附资料说明。</w:t>
            </w:r>
            <w:bookmarkEnd w:id="2275"/>
          </w:p>
        </w:tc>
      </w:tr>
    </w:tbl>
    <w:p>
      <w:pPr>
        <w:tabs>
          <w:tab w:val="left" w:pos="0"/>
        </w:tabs>
        <w:spacing w:line="360" w:lineRule="auto"/>
        <w:ind w:right="-210"/>
      </w:pPr>
    </w:p>
    <w:p>
      <w:pPr>
        <w:spacing w:line="360" w:lineRule="auto"/>
        <w:rPr>
          <w:rFonts w:eastAsia="楷体_GB2312"/>
        </w:rPr>
      </w:pPr>
      <w:r>
        <w:rPr>
          <w:rFonts w:hint="eastAsia" w:eastAsia="楷体_GB2312" w:cs="楷体_GB2312"/>
        </w:rPr>
        <w:t>【</w:t>
      </w:r>
      <w:r>
        <w:rPr>
          <w:rFonts w:ascii="宋体" w:hAnsi="宋体"/>
        </w:rPr>
        <w:t>备注：附各岗位人员资格证件复印件</w:t>
      </w:r>
      <w:r>
        <w:rPr>
          <w:rFonts w:ascii="宋体" w:hAnsi="宋体"/>
          <w:b/>
        </w:rPr>
        <w:t>。</w:t>
      </w:r>
      <w:r>
        <w:rPr>
          <w:rFonts w:ascii="宋体" w:hAnsi="宋体"/>
        </w:rPr>
        <w:t>以</w:t>
      </w:r>
      <w:r>
        <w:rPr>
          <w:rFonts w:hint="eastAsia" w:ascii="宋体" w:hAnsi="宋体"/>
        </w:rPr>
        <w:t>上</w:t>
      </w:r>
      <w:r>
        <w:rPr>
          <w:rFonts w:ascii="宋体" w:hAnsi="宋体"/>
        </w:rPr>
        <w:t>复印件须加盖投标人单位公章</w:t>
      </w:r>
      <w:r>
        <w:rPr>
          <w:rFonts w:hint="eastAsia" w:ascii="宋体" w:hAnsi="宋体"/>
        </w:rPr>
        <w:t>。</w:t>
      </w:r>
      <w:r>
        <w:rPr>
          <w:rFonts w:hint="eastAsia" w:eastAsia="楷体_GB2312" w:cs="楷体_GB2312"/>
        </w:rPr>
        <w:t>】</w:t>
      </w:r>
    </w:p>
    <w:p>
      <w:pPr>
        <w:tabs>
          <w:tab w:val="left" w:pos="0"/>
        </w:tabs>
        <w:spacing w:line="360" w:lineRule="auto"/>
        <w:ind w:right="-210"/>
      </w:pPr>
    </w:p>
    <w:p>
      <w:pPr>
        <w:tabs>
          <w:tab w:val="left" w:pos="0"/>
        </w:tabs>
        <w:spacing w:line="360" w:lineRule="auto"/>
        <w:ind w:right="-210"/>
      </w:pPr>
    </w:p>
    <w:p>
      <w:pPr>
        <w:tabs>
          <w:tab w:val="left" w:pos="0"/>
        </w:tabs>
        <w:spacing w:line="360" w:lineRule="auto"/>
        <w:ind w:right="-210"/>
        <w:sectPr>
          <w:pgSz w:w="11905" w:h="16838"/>
          <w:pgMar w:top="1440" w:right="1157" w:bottom="1270" w:left="1287" w:header="851" w:footer="850" w:gutter="0"/>
          <w:cols w:space="720" w:num="1"/>
          <w:rtlGutter w:val="0"/>
          <w:docGrid w:linePitch="312" w:charSpace="0"/>
        </w:sectPr>
      </w:pPr>
    </w:p>
    <w:p>
      <w:pPr>
        <w:pStyle w:val="147"/>
        <w:jc w:val="center"/>
        <w:outlineLvl w:val="0"/>
        <w:rPr>
          <w:u w:val="single"/>
        </w:rPr>
      </w:pPr>
      <w:bookmarkStart w:id="2276" w:name="_Toc153274948"/>
      <w:bookmarkStart w:id="2277" w:name="_Toc251052200"/>
      <w:bookmarkStart w:id="2278" w:name="_Toc172364026"/>
      <w:bookmarkStart w:id="2279" w:name="_Toc389065364"/>
      <w:bookmarkStart w:id="2280" w:name="_Toc173579006"/>
      <w:r>
        <w:rPr>
          <w:b/>
          <w:bCs/>
          <w:sz w:val="24"/>
          <w:szCs w:val="24"/>
        </w:rPr>
        <w:t>2</w:t>
      </w:r>
      <w:r>
        <w:rPr>
          <w:rFonts w:hint="eastAsia" w:cs="宋体"/>
          <w:b/>
          <w:bCs/>
          <w:sz w:val="24"/>
          <w:szCs w:val="24"/>
        </w:rPr>
        <w:t>、项目经理（注册建造师）简历表</w:t>
      </w:r>
      <w:bookmarkEnd w:id="2276"/>
      <w:bookmarkEnd w:id="2277"/>
      <w:bookmarkEnd w:id="2278"/>
      <w:bookmarkEnd w:id="2279"/>
      <w:bookmarkEnd w:id="2280"/>
    </w:p>
    <w:p>
      <w:pPr>
        <w:pStyle w:val="147"/>
        <w:rPr>
          <w:u w:val="single"/>
        </w:rPr>
      </w:pPr>
    </w:p>
    <w:p>
      <w:pPr>
        <w:pStyle w:val="147"/>
      </w:pPr>
      <w:r>
        <w:rPr>
          <w:u w:val="single"/>
        </w:rPr>
        <w:t xml:space="preserve">            </w:t>
      </w:r>
      <w:r>
        <w:rPr>
          <w:rFonts w:hint="eastAsia" w:cs="宋体"/>
          <w:u w:val="single"/>
        </w:rPr>
        <w:t>（项目名称）</w:t>
      </w:r>
      <w:r>
        <w:rPr>
          <w:rFonts w:hint="eastAsia" w:cs="宋体"/>
          <w:u w:val="single"/>
          <w:lang w:eastAsia="zh-CN"/>
        </w:rPr>
        <w:t>（标段名称）</w:t>
      </w:r>
      <w:r>
        <w:rPr>
          <w:u w:val="single"/>
        </w:rPr>
        <w:t xml:space="preserve">        </w:t>
      </w:r>
      <w:r>
        <w:t xml:space="preserve"> </w:t>
      </w:r>
      <w:r>
        <w:rPr>
          <w:rFonts w:hint="eastAsia" w:cs="宋体"/>
        </w:rPr>
        <w:t>工程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pPr>
            <w:r>
              <w:rPr>
                <w:rFonts w:hint="eastAsia" w:cs="宋体"/>
              </w:rPr>
              <w:t>姓名</w:t>
            </w:r>
          </w:p>
        </w:tc>
        <w:tc>
          <w:tcPr>
            <w:tcW w:w="2340" w:type="dxa"/>
            <w:gridSpan w:val="3"/>
            <w:noWrap w:val="0"/>
            <w:vAlign w:val="center"/>
          </w:tcPr>
          <w:p>
            <w:pPr>
              <w:jc w:val="center"/>
            </w:pPr>
          </w:p>
        </w:tc>
        <w:tc>
          <w:tcPr>
            <w:tcW w:w="1893" w:type="dxa"/>
            <w:gridSpan w:val="2"/>
            <w:noWrap w:val="0"/>
            <w:vAlign w:val="center"/>
          </w:tcPr>
          <w:p>
            <w:pPr>
              <w:jc w:val="center"/>
            </w:pPr>
            <w:r>
              <w:rPr>
                <w:rFonts w:hint="eastAsia" w:cs="宋体"/>
              </w:rPr>
              <w:t>性别</w:t>
            </w:r>
          </w:p>
        </w:tc>
        <w:tc>
          <w:tcPr>
            <w:tcW w:w="1585" w:type="dxa"/>
            <w:gridSpan w:val="2"/>
            <w:noWrap w:val="0"/>
            <w:vAlign w:val="center"/>
          </w:tcPr>
          <w:p>
            <w:pPr>
              <w:jc w:val="center"/>
            </w:pPr>
          </w:p>
        </w:tc>
        <w:tc>
          <w:tcPr>
            <w:tcW w:w="1108" w:type="dxa"/>
            <w:gridSpan w:val="2"/>
            <w:noWrap w:val="0"/>
            <w:vAlign w:val="center"/>
          </w:tcPr>
          <w:p>
            <w:pPr>
              <w:jc w:val="center"/>
            </w:pPr>
            <w:r>
              <w:rPr>
                <w:rFonts w:hint="eastAsia" w:cs="宋体"/>
              </w:rPr>
              <w:t>年龄</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pPr>
            <w:r>
              <w:rPr>
                <w:rFonts w:hint="eastAsia" w:cs="宋体"/>
              </w:rPr>
              <w:t>职务</w:t>
            </w:r>
          </w:p>
        </w:tc>
        <w:tc>
          <w:tcPr>
            <w:tcW w:w="2340" w:type="dxa"/>
            <w:gridSpan w:val="3"/>
            <w:noWrap w:val="0"/>
            <w:vAlign w:val="center"/>
          </w:tcPr>
          <w:p>
            <w:pPr>
              <w:jc w:val="center"/>
            </w:pPr>
          </w:p>
        </w:tc>
        <w:tc>
          <w:tcPr>
            <w:tcW w:w="1893" w:type="dxa"/>
            <w:gridSpan w:val="2"/>
            <w:noWrap w:val="0"/>
            <w:vAlign w:val="center"/>
          </w:tcPr>
          <w:p>
            <w:pPr>
              <w:jc w:val="center"/>
            </w:pPr>
            <w:r>
              <w:rPr>
                <w:rFonts w:hint="eastAsia" w:cs="宋体"/>
              </w:rPr>
              <w:t>职称</w:t>
            </w:r>
          </w:p>
        </w:tc>
        <w:tc>
          <w:tcPr>
            <w:tcW w:w="1585" w:type="dxa"/>
            <w:gridSpan w:val="2"/>
            <w:noWrap w:val="0"/>
            <w:vAlign w:val="center"/>
          </w:tcPr>
          <w:p>
            <w:pPr>
              <w:jc w:val="center"/>
            </w:pPr>
          </w:p>
        </w:tc>
        <w:tc>
          <w:tcPr>
            <w:tcW w:w="1108" w:type="dxa"/>
            <w:gridSpan w:val="2"/>
            <w:noWrap w:val="0"/>
            <w:vAlign w:val="center"/>
          </w:tcPr>
          <w:p>
            <w:pPr>
              <w:jc w:val="center"/>
            </w:pPr>
            <w:r>
              <w:rPr>
                <w:rFonts w:hint="eastAsia" w:cs="宋体"/>
              </w:rPr>
              <w:t>学历</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pPr>
            <w:r>
              <w:rPr>
                <w:rFonts w:hint="eastAsia" w:cs="宋体"/>
              </w:rPr>
              <w:t>参加工作时间</w:t>
            </w:r>
          </w:p>
        </w:tc>
        <w:tc>
          <w:tcPr>
            <w:tcW w:w="1893" w:type="dxa"/>
            <w:gridSpan w:val="2"/>
            <w:noWrap w:val="0"/>
            <w:vAlign w:val="center"/>
          </w:tcPr>
          <w:p>
            <w:pPr>
              <w:jc w:val="center"/>
            </w:pPr>
          </w:p>
        </w:tc>
        <w:tc>
          <w:tcPr>
            <w:tcW w:w="2693" w:type="dxa"/>
            <w:gridSpan w:val="4"/>
            <w:noWrap w:val="0"/>
            <w:vAlign w:val="center"/>
          </w:tcPr>
          <w:p>
            <w:pPr>
              <w:jc w:val="center"/>
            </w:pPr>
            <w:r>
              <w:rPr>
                <w:rFonts w:hint="eastAsia" w:cs="宋体"/>
              </w:rPr>
              <w:t>担任项目经理年限</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pPr>
            <w:r>
              <w:rPr>
                <w:rFonts w:hint="eastAsia" w:cs="宋体"/>
              </w:rPr>
              <w:t>建造师注册证书编号</w:t>
            </w:r>
          </w:p>
        </w:tc>
        <w:tc>
          <w:tcPr>
            <w:tcW w:w="5862" w:type="dxa"/>
            <w:gridSpan w:val="7"/>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pPr>
            <w:r>
              <w:rPr>
                <w:rFonts w:hint="eastAsia"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pPr>
            <w:r>
              <w:rPr>
                <w:rFonts w:hint="eastAsia" w:cs="宋体"/>
              </w:rPr>
              <w:t>建设单位</w:t>
            </w:r>
          </w:p>
        </w:tc>
        <w:tc>
          <w:tcPr>
            <w:tcW w:w="1548" w:type="dxa"/>
            <w:noWrap w:val="0"/>
            <w:vAlign w:val="center"/>
          </w:tcPr>
          <w:p>
            <w:pPr>
              <w:jc w:val="center"/>
            </w:pPr>
            <w:r>
              <w:rPr>
                <w:rFonts w:hint="eastAsia" w:cs="宋体"/>
              </w:rPr>
              <w:t>项目名称</w:t>
            </w:r>
          </w:p>
        </w:tc>
        <w:tc>
          <w:tcPr>
            <w:tcW w:w="1547" w:type="dxa"/>
            <w:gridSpan w:val="2"/>
            <w:noWrap w:val="0"/>
            <w:vAlign w:val="center"/>
          </w:tcPr>
          <w:p>
            <w:pPr>
              <w:jc w:val="center"/>
            </w:pPr>
            <w:r>
              <w:rPr>
                <w:rFonts w:hint="eastAsia" w:cs="宋体"/>
              </w:rPr>
              <w:t>建设规模</w:t>
            </w:r>
          </w:p>
        </w:tc>
        <w:tc>
          <w:tcPr>
            <w:tcW w:w="1548" w:type="dxa"/>
            <w:gridSpan w:val="2"/>
            <w:noWrap w:val="0"/>
            <w:vAlign w:val="center"/>
          </w:tcPr>
          <w:p>
            <w:pPr>
              <w:jc w:val="center"/>
            </w:pPr>
            <w:r>
              <w:rPr>
                <w:rFonts w:hint="eastAsia" w:cs="宋体"/>
              </w:rPr>
              <w:t>开、竣工日期</w:t>
            </w:r>
          </w:p>
        </w:tc>
        <w:tc>
          <w:tcPr>
            <w:tcW w:w="1547" w:type="dxa"/>
            <w:gridSpan w:val="2"/>
            <w:noWrap w:val="0"/>
            <w:vAlign w:val="center"/>
          </w:tcPr>
          <w:p>
            <w:pPr>
              <w:jc w:val="center"/>
            </w:pPr>
            <w:r>
              <w:rPr>
                <w:rFonts w:hint="eastAsia" w:cs="宋体"/>
              </w:rPr>
              <w:t>在建或已完</w:t>
            </w:r>
          </w:p>
        </w:tc>
        <w:tc>
          <w:tcPr>
            <w:tcW w:w="1548" w:type="dxa"/>
            <w:gridSpan w:val="2"/>
            <w:noWrap w:val="0"/>
            <w:vAlign w:val="center"/>
          </w:tcPr>
          <w:p>
            <w:pPr>
              <w:jc w:val="center"/>
            </w:pPr>
            <w:r>
              <w:rPr>
                <w:rFonts w:hint="eastAsia"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bl>
    <w:p>
      <w:pPr>
        <w:spacing w:line="360" w:lineRule="auto"/>
      </w:pPr>
    </w:p>
    <w:p>
      <w:pPr>
        <w:spacing w:line="360" w:lineRule="auto"/>
        <w:rPr>
          <w:rFonts w:hint="eastAsia" w:ascii="宋体" w:hAnsi="宋体" w:eastAsia="宋体" w:cs="宋体"/>
        </w:rPr>
      </w:pPr>
      <w:r>
        <w:rPr>
          <w:rFonts w:hint="eastAsia" w:ascii="宋体" w:hAnsi="宋体" w:eastAsia="宋体" w:cs="宋体"/>
        </w:rPr>
        <w:t>备注：</w:t>
      </w:r>
    </w:p>
    <w:p>
      <w:pPr>
        <w:spacing w:line="360" w:lineRule="auto"/>
        <w:ind w:firstLine="420" w:firstLineChars="200"/>
        <w:rPr>
          <w:rFonts w:ascii="宋体" w:hAnsi="宋体"/>
        </w:rPr>
      </w:pPr>
      <w:r>
        <w:rPr>
          <w:rFonts w:hint="eastAsia" w:ascii="宋体" w:hAnsi="宋体"/>
        </w:rPr>
        <w:t>1、附项目经理注册建造师注册证书复印件、安全生产考核合格证书（B证）复印件和已完工程中标通知书（如有）、工程合同协议书的复印件，以及投标人认为需要增加的其他证明材料复印件，以上复印件均须加盖投标人单位公章。</w:t>
      </w:r>
    </w:p>
    <w:p>
      <w:pPr>
        <w:spacing w:before="120" w:beforeLines="50"/>
        <w:ind w:firstLine="420" w:firstLineChars="200"/>
        <w:rPr>
          <w:rFonts w:eastAsia="楷体_GB2312"/>
        </w:rPr>
      </w:pPr>
    </w:p>
    <w:p>
      <w:pPr>
        <w:spacing w:line="360" w:lineRule="auto"/>
        <w:ind w:firstLine="525" w:firstLineChars="250"/>
      </w:pPr>
    </w:p>
    <w:p>
      <w:pPr>
        <w:spacing w:line="360" w:lineRule="auto"/>
        <w:ind w:firstLine="525" w:firstLineChars="250"/>
        <w:sectPr>
          <w:pgSz w:w="11905" w:h="16838"/>
          <w:pgMar w:top="1440" w:right="1157" w:bottom="1270" w:left="1287" w:header="851" w:footer="850" w:gutter="0"/>
          <w:cols w:space="720" w:num="1"/>
          <w:rtlGutter w:val="0"/>
          <w:docGrid w:linePitch="312" w:charSpace="0"/>
        </w:sectPr>
      </w:pPr>
    </w:p>
    <w:p>
      <w:pPr>
        <w:pStyle w:val="147"/>
        <w:jc w:val="center"/>
        <w:outlineLvl w:val="0"/>
        <w:rPr>
          <w:b/>
          <w:bCs/>
          <w:sz w:val="24"/>
          <w:szCs w:val="24"/>
        </w:rPr>
      </w:pPr>
      <w:bookmarkStart w:id="2281" w:name="_Toc389065365"/>
      <w:bookmarkStart w:id="2282" w:name="_Toc172364027"/>
      <w:bookmarkStart w:id="2283" w:name="_Toc173579007"/>
      <w:bookmarkStart w:id="2284" w:name="_Toc153274949"/>
      <w:bookmarkStart w:id="2285" w:name="_Toc251052219"/>
      <w:r>
        <w:rPr>
          <w:b/>
          <w:bCs/>
          <w:sz w:val="24"/>
          <w:szCs w:val="24"/>
        </w:rPr>
        <w:t>3</w:t>
      </w:r>
      <w:r>
        <w:rPr>
          <w:rFonts w:hint="eastAsia" w:cs="宋体"/>
          <w:b/>
          <w:bCs/>
          <w:sz w:val="24"/>
          <w:szCs w:val="24"/>
        </w:rPr>
        <w:t>、项目技术负责人简历表</w:t>
      </w:r>
      <w:bookmarkEnd w:id="2281"/>
      <w:bookmarkEnd w:id="2282"/>
      <w:bookmarkEnd w:id="2283"/>
      <w:bookmarkEnd w:id="2284"/>
      <w:bookmarkEnd w:id="2285"/>
    </w:p>
    <w:p>
      <w:pPr>
        <w:pStyle w:val="147"/>
        <w:rPr>
          <w:u w:val="single"/>
        </w:rPr>
      </w:pPr>
    </w:p>
    <w:p>
      <w:pPr>
        <w:pStyle w:val="147"/>
      </w:pPr>
      <w:r>
        <w:rPr>
          <w:u w:val="single"/>
        </w:rPr>
        <w:t xml:space="preserve">            </w:t>
      </w:r>
      <w:r>
        <w:rPr>
          <w:rFonts w:hint="eastAsia" w:cs="宋体"/>
          <w:u w:val="single"/>
        </w:rPr>
        <w:t>（项目名称）</w:t>
      </w:r>
      <w:r>
        <w:rPr>
          <w:u w:val="single"/>
        </w:rPr>
        <w:t xml:space="preserve">  </w:t>
      </w:r>
      <w:r>
        <w:rPr>
          <w:rFonts w:hint="eastAsia" w:cs="宋体"/>
          <w:u w:val="single"/>
          <w:lang w:eastAsia="zh-CN"/>
        </w:rPr>
        <w:t>（标段名称）</w:t>
      </w:r>
      <w:r>
        <w:rPr>
          <w:u w:val="single"/>
        </w:rPr>
        <w:t xml:space="preserve">      </w:t>
      </w:r>
      <w:r>
        <w:t xml:space="preserve"> </w:t>
      </w:r>
      <w:r>
        <w:rPr>
          <w:rFonts w:hint="eastAsia" w:cs="宋体"/>
        </w:rPr>
        <w:t>工程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pPr>
            <w:r>
              <w:rPr>
                <w:rFonts w:hint="eastAsia" w:cs="宋体"/>
              </w:rPr>
              <w:t>姓名</w:t>
            </w:r>
          </w:p>
        </w:tc>
        <w:tc>
          <w:tcPr>
            <w:tcW w:w="2340" w:type="dxa"/>
            <w:gridSpan w:val="3"/>
            <w:noWrap w:val="0"/>
            <w:vAlign w:val="center"/>
          </w:tcPr>
          <w:p>
            <w:pPr>
              <w:jc w:val="center"/>
            </w:pPr>
          </w:p>
        </w:tc>
        <w:tc>
          <w:tcPr>
            <w:tcW w:w="1893" w:type="dxa"/>
            <w:gridSpan w:val="2"/>
            <w:noWrap w:val="0"/>
            <w:vAlign w:val="center"/>
          </w:tcPr>
          <w:p>
            <w:pPr>
              <w:jc w:val="center"/>
            </w:pPr>
            <w:r>
              <w:rPr>
                <w:rFonts w:hint="eastAsia" w:cs="宋体"/>
              </w:rPr>
              <w:t>性别</w:t>
            </w:r>
          </w:p>
        </w:tc>
        <w:tc>
          <w:tcPr>
            <w:tcW w:w="1585" w:type="dxa"/>
            <w:gridSpan w:val="2"/>
            <w:noWrap w:val="0"/>
            <w:vAlign w:val="center"/>
          </w:tcPr>
          <w:p>
            <w:pPr>
              <w:jc w:val="center"/>
            </w:pPr>
          </w:p>
        </w:tc>
        <w:tc>
          <w:tcPr>
            <w:tcW w:w="1108" w:type="dxa"/>
            <w:gridSpan w:val="2"/>
            <w:noWrap w:val="0"/>
            <w:vAlign w:val="center"/>
          </w:tcPr>
          <w:p>
            <w:pPr>
              <w:jc w:val="center"/>
            </w:pPr>
            <w:r>
              <w:rPr>
                <w:rFonts w:hint="eastAsia" w:cs="宋体"/>
              </w:rPr>
              <w:t>年龄</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pPr>
            <w:r>
              <w:rPr>
                <w:rFonts w:hint="eastAsia" w:cs="宋体"/>
              </w:rPr>
              <w:t>职务</w:t>
            </w:r>
          </w:p>
        </w:tc>
        <w:tc>
          <w:tcPr>
            <w:tcW w:w="2340" w:type="dxa"/>
            <w:gridSpan w:val="3"/>
            <w:noWrap w:val="0"/>
            <w:vAlign w:val="center"/>
          </w:tcPr>
          <w:p>
            <w:pPr>
              <w:jc w:val="center"/>
            </w:pPr>
          </w:p>
        </w:tc>
        <w:tc>
          <w:tcPr>
            <w:tcW w:w="1893" w:type="dxa"/>
            <w:gridSpan w:val="2"/>
            <w:noWrap w:val="0"/>
            <w:vAlign w:val="center"/>
          </w:tcPr>
          <w:p>
            <w:pPr>
              <w:jc w:val="center"/>
            </w:pPr>
            <w:r>
              <w:rPr>
                <w:rFonts w:hint="eastAsia" w:cs="宋体"/>
              </w:rPr>
              <w:t>职称</w:t>
            </w:r>
          </w:p>
        </w:tc>
        <w:tc>
          <w:tcPr>
            <w:tcW w:w="1585" w:type="dxa"/>
            <w:gridSpan w:val="2"/>
            <w:noWrap w:val="0"/>
            <w:vAlign w:val="center"/>
          </w:tcPr>
          <w:p>
            <w:pPr>
              <w:jc w:val="center"/>
            </w:pPr>
          </w:p>
        </w:tc>
        <w:tc>
          <w:tcPr>
            <w:tcW w:w="1108" w:type="dxa"/>
            <w:gridSpan w:val="2"/>
            <w:noWrap w:val="0"/>
            <w:vAlign w:val="center"/>
          </w:tcPr>
          <w:p>
            <w:pPr>
              <w:jc w:val="center"/>
            </w:pPr>
            <w:r>
              <w:rPr>
                <w:rFonts w:hint="eastAsia" w:cs="宋体"/>
              </w:rPr>
              <w:t>学历</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pPr>
            <w:r>
              <w:rPr>
                <w:rFonts w:hint="eastAsia" w:cs="宋体"/>
              </w:rPr>
              <w:t>参加工作时间</w:t>
            </w:r>
          </w:p>
        </w:tc>
        <w:tc>
          <w:tcPr>
            <w:tcW w:w="1893" w:type="dxa"/>
            <w:gridSpan w:val="2"/>
            <w:noWrap w:val="0"/>
            <w:vAlign w:val="center"/>
          </w:tcPr>
          <w:p>
            <w:pPr>
              <w:jc w:val="center"/>
            </w:pPr>
          </w:p>
        </w:tc>
        <w:tc>
          <w:tcPr>
            <w:tcW w:w="2693" w:type="dxa"/>
            <w:gridSpan w:val="4"/>
            <w:noWrap w:val="0"/>
            <w:vAlign w:val="center"/>
          </w:tcPr>
          <w:p>
            <w:pPr>
              <w:jc w:val="center"/>
            </w:pPr>
            <w:r>
              <w:rPr>
                <w:rFonts w:hint="eastAsia" w:cs="宋体"/>
              </w:rPr>
              <w:t>担任技术负责人年限</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pPr>
            <w:r>
              <w:rPr>
                <w:rFonts w:hint="eastAsia"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pPr>
            <w:r>
              <w:rPr>
                <w:rFonts w:hint="eastAsia" w:cs="宋体"/>
              </w:rPr>
              <w:t>建设单位</w:t>
            </w:r>
          </w:p>
        </w:tc>
        <w:tc>
          <w:tcPr>
            <w:tcW w:w="1548" w:type="dxa"/>
            <w:noWrap w:val="0"/>
            <w:vAlign w:val="center"/>
          </w:tcPr>
          <w:p>
            <w:pPr>
              <w:jc w:val="center"/>
            </w:pPr>
            <w:r>
              <w:rPr>
                <w:rFonts w:hint="eastAsia" w:cs="宋体"/>
              </w:rPr>
              <w:t>项目名称</w:t>
            </w:r>
          </w:p>
        </w:tc>
        <w:tc>
          <w:tcPr>
            <w:tcW w:w="1547" w:type="dxa"/>
            <w:gridSpan w:val="2"/>
            <w:noWrap w:val="0"/>
            <w:vAlign w:val="center"/>
          </w:tcPr>
          <w:p>
            <w:pPr>
              <w:jc w:val="center"/>
            </w:pPr>
            <w:r>
              <w:rPr>
                <w:rFonts w:hint="eastAsia" w:cs="宋体"/>
              </w:rPr>
              <w:t>建设规模</w:t>
            </w:r>
          </w:p>
        </w:tc>
        <w:tc>
          <w:tcPr>
            <w:tcW w:w="1548" w:type="dxa"/>
            <w:gridSpan w:val="2"/>
            <w:noWrap w:val="0"/>
            <w:vAlign w:val="center"/>
          </w:tcPr>
          <w:p>
            <w:pPr>
              <w:jc w:val="center"/>
            </w:pPr>
            <w:r>
              <w:rPr>
                <w:rFonts w:hint="eastAsia" w:cs="宋体"/>
              </w:rPr>
              <w:t>开、竣工日期</w:t>
            </w:r>
          </w:p>
        </w:tc>
        <w:tc>
          <w:tcPr>
            <w:tcW w:w="1547" w:type="dxa"/>
            <w:gridSpan w:val="2"/>
            <w:noWrap w:val="0"/>
            <w:vAlign w:val="center"/>
          </w:tcPr>
          <w:p>
            <w:pPr>
              <w:jc w:val="center"/>
            </w:pPr>
            <w:r>
              <w:rPr>
                <w:rFonts w:hint="eastAsia" w:cs="宋体"/>
              </w:rPr>
              <w:t>在建或已完</w:t>
            </w:r>
          </w:p>
        </w:tc>
        <w:tc>
          <w:tcPr>
            <w:tcW w:w="1548" w:type="dxa"/>
            <w:gridSpan w:val="2"/>
            <w:noWrap w:val="0"/>
            <w:vAlign w:val="center"/>
          </w:tcPr>
          <w:p>
            <w:pPr>
              <w:jc w:val="center"/>
            </w:pPr>
            <w:r>
              <w:rPr>
                <w:rFonts w:hint="eastAsia"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bl>
    <w:p>
      <w:pPr>
        <w:spacing w:line="360" w:lineRule="auto"/>
      </w:pPr>
    </w:p>
    <w:p>
      <w:pPr>
        <w:spacing w:line="360" w:lineRule="auto"/>
        <w:rPr>
          <w:rFonts w:ascii="宋体" w:hAnsi="宋体"/>
        </w:rPr>
      </w:pPr>
      <w:r>
        <w:rPr>
          <w:rFonts w:ascii="宋体" w:hAnsi="宋体"/>
        </w:rPr>
        <w:t>备注：</w:t>
      </w:r>
    </w:p>
    <w:p>
      <w:pPr>
        <w:spacing w:line="360" w:lineRule="auto"/>
        <w:ind w:firstLine="420" w:firstLineChars="200"/>
        <w:rPr>
          <w:rFonts w:eastAsia="楷体_GB2312"/>
        </w:rPr>
      </w:pPr>
      <w:r>
        <w:rPr>
          <w:rFonts w:ascii="宋体" w:hAnsi="宋体"/>
        </w:rPr>
        <w:t>1、</w:t>
      </w:r>
      <w:r>
        <w:rPr>
          <w:rFonts w:hint="eastAsia" w:ascii="宋体" w:hAnsi="宋体"/>
        </w:rPr>
        <w:t>附技术负责人的职称证和已完工程</w:t>
      </w:r>
      <w:r>
        <w:rPr>
          <w:rFonts w:ascii="宋体" w:hAnsi="宋体"/>
        </w:rPr>
        <w:t>中标通知书</w:t>
      </w:r>
      <w:r>
        <w:rPr>
          <w:rFonts w:hint="eastAsia" w:ascii="宋体" w:hAnsi="宋体"/>
        </w:rPr>
        <w:t>（如有）、</w:t>
      </w:r>
      <w:r>
        <w:rPr>
          <w:rFonts w:ascii="宋体" w:hAnsi="宋体"/>
        </w:rPr>
        <w:t>工程合同协议书</w:t>
      </w:r>
      <w:r>
        <w:rPr>
          <w:rFonts w:hint="eastAsia" w:ascii="宋体" w:hAnsi="宋体"/>
        </w:rPr>
        <w:t>的复印件，以及投标人认为需要增加的其他证明材料复印件，</w:t>
      </w:r>
      <w:r>
        <w:rPr>
          <w:rFonts w:ascii="宋体" w:hAnsi="宋体"/>
        </w:rPr>
        <w:t>以</w:t>
      </w:r>
      <w:r>
        <w:rPr>
          <w:rFonts w:hint="eastAsia" w:ascii="宋体" w:hAnsi="宋体"/>
        </w:rPr>
        <w:t>上</w:t>
      </w:r>
      <w:r>
        <w:rPr>
          <w:rFonts w:ascii="宋体" w:hAnsi="宋体"/>
        </w:rPr>
        <w:t>复印件均须加盖投标人单位公章</w:t>
      </w:r>
      <w:r>
        <w:rPr>
          <w:rFonts w:hint="eastAsia" w:ascii="宋体" w:hAnsi="宋体"/>
        </w:rPr>
        <w:t>。</w:t>
      </w:r>
    </w:p>
    <w:p>
      <w:pPr>
        <w:spacing w:line="360" w:lineRule="auto"/>
        <w:ind w:firstLine="420" w:firstLineChars="200"/>
        <w:rPr>
          <w:rFonts w:eastAsia="楷体_GB2312"/>
        </w:rPr>
      </w:pPr>
    </w:p>
    <w:p>
      <w:pPr>
        <w:jc w:val="center"/>
        <w:rPr>
          <w:sz w:val="32"/>
          <w:szCs w:val="32"/>
        </w:rPr>
      </w:pPr>
    </w:p>
    <w:p/>
    <w:p/>
    <w:sectPr>
      <w:pgSz w:w="11905" w:h="16838"/>
      <w:pgMar w:top="1440" w:right="1157" w:bottom="1270" w:left="1287"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0288"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15" name="Shape 191"/>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167"/>
                            <w:jc w:val="left"/>
                          </w:pPr>
                          <w:r>
                            <w:rPr>
                              <w:rFonts w:hint="eastAsia" w:ascii="MS Mincho" w:hAnsi="MS Mincho" w:eastAsia="MS Mincho" w:cs="MS Mincho"/>
                            </w:rPr>
                            <w:t>・</w:t>
                          </w:r>
                          <w:r>
                            <w:fldChar w:fldCharType="begin"/>
                          </w:r>
                          <w:r>
                            <w:instrText xml:space="preserve"> PAGE \* MERGEFORMAT </w:instrText>
                          </w:r>
                          <w:r>
                            <w:fldChar w:fldCharType="separate"/>
                          </w:r>
                          <w:r>
                            <w:t>98</w:t>
                          </w:r>
                          <w:r>
                            <w:fldChar w:fldCharType="end"/>
                          </w:r>
                          <w:r>
                            <w:t xml:space="preserve"> -</w:t>
                          </w:r>
                        </w:p>
                      </w:txbxContent>
                    </wps:txbx>
                    <wps:bodyPr vert="horz" wrap="none" lIns="0" tIns="0" rIns="0" bIns="0" anchor="t" anchorCtr="0" upright="1">
                      <a:spAutoFit/>
                    </wps:bodyPr>
                  </wps:wsp>
                </a:graphicData>
              </a:graphic>
            </wp:anchor>
          </w:drawing>
        </mc:Choice>
        <mc:Fallback>
          <w:pict>
            <v:shape id="Shape 191" o:spid="_x0000_s1026" o:spt="202" type="#_x0000_t202" style="position:absolute;left:0pt;margin-left:287.25pt;margin-top:768.2pt;height:6.35pt;width:19.45pt;mso-position-horizontal-relative:page;mso-position-vertical-relative:page;mso-wrap-style:none;z-index:-251656192;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KbbxdkAAAANAQAADwAAAAAAAAAB&#10;ACAAAAAiAAAAZHJzL2Rvd25yZXYueG1sUEsBAhQAFAAAAAgAh07iQE4NDa/WAQAAyAMAAA4AAAAA&#10;AAAAAQAgAAAAKAEAAGRycy9lMm9Eb2MueG1sUEsFBgAAAAAGAAYAWQEAAHAFAAAAAA==&#10;">
              <v:fill on="f" focussize="0,0"/>
              <v:stroke on="f"/>
              <v:imagedata o:title=""/>
              <o:lock v:ext="edit" aspectratio="f"/>
              <v:textbox inset="0mm,0mm,0mm,0mm" style="mso-fit-shape-to-text:t;">
                <w:txbxContent>
                  <w:p>
                    <w:pPr>
                      <w:pStyle w:val="167"/>
                      <w:jc w:val="left"/>
                    </w:pPr>
                    <w:r>
                      <w:rPr>
                        <w:rFonts w:hint="eastAsia" w:ascii="MS Mincho" w:hAnsi="MS Mincho" w:eastAsia="MS Mincho" w:cs="MS Mincho"/>
                      </w:rPr>
                      <w:t>・</w:t>
                    </w:r>
                    <w:r>
                      <w:fldChar w:fldCharType="begin"/>
                    </w:r>
                    <w:r>
                      <w:instrText xml:space="preserve"> PAGE \* MERGEFORMAT </w:instrText>
                    </w:r>
                    <w:r>
                      <w:fldChar w:fldCharType="separate"/>
                    </w:r>
                    <w:r>
                      <w:t>98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61</w:t>
                    </w:r>
                    <w:r>
                      <w:fldChar w:fldCharType="end"/>
                    </w:r>
                  </w:p>
                </w:txbxContent>
              </v:textbox>
            </v:shape>
          </w:pict>
        </mc:Fallback>
      </mc:AlternateContent>
    </w:r>
    <w:r>
      <w:rPr>
        <w:rFonts w:hint="eastAsia"/>
        <w:lang w:val="en-US" w:eastAsia="zh-CN"/>
      </w:rPr>
      <w:t>.</w:t>
    </w:r>
  </w:p>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singleLevel"/>
    <w:tmpl w:val="825EC3C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87B75F0A"/>
    <w:multiLevelType w:val="singleLevel"/>
    <w:tmpl w:val="87B75F0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
    <w:nsid w:val="883B3669"/>
    <w:multiLevelType w:val="singleLevel"/>
    <w:tmpl w:val="883B366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886F4C3D"/>
    <w:multiLevelType w:val="singleLevel"/>
    <w:tmpl w:val="886F4C3D"/>
    <w:lvl w:ilvl="0" w:tentative="0">
      <w:start w:val="1"/>
      <w:numFmt w:val="decimal"/>
      <w:suff w:val="nothing"/>
      <w:lvlText w:val="（%1）"/>
      <w:lvlJc w:val="left"/>
    </w:lvl>
  </w:abstractNum>
  <w:abstractNum w:abstractNumId="4">
    <w:nsid w:val="95E682A1"/>
    <w:multiLevelType w:val="singleLevel"/>
    <w:tmpl w:val="95E682A1"/>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5">
    <w:nsid w:val="98CD717A"/>
    <w:multiLevelType w:val="singleLevel"/>
    <w:tmpl w:val="98CD717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9C11E984"/>
    <w:multiLevelType w:val="singleLevel"/>
    <w:tmpl w:val="9C11E9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9C7198AA"/>
    <w:multiLevelType w:val="singleLevel"/>
    <w:tmpl w:val="9C7198A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9D7EB8E6"/>
    <w:multiLevelType w:val="singleLevel"/>
    <w:tmpl w:val="9D7EB8E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9DFC6F65"/>
    <w:multiLevelType w:val="singleLevel"/>
    <w:tmpl w:val="9DFC6F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9F81B9F9"/>
    <w:multiLevelType w:val="singleLevel"/>
    <w:tmpl w:val="9F81B9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A8C20A09"/>
    <w:multiLevelType w:val="singleLevel"/>
    <w:tmpl w:val="A8C20A09"/>
    <w:lvl w:ilvl="0" w:tentative="0">
      <w:start w:val="1"/>
      <w:numFmt w:val="decimal"/>
      <w:suff w:val="nothing"/>
      <w:lvlText w:val="%1、"/>
      <w:lvlJc w:val="left"/>
      <w:rPr>
        <w:rFonts w:cs="Times New Roman"/>
      </w:rPr>
    </w:lvl>
  </w:abstractNum>
  <w:abstractNum w:abstractNumId="12">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3">
    <w:nsid w:val="BCECA0B4"/>
    <w:multiLevelType w:val="singleLevel"/>
    <w:tmpl w:val="BCECA0B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BF50FE6B"/>
    <w:multiLevelType w:val="singleLevel"/>
    <w:tmpl w:val="BF50FE6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CD699D1D"/>
    <w:multiLevelType w:val="singleLevel"/>
    <w:tmpl w:val="CD699D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D7936317"/>
    <w:multiLevelType w:val="singleLevel"/>
    <w:tmpl w:val="D7936317"/>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7">
    <w:nsid w:val="E0294EC7"/>
    <w:multiLevelType w:val="singleLevel"/>
    <w:tmpl w:val="E0294EC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E43A772E"/>
    <w:multiLevelType w:val="singleLevel"/>
    <w:tmpl w:val="E43A77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9">
    <w:nsid w:val="E52D9448"/>
    <w:multiLevelType w:val="singleLevel"/>
    <w:tmpl w:val="E52D944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F1FCDEFA"/>
    <w:multiLevelType w:val="singleLevel"/>
    <w:tmpl w:val="F1FCDEF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1">
    <w:nsid w:val="F2A81E1A"/>
    <w:multiLevelType w:val="singleLevel"/>
    <w:tmpl w:val="F2A81E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2">
    <w:nsid w:val="F3A33954"/>
    <w:multiLevelType w:val="singleLevel"/>
    <w:tmpl w:val="F3A339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F4A942FE"/>
    <w:multiLevelType w:val="singleLevel"/>
    <w:tmpl w:val="F4A942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FCE45169"/>
    <w:multiLevelType w:val="singleLevel"/>
    <w:tmpl w:val="FCE45169"/>
    <w:lvl w:ilvl="0" w:tentative="0">
      <w:start w:val="1"/>
      <w:numFmt w:val="decimal"/>
      <w:suff w:val="nothing"/>
      <w:lvlText w:val="（%1）"/>
      <w:lvlJc w:val="left"/>
    </w:lvl>
  </w:abstractNum>
  <w:abstractNum w:abstractNumId="25">
    <w:nsid w:val="00000006"/>
    <w:multiLevelType w:val="singleLevel"/>
    <w:tmpl w:val="00000006"/>
    <w:lvl w:ilvl="0" w:tentative="0">
      <w:start w:val="1"/>
      <w:numFmt w:val="decimal"/>
      <w:suff w:val="space"/>
      <w:lvlText w:val="%1."/>
      <w:lvlJc w:val="left"/>
    </w:lvl>
  </w:abstractNum>
  <w:abstractNum w:abstractNumId="26">
    <w:nsid w:val="01836A6D"/>
    <w:multiLevelType w:val="singleLevel"/>
    <w:tmpl w:val="01836A6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01D7E1C7"/>
    <w:multiLevelType w:val="multilevel"/>
    <w:tmpl w:val="01D7E1C7"/>
    <w:lvl w:ilvl="0" w:tentative="0">
      <w:start w:val="8"/>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28">
    <w:nsid w:val="03C240C0"/>
    <w:multiLevelType w:val="singleLevel"/>
    <w:tmpl w:val="03C240C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1AD50295"/>
    <w:multiLevelType w:val="singleLevel"/>
    <w:tmpl w:val="1AD5029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21B3B1B1"/>
    <w:multiLevelType w:val="singleLevel"/>
    <w:tmpl w:val="21B3B1B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1">
    <w:nsid w:val="227C9188"/>
    <w:multiLevelType w:val="singleLevel"/>
    <w:tmpl w:val="227C918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251342A6"/>
    <w:multiLevelType w:val="singleLevel"/>
    <w:tmpl w:val="251342A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3">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4">
    <w:nsid w:val="2B3F3F89"/>
    <w:multiLevelType w:val="singleLevel"/>
    <w:tmpl w:val="2B3F3F8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5">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6">
    <w:nsid w:val="3FE315B6"/>
    <w:multiLevelType w:val="singleLevel"/>
    <w:tmpl w:val="3FE315B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7">
    <w:nsid w:val="40F245EA"/>
    <w:multiLevelType w:val="singleLevel"/>
    <w:tmpl w:val="40F245E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8">
    <w:nsid w:val="4258023A"/>
    <w:multiLevelType w:val="singleLevel"/>
    <w:tmpl w:val="4258023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9">
    <w:nsid w:val="4A51D704"/>
    <w:multiLevelType w:val="singleLevel"/>
    <w:tmpl w:val="4A51D70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0">
    <w:nsid w:val="4CD1E351"/>
    <w:multiLevelType w:val="singleLevel"/>
    <w:tmpl w:val="4CD1E35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1">
    <w:nsid w:val="4D63189B"/>
    <w:multiLevelType w:val="singleLevel"/>
    <w:tmpl w:val="4D63189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2">
    <w:nsid w:val="4FB438A5"/>
    <w:multiLevelType w:val="singleLevel"/>
    <w:tmpl w:val="4FB438A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3">
    <w:nsid w:val="51C4BC33"/>
    <w:multiLevelType w:val="singleLevel"/>
    <w:tmpl w:val="51C4BC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4">
    <w:nsid w:val="54701CA1"/>
    <w:multiLevelType w:val="singleLevel"/>
    <w:tmpl w:val="54701CA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5">
    <w:nsid w:val="5E7401A8"/>
    <w:multiLevelType w:val="singleLevel"/>
    <w:tmpl w:val="5E7401A8"/>
    <w:lvl w:ilvl="0" w:tentative="0">
      <w:start w:val="6"/>
      <w:numFmt w:val="decimal"/>
      <w:suff w:val="nothing"/>
      <w:lvlText w:val="%1、"/>
      <w:lvlJc w:val="left"/>
    </w:lvl>
  </w:abstractNum>
  <w:abstractNum w:abstractNumId="46">
    <w:nsid w:val="5FCE4367"/>
    <w:multiLevelType w:val="singleLevel"/>
    <w:tmpl w:val="5FCE436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7">
    <w:nsid w:val="68B298F7"/>
    <w:multiLevelType w:val="singleLevel"/>
    <w:tmpl w:val="68B298F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8">
    <w:nsid w:val="7754694F"/>
    <w:multiLevelType w:val="singleLevel"/>
    <w:tmpl w:val="7754694F"/>
    <w:lvl w:ilvl="0" w:tentative="0">
      <w:start w:val="1"/>
      <w:numFmt w:val="decimal"/>
      <w:suff w:val="nothing"/>
      <w:lvlText w:val="（%1）"/>
      <w:lvlJc w:val="left"/>
    </w:lvl>
  </w:abstractNum>
  <w:num w:numId="1">
    <w:abstractNumId w:val="24"/>
  </w:num>
  <w:num w:numId="2">
    <w:abstractNumId w:val="3"/>
  </w:num>
  <w:num w:numId="3">
    <w:abstractNumId w:val="47"/>
  </w:num>
  <w:num w:numId="4">
    <w:abstractNumId w:val="13"/>
  </w:num>
  <w:num w:numId="5">
    <w:abstractNumId w:val="40"/>
  </w:num>
  <w:num w:numId="6">
    <w:abstractNumId w:val="6"/>
  </w:num>
  <w:num w:numId="7">
    <w:abstractNumId w:val="17"/>
  </w:num>
  <w:num w:numId="8">
    <w:abstractNumId w:val="29"/>
  </w:num>
  <w:num w:numId="9">
    <w:abstractNumId w:val="39"/>
  </w:num>
  <w:num w:numId="10">
    <w:abstractNumId w:val="0"/>
  </w:num>
  <w:num w:numId="11">
    <w:abstractNumId w:val="2"/>
  </w:num>
  <w:num w:numId="12">
    <w:abstractNumId w:val="26"/>
  </w:num>
  <w:num w:numId="13">
    <w:abstractNumId w:val="10"/>
  </w:num>
  <w:num w:numId="14">
    <w:abstractNumId w:val="14"/>
  </w:num>
  <w:num w:numId="15">
    <w:abstractNumId w:val="23"/>
  </w:num>
  <w:num w:numId="16">
    <w:abstractNumId w:val="46"/>
  </w:num>
  <w:num w:numId="17">
    <w:abstractNumId w:val="22"/>
  </w:num>
  <w:num w:numId="18">
    <w:abstractNumId w:val="44"/>
  </w:num>
  <w:num w:numId="19">
    <w:abstractNumId w:val="30"/>
  </w:num>
  <w:num w:numId="20">
    <w:abstractNumId w:val="5"/>
  </w:num>
  <w:num w:numId="21">
    <w:abstractNumId w:val="28"/>
  </w:num>
  <w:num w:numId="22">
    <w:abstractNumId w:val="9"/>
  </w:num>
  <w:num w:numId="23">
    <w:abstractNumId w:val="34"/>
  </w:num>
  <w:num w:numId="24">
    <w:abstractNumId w:val="43"/>
  </w:num>
  <w:num w:numId="25">
    <w:abstractNumId w:val="15"/>
  </w:num>
  <w:num w:numId="26">
    <w:abstractNumId w:val="7"/>
  </w:num>
  <w:num w:numId="27">
    <w:abstractNumId w:val="32"/>
  </w:num>
  <w:num w:numId="28">
    <w:abstractNumId w:val="37"/>
  </w:num>
  <w:num w:numId="29">
    <w:abstractNumId w:val="41"/>
  </w:num>
  <w:num w:numId="30">
    <w:abstractNumId w:val="42"/>
  </w:num>
  <w:num w:numId="31">
    <w:abstractNumId w:val="31"/>
  </w:num>
  <w:num w:numId="32">
    <w:abstractNumId w:val="19"/>
  </w:num>
  <w:num w:numId="33">
    <w:abstractNumId w:val="8"/>
  </w:num>
  <w:num w:numId="34">
    <w:abstractNumId w:val="36"/>
  </w:num>
  <w:num w:numId="35">
    <w:abstractNumId w:val="18"/>
  </w:num>
  <w:num w:numId="36">
    <w:abstractNumId w:val="16"/>
  </w:num>
  <w:num w:numId="37">
    <w:abstractNumId w:val="38"/>
  </w:num>
  <w:num w:numId="38">
    <w:abstractNumId w:val="4"/>
  </w:num>
  <w:num w:numId="39">
    <w:abstractNumId w:val="20"/>
  </w:num>
  <w:num w:numId="40">
    <w:abstractNumId w:val="48"/>
  </w:num>
  <w:num w:numId="41">
    <w:abstractNumId w:val="27"/>
  </w:num>
  <w:num w:numId="42">
    <w:abstractNumId w:val="35"/>
  </w:num>
  <w:num w:numId="43">
    <w:abstractNumId w:val="1"/>
  </w:num>
  <w:num w:numId="44">
    <w:abstractNumId w:val="11"/>
  </w:num>
  <w:num w:numId="45">
    <w:abstractNumId w:val="21"/>
  </w:num>
  <w:num w:numId="46">
    <w:abstractNumId w:val="33"/>
  </w:num>
  <w:num w:numId="47">
    <w:abstractNumId w:val="12"/>
  </w:num>
  <w:num w:numId="48">
    <w:abstractNumId w:val="25"/>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OWRlODAzOWY2ZWI5MGNjMjg2NzRmMjgwN2RiNzIifQ=="/>
  </w:docVars>
  <w:rsids>
    <w:rsidRoot w:val="00362622"/>
    <w:rsid w:val="00000890"/>
    <w:rsid w:val="00000AA0"/>
    <w:rsid w:val="000028E6"/>
    <w:rsid w:val="00002A82"/>
    <w:rsid w:val="000041D9"/>
    <w:rsid w:val="0000458D"/>
    <w:rsid w:val="00007241"/>
    <w:rsid w:val="0001228B"/>
    <w:rsid w:val="00014246"/>
    <w:rsid w:val="0001555D"/>
    <w:rsid w:val="00022002"/>
    <w:rsid w:val="00022224"/>
    <w:rsid w:val="000226E7"/>
    <w:rsid w:val="00026A0B"/>
    <w:rsid w:val="00027721"/>
    <w:rsid w:val="000277DA"/>
    <w:rsid w:val="000278FD"/>
    <w:rsid w:val="0002793C"/>
    <w:rsid w:val="0003222C"/>
    <w:rsid w:val="0003480A"/>
    <w:rsid w:val="000350EF"/>
    <w:rsid w:val="00035498"/>
    <w:rsid w:val="00037374"/>
    <w:rsid w:val="00043A27"/>
    <w:rsid w:val="00043D96"/>
    <w:rsid w:val="00045078"/>
    <w:rsid w:val="0004547A"/>
    <w:rsid w:val="000466EE"/>
    <w:rsid w:val="0004796C"/>
    <w:rsid w:val="00047DA9"/>
    <w:rsid w:val="00047DC9"/>
    <w:rsid w:val="00051E1C"/>
    <w:rsid w:val="00051FB8"/>
    <w:rsid w:val="00053B2C"/>
    <w:rsid w:val="00053D7F"/>
    <w:rsid w:val="0005429B"/>
    <w:rsid w:val="000543E0"/>
    <w:rsid w:val="00054C5C"/>
    <w:rsid w:val="00054F2D"/>
    <w:rsid w:val="00056FDB"/>
    <w:rsid w:val="00057AEC"/>
    <w:rsid w:val="0006043B"/>
    <w:rsid w:val="00063CEE"/>
    <w:rsid w:val="0006600F"/>
    <w:rsid w:val="000665ED"/>
    <w:rsid w:val="000670F4"/>
    <w:rsid w:val="000672C3"/>
    <w:rsid w:val="000700A9"/>
    <w:rsid w:val="0007159E"/>
    <w:rsid w:val="00072735"/>
    <w:rsid w:val="0007293D"/>
    <w:rsid w:val="00073791"/>
    <w:rsid w:val="00077297"/>
    <w:rsid w:val="00077B14"/>
    <w:rsid w:val="0008160A"/>
    <w:rsid w:val="0008302E"/>
    <w:rsid w:val="000845F4"/>
    <w:rsid w:val="000849F5"/>
    <w:rsid w:val="00084DB8"/>
    <w:rsid w:val="00085C3A"/>
    <w:rsid w:val="00086D31"/>
    <w:rsid w:val="00087159"/>
    <w:rsid w:val="000904E1"/>
    <w:rsid w:val="000908C9"/>
    <w:rsid w:val="000918BB"/>
    <w:rsid w:val="00091991"/>
    <w:rsid w:val="00091C53"/>
    <w:rsid w:val="00091D7E"/>
    <w:rsid w:val="0009380F"/>
    <w:rsid w:val="000938B4"/>
    <w:rsid w:val="0009478C"/>
    <w:rsid w:val="00094E96"/>
    <w:rsid w:val="000A0C6B"/>
    <w:rsid w:val="000A4CC3"/>
    <w:rsid w:val="000A7542"/>
    <w:rsid w:val="000B1BBF"/>
    <w:rsid w:val="000B4150"/>
    <w:rsid w:val="000B47FF"/>
    <w:rsid w:val="000B4C01"/>
    <w:rsid w:val="000B61C8"/>
    <w:rsid w:val="000B66FB"/>
    <w:rsid w:val="000C1344"/>
    <w:rsid w:val="000C1A5D"/>
    <w:rsid w:val="000C432C"/>
    <w:rsid w:val="000C4F03"/>
    <w:rsid w:val="000C7A53"/>
    <w:rsid w:val="000D023A"/>
    <w:rsid w:val="000D1712"/>
    <w:rsid w:val="000D1958"/>
    <w:rsid w:val="000D4BE7"/>
    <w:rsid w:val="000D4C31"/>
    <w:rsid w:val="000D6186"/>
    <w:rsid w:val="000D6932"/>
    <w:rsid w:val="000E05D9"/>
    <w:rsid w:val="000E0657"/>
    <w:rsid w:val="000E0876"/>
    <w:rsid w:val="000E1E50"/>
    <w:rsid w:val="000E208B"/>
    <w:rsid w:val="000E22BC"/>
    <w:rsid w:val="000E2597"/>
    <w:rsid w:val="000E29F4"/>
    <w:rsid w:val="000E3665"/>
    <w:rsid w:val="000E3BFB"/>
    <w:rsid w:val="000E4FE1"/>
    <w:rsid w:val="000E5EDC"/>
    <w:rsid w:val="000E762E"/>
    <w:rsid w:val="000F03CB"/>
    <w:rsid w:val="000F071F"/>
    <w:rsid w:val="000F10E7"/>
    <w:rsid w:val="000F205F"/>
    <w:rsid w:val="000F291C"/>
    <w:rsid w:val="000F304E"/>
    <w:rsid w:val="000F3749"/>
    <w:rsid w:val="000F53E7"/>
    <w:rsid w:val="000F5AA6"/>
    <w:rsid w:val="000F6618"/>
    <w:rsid w:val="000F6C51"/>
    <w:rsid w:val="000F77CB"/>
    <w:rsid w:val="000F7DA6"/>
    <w:rsid w:val="00101114"/>
    <w:rsid w:val="001011E5"/>
    <w:rsid w:val="001013C7"/>
    <w:rsid w:val="00101DCD"/>
    <w:rsid w:val="00102A08"/>
    <w:rsid w:val="00103E7A"/>
    <w:rsid w:val="00104603"/>
    <w:rsid w:val="00104E7C"/>
    <w:rsid w:val="0010559F"/>
    <w:rsid w:val="001059BE"/>
    <w:rsid w:val="0010661C"/>
    <w:rsid w:val="00106A31"/>
    <w:rsid w:val="00106D30"/>
    <w:rsid w:val="001076D5"/>
    <w:rsid w:val="00107885"/>
    <w:rsid w:val="00110780"/>
    <w:rsid w:val="00110FE5"/>
    <w:rsid w:val="0011459B"/>
    <w:rsid w:val="0011473A"/>
    <w:rsid w:val="0012008E"/>
    <w:rsid w:val="00120BCF"/>
    <w:rsid w:val="00122322"/>
    <w:rsid w:val="001238DD"/>
    <w:rsid w:val="0012400B"/>
    <w:rsid w:val="0012410A"/>
    <w:rsid w:val="001252FC"/>
    <w:rsid w:val="00127801"/>
    <w:rsid w:val="001278B0"/>
    <w:rsid w:val="00127AF6"/>
    <w:rsid w:val="00130097"/>
    <w:rsid w:val="00132CBE"/>
    <w:rsid w:val="00132EC4"/>
    <w:rsid w:val="00135321"/>
    <w:rsid w:val="00135E7A"/>
    <w:rsid w:val="00141048"/>
    <w:rsid w:val="001410CB"/>
    <w:rsid w:val="001434A2"/>
    <w:rsid w:val="00143533"/>
    <w:rsid w:val="00143ED3"/>
    <w:rsid w:val="001445D5"/>
    <w:rsid w:val="0014505E"/>
    <w:rsid w:val="00146B40"/>
    <w:rsid w:val="00146C9F"/>
    <w:rsid w:val="00151003"/>
    <w:rsid w:val="001515F0"/>
    <w:rsid w:val="00152BC9"/>
    <w:rsid w:val="00152EC4"/>
    <w:rsid w:val="00154355"/>
    <w:rsid w:val="00154773"/>
    <w:rsid w:val="00154B88"/>
    <w:rsid w:val="0015629C"/>
    <w:rsid w:val="00156931"/>
    <w:rsid w:val="001577B8"/>
    <w:rsid w:val="00161121"/>
    <w:rsid w:val="001622B6"/>
    <w:rsid w:val="00162531"/>
    <w:rsid w:val="00163334"/>
    <w:rsid w:val="00164A5C"/>
    <w:rsid w:val="001651F6"/>
    <w:rsid w:val="00165850"/>
    <w:rsid w:val="0017069E"/>
    <w:rsid w:val="001739AF"/>
    <w:rsid w:val="00174A3D"/>
    <w:rsid w:val="00176665"/>
    <w:rsid w:val="001804C0"/>
    <w:rsid w:val="0018130E"/>
    <w:rsid w:val="00181432"/>
    <w:rsid w:val="00181DA0"/>
    <w:rsid w:val="0018435D"/>
    <w:rsid w:val="0018516F"/>
    <w:rsid w:val="00185628"/>
    <w:rsid w:val="001862F4"/>
    <w:rsid w:val="00186780"/>
    <w:rsid w:val="00187CAA"/>
    <w:rsid w:val="00190746"/>
    <w:rsid w:val="001919A5"/>
    <w:rsid w:val="00192423"/>
    <w:rsid w:val="001936F6"/>
    <w:rsid w:val="001947DC"/>
    <w:rsid w:val="00194922"/>
    <w:rsid w:val="00196A51"/>
    <w:rsid w:val="0019746F"/>
    <w:rsid w:val="001A029B"/>
    <w:rsid w:val="001A07D4"/>
    <w:rsid w:val="001A0CBC"/>
    <w:rsid w:val="001A1D32"/>
    <w:rsid w:val="001A1EB2"/>
    <w:rsid w:val="001A22A1"/>
    <w:rsid w:val="001A35DD"/>
    <w:rsid w:val="001A3720"/>
    <w:rsid w:val="001A38E1"/>
    <w:rsid w:val="001A3EE8"/>
    <w:rsid w:val="001A43A1"/>
    <w:rsid w:val="001A54C9"/>
    <w:rsid w:val="001A5CA1"/>
    <w:rsid w:val="001A60F6"/>
    <w:rsid w:val="001A616E"/>
    <w:rsid w:val="001A6EDC"/>
    <w:rsid w:val="001A719A"/>
    <w:rsid w:val="001A73E5"/>
    <w:rsid w:val="001A7A08"/>
    <w:rsid w:val="001B0B74"/>
    <w:rsid w:val="001B12AE"/>
    <w:rsid w:val="001B1E60"/>
    <w:rsid w:val="001B3347"/>
    <w:rsid w:val="001B4F13"/>
    <w:rsid w:val="001B5C50"/>
    <w:rsid w:val="001B7240"/>
    <w:rsid w:val="001B7FE2"/>
    <w:rsid w:val="001C131F"/>
    <w:rsid w:val="001C2498"/>
    <w:rsid w:val="001C2973"/>
    <w:rsid w:val="001C3F25"/>
    <w:rsid w:val="001C4407"/>
    <w:rsid w:val="001C5819"/>
    <w:rsid w:val="001C6C97"/>
    <w:rsid w:val="001C6E47"/>
    <w:rsid w:val="001C76AC"/>
    <w:rsid w:val="001D01EF"/>
    <w:rsid w:val="001D0599"/>
    <w:rsid w:val="001D6E9C"/>
    <w:rsid w:val="001D742C"/>
    <w:rsid w:val="001E0571"/>
    <w:rsid w:val="001E091E"/>
    <w:rsid w:val="001E100F"/>
    <w:rsid w:val="001E14C7"/>
    <w:rsid w:val="001E1FC3"/>
    <w:rsid w:val="001E393F"/>
    <w:rsid w:val="001E3943"/>
    <w:rsid w:val="001E4B30"/>
    <w:rsid w:val="001E5638"/>
    <w:rsid w:val="001E5F42"/>
    <w:rsid w:val="001E73C0"/>
    <w:rsid w:val="001F165C"/>
    <w:rsid w:val="001F184B"/>
    <w:rsid w:val="001F22A4"/>
    <w:rsid w:val="001F2C2A"/>
    <w:rsid w:val="001F5440"/>
    <w:rsid w:val="001F59C9"/>
    <w:rsid w:val="001F5AB7"/>
    <w:rsid w:val="001F5B0E"/>
    <w:rsid w:val="002000C2"/>
    <w:rsid w:val="0020020E"/>
    <w:rsid w:val="00201249"/>
    <w:rsid w:val="00201919"/>
    <w:rsid w:val="00202F22"/>
    <w:rsid w:val="00202FCF"/>
    <w:rsid w:val="002048CA"/>
    <w:rsid w:val="0020495E"/>
    <w:rsid w:val="0020641B"/>
    <w:rsid w:val="00206D38"/>
    <w:rsid w:val="00207DDB"/>
    <w:rsid w:val="00207E45"/>
    <w:rsid w:val="0021068C"/>
    <w:rsid w:val="00210880"/>
    <w:rsid w:val="00212856"/>
    <w:rsid w:val="00213AB8"/>
    <w:rsid w:val="00213DAB"/>
    <w:rsid w:val="002146BA"/>
    <w:rsid w:val="00215960"/>
    <w:rsid w:val="00215B57"/>
    <w:rsid w:val="00215B6D"/>
    <w:rsid w:val="00217E81"/>
    <w:rsid w:val="00217FB3"/>
    <w:rsid w:val="002201C2"/>
    <w:rsid w:val="0022065E"/>
    <w:rsid w:val="002208B9"/>
    <w:rsid w:val="002227F8"/>
    <w:rsid w:val="00222FD1"/>
    <w:rsid w:val="00223D80"/>
    <w:rsid w:val="00224B9F"/>
    <w:rsid w:val="00225EEC"/>
    <w:rsid w:val="002262CD"/>
    <w:rsid w:val="00226E88"/>
    <w:rsid w:val="00227DAC"/>
    <w:rsid w:val="00230358"/>
    <w:rsid w:val="00231A79"/>
    <w:rsid w:val="002322FA"/>
    <w:rsid w:val="0023235E"/>
    <w:rsid w:val="002335BF"/>
    <w:rsid w:val="00234A99"/>
    <w:rsid w:val="00234AC5"/>
    <w:rsid w:val="00234B45"/>
    <w:rsid w:val="00234D20"/>
    <w:rsid w:val="00235AEB"/>
    <w:rsid w:val="00237108"/>
    <w:rsid w:val="002377FA"/>
    <w:rsid w:val="00242E7C"/>
    <w:rsid w:val="00243BF7"/>
    <w:rsid w:val="00244AFD"/>
    <w:rsid w:val="002458EB"/>
    <w:rsid w:val="0024645D"/>
    <w:rsid w:val="00250073"/>
    <w:rsid w:val="00250B2D"/>
    <w:rsid w:val="0025207C"/>
    <w:rsid w:val="00253B4A"/>
    <w:rsid w:val="00254423"/>
    <w:rsid w:val="002544A5"/>
    <w:rsid w:val="00254DD9"/>
    <w:rsid w:val="00256C6E"/>
    <w:rsid w:val="00260297"/>
    <w:rsid w:val="002602D5"/>
    <w:rsid w:val="002610D4"/>
    <w:rsid w:val="0026114C"/>
    <w:rsid w:val="002618E5"/>
    <w:rsid w:val="00261E99"/>
    <w:rsid w:val="002621B4"/>
    <w:rsid w:val="00262A67"/>
    <w:rsid w:val="00262D48"/>
    <w:rsid w:val="00263D11"/>
    <w:rsid w:val="00263DED"/>
    <w:rsid w:val="002659FD"/>
    <w:rsid w:val="00267421"/>
    <w:rsid w:val="002675BE"/>
    <w:rsid w:val="002703FD"/>
    <w:rsid w:val="002716B8"/>
    <w:rsid w:val="00271E6B"/>
    <w:rsid w:val="002720C5"/>
    <w:rsid w:val="0027386E"/>
    <w:rsid w:val="00274EBF"/>
    <w:rsid w:val="00275F48"/>
    <w:rsid w:val="002775A8"/>
    <w:rsid w:val="0028264D"/>
    <w:rsid w:val="00282958"/>
    <w:rsid w:val="00286E82"/>
    <w:rsid w:val="002905B6"/>
    <w:rsid w:val="00290D64"/>
    <w:rsid w:val="00291A7D"/>
    <w:rsid w:val="002926CC"/>
    <w:rsid w:val="0029344B"/>
    <w:rsid w:val="002943ED"/>
    <w:rsid w:val="00294817"/>
    <w:rsid w:val="00295606"/>
    <w:rsid w:val="00296FFF"/>
    <w:rsid w:val="002A1747"/>
    <w:rsid w:val="002A2E69"/>
    <w:rsid w:val="002A317A"/>
    <w:rsid w:val="002A324C"/>
    <w:rsid w:val="002A3A59"/>
    <w:rsid w:val="002A3B57"/>
    <w:rsid w:val="002A4F83"/>
    <w:rsid w:val="002A5CD5"/>
    <w:rsid w:val="002A65BC"/>
    <w:rsid w:val="002A7DC1"/>
    <w:rsid w:val="002B050B"/>
    <w:rsid w:val="002B2DB6"/>
    <w:rsid w:val="002B3B06"/>
    <w:rsid w:val="002B48E3"/>
    <w:rsid w:val="002B51E9"/>
    <w:rsid w:val="002B5C7D"/>
    <w:rsid w:val="002B6183"/>
    <w:rsid w:val="002B710E"/>
    <w:rsid w:val="002B7DE1"/>
    <w:rsid w:val="002C6811"/>
    <w:rsid w:val="002D50E1"/>
    <w:rsid w:val="002D7CFD"/>
    <w:rsid w:val="002E0A28"/>
    <w:rsid w:val="002E0D9E"/>
    <w:rsid w:val="002E309D"/>
    <w:rsid w:val="002E412F"/>
    <w:rsid w:val="002E62B1"/>
    <w:rsid w:val="002E67F8"/>
    <w:rsid w:val="002E6921"/>
    <w:rsid w:val="002E7702"/>
    <w:rsid w:val="002F0711"/>
    <w:rsid w:val="002F216E"/>
    <w:rsid w:val="002F27FE"/>
    <w:rsid w:val="002F2CA8"/>
    <w:rsid w:val="002F33C8"/>
    <w:rsid w:val="002F4090"/>
    <w:rsid w:val="002F42FC"/>
    <w:rsid w:val="002F4D0E"/>
    <w:rsid w:val="002F5F79"/>
    <w:rsid w:val="002F6FDD"/>
    <w:rsid w:val="002F7620"/>
    <w:rsid w:val="002F77E4"/>
    <w:rsid w:val="003013DC"/>
    <w:rsid w:val="003022FB"/>
    <w:rsid w:val="00302455"/>
    <w:rsid w:val="003027EC"/>
    <w:rsid w:val="00303980"/>
    <w:rsid w:val="00303EA5"/>
    <w:rsid w:val="003040BA"/>
    <w:rsid w:val="00304C7D"/>
    <w:rsid w:val="00304E85"/>
    <w:rsid w:val="003050A5"/>
    <w:rsid w:val="0031262E"/>
    <w:rsid w:val="00313AB7"/>
    <w:rsid w:val="0031417D"/>
    <w:rsid w:val="0031442A"/>
    <w:rsid w:val="0031516F"/>
    <w:rsid w:val="0031625A"/>
    <w:rsid w:val="00320061"/>
    <w:rsid w:val="00321FC1"/>
    <w:rsid w:val="00322595"/>
    <w:rsid w:val="003229AC"/>
    <w:rsid w:val="00325B04"/>
    <w:rsid w:val="003264F0"/>
    <w:rsid w:val="0033033A"/>
    <w:rsid w:val="003304C8"/>
    <w:rsid w:val="00330A1A"/>
    <w:rsid w:val="00330AB3"/>
    <w:rsid w:val="0033114E"/>
    <w:rsid w:val="0033167E"/>
    <w:rsid w:val="00334F80"/>
    <w:rsid w:val="00335D80"/>
    <w:rsid w:val="003373EB"/>
    <w:rsid w:val="003375E3"/>
    <w:rsid w:val="003409D3"/>
    <w:rsid w:val="00340A1C"/>
    <w:rsid w:val="00340A3E"/>
    <w:rsid w:val="00342C95"/>
    <w:rsid w:val="00344478"/>
    <w:rsid w:val="00344C32"/>
    <w:rsid w:val="00344DCF"/>
    <w:rsid w:val="003454A1"/>
    <w:rsid w:val="00345EB6"/>
    <w:rsid w:val="00346ACC"/>
    <w:rsid w:val="00346C4F"/>
    <w:rsid w:val="00347868"/>
    <w:rsid w:val="00347A09"/>
    <w:rsid w:val="003506B0"/>
    <w:rsid w:val="00350F31"/>
    <w:rsid w:val="003511ED"/>
    <w:rsid w:val="00352B3C"/>
    <w:rsid w:val="00352D1B"/>
    <w:rsid w:val="003538D0"/>
    <w:rsid w:val="00353E6C"/>
    <w:rsid w:val="00354CCF"/>
    <w:rsid w:val="00355262"/>
    <w:rsid w:val="00355D6E"/>
    <w:rsid w:val="003561B1"/>
    <w:rsid w:val="003564FD"/>
    <w:rsid w:val="0035739F"/>
    <w:rsid w:val="00357A6A"/>
    <w:rsid w:val="0036099A"/>
    <w:rsid w:val="00360AB7"/>
    <w:rsid w:val="003616F6"/>
    <w:rsid w:val="003624E3"/>
    <w:rsid w:val="00362622"/>
    <w:rsid w:val="00362FE1"/>
    <w:rsid w:val="00363EDD"/>
    <w:rsid w:val="003670C6"/>
    <w:rsid w:val="003710DC"/>
    <w:rsid w:val="00371BBE"/>
    <w:rsid w:val="00371DFA"/>
    <w:rsid w:val="00373BCE"/>
    <w:rsid w:val="003773ED"/>
    <w:rsid w:val="00382F2E"/>
    <w:rsid w:val="0038447A"/>
    <w:rsid w:val="00384E26"/>
    <w:rsid w:val="003855DD"/>
    <w:rsid w:val="00385604"/>
    <w:rsid w:val="00386291"/>
    <w:rsid w:val="00390E5A"/>
    <w:rsid w:val="0039203D"/>
    <w:rsid w:val="0039413B"/>
    <w:rsid w:val="00396634"/>
    <w:rsid w:val="00396F43"/>
    <w:rsid w:val="003979FB"/>
    <w:rsid w:val="00397B34"/>
    <w:rsid w:val="003A0213"/>
    <w:rsid w:val="003A05AE"/>
    <w:rsid w:val="003A0EBB"/>
    <w:rsid w:val="003A2A2D"/>
    <w:rsid w:val="003A2F6E"/>
    <w:rsid w:val="003A3300"/>
    <w:rsid w:val="003A380B"/>
    <w:rsid w:val="003A4EB2"/>
    <w:rsid w:val="003A51BA"/>
    <w:rsid w:val="003B0392"/>
    <w:rsid w:val="003B0DD0"/>
    <w:rsid w:val="003B318B"/>
    <w:rsid w:val="003B45C4"/>
    <w:rsid w:val="003B4D9E"/>
    <w:rsid w:val="003B5751"/>
    <w:rsid w:val="003B6862"/>
    <w:rsid w:val="003B6F27"/>
    <w:rsid w:val="003B7755"/>
    <w:rsid w:val="003B794F"/>
    <w:rsid w:val="003B7B63"/>
    <w:rsid w:val="003C3C06"/>
    <w:rsid w:val="003C4CD0"/>
    <w:rsid w:val="003C5ACC"/>
    <w:rsid w:val="003C61C4"/>
    <w:rsid w:val="003C6346"/>
    <w:rsid w:val="003C6AFD"/>
    <w:rsid w:val="003D0624"/>
    <w:rsid w:val="003D2239"/>
    <w:rsid w:val="003D235F"/>
    <w:rsid w:val="003D3238"/>
    <w:rsid w:val="003D3C2C"/>
    <w:rsid w:val="003D65F6"/>
    <w:rsid w:val="003E0261"/>
    <w:rsid w:val="003E176E"/>
    <w:rsid w:val="003E1E3A"/>
    <w:rsid w:val="003E20DC"/>
    <w:rsid w:val="003E37CD"/>
    <w:rsid w:val="003E4C38"/>
    <w:rsid w:val="003E58C0"/>
    <w:rsid w:val="003E5F2F"/>
    <w:rsid w:val="003E6F94"/>
    <w:rsid w:val="003F0059"/>
    <w:rsid w:val="003F01B5"/>
    <w:rsid w:val="003F130C"/>
    <w:rsid w:val="003F1EAF"/>
    <w:rsid w:val="003F1EDE"/>
    <w:rsid w:val="003F3EDA"/>
    <w:rsid w:val="003F4BB3"/>
    <w:rsid w:val="003F52F3"/>
    <w:rsid w:val="003F57B1"/>
    <w:rsid w:val="003F598E"/>
    <w:rsid w:val="003F59A1"/>
    <w:rsid w:val="003F6328"/>
    <w:rsid w:val="003F7A04"/>
    <w:rsid w:val="00402915"/>
    <w:rsid w:val="00404136"/>
    <w:rsid w:val="004051FA"/>
    <w:rsid w:val="00407169"/>
    <w:rsid w:val="00410604"/>
    <w:rsid w:val="00411F5C"/>
    <w:rsid w:val="00412438"/>
    <w:rsid w:val="004129C3"/>
    <w:rsid w:val="00414E78"/>
    <w:rsid w:val="00415683"/>
    <w:rsid w:val="004167D7"/>
    <w:rsid w:val="00416BA9"/>
    <w:rsid w:val="00416C09"/>
    <w:rsid w:val="0042082D"/>
    <w:rsid w:val="00422CA6"/>
    <w:rsid w:val="00424AF6"/>
    <w:rsid w:val="00424D16"/>
    <w:rsid w:val="004266B9"/>
    <w:rsid w:val="00426750"/>
    <w:rsid w:val="00427130"/>
    <w:rsid w:val="00430EA2"/>
    <w:rsid w:val="00431BCC"/>
    <w:rsid w:val="00431E5F"/>
    <w:rsid w:val="00431FA9"/>
    <w:rsid w:val="004322C3"/>
    <w:rsid w:val="004346A7"/>
    <w:rsid w:val="00435E6A"/>
    <w:rsid w:val="00437091"/>
    <w:rsid w:val="004407BA"/>
    <w:rsid w:val="00440C7F"/>
    <w:rsid w:val="0044331B"/>
    <w:rsid w:val="0044363F"/>
    <w:rsid w:val="004437E7"/>
    <w:rsid w:val="0044381A"/>
    <w:rsid w:val="00443BAE"/>
    <w:rsid w:val="00444130"/>
    <w:rsid w:val="00444959"/>
    <w:rsid w:val="0044679C"/>
    <w:rsid w:val="00446EA7"/>
    <w:rsid w:val="00447786"/>
    <w:rsid w:val="00452172"/>
    <w:rsid w:val="00452F30"/>
    <w:rsid w:val="0045385C"/>
    <w:rsid w:val="00453AAE"/>
    <w:rsid w:val="00454F78"/>
    <w:rsid w:val="0045550F"/>
    <w:rsid w:val="00456456"/>
    <w:rsid w:val="004577BB"/>
    <w:rsid w:val="00457E86"/>
    <w:rsid w:val="00461E34"/>
    <w:rsid w:val="00464C59"/>
    <w:rsid w:val="00464FE6"/>
    <w:rsid w:val="00465521"/>
    <w:rsid w:val="004678C9"/>
    <w:rsid w:val="00472491"/>
    <w:rsid w:val="00473C65"/>
    <w:rsid w:val="00474441"/>
    <w:rsid w:val="00474558"/>
    <w:rsid w:val="00475144"/>
    <w:rsid w:val="00475CF6"/>
    <w:rsid w:val="00475D7A"/>
    <w:rsid w:val="00476032"/>
    <w:rsid w:val="00477009"/>
    <w:rsid w:val="00477B12"/>
    <w:rsid w:val="004825F1"/>
    <w:rsid w:val="00483C3E"/>
    <w:rsid w:val="004850F1"/>
    <w:rsid w:val="00485876"/>
    <w:rsid w:val="0048689E"/>
    <w:rsid w:val="00486B9F"/>
    <w:rsid w:val="00490BBC"/>
    <w:rsid w:val="004929F8"/>
    <w:rsid w:val="00493627"/>
    <w:rsid w:val="004936FF"/>
    <w:rsid w:val="00494DB1"/>
    <w:rsid w:val="00494DF4"/>
    <w:rsid w:val="00495856"/>
    <w:rsid w:val="004960E2"/>
    <w:rsid w:val="004A016C"/>
    <w:rsid w:val="004A01E2"/>
    <w:rsid w:val="004A3487"/>
    <w:rsid w:val="004A7A2A"/>
    <w:rsid w:val="004A7D5E"/>
    <w:rsid w:val="004B238C"/>
    <w:rsid w:val="004B2443"/>
    <w:rsid w:val="004B2A89"/>
    <w:rsid w:val="004B2B3A"/>
    <w:rsid w:val="004B369E"/>
    <w:rsid w:val="004B526A"/>
    <w:rsid w:val="004B59F5"/>
    <w:rsid w:val="004B649B"/>
    <w:rsid w:val="004B6F6B"/>
    <w:rsid w:val="004B73BD"/>
    <w:rsid w:val="004C05B1"/>
    <w:rsid w:val="004C125F"/>
    <w:rsid w:val="004C1984"/>
    <w:rsid w:val="004C2248"/>
    <w:rsid w:val="004C2744"/>
    <w:rsid w:val="004C3F4A"/>
    <w:rsid w:val="004C758A"/>
    <w:rsid w:val="004D0103"/>
    <w:rsid w:val="004D19CA"/>
    <w:rsid w:val="004D38BB"/>
    <w:rsid w:val="004D40FA"/>
    <w:rsid w:val="004D5643"/>
    <w:rsid w:val="004D57C3"/>
    <w:rsid w:val="004D6CEC"/>
    <w:rsid w:val="004D6ED7"/>
    <w:rsid w:val="004D6FFD"/>
    <w:rsid w:val="004D716A"/>
    <w:rsid w:val="004D7C55"/>
    <w:rsid w:val="004D7D50"/>
    <w:rsid w:val="004D7FA6"/>
    <w:rsid w:val="004E131A"/>
    <w:rsid w:val="004E1D9B"/>
    <w:rsid w:val="004E2C7C"/>
    <w:rsid w:val="004E4CB4"/>
    <w:rsid w:val="004E5DBD"/>
    <w:rsid w:val="004E74D5"/>
    <w:rsid w:val="004F4F84"/>
    <w:rsid w:val="004F55B4"/>
    <w:rsid w:val="004F5EC9"/>
    <w:rsid w:val="004F7408"/>
    <w:rsid w:val="004F7FCE"/>
    <w:rsid w:val="005003F3"/>
    <w:rsid w:val="00500564"/>
    <w:rsid w:val="0050597E"/>
    <w:rsid w:val="00507600"/>
    <w:rsid w:val="005103AC"/>
    <w:rsid w:val="0051067D"/>
    <w:rsid w:val="0051197A"/>
    <w:rsid w:val="0051284A"/>
    <w:rsid w:val="00513E78"/>
    <w:rsid w:val="0051458B"/>
    <w:rsid w:val="00516F72"/>
    <w:rsid w:val="00520D19"/>
    <w:rsid w:val="00521C00"/>
    <w:rsid w:val="005224EF"/>
    <w:rsid w:val="0052379F"/>
    <w:rsid w:val="00523ED8"/>
    <w:rsid w:val="00524386"/>
    <w:rsid w:val="00527146"/>
    <w:rsid w:val="005313E9"/>
    <w:rsid w:val="005324B5"/>
    <w:rsid w:val="005326BC"/>
    <w:rsid w:val="00534235"/>
    <w:rsid w:val="00534A59"/>
    <w:rsid w:val="00535197"/>
    <w:rsid w:val="00536CF2"/>
    <w:rsid w:val="00540F7C"/>
    <w:rsid w:val="00541B36"/>
    <w:rsid w:val="00541DCE"/>
    <w:rsid w:val="0054209F"/>
    <w:rsid w:val="00544C1D"/>
    <w:rsid w:val="00545505"/>
    <w:rsid w:val="005456C2"/>
    <w:rsid w:val="005464E6"/>
    <w:rsid w:val="005466CE"/>
    <w:rsid w:val="005475CF"/>
    <w:rsid w:val="0054798D"/>
    <w:rsid w:val="00547B1E"/>
    <w:rsid w:val="00547B49"/>
    <w:rsid w:val="00547F68"/>
    <w:rsid w:val="00550401"/>
    <w:rsid w:val="005508FC"/>
    <w:rsid w:val="005515CB"/>
    <w:rsid w:val="00551AA1"/>
    <w:rsid w:val="00552DD0"/>
    <w:rsid w:val="00553906"/>
    <w:rsid w:val="00555925"/>
    <w:rsid w:val="00557C63"/>
    <w:rsid w:val="005629C0"/>
    <w:rsid w:val="00562C34"/>
    <w:rsid w:val="00563432"/>
    <w:rsid w:val="00563945"/>
    <w:rsid w:val="005650ED"/>
    <w:rsid w:val="00565E76"/>
    <w:rsid w:val="00570C23"/>
    <w:rsid w:val="005712E2"/>
    <w:rsid w:val="00572C91"/>
    <w:rsid w:val="00573832"/>
    <w:rsid w:val="005740E4"/>
    <w:rsid w:val="005747D0"/>
    <w:rsid w:val="0057535A"/>
    <w:rsid w:val="0057567A"/>
    <w:rsid w:val="00575B08"/>
    <w:rsid w:val="00576A99"/>
    <w:rsid w:val="00577718"/>
    <w:rsid w:val="0058365D"/>
    <w:rsid w:val="00585A84"/>
    <w:rsid w:val="00587338"/>
    <w:rsid w:val="00587411"/>
    <w:rsid w:val="00590D79"/>
    <w:rsid w:val="00591142"/>
    <w:rsid w:val="00591442"/>
    <w:rsid w:val="00591597"/>
    <w:rsid w:val="00592A77"/>
    <w:rsid w:val="00592FCD"/>
    <w:rsid w:val="005941F7"/>
    <w:rsid w:val="00595C8A"/>
    <w:rsid w:val="0059699E"/>
    <w:rsid w:val="00596D06"/>
    <w:rsid w:val="00596DC6"/>
    <w:rsid w:val="00597FDC"/>
    <w:rsid w:val="005A07DD"/>
    <w:rsid w:val="005A108B"/>
    <w:rsid w:val="005A12E1"/>
    <w:rsid w:val="005A1450"/>
    <w:rsid w:val="005A20D1"/>
    <w:rsid w:val="005A27AA"/>
    <w:rsid w:val="005A35AB"/>
    <w:rsid w:val="005A3EA8"/>
    <w:rsid w:val="005A4023"/>
    <w:rsid w:val="005A4240"/>
    <w:rsid w:val="005A71E5"/>
    <w:rsid w:val="005A7CBE"/>
    <w:rsid w:val="005B0F19"/>
    <w:rsid w:val="005B10E0"/>
    <w:rsid w:val="005B2B92"/>
    <w:rsid w:val="005B5080"/>
    <w:rsid w:val="005B758B"/>
    <w:rsid w:val="005B792B"/>
    <w:rsid w:val="005C0F32"/>
    <w:rsid w:val="005C13F4"/>
    <w:rsid w:val="005C15A7"/>
    <w:rsid w:val="005C2D39"/>
    <w:rsid w:val="005C2F0F"/>
    <w:rsid w:val="005C42F7"/>
    <w:rsid w:val="005C442D"/>
    <w:rsid w:val="005C4672"/>
    <w:rsid w:val="005C4FE9"/>
    <w:rsid w:val="005C52B9"/>
    <w:rsid w:val="005C65A2"/>
    <w:rsid w:val="005C667B"/>
    <w:rsid w:val="005C7C27"/>
    <w:rsid w:val="005D0211"/>
    <w:rsid w:val="005D18FE"/>
    <w:rsid w:val="005D1F3E"/>
    <w:rsid w:val="005D2003"/>
    <w:rsid w:val="005D3EDC"/>
    <w:rsid w:val="005D45DD"/>
    <w:rsid w:val="005D526D"/>
    <w:rsid w:val="005D624C"/>
    <w:rsid w:val="005D6926"/>
    <w:rsid w:val="005D6C54"/>
    <w:rsid w:val="005D6FB5"/>
    <w:rsid w:val="005E22FE"/>
    <w:rsid w:val="005E2A15"/>
    <w:rsid w:val="005E45A3"/>
    <w:rsid w:val="005E54EA"/>
    <w:rsid w:val="005E5E45"/>
    <w:rsid w:val="005E63E3"/>
    <w:rsid w:val="005E6A14"/>
    <w:rsid w:val="005E7D61"/>
    <w:rsid w:val="005E7F9A"/>
    <w:rsid w:val="005F1213"/>
    <w:rsid w:val="005F1E22"/>
    <w:rsid w:val="005F2655"/>
    <w:rsid w:val="005F3F8D"/>
    <w:rsid w:val="006008A8"/>
    <w:rsid w:val="006009B6"/>
    <w:rsid w:val="00600A5C"/>
    <w:rsid w:val="00600BFB"/>
    <w:rsid w:val="006012FE"/>
    <w:rsid w:val="0060201C"/>
    <w:rsid w:val="0060213D"/>
    <w:rsid w:val="00602891"/>
    <w:rsid w:val="00604E09"/>
    <w:rsid w:val="00606804"/>
    <w:rsid w:val="0061023B"/>
    <w:rsid w:val="006102F0"/>
    <w:rsid w:val="006107D6"/>
    <w:rsid w:val="00610A63"/>
    <w:rsid w:val="00610D12"/>
    <w:rsid w:val="0061325F"/>
    <w:rsid w:val="00613AE6"/>
    <w:rsid w:val="00613FCE"/>
    <w:rsid w:val="00614DE6"/>
    <w:rsid w:val="00615292"/>
    <w:rsid w:val="00615624"/>
    <w:rsid w:val="00615CD7"/>
    <w:rsid w:val="0062002D"/>
    <w:rsid w:val="00620A5A"/>
    <w:rsid w:val="00620BD2"/>
    <w:rsid w:val="00620CE5"/>
    <w:rsid w:val="00621CBA"/>
    <w:rsid w:val="00621F2C"/>
    <w:rsid w:val="006233CB"/>
    <w:rsid w:val="00623B01"/>
    <w:rsid w:val="006261F6"/>
    <w:rsid w:val="00626A38"/>
    <w:rsid w:val="00630854"/>
    <w:rsid w:val="00631147"/>
    <w:rsid w:val="00632345"/>
    <w:rsid w:val="00632626"/>
    <w:rsid w:val="006329AA"/>
    <w:rsid w:val="00634FDA"/>
    <w:rsid w:val="0063622B"/>
    <w:rsid w:val="0063705E"/>
    <w:rsid w:val="00644677"/>
    <w:rsid w:val="00644D58"/>
    <w:rsid w:val="006451B4"/>
    <w:rsid w:val="00645BC3"/>
    <w:rsid w:val="0064602D"/>
    <w:rsid w:val="0064752C"/>
    <w:rsid w:val="00647D63"/>
    <w:rsid w:val="006515D6"/>
    <w:rsid w:val="006530F0"/>
    <w:rsid w:val="006534F7"/>
    <w:rsid w:val="0065444D"/>
    <w:rsid w:val="00654BC5"/>
    <w:rsid w:val="00654CA1"/>
    <w:rsid w:val="00657005"/>
    <w:rsid w:val="00657D71"/>
    <w:rsid w:val="006613B0"/>
    <w:rsid w:val="00662328"/>
    <w:rsid w:val="006629D5"/>
    <w:rsid w:val="00662C93"/>
    <w:rsid w:val="00663F42"/>
    <w:rsid w:val="006642BC"/>
    <w:rsid w:val="00664427"/>
    <w:rsid w:val="00666663"/>
    <w:rsid w:val="00666716"/>
    <w:rsid w:val="0067069E"/>
    <w:rsid w:val="00670758"/>
    <w:rsid w:val="00670D66"/>
    <w:rsid w:val="00671CC6"/>
    <w:rsid w:val="006727F8"/>
    <w:rsid w:val="00672903"/>
    <w:rsid w:val="00673679"/>
    <w:rsid w:val="00675AF0"/>
    <w:rsid w:val="00675D45"/>
    <w:rsid w:val="00675F00"/>
    <w:rsid w:val="0067609C"/>
    <w:rsid w:val="0067640D"/>
    <w:rsid w:val="0067742E"/>
    <w:rsid w:val="00677EDB"/>
    <w:rsid w:val="0068129D"/>
    <w:rsid w:val="006849C9"/>
    <w:rsid w:val="00685CF9"/>
    <w:rsid w:val="0068627A"/>
    <w:rsid w:val="00686712"/>
    <w:rsid w:val="006870FC"/>
    <w:rsid w:val="00690402"/>
    <w:rsid w:val="0069051C"/>
    <w:rsid w:val="00690F4E"/>
    <w:rsid w:val="00691679"/>
    <w:rsid w:val="006920B3"/>
    <w:rsid w:val="00692CBC"/>
    <w:rsid w:val="00693E05"/>
    <w:rsid w:val="00695108"/>
    <w:rsid w:val="00697209"/>
    <w:rsid w:val="0069756B"/>
    <w:rsid w:val="006A0C81"/>
    <w:rsid w:val="006A1469"/>
    <w:rsid w:val="006A17B3"/>
    <w:rsid w:val="006A235C"/>
    <w:rsid w:val="006A246E"/>
    <w:rsid w:val="006A334E"/>
    <w:rsid w:val="006A3C22"/>
    <w:rsid w:val="006A466B"/>
    <w:rsid w:val="006A53DC"/>
    <w:rsid w:val="006A5745"/>
    <w:rsid w:val="006A6014"/>
    <w:rsid w:val="006A7086"/>
    <w:rsid w:val="006A7609"/>
    <w:rsid w:val="006B04D6"/>
    <w:rsid w:val="006B09A3"/>
    <w:rsid w:val="006B0BF9"/>
    <w:rsid w:val="006B18EA"/>
    <w:rsid w:val="006B20B0"/>
    <w:rsid w:val="006B2ED8"/>
    <w:rsid w:val="006B320F"/>
    <w:rsid w:val="006B594C"/>
    <w:rsid w:val="006C16BF"/>
    <w:rsid w:val="006C18D5"/>
    <w:rsid w:val="006C1F7F"/>
    <w:rsid w:val="006C22D9"/>
    <w:rsid w:val="006C2464"/>
    <w:rsid w:val="006C359C"/>
    <w:rsid w:val="006C4CFD"/>
    <w:rsid w:val="006C615B"/>
    <w:rsid w:val="006C6D9F"/>
    <w:rsid w:val="006C6E54"/>
    <w:rsid w:val="006C70C5"/>
    <w:rsid w:val="006D031F"/>
    <w:rsid w:val="006D1719"/>
    <w:rsid w:val="006D32F4"/>
    <w:rsid w:val="006D3AFD"/>
    <w:rsid w:val="006D3EE0"/>
    <w:rsid w:val="006D5B81"/>
    <w:rsid w:val="006D5E44"/>
    <w:rsid w:val="006D6AAF"/>
    <w:rsid w:val="006D73B0"/>
    <w:rsid w:val="006E01D8"/>
    <w:rsid w:val="006E04A5"/>
    <w:rsid w:val="006E05CC"/>
    <w:rsid w:val="006E1969"/>
    <w:rsid w:val="006E2607"/>
    <w:rsid w:val="006E28BE"/>
    <w:rsid w:val="006E2E38"/>
    <w:rsid w:val="006E3D2D"/>
    <w:rsid w:val="006E3D7B"/>
    <w:rsid w:val="006E6373"/>
    <w:rsid w:val="006E64E9"/>
    <w:rsid w:val="006E793C"/>
    <w:rsid w:val="006E7F76"/>
    <w:rsid w:val="006F08B5"/>
    <w:rsid w:val="006F0E38"/>
    <w:rsid w:val="006F0FDC"/>
    <w:rsid w:val="006F2452"/>
    <w:rsid w:val="006F2FB6"/>
    <w:rsid w:val="006F54A9"/>
    <w:rsid w:val="006F60BB"/>
    <w:rsid w:val="006F6E45"/>
    <w:rsid w:val="006F7478"/>
    <w:rsid w:val="006F7F9C"/>
    <w:rsid w:val="00701DF7"/>
    <w:rsid w:val="00702041"/>
    <w:rsid w:val="007026CE"/>
    <w:rsid w:val="007039D1"/>
    <w:rsid w:val="00703EFC"/>
    <w:rsid w:val="0070482D"/>
    <w:rsid w:val="00705110"/>
    <w:rsid w:val="00705247"/>
    <w:rsid w:val="00707582"/>
    <w:rsid w:val="00707C54"/>
    <w:rsid w:val="00707EFF"/>
    <w:rsid w:val="007104B5"/>
    <w:rsid w:val="00712FC1"/>
    <w:rsid w:val="007132CE"/>
    <w:rsid w:val="00713B6C"/>
    <w:rsid w:val="00713CB2"/>
    <w:rsid w:val="007156CF"/>
    <w:rsid w:val="00715783"/>
    <w:rsid w:val="007159C5"/>
    <w:rsid w:val="007161F1"/>
    <w:rsid w:val="00716C36"/>
    <w:rsid w:val="00717DA2"/>
    <w:rsid w:val="007209AA"/>
    <w:rsid w:val="00723D54"/>
    <w:rsid w:val="0072469E"/>
    <w:rsid w:val="007253AB"/>
    <w:rsid w:val="007258AA"/>
    <w:rsid w:val="0072611C"/>
    <w:rsid w:val="00726510"/>
    <w:rsid w:val="00726B3C"/>
    <w:rsid w:val="00727D9D"/>
    <w:rsid w:val="0073151A"/>
    <w:rsid w:val="0073395C"/>
    <w:rsid w:val="007348FC"/>
    <w:rsid w:val="00735A6E"/>
    <w:rsid w:val="00735E5F"/>
    <w:rsid w:val="00736CDC"/>
    <w:rsid w:val="00741372"/>
    <w:rsid w:val="00742060"/>
    <w:rsid w:val="00742185"/>
    <w:rsid w:val="007422BC"/>
    <w:rsid w:val="007444CC"/>
    <w:rsid w:val="00744DF4"/>
    <w:rsid w:val="0074508C"/>
    <w:rsid w:val="00750BAD"/>
    <w:rsid w:val="007512FD"/>
    <w:rsid w:val="00752434"/>
    <w:rsid w:val="00752982"/>
    <w:rsid w:val="00753885"/>
    <w:rsid w:val="00753BF9"/>
    <w:rsid w:val="007553D5"/>
    <w:rsid w:val="00755F38"/>
    <w:rsid w:val="00756CCD"/>
    <w:rsid w:val="00757652"/>
    <w:rsid w:val="00760C26"/>
    <w:rsid w:val="007631F9"/>
    <w:rsid w:val="00763D7E"/>
    <w:rsid w:val="00764971"/>
    <w:rsid w:val="00771204"/>
    <w:rsid w:val="00771D57"/>
    <w:rsid w:val="007722B2"/>
    <w:rsid w:val="0077526D"/>
    <w:rsid w:val="007752E1"/>
    <w:rsid w:val="00775969"/>
    <w:rsid w:val="007762C6"/>
    <w:rsid w:val="00776738"/>
    <w:rsid w:val="00780786"/>
    <w:rsid w:val="00781084"/>
    <w:rsid w:val="00782483"/>
    <w:rsid w:val="0078290A"/>
    <w:rsid w:val="00783071"/>
    <w:rsid w:val="00783D17"/>
    <w:rsid w:val="007848F3"/>
    <w:rsid w:val="00785B56"/>
    <w:rsid w:val="00785DA0"/>
    <w:rsid w:val="00786E3F"/>
    <w:rsid w:val="00790A60"/>
    <w:rsid w:val="00790E5F"/>
    <w:rsid w:val="00791617"/>
    <w:rsid w:val="00791B17"/>
    <w:rsid w:val="00791B2F"/>
    <w:rsid w:val="00793B41"/>
    <w:rsid w:val="00795D9F"/>
    <w:rsid w:val="00796871"/>
    <w:rsid w:val="007A4036"/>
    <w:rsid w:val="007A40C5"/>
    <w:rsid w:val="007A565B"/>
    <w:rsid w:val="007B2AD8"/>
    <w:rsid w:val="007B313F"/>
    <w:rsid w:val="007B398D"/>
    <w:rsid w:val="007B3F66"/>
    <w:rsid w:val="007B47AC"/>
    <w:rsid w:val="007B4EEA"/>
    <w:rsid w:val="007B5580"/>
    <w:rsid w:val="007B6067"/>
    <w:rsid w:val="007B6551"/>
    <w:rsid w:val="007C24C9"/>
    <w:rsid w:val="007C30C7"/>
    <w:rsid w:val="007C3A6B"/>
    <w:rsid w:val="007C3F39"/>
    <w:rsid w:val="007C403B"/>
    <w:rsid w:val="007C4229"/>
    <w:rsid w:val="007C4230"/>
    <w:rsid w:val="007C47E9"/>
    <w:rsid w:val="007C667E"/>
    <w:rsid w:val="007C6F47"/>
    <w:rsid w:val="007C735C"/>
    <w:rsid w:val="007C7897"/>
    <w:rsid w:val="007C7CB3"/>
    <w:rsid w:val="007D0DEA"/>
    <w:rsid w:val="007D1282"/>
    <w:rsid w:val="007D1810"/>
    <w:rsid w:val="007D3F12"/>
    <w:rsid w:val="007D4D91"/>
    <w:rsid w:val="007D6204"/>
    <w:rsid w:val="007D7D57"/>
    <w:rsid w:val="007E04FB"/>
    <w:rsid w:val="007E1AF2"/>
    <w:rsid w:val="007E1F75"/>
    <w:rsid w:val="007E2D25"/>
    <w:rsid w:val="007E5986"/>
    <w:rsid w:val="007E6ED0"/>
    <w:rsid w:val="007E7840"/>
    <w:rsid w:val="007F1946"/>
    <w:rsid w:val="007F2840"/>
    <w:rsid w:val="007F2E17"/>
    <w:rsid w:val="007F4524"/>
    <w:rsid w:val="007F4DD7"/>
    <w:rsid w:val="007F73B5"/>
    <w:rsid w:val="00802600"/>
    <w:rsid w:val="0080387E"/>
    <w:rsid w:val="00803DE0"/>
    <w:rsid w:val="00803F5D"/>
    <w:rsid w:val="00805E66"/>
    <w:rsid w:val="0080698B"/>
    <w:rsid w:val="00806C69"/>
    <w:rsid w:val="00806E0E"/>
    <w:rsid w:val="008108E3"/>
    <w:rsid w:val="00810E0D"/>
    <w:rsid w:val="0081218F"/>
    <w:rsid w:val="008121C5"/>
    <w:rsid w:val="008123F2"/>
    <w:rsid w:val="00812F58"/>
    <w:rsid w:val="008133A4"/>
    <w:rsid w:val="00813D2B"/>
    <w:rsid w:val="00815F43"/>
    <w:rsid w:val="00815F57"/>
    <w:rsid w:val="0081709D"/>
    <w:rsid w:val="00817FBB"/>
    <w:rsid w:val="00820B88"/>
    <w:rsid w:val="00822B0F"/>
    <w:rsid w:val="008242F6"/>
    <w:rsid w:val="008255EB"/>
    <w:rsid w:val="00827794"/>
    <w:rsid w:val="00831212"/>
    <w:rsid w:val="00831AE8"/>
    <w:rsid w:val="00833E06"/>
    <w:rsid w:val="00834574"/>
    <w:rsid w:val="00834BA9"/>
    <w:rsid w:val="00834FCD"/>
    <w:rsid w:val="008353A6"/>
    <w:rsid w:val="008368BC"/>
    <w:rsid w:val="00840621"/>
    <w:rsid w:val="00840C47"/>
    <w:rsid w:val="00842E98"/>
    <w:rsid w:val="008432A4"/>
    <w:rsid w:val="008437B2"/>
    <w:rsid w:val="00845F83"/>
    <w:rsid w:val="00846EAE"/>
    <w:rsid w:val="00854D92"/>
    <w:rsid w:val="00855CFE"/>
    <w:rsid w:val="00860497"/>
    <w:rsid w:val="00860B0B"/>
    <w:rsid w:val="00860BE7"/>
    <w:rsid w:val="00860CC4"/>
    <w:rsid w:val="00860D44"/>
    <w:rsid w:val="00861F30"/>
    <w:rsid w:val="00865B05"/>
    <w:rsid w:val="00867B08"/>
    <w:rsid w:val="008708DF"/>
    <w:rsid w:val="0087107C"/>
    <w:rsid w:val="00873524"/>
    <w:rsid w:val="00873589"/>
    <w:rsid w:val="00873EF0"/>
    <w:rsid w:val="0087405F"/>
    <w:rsid w:val="00874636"/>
    <w:rsid w:val="00874A1F"/>
    <w:rsid w:val="0087513D"/>
    <w:rsid w:val="00875CDF"/>
    <w:rsid w:val="00877043"/>
    <w:rsid w:val="00880133"/>
    <w:rsid w:val="008805FC"/>
    <w:rsid w:val="00880D5A"/>
    <w:rsid w:val="0088105F"/>
    <w:rsid w:val="00881F49"/>
    <w:rsid w:val="00883803"/>
    <w:rsid w:val="00884FA9"/>
    <w:rsid w:val="00890E64"/>
    <w:rsid w:val="0089300F"/>
    <w:rsid w:val="00893270"/>
    <w:rsid w:val="0089357B"/>
    <w:rsid w:val="00893692"/>
    <w:rsid w:val="008936B3"/>
    <w:rsid w:val="00895910"/>
    <w:rsid w:val="008A064D"/>
    <w:rsid w:val="008A06F7"/>
    <w:rsid w:val="008A1DBB"/>
    <w:rsid w:val="008A2CE4"/>
    <w:rsid w:val="008A3DA9"/>
    <w:rsid w:val="008A3FE0"/>
    <w:rsid w:val="008A45D4"/>
    <w:rsid w:val="008A543B"/>
    <w:rsid w:val="008A5D58"/>
    <w:rsid w:val="008A6C1F"/>
    <w:rsid w:val="008A6F99"/>
    <w:rsid w:val="008A7475"/>
    <w:rsid w:val="008A7489"/>
    <w:rsid w:val="008B2112"/>
    <w:rsid w:val="008B6705"/>
    <w:rsid w:val="008B7B0A"/>
    <w:rsid w:val="008C0067"/>
    <w:rsid w:val="008C03C7"/>
    <w:rsid w:val="008C36A6"/>
    <w:rsid w:val="008C3713"/>
    <w:rsid w:val="008C39A2"/>
    <w:rsid w:val="008C3F75"/>
    <w:rsid w:val="008C4BC2"/>
    <w:rsid w:val="008C5773"/>
    <w:rsid w:val="008C6189"/>
    <w:rsid w:val="008D37C2"/>
    <w:rsid w:val="008D4B87"/>
    <w:rsid w:val="008D4F77"/>
    <w:rsid w:val="008D5B48"/>
    <w:rsid w:val="008D5CB4"/>
    <w:rsid w:val="008D6075"/>
    <w:rsid w:val="008D7F99"/>
    <w:rsid w:val="008E1CE4"/>
    <w:rsid w:val="008E27D4"/>
    <w:rsid w:val="008E4001"/>
    <w:rsid w:val="008E45E3"/>
    <w:rsid w:val="008E4A75"/>
    <w:rsid w:val="008E585E"/>
    <w:rsid w:val="008E690B"/>
    <w:rsid w:val="008E6C00"/>
    <w:rsid w:val="008F0BE4"/>
    <w:rsid w:val="008F1557"/>
    <w:rsid w:val="008F1F4F"/>
    <w:rsid w:val="008F2371"/>
    <w:rsid w:val="008F361F"/>
    <w:rsid w:val="008F3D4B"/>
    <w:rsid w:val="008F4929"/>
    <w:rsid w:val="008F4ACA"/>
    <w:rsid w:val="008F4E5D"/>
    <w:rsid w:val="008F556B"/>
    <w:rsid w:val="008F573A"/>
    <w:rsid w:val="008F580D"/>
    <w:rsid w:val="008F5C05"/>
    <w:rsid w:val="009008B8"/>
    <w:rsid w:val="00900BA2"/>
    <w:rsid w:val="0090345C"/>
    <w:rsid w:val="0090666D"/>
    <w:rsid w:val="0090679D"/>
    <w:rsid w:val="00906A9E"/>
    <w:rsid w:val="00906F1A"/>
    <w:rsid w:val="009072FF"/>
    <w:rsid w:val="0091041F"/>
    <w:rsid w:val="00910580"/>
    <w:rsid w:val="00910869"/>
    <w:rsid w:val="00911CCC"/>
    <w:rsid w:val="00911DFB"/>
    <w:rsid w:val="0091455C"/>
    <w:rsid w:val="00915BDE"/>
    <w:rsid w:val="00916D24"/>
    <w:rsid w:val="00917406"/>
    <w:rsid w:val="00920907"/>
    <w:rsid w:val="00920DD8"/>
    <w:rsid w:val="00925F79"/>
    <w:rsid w:val="00926915"/>
    <w:rsid w:val="0093000A"/>
    <w:rsid w:val="00932217"/>
    <w:rsid w:val="0093308D"/>
    <w:rsid w:val="00933EB6"/>
    <w:rsid w:val="00934429"/>
    <w:rsid w:val="009349BF"/>
    <w:rsid w:val="00936144"/>
    <w:rsid w:val="00936A12"/>
    <w:rsid w:val="00936E60"/>
    <w:rsid w:val="00937CB8"/>
    <w:rsid w:val="00937F11"/>
    <w:rsid w:val="0094033A"/>
    <w:rsid w:val="009407E6"/>
    <w:rsid w:val="00941592"/>
    <w:rsid w:val="0094373D"/>
    <w:rsid w:val="009438BD"/>
    <w:rsid w:val="009440ED"/>
    <w:rsid w:val="00944A1D"/>
    <w:rsid w:val="00944CA7"/>
    <w:rsid w:val="0094507C"/>
    <w:rsid w:val="0094710F"/>
    <w:rsid w:val="0095047F"/>
    <w:rsid w:val="009515F3"/>
    <w:rsid w:val="00951F8D"/>
    <w:rsid w:val="00952247"/>
    <w:rsid w:val="00953EEA"/>
    <w:rsid w:val="00955413"/>
    <w:rsid w:val="009559CD"/>
    <w:rsid w:val="00955D3D"/>
    <w:rsid w:val="009577BE"/>
    <w:rsid w:val="009601A8"/>
    <w:rsid w:val="009609BA"/>
    <w:rsid w:val="009610F1"/>
    <w:rsid w:val="00961779"/>
    <w:rsid w:val="00962D29"/>
    <w:rsid w:val="0096313C"/>
    <w:rsid w:val="00963F0A"/>
    <w:rsid w:val="0096623F"/>
    <w:rsid w:val="00970DE4"/>
    <w:rsid w:val="009713EA"/>
    <w:rsid w:val="009716A5"/>
    <w:rsid w:val="00972292"/>
    <w:rsid w:val="00972BA4"/>
    <w:rsid w:val="0097540A"/>
    <w:rsid w:val="009754C3"/>
    <w:rsid w:val="00975971"/>
    <w:rsid w:val="00982234"/>
    <w:rsid w:val="00982718"/>
    <w:rsid w:val="00983145"/>
    <w:rsid w:val="009851CF"/>
    <w:rsid w:val="00986A32"/>
    <w:rsid w:val="009872D8"/>
    <w:rsid w:val="0098734F"/>
    <w:rsid w:val="00987689"/>
    <w:rsid w:val="00991426"/>
    <w:rsid w:val="0099230E"/>
    <w:rsid w:val="009940E4"/>
    <w:rsid w:val="00996FAA"/>
    <w:rsid w:val="0099758F"/>
    <w:rsid w:val="009A1589"/>
    <w:rsid w:val="009A1EE0"/>
    <w:rsid w:val="009A36CA"/>
    <w:rsid w:val="009A3D7D"/>
    <w:rsid w:val="009A46D8"/>
    <w:rsid w:val="009A4BFA"/>
    <w:rsid w:val="009A4EE6"/>
    <w:rsid w:val="009A5EF7"/>
    <w:rsid w:val="009A640A"/>
    <w:rsid w:val="009A73BD"/>
    <w:rsid w:val="009A766E"/>
    <w:rsid w:val="009A7B5D"/>
    <w:rsid w:val="009B0264"/>
    <w:rsid w:val="009B0BCB"/>
    <w:rsid w:val="009B231D"/>
    <w:rsid w:val="009B2D15"/>
    <w:rsid w:val="009B36A0"/>
    <w:rsid w:val="009B607F"/>
    <w:rsid w:val="009B62D8"/>
    <w:rsid w:val="009B7955"/>
    <w:rsid w:val="009C0101"/>
    <w:rsid w:val="009C29BF"/>
    <w:rsid w:val="009C7325"/>
    <w:rsid w:val="009C7695"/>
    <w:rsid w:val="009D0B80"/>
    <w:rsid w:val="009D0B83"/>
    <w:rsid w:val="009D1B46"/>
    <w:rsid w:val="009D1D89"/>
    <w:rsid w:val="009D1E4E"/>
    <w:rsid w:val="009D3317"/>
    <w:rsid w:val="009D3D95"/>
    <w:rsid w:val="009D4381"/>
    <w:rsid w:val="009D50B5"/>
    <w:rsid w:val="009D5425"/>
    <w:rsid w:val="009D6A1E"/>
    <w:rsid w:val="009D6FE9"/>
    <w:rsid w:val="009D7037"/>
    <w:rsid w:val="009D7670"/>
    <w:rsid w:val="009E012F"/>
    <w:rsid w:val="009E05E6"/>
    <w:rsid w:val="009E07AC"/>
    <w:rsid w:val="009E07FA"/>
    <w:rsid w:val="009E1071"/>
    <w:rsid w:val="009E15EC"/>
    <w:rsid w:val="009E2696"/>
    <w:rsid w:val="009E2FC8"/>
    <w:rsid w:val="009E3990"/>
    <w:rsid w:val="009E5851"/>
    <w:rsid w:val="009E66AD"/>
    <w:rsid w:val="009E79CC"/>
    <w:rsid w:val="009F0A7B"/>
    <w:rsid w:val="009F0DFE"/>
    <w:rsid w:val="009F19F1"/>
    <w:rsid w:val="009F1D62"/>
    <w:rsid w:val="009F33A7"/>
    <w:rsid w:val="009F42E1"/>
    <w:rsid w:val="009F4D31"/>
    <w:rsid w:val="009F4E97"/>
    <w:rsid w:val="009F5FF8"/>
    <w:rsid w:val="009F6DF4"/>
    <w:rsid w:val="009F6F4B"/>
    <w:rsid w:val="009F7064"/>
    <w:rsid w:val="009F7AEC"/>
    <w:rsid w:val="009F7F97"/>
    <w:rsid w:val="00A023ED"/>
    <w:rsid w:val="00A05615"/>
    <w:rsid w:val="00A072F2"/>
    <w:rsid w:val="00A076AC"/>
    <w:rsid w:val="00A104AA"/>
    <w:rsid w:val="00A12D7D"/>
    <w:rsid w:val="00A13A90"/>
    <w:rsid w:val="00A15354"/>
    <w:rsid w:val="00A153F0"/>
    <w:rsid w:val="00A1578F"/>
    <w:rsid w:val="00A15B37"/>
    <w:rsid w:val="00A1726A"/>
    <w:rsid w:val="00A20BBD"/>
    <w:rsid w:val="00A2101E"/>
    <w:rsid w:val="00A211B5"/>
    <w:rsid w:val="00A21259"/>
    <w:rsid w:val="00A2147E"/>
    <w:rsid w:val="00A2350B"/>
    <w:rsid w:val="00A25788"/>
    <w:rsid w:val="00A26739"/>
    <w:rsid w:val="00A279F8"/>
    <w:rsid w:val="00A27EB5"/>
    <w:rsid w:val="00A3133B"/>
    <w:rsid w:val="00A315D2"/>
    <w:rsid w:val="00A33AA6"/>
    <w:rsid w:val="00A35CE4"/>
    <w:rsid w:val="00A360DC"/>
    <w:rsid w:val="00A3671A"/>
    <w:rsid w:val="00A36780"/>
    <w:rsid w:val="00A36DF5"/>
    <w:rsid w:val="00A36F2F"/>
    <w:rsid w:val="00A374EB"/>
    <w:rsid w:val="00A406DF"/>
    <w:rsid w:val="00A418F1"/>
    <w:rsid w:val="00A42543"/>
    <w:rsid w:val="00A440E8"/>
    <w:rsid w:val="00A44D55"/>
    <w:rsid w:val="00A453CE"/>
    <w:rsid w:val="00A47202"/>
    <w:rsid w:val="00A4793A"/>
    <w:rsid w:val="00A51B64"/>
    <w:rsid w:val="00A5315D"/>
    <w:rsid w:val="00A53D46"/>
    <w:rsid w:val="00A5579B"/>
    <w:rsid w:val="00A55915"/>
    <w:rsid w:val="00A55BA1"/>
    <w:rsid w:val="00A55EB4"/>
    <w:rsid w:val="00A57815"/>
    <w:rsid w:val="00A57B50"/>
    <w:rsid w:val="00A57D02"/>
    <w:rsid w:val="00A6081D"/>
    <w:rsid w:val="00A60B14"/>
    <w:rsid w:val="00A61E6A"/>
    <w:rsid w:val="00A64526"/>
    <w:rsid w:val="00A6706B"/>
    <w:rsid w:val="00A70611"/>
    <w:rsid w:val="00A743A6"/>
    <w:rsid w:val="00A74D94"/>
    <w:rsid w:val="00A752B6"/>
    <w:rsid w:val="00A75EEA"/>
    <w:rsid w:val="00A75F10"/>
    <w:rsid w:val="00A76124"/>
    <w:rsid w:val="00A77A3F"/>
    <w:rsid w:val="00A800C0"/>
    <w:rsid w:val="00A808B8"/>
    <w:rsid w:val="00A81956"/>
    <w:rsid w:val="00A82491"/>
    <w:rsid w:val="00A8456E"/>
    <w:rsid w:val="00A84776"/>
    <w:rsid w:val="00A878BD"/>
    <w:rsid w:val="00A87AF2"/>
    <w:rsid w:val="00A91C55"/>
    <w:rsid w:val="00A920B1"/>
    <w:rsid w:val="00A92A36"/>
    <w:rsid w:val="00A92C3A"/>
    <w:rsid w:val="00A93D70"/>
    <w:rsid w:val="00A957E4"/>
    <w:rsid w:val="00A95ECC"/>
    <w:rsid w:val="00A96447"/>
    <w:rsid w:val="00A9788E"/>
    <w:rsid w:val="00AA43D2"/>
    <w:rsid w:val="00AA51AB"/>
    <w:rsid w:val="00AA538B"/>
    <w:rsid w:val="00AA6487"/>
    <w:rsid w:val="00AB0618"/>
    <w:rsid w:val="00AB28A6"/>
    <w:rsid w:val="00AB28CB"/>
    <w:rsid w:val="00AB6E3A"/>
    <w:rsid w:val="00AC39AB"/>
    <w:rsid w:val="00AC3DD7"/>
    <w:rsid w:val="00AC3EBE"/>
    <w:rsid w:val="00AC40F9"/>
    <w:rsid w:val="00AC5C1F"/>
    <w:rsid w:val="00AC72C9"/>
    <w:rsid w:val="00AC73FC"/>
    <w:rsid w:val="00AC7FD7"/>
    <w:rsid w:val="00AD04B1"/>
    <w:rsid w:val="00AD0954"/>
    <w:rsid w:val="00AD0B62"/>
    <w:rsid w:val="00AD0CC5"/>
    <w:rsid w:val="00AD1B62"/>
    <w:rsid w:val="00AD203A"/>
    <w:rsid w:val="00AD218C"/>
    <w:rsid w:val="00AD2A1C"/>
    <w:rsid w:val="00AD3F4B"/>
    <w:rsid w:val="00AD3F5E"/>
    <w:rsid w:val="00AD60AB"/>
    <w:rsid w:val="00AE1413"/>
    <w:rsid w:val="00AE1683"/>
    <w:rsid w:val="00AE3F8F"/>
    <w:rsid w:val="00AE400B"/>
    <w:rsid w:val="00AE43B4"/>
    <w:rsid w:val="00AE44FA"/>
    <w:rsid w:val="00AE48A5"/>
    <w:rsid w:val="00AE5D60"/>
    <w:rsid w:val="00AE688A"/>
    <w:rsid w:val="00AF01DC"/>
    <w:rsid w:val="00AF022C"/>
    <w:rsid w:val="00AF161E"/>
    <w:rsid w:val="00AF1BB0"/>
    <w:rsid w:val="00AF3C4C"/>
    <w:rsid w:val="00AF4705"/>
    <w:rsid w:val="00AF475B"/>
    <w:rsid w:val="00AF6123"/>
    <w:rsid w:val="00B00213"/>
    <w:rsid w:val="00B00424"/>
    <w:rsid w:val="00B00613"/>
    <w:rsid w:val="00B00BC9"/>
    <w:rsid w:val="00B016D1"/>
    <w:rsid w:val="00B01F98"/>
    <w:rsid w:val="00B026F0"/>
    <w:rsid w:val="00B054B6"/>
    <w:rsid w:val="00B05544"/>
    <w:rsid w:val="00B10707"/>
    <w:rsid w:val="00B120AA"/>
    <w:rsid w:val="00B12893"/>
    <w:rsid w:val="00B137EC"/>
    <w:rsid w:val="00B13840"/>
    <w:rsid w:val="00B13A15"/>
    <w:rsid w:val="00B14608"/>
    <w:rsid w:val="00B14F3B"/>
    <w:rsid w:val="00B1536F"/>
    <w:rsid w:val="00B162CE"/>
    <w:rsid w:val="00B168B8"/>
    <w:rsid w:val="00B20546"/>
    <w:rsid w:val="00B2066E"/>
    <w:rsid w:val="00B208D3"/>
    <w:rsid w:val="00B21A0D"/>
    <w:rsid w:val="00B223E0"/>
    <w:rsid w:val="00B22982"/>
    <w:rsid w:val="00B22B91"/>
    <w:rsid w:val="00B22D31"/>
    <w:rsid w:val="00B22EFD"/>
    <w:rsid w:val="00B2303F"/>
    <w:rsid w:val="00B23CF6"/>
    <w:rsid w:val="00B26C2B"/>
    <w:rsid w:val="00B26C82"/>
    <w:rsid w:val="00B27168"/>
    <w:rsid w:val="00B27AC9"/>
    <w:rsid w:val="00B27C18"/>
    <w:rsid w:val="00B27FA6"/>
    <w:rsid w:val="00B301E3"/>
    <w:rsid w:val="00B307E8"/>
    <w:rsid w:val="00B30CAC"/>
    <w:rsid w:val="00B3142B"/>
    <w:rsid w:val="00B31553"/>
    <w:rsid w:val="00B32EBB"/>
    <w:rsid w:val="00B33057"/>
    <w:rsid w:val="00B34267"/>
    <w:rsid w:val="00B35B2A"/>
    <w:rsid w:val="00B37713"/>
    <w:rsid w:val="00B37B83"/>
    <w:rsid w:val="00B37C65"/>
    <w:rsid w:val="00B40337"/>
    <w:rsid w:val="00B40391"/>
    <w:rsid w:val="00B40EE2"/>
    <w:rsid w:val="00B426C4"/>
    <w:rsid w:val="00B44804"/>
    <w:rsid w:val="00B45C46"/>
    <w:rsid w:val="00B45E1F"/>
    <w:rsid w:val="00B45F0B"/>
    <w:rsid w:val="00B46256"/>
    <w:rsid w:val="00B4664F"/>
    <w:rsid w:val="00B46CB0"/>
    <w:rsid w:val="00B4764F"/>
    <w:rsid w:val="00B47803"/>
    <w:rsid w:val="00B51805"/>
    <w:rsid w:val="00B520A4"/>
    <w:rsid w:val="00B52458"/>
    <w:rsid w:val="00B52B52"/>
    <w:rsid w:val="00B5344F"/>
    <w:rsid w:val="00B53B90"/>
    <w:rsid w:val="00B55C96"/>
    <w:rsid w:val="00B56F44"/>
    <w:rsid w:val="00B56FCD"/>
    <w:rsid w:val="00B572D6"/>
    <w:rsid w:val="00B60766"/>
    <w:rsid w:val="00B62E21"/>
    <w:rsid w:val="00B64697"/>
    <w:rsid w:val="00B65E07"/>
    <w:rsid w:val="00B661A4"/>
    <w:rsid w:val="00B6700F"/>
    <w:rsid w:val="00B70246"/>
    <w:rsid w:val="00B73195"/>
    <w:rsid w:val="00B74171"/>
    <w:rsid w:val="00B741E4"/>
    <w:rsid w:val="00B767EF"/>
    <w:rsid w:val="00B775E9"/>
    <w:rsid w:val="00B77EEB"/>
    <w:rsid w:val="00B8015A"/>
    <w:rsid w:val="00B80247"/>
    <w:rsid w:val="00B818CC"/>
    <w:rsid w:val="00B82208"/>
    <w:rsid w:val="00B8235E"/>
    <w:rsid w:val="00B82662"/>
    <w:rsid w:val="00B83377"/>
    <w:rsid w:val="00B847E4"/>
    <w:rsid w:val="00B84809"/>
    <w:rsid w:val="00B85E4F"/>
    <w:rsid w:val="00B87829"/>
    <w:rsid w:val="00B87A55"/>
    <w:rsid w:val="00B901D2"/>
    <w:rsid w:val="00B9027B"/>
    <w:rsid w:val="00B9250B"/>
    <w:rsid w:val="00B926D6"/>
    <w:rsid w:val="00B935FB"/>
    <w:rsid w:val="00B94191"/>
    <w:rsid w:val="00B945E0"/>
    <w:rsid w:val="00B95A7C"/>
    <w:rsid w:val="00B963EB"/>
    <w:rsid w:val="00BA05B7"/>
    <w:rsid w:val="00BA0822"/>
    <w:rsid w:val="00BA13F0"/>
    <w:rsid w:val="00BA2C2E"/>
    <w:rsid w:val="00BA3CA0"/>
    <w:rsid w:val="00BA66F6"/>
    <w:rsid w:val="00BA6A9F"/>
    <w:rsid w:val="00BB1441"/>
    <w:rsid w:val="00BB263C"/>
    <w:rsid w:val="00BB2BE8"/>
    <w:rsid w:val="00BB6891"/>
    <w:rsid w:val="00BC004F"/>
    <w:rsid w:val="00BC02FF"/>
    <w:rsid w:val="00BC045D"/>
    <w:rsid w:val="00BC1610"/>
    <w:rsid w:val="00BC174E"/>
    <w:rsid w:val="00BC2831"/>
    <w:rsid w:val="00BC2E48"/>
    <w:rsid w:val="00BC2F01"/>
    <w:rsid w:val="00BC340D"/>
    <w:rsid w:val="00BC3609"/>
    <w:rsid w:val="00BC379F"/>
    <w:rsid w:val="00BC3CB4"/>
    <w:rsid w:val="00BC418C"/>
    <w:rsid w:val="00BC57B8"/>
    <w:rsid w:val="00BC6207"/>
    <w:rsid w:val="00BC7686"/>
    <w:rsid w:val="00BC7FCA"/>
    <w:rsid w:val="00BD0943"/>
    <w:rsid w:val="00BD0B3B"/>
    <w:rsid w:val="00BD0CA8"/>
    <w:rsid w:val="00BD329D"/>
    <w:rsid w:val="00BD428A"/>
    <w:rsid w:val="00BD50BA"/>
    <w:rsid w:val="00BD7E58"/>
    <w:rsid w:val="00BE0628"/>
    <w:rsid w:val="00BE0F44"/>
    <w:rsid w:val="00BE1198"/>
    <w:rsid w:val="00BE1D84"/>
    <w:rsid w:val="00BE28C0"/>
    <w:rsid w:val="00BE2E57"/>
    <w:rsid w:val="00BE33D1"/>
    <w:rsid w:val="00BE3F11"/>
    <w:rsid w:val="00BE4733"/>
    <w:rsid w:val="00BE6481"/>
    <w:rsid w:val="00BE6EEB"/>
    <w:rsid w:val="00BE7106"/>
    <w:rsid w:val="00BF103A"/>
    <w:rsid w:val="00BF1D46"/>
    <w:rsid w:val="00BF45E7"/>
    <w:rsid w:val="00C000FD"/>
    <w:rsid w:val="00C001B1"/>
    <w:rsid w:val="00C00677"/>
    <w:rsid w:val="00C008A5"/>
    <w:rsid w:val="00C00EF9"/>
    <w:rsid w:val="00C0101B"/>
    <w:rsid w:val="00C0135B"/>
    <w:rsid w:val="00C01BA6"/>
    <w:rsid w:val="00C01D8F"/>
    <w:rsid w:val="00C027A8"/>
    <w:rsid w:val="00C030FC"/>
    <w:rsid w:val="00C06499"/>
    <w:rsid w:val="00C06C54"/>
    <w:rsid w:val="00C06FD5"/>
    <w:rsid w:val="00C10010"/>
    <w:rsid w:val="00C10230"/>
    <w:rsid w:val="00C107D1"/>
    <w:rsid w:val="00C112DB"/>
    <w:rsid w:val="00C117C2"/>
    <w:rsid w:val="00C11FF5"/>
    <w:rsid w:val="00C13823"/>
    <w:rsid w:val="00C15C06"/>
    <w:rsid w:val="00C16759"/>
    <w:rsid w:val="00C22F01"/>
    <w:rsid w:val="00C23CB4"/>
    <w:rsid w:val="00C24BBA"/>
    <w:rsid w:val="00C24E2A"/>
    <w:rsid w:val="00C255AD"/>
    <w:rsid w:val="00C271B4"/>
    <w:rsid w:val="00C30539"/>
    <w:rsid w:val="00C3141A"/>
    <w:rsid w:val="00C3189B"/>
    <w:rsid w:val="00C3189F"/>
    <w:rsid w:val="00C32773"/>
    <w:rsid w:val="00C32A82"/>
    <w:rsid w:val="00C33082"/>
    <w:rsid w:val="00C3345D"/>
    <w:rsid w:val="00C35E0A"/>
    <w:rsid w:val="00C36E7D"/>
    <w:rsid w:val="00C37DAD"/>
    <w:rsid w:val="00C40023"/>
    <w:rsid w:val="00C411B1"/>
    <w:rsid w:val="00C42F98"/>
    <w:rsid w:val="00C45C09"/>
    <w:rsid w:val="00C46038"/>
    <w:rsid w:val="00C46E45"/>
    <w:rsid w:val="00C47D95"/>
    <w:rsid w:val="00C51170"/>
    <w:rsid w:val="00C5311B"/>
    <w:rsid w:val="00C531EE"/>
    <w:rsid w:val="00C534A2"/>
    <w:rsid w:val="00C55136"/>
    <w:rsid w:val="00C55AC4"/>
    <w:rsid w:val="00C56CBA"/>
    <w:rsid w:val="00C57E59"/>
    <w:rsid w:val="00C653EA"/>
    <w:rsid w:val="00C65655"/>
    <w:rsid w:val="00C66DED"/>
    <w:rsid w:val="00C679A6"/>
    <w:rsid w:val="00C717DE"/>
    <w:rsid w:val="00C71CDB"/>
    <w:rsid w:val="00C72E81"/>
    <w:rsid w:val="00C72F72"/>
    <w:rsid w:val="00C73B49"/>
    <w:rsid w:val="00C74BD5"/>
    <w:rsid w:val="00C7680C"/>
    <w:rsid w:val="00C76D67"/>
    <w:rsid w:val="00C77D59"/>
    <w:rsid w:val="00C82634"/>
    <w:rsid w:val="00C852F6"/>
    <w:rsid w:val="00C86088"/>
    <w:rsid w:val="00C86747"/>
    <w:rsid w:val="00C8677E"/>
    <w:rsid w:val="00C924C2"/>
    <w:rsid w:val="00C93456"/>
    <w:rsid w:val="00C95EF4"/>
    <w:rsid w:val="00C96C88"/>
    <w:rsid w:val="00CA0506"/>
    <w:rsid w:val="00CA52AD"/>
    <w:rsid w:val="00CA5879"/>
    <w:rsid w:val="00CB143A"/>
    <w:rsid w:val="00CB1C8D"/>
    <w:rsid w:val="00CB28E1"/>
    <w:rsid w:val="00CB2B79"/>
    <w:rsid w:val="00CB3303"/>
    <w:rsid w:val="00CB6454"/>
    <w:rsid w:val="00CB6843"/>
    <w:rsid w:val="00CB746C"/>
    <w:rsid w:val="00CC035E"/>
    <w:rsid w:val="00CC1905"/>
    <w:rsid w:val="00CC1A15"/>
    <w:rsid w:val="00CC556D"/>
    <w:rsid w:val="00CC737F"/>
    <w:rsid w:val="00CC77A1"/>
    <w:rsid w:val="00CD27C9"/>
    <w:rsid w:val="00CD2972"/>
    <w:rsid w:val="00CD2D71"/>
    <w:rsid w:val="00CD3940"/>
    <w:rsid w:val="00CD6050"/>
    <w:rsid w:val="00CD655B"/>
    <w:rsid w:val="00CD7582"/>
    <w:rsid w:val="00CD7A85"/>
    <w:rsid w:val="00CE0B0A"/>
    <w:rsid w:val="00CE0D08"/>
    <w:rsid w:val="00CE2478"/>
    <w:rsid w:val="00CE3374"/>
    <w:rsid w:val="00CE4EFD"/>
    <w:rsid w:val="00CE55F3"/>
    <w:rsid w:val="00CE771D"/>
    <w:rsid w:val="00CE7D08"/>
    <w:rsid w:val="00CF0723"/>
    <w:rsid w:val="00CF0B84"/>
    <w:rsid w:val="00CF103A"/>
    <w:rsid w:val="00CF1C8F"/>
    <w:rsid w:val="00CF1E5C"/>
    <w:rsid w:val="00CF27AF"/>
    <w:rsid w:val="00CF2DC2"/>
    <w:rsid w:val="00CF3A50"/>
    <w:rsid w:val="00CF4564"/>
    <w:rsid w:val="00CF51BA"/>
    <w:rsid w:val="00CF7B8D"/>
    <w:rsid w:val="00D01D52"/>
    <w:rsid w:val="00D04723"/>
    <w:rsid w:val="00D04A1B"/>
    <w:rsid w:val="00D065D9"/>
    <w:rsid w:val="00D076FA"/>
    <w:rsid w:val="00D07B68"/>
    <w:rsid w:val="00D07E14"/>
    <w:rsid w:val="00D1086E"/>
    <w:rsid w:val="00D11AAB"/>
    <w:rsid w:val="00D11BC9"/>
    <w:rsid w:val="00D11D18"/>
    <w:rsid w:val="00D1215F"/>
    <w:rsid w:val="00D15D49"/>
    <w:rsid w:val="00D17AEB"/>
    <w:rsid w:val="00D205FC"/>
    <w:rsid w:val="00D21C71"/>
    <w:rsid w:val="00D227E9"/>
    <w:rsid w:val="00D2307B"/>
    <w:rsid w:val="00D231E0"/>
    <w:rsid w:val="00D25BE6"/>
    <w:rsid w:val="00D25F77"/>
    <w:rsid w:val="00D2764C"/>
    <w:rsid w:val="00D300AA"/>
    <w:rsid w:val="00D32E19"/>
    <w:rsid w:val="00D35788"/>
    <w:rsid w:val="00D362C8"/>
    <w:rsid w:val="00D36CF2"/>
    <w:rsid w:val="00D36D76"/>
    <w:rsid w:val="00D43A07"/>
    <w:rsid w:val="00D43CF9"/>
    <w:rsid w:val="00D4476D"/>
    <w:rsid w:val="00D471B9"/>
    <w:rsid w:val="00D50D1A"/>
    <w:rsid w:val="00D51BC9"/>
    <w:rsid w:val="00D525DF"/>
    <w:rsid w:val="00D534E6"/>
    <w:rsid w:val="00D56B79"/>
    <w:rsid w:val="00D57289"/>
    <w:rsid w:val="00D5748B"/>
    <w:rsid w:val="00D578B9"/>
    <w:rsid w:val="00D60CEB"/>
    <w:rsid w:val="00D62FF6"/>
    <w:rsid w:val="00D67270"/>
    <w:rsid w:val="00D712E1"/>
    <w:rsid w:val="00D71AAA"/>
    <w:rsid w:val="00D72232"/>
    <w:rsid w:val="00D727F6"/>
    <w:rsid w:val="00D72F39"/>
    <w:rsid w:val="00D7371F"/>
    <w:rsid w:val="00D751A7"/>
    <w:rsid w:val="00D761BC"/>
    <w:rsid w:val="00D76A41"/>
    <w:rsid w:val="00D76DD9"/>
    <w:rsid w:val="00D77BB0"/>
    <w:rsid w:val="00D77C17"/>
    <w:rsid w:val="00D807BF"/>
    <w:rsid w:val="00D81936"/>
    <w:rsid w:val="00D83CC0"/>
    <w:rsid w:val="00D8445B"/>
    <w:rsid w:val="00D85C29"/>
    <w:rsid w:val="00D862D7"/>
    <w:rsid w:val="00D86366"/>
    <w:rsid w:val="00D8648F"/>
    <w:rsid w:val="00D86D98"/>
    <w:rsid w:val="00D90FEE"/>
    <w:rsid w:val="00D91DC6"/>
    <w:rsid w:val="00D93279"/>
    <w:rsid w:val="00D938C6"/>
    <w:rsid w:val="00D93A81"/>
    <w:rsid w:val="00D93CB9"/>
    <w:rsid w:val="00D94142"/>
    <w:rsid w:val="00D96979"/>
    <w:rsid w:val="00D974AC"/>
    <w:rsid w:val="00DA0C93"/>
    <w:rsid w:val="00DA0CBB"/>
    <w:rsid w:val="00DA2DDE"/>
    <w:rsid w:val="00DA37FB"/>
    <w:rsid w:val="00DA4A7F"/>
    <w:rsid w:val="00DA4AED"/>
    <w:rsid w:val="00DA6094"/>
    <w:rsid w:val="00DB029B"/>
    <w:rsid w:val="00DB032B"/>
    <w:rsid w:val="00DB15AA"/>
    <w:rsid w:val="00DB29BE"/>
    <w:rsid w:val="00DB3BC3"/>
    <w:rsid w:val="00DB522E"/>
    <w:rsid w:val="00DB5C90"/>
    <w:rsid w:val="00DB6F32"/>
    <w:rsid w:val="00DC12E6"/>
    <w:rsid w:val="00DC15F1"/>
    <w:rsid w:val="00DC282D"/>
    <w:rsid w:val="00DC2B3C"/>
    <w:rsid w:val="00DC3CC0"/>
    <w:rsid w:val="00DC4D3B"/>
    <w:rsid w:val="00DC5BF0"/>
    <w:rsid w:val="00DC7C33"/>
    <w:rsid w:val="00DD0F87"/>
    <w:rsid w:val="00DD1BB0"/>
    <w:rsid w:val="00DD3F5A"/>
    <w:rsid w:val="00DD4F20"/>
    <w:rsid w:val="00DD4FC3"/>
    <w:rsid w:val="00DD6932"/>
    <w:rsid w:val="00DD719B"/>
    <w:rsid w:val="00DD74A1"/>
    <w:rsid w:val="00DE0CE7"/>
    <w:rsid w:val="00DE1F19"/>
    <w:rsid w:val="00DE23FD"/>
    <w:rsid w:val="00DE26F7"/>
    <w:rsid w:val="00DE284D"/>
    <w:rsid w:val="00DE2A4B"/>
    <w:rsid w:val="00DE38A7"/>
    <w:rsid w:val="00DE3C4E"/>
    <w:rsid w:val="00DE3F3D"/>
    <w:rsid w:val="00DE4153"/>
    <w:rsid w:val="00DE7217"/>
    <w:rsid w:val="00DE7CDD"/>
    <w:rsid w:val="00DF284E"/>
    <w:rsid w:val="00DF3455"/>
    <w:rsid w:val="00DF45BD"/>
    <w:rsid w:val="00DF51A6"/>
    <w:rsid w:val="00DF532A"/>
    <w:rsid w:val="00DF7A51"/>
    <w:rsid w:val="00E01034"/>
    <w:rsid w:val="00E028C2"/>
    <w:rsid w:val="00E0303A"/>
    <w:rsid w:val="00E0303B"/>
    <w:rsid w:val="00E033F0"/>
    <w:rsid w:val="00E03F63"/>
    <w:rsid w:val="00E05053"/>
    <w:rsid w:val="00E0508B"/>
    <w:rsid w:val="00E05D7E"/>
    <w:rsid w:val="00E07F52"/>
    <w:rsid w:val="00E10A26"/>
    <w:rsid w:val="00E12005"/>
    <w:rsid w:val="00E139BF"/>
    <w:rsid w:val="00E1462B"/>
    <w:rsid w:val="00E15C6E"/>
    <w:rsid w:val="00E15EB9"/>
    <w:rsid w:val="00E177A9"/>
    <w:rsid w:val="00E202EE"/>
    <w:rsid w:val="00E23382"/>
    <w:rsid w:val="00E234CF"/>
    <w:rsid w:val="00E238FD"/>
    <w:rsid w:val="00E24593"/>
    <w:rsid w:val="00E256E5"/>
    <w:rsid w:val="00E25A12"/>
    <w:rsid w:val="00E25E83"/>
    <w:rsid w:val="00E26FC8"/>
    <w:rsid w:val="00E27852"/>
    <w:rsid w:val="00E27E27"/>
    <w:rsid w:val="00E304A4"/>
    <w:rsid w:val="00E31245"/>
    <w:rsid w:val="00E315D4"/>
    <w:rsid w:val="00E321A7"/>
    <w:rsid w:val="00E35D19"/>
    <w:rsid w:val="00E36731"/>
    <w:rsid w:val="00E37392"/>
    <w:rsid w:val="00E408AF"/>
    <w:rsid w:val="00E43A85"/>
    <w:rsid w:val="00E442EC"/>
    <w:rsid w:val="00E44AB3"/>
    <w:rsid w:val="00E45793"/>
    <w:rsid w:val="00E46103"/>
    <w:rsid w:val="00E4696E"/>
    <w:rsid w:val="00E502B7"/>
    <w:rsid w:val="00E5044B"/>
    <w:rsid w:val="00E509F4"/>
    <w:rsid w:val="00E50AFC"/>
    <w:rsid w:val="00E513E0"/>
    <w:rsid w:val="00E55E5C"/>
    <w:rsid w:val="00E56343"/>
    <w:rsid w:val="00E60152"/>
    <w:rsid w:val="00E60246"/>
    <w:rsid w:val="00E612E0"/>
    <w:rsid w:val="00E61447"/>
    <w:rsid w:val="00E61829"/>
    <w:rsid w:val="00E639F5"/>
    <w:rsid w:val="00E63E1D"/>
    <w:rsid w:val="00E64D80"/>
    <w:rsid w:val="00E65A86"/>
    <w:rsid w:val="00E67DE7"/>
    <w:rsid w:val="00E7068B"/>
    <w:rsid w:val="00E70A4F"/>
    <w:rsid w:val="00E70EB7"/>
    <w:rsid w:val="00E7222D"/>
    <w:rsid w:val="00E7317E"/>
    <w:rsid w:val="00E7514E"/>
    <w:rsid w:val="00E758B4"/>
    <w:rsid w:val="00E75CC9"/>
    <w:rsid w:val="00E774BE"/>
    <w:rsid w:val="00E80C0E"/>
    <w:rsid w:val="00E80E5C"/>
    <w:rsid w:val="00E80F95"/>
    <w:rsid w:val="00E81F68"/>
    <w:rsid w:val="00E8374C"/>
    <w:rsid w:val="00E84914"/>
    <w:rsid w:val="00E85160"/>
    <w:rsid w:val="00E8626F"/>
    <w:rsid w:val="00E868D9"/>
    <w:rsid w:val="00E87815"/>
    <w:rsid w:val="00E913C9"/>
    <w:rsid w:val="00E9299F"/>
    <w:rsid w:val="00E93442"/>
    <w:rsid w:val="00E94104"/>
    <w:rsid w:val="00E96FD2"/>
    <w:rsid w:val="00E977B0"/>
    <w:rsid w:val="00EA2887"/>
    <w:rsid w:val="00EA4FF9"/>
    <w:rsid w:val="00EA512E"/>
    <w:rsid w:val="00EA564D"/>
    <w:rsid w:val="00EA5FC1"/>
    <w:rsid w:val="00EA6C3D"/>
    <w:rsid w:val="00EA6CCE"/>
    <w:rsid w:val="00EA7117"/>
    <w:rsid w:val="00EB0500"/>
    <w:rsid w:val="00EB3D87"/>
    <w:rsid w:val="00EB3E64"/>
    <w:rsid w:val="00EB5382"/>
    <w:rsid w:val="00EB550F"/>
    <w:rsid w:val="00EB60EF"/>
    <w:rsid w:val="00EC0791"/>
    <w:rsid w:val="00EC07A6"/>
    <w:rsid w:val="00EC10B9"/>
    <w:rsid w:val="00EC164E"/>
    <w:rsid w:val="00EC3109"/>
    <w:rsid w:val="00EC5136"/>
    <w:rsid w:val="00EC54B7"/>
    <w:rsid w:val="00EC5AED"/>
    <w:rsid w:val="00EC6387"/>
    <w:rsid w:val="00EC6DC9"/>
    <w:rsid w:val="00EC6F48"/>
    <w:rsid w:val="00ED07CF"/>
    <w:rsid w:val="00ED110C"/>
    <w:rsid w:val="00ED3C05"/>
    <w:rsid w:val="00ED73A1"/>
    <w:rsid w:val="00ED775E"/>
    <w:rsid w:val="00EE0349"/>
    <w:rsid w:val="00EE17AE"/>
    <w:rsid w:val="00EE26CB"/>
    <w:rsid w:val="00EE2C0C"/>
    <w:rsid w:val="00EE3912"/>
    <w:rsid w:val="00EE3E72"/>
    <w:rsid w:val="00EE41EC"/>
    <w:rsid w:val="00EE49C2"/>
    <w:rsid w:val="00EE6DEC"/>
    <w:rsid w:val="00EE6E55"/>
    <w:rsid w:val="00EE76AD"/>
    <w:rsid w:val="00EE7AB4"/>
    <w:rsid w:val="00EE7D99"/>
    <w:rsid w:val="00EF03ED"/>
    <w:rsid w:val="00EF05FD"/>
    <w:rsid w:val="00EF09D6"/>
    <w:rsid w:val="00EF0B40"/>
    <w:rsid w:val="00EF1054"/>
    <w:rsid w:val="00EF1316"/>
    <w:rsid w:val="00EF2B60"/>
    <w:rsid w:val="00EF3346"/>
    <w:rsid w:val="00EF45FC"/>
    <w:rsid w:val="00EF6440"/>
    <w:rsid w:val="00EF6A61"/>
    <w:rsid w:val="00EF6E37"/>
    <w:rsid w:val="00EF6F11"/>
    <w:rsid w:val="00EF7030"/>
    <w:rsid w:val="00F00549"/>
    <w:rsid w:val="00F00BE1"/>
    <w:rsid w:val="00F0175C"/>
    <w:rsid w:val="00F03330"/>
    <w:rsid w:val="00F03BD6"/>
    <w:rsid w:val="00F04180"/>
    <w:rsid w:val="00F0587F"/>
    <w:rsid w:val="00F066D9"/>
    <w:rsid w:val="00F0736A"/>
    <w:rsid w:val="00F0767A"/>
    <w:rsid w:val="00F07972"/>
    <w:rsid w:val="00F07E53"/>
    <w:rsid w:val="00F1096C"/>
    <w:rsid w:val="00F12880"/>
    <w:rsid w:val="00F12B85"/>
    <w:rsid w:val="00F13623"/>
    <w:rsid w:val="00F142A5"/>
    <w:rsid w:val="00F147FE"/>
    <w:rsid w:val="00F1634A"/>
    <w:rsid w:val="00F17D1A"/>
    <w:rsid w:val="00F20AB8"/>
    <w:rsid w:val="00F20E12"/>
    <w:rsid w:val="00F213FB"/>
    <w:rsid w:val="00F220EB"/>
    <w:rsid w:val="00F256E0"/>
    <w:rsid w:val="00F25E85"/>
    <w:rsid w:val="00F25F1B"/>
    <w:rsid w:val="00F30D94"/>
    <w:rsid w:val="00F317E0"/>
    <w:rsid w:val="00F34617"/>
    <w:rsid w:val="00F34794"/>
    <w:rsid w:val="00F34D29"/>
    <w:rsid w:val="00F35BE1"/>
    <w:rsid w:val="00F366AE"/>
    <w:rsid w:val="00F42083"/>
    <w:rsid w:val="00F42186"/>
    <w:rsid w:val="00F42951"/>
    <w:rsid w:val="00F42CBB"/>
    <w:rsid w:val="00F43ECD"/>
    <w:rsid w:val="00F4408E"/>
    <w:rsid w:val="00F44A41"/>
    <w:rsid w:val="00F46A47"/>
    <w:rsid w:val="00F5011A"/>
    <w:rsid w:val="00F50C25"/>
    <w:rsid w:val="00F52533"/>
    <w:rsid w:val="00F5282A"/>
    <w:rsid w:val="00F52A19"/>
    <w:rsid w:val="00F52D04"/>
    <w:rsid w:val="00F55284"/>
    <w:rsid w:val="00F563D7"/>
    <w:rsid w:val="00F56833"/>
    <w:rsid w:val="00F60836"/>
    <w:rsid w:val="00F60B4A"/>
    <w:rsid w:val="00F60D74"/>
    <w:rsid w:val="00F61604"/>
    <w:rsid w:val="00F643FB"/>
    <w:rsid w:val="00F654B8"/>
    <w:rsid w:val="00F66BC7"/>
    <w:rsid w:val="00F70CCC"/>
    <w:rsid w:val="00F72400"/>
    <w:rsid w:val="00F73191"/>
    <w:rsid w:val="00F7362E"/>
    <w:rsid w:val="00F747E3"/>
    <w:rsid w:val="00F74A2E"/>
    <w:rsid w:val="00F74FF1"/>
    <w:rsid w:val="00F75495"/>
    <w:rsid w:val="00F7593E"/>
    <w:rsid w:val="00F8042A"/>
    <w:rsid w:val="00F80430"/>
    <w:rsid w:val="00F8046F"/>
    <w:rsid w:val="00F80A0F"/>
    <w:rsid w:val="00F81F11"/>
    <w:rsid w:val="00F82938"/>
    <w:rsid w:val="00F82E51"/>
    <w:rsid w:val="00F8327C"/>
    <w:rsid w:val="00F84A7C"/>
    <w:rsid w:val="00F857C8"/>
    <w:rsid w:val="00F86601"/>
    <w:rsid w:val="00F869D5"/>
    <w:rsid w:val="00F90A69"/>
    <w:rsid w:val="00F91A96"/>
    <w:rsid w:val="00F94D83"/>
    <w:rsid w:val="00F95234"/>
    <w:rsid w:val="00F95F21"/>
    <w:rsid w:val="00F9641E"/>
    <w:rsid w:val="00F975A4"/>
    <w:rsid w:val="00FA17F9"/>
    <w:rsid w:val="00FA1DF1"/>
    <w:rsid w:val="00FA1F32"/>
    <w:rsid w:val="00FA2451"/>
    <w:rsid w:val="00FA309A"/>
    <w:rsid w:val="00FA3B53"/>
    <w:rsid w:val="00FA3E1E"/>
    <w:rsid w:val="00FA4CD0"/>
    <w:rsid w:val="00FA4EC2"/>
    <w:rsid w:val="00FA4FCF"/>
    <w:rsid w:val="00FA530F"/>
    <w:rsid w:val="00FA5331"/>
    <w:rsid w:val="00FA55FF"/>
    <w:rsid w:val="00FA6073"/>
    <w:rsid w:val="00FA6192"/>
    <w:rsid w:val="00FB0D2E"/>
    <w:rsid w:val="00FB0DF7"/>
    <w:rsid w:val="00FB1F74"/>
    <w:rsid w:val="00FB2AB7"/>
    <w:rsid w:val="00FB5739"/>
    <w:rsid w:val="00FB5983"/>
    <w:rsid w:val="00FB70C6"/>
    <w:rsid w:val="00FB730D"/>
    <w:rsid w:val="00FB734D"/>
    <w:rsid w:val="00FC187C"/>
    <w:rsid w:val="00FC1B34"/>
    <w:rsid w:val="00FC1FF2"/>
    <w:rsid w:val="00FC2857"/>
    <w:rsid w:val="00FC44C8"/>
    <w:rsid w:val="00FC4B67"/>
    <w:rsid w:val="00FC68A2"/>
    <w:rsid w:val="00FC7796"/>
    <w:rsid w:val="00FD0308"/>
    <w:rsid w:val="00FD13F1"/>
    <w:rsid w:val="00FD1D17"/>
    <w:rsid w:val="00FD356B"/>
    <w:rsid w:val="00FD4600"/>
    <w:rsid w:val="00FE0870"/>
    <w:rsid w:val="00FE0AAB"/>
    <w:rsid w:val="00FE14F1"/>
    <w:rsid w:val="00FE16B8"/>
    <w:rsid w:val="00FE3B3A"/>
    <w:rsid w:val="00FE6746"/>
    <w:rsid w:val="00FF017A"/>
    <w:rsid w:val="00FF09F7"/>
    <w:rsid w:val="00FF14EC"/>
    <w:rsid w:val="00FF1AAB"/>
    <w:rsid w:val="00FF4A00"/>
    <w:rsid w:val="00FF4D67"/>
    <w:rsid w:val="00FF4F02"/>
    <w:rsid w:val="00FF5A97"/>
    <w:rsid w:val="00FF6C5F"/>
    <w:rsid w:val="00FF6DCB"/>
    <w:rsid w:val="012C2B64"/>
    <w:rsid w:val="019C1747"/>
    <w:rsid w:val="01A42338"/>
    <w:rsid w:val="01D15662"/>
    <w:rsid w:val="025A30A1"/>
    <w:rsid w:val="0271389F"/>
    <w:rsid w:val="030D0562"/>
    <w:rsid w:val="04185C5A"/>
    <w:rsid w:val="05942EB2"/>
    <w:rsid w:val="05C23886"/>
    <w:rsid w:val="062C1751"/>
    <w:rsid w:val="06584CF4"/>
    <w:rsid w:val="068121B9"/>
    <w:rsid w:val="075F7AB0"/>
    <w:rsid w:val="095533A0"/>
    <w:rsid w:val="096C58FC"/>
    <w:rsid w:val="097109FA"/>
    <w:rsid w:val="098D4ADB"/>
    <w:rsid w:val="0A2F6C1C"/>
    <w:rsid w:val="0AFF69E2"/>
    <w:rsid w:val="0BFF2F20"/>
    <w:rsid w:val="0CBC515F"/>
    <w:rsid w:val="0CCE03D1"/>
    <w:rsid w:val="0D5F44E6"/>
    <w:rsid w:val="0DD56B37"/>
    <w:rsid w:val="0DF30C3A"/>
    <w:rsid w:val="0E5478A2"/>
    <w:rsid w:val="0FD93FE2"/>
    <w:rsid w:val="101B7AB2"/>
    <w:rsid w:val="10287FC3"/>
    <w:rsid w:val="10DE7762"/>
    <w:rsid w:val="111E7AB5"/>
    <w:rsid w:val="1144354C"/>
    <w:rsid w:val="115B152C"/>
    <w:rsid w:val="11DC5BBB"/>
    <w:rsid w:val="11ED01E2"/>
    <w:rsid w:val="13BB48C5"/>
    <w:rsid w:val="143D057B"/>
    <w:rsid w:val="14C42A04"/>
    <w:rsid w:val="15BE7BD2"/>
    <w:rsid w:val="160475A2"/>
    <w:rsid w:val="16D62DB0"/>
    <w:rsid w:val="16F72C63"/>
    <w:rsid w:val="170A0BE2"/>
    <w:rsid w:val="174D3EDD"/>
    <w:rsid w:val="17F31746"/>
    <w:rsid w:val="183913F8"/>
    <w:rsid w:val="18686CE5"/>
    <w:rsid w:val="18867F4F"/>
    <w:rsid w:val="19615DF7"/>
    <w:rsid w:val="19C808E7"/>
    <w:rsid w:val="19FA13E8"/>
    <w:rsid w:val="1A4C7992"/>
    <w:rsid w:val="1A513872"/>
    <w:rsid w:val="1A732E73"/>
    <w:rsid w:val="1AA502B7"/>
    <w:rsid w:val="1AAB7F76"/>
    <w:rsid w:val="1B505038"/>
    <w:rsid w:val="1B7C7BDB"/>
    <w:rsid w:val="1C213F43"/>
    <w:rsid w:val="1C381D54"/>
    <w:rsid w:val="1C476C75"/>
    <w:rsid w:val="1D2D11BC"/>
    <w:rsid w:val="1E036392"/>
    <w:rsid w:val="1EC21026"/>
    <w:rsid w:val="1EF74148"/>
    <w:rsid w:val="1F041421"/>
    <w:rsid w:val="1F274302"/>
    <w:rsid w:val="20083391"/>
    <w:rsid w:val="206550E2"/>
    <w:rsid w:val="211025BC"/>
    <w:rsid w:val="21366535"/>
    <w:rsid w:val="21B734B9"/>
    <w:rsid w:val="2221772E"/>
    <w:rsid w:val="22924451"/>
    <w:rsid w:val="241E382B"/>
    <w:rsid w:val="24426B1F"/>
    <w:rsid w:val="244F40DF"/>
    <w:rsid w:val="24BD42ED"/>
    <w:rsid w:val="251764DB"/>
    <w:rsid w:val="256829D4"/>
    <w:rsid w:val="25A44AA0"/>
    <w:rsid w:val="263606BC"/>
    <w:rsid w:val="265E3DEC"/>
    <w:rsid w:val="26CC2AAD"/>
    <w:rsid w:val="283E4268"/>
    <w:rsid w:val="28672D42"/>
    <w:rsid w:val="28CF13A2"/>
    <w:rsid w:val="29226775"/>
    <w:rsid w:val="29557CEF"/>
    <w:rsid w:val="297948A7"/>
    <w:rsid w:val="299D4C62"/>
    <w:rsid w:val="2A0E2346"/>
    <w:rsid w:val="2A1F430E"/>
    <w:rsid w:val="2A4757B8"/>
    <w:rsid w:val="2AAE4234"/>
    <w:rsid w:val="2ACD3FAF"/>
    <w:rsid w:val="2B6A6C64"/>
    <w:rsid w:val="2BB05E97"/>
    <w:rsid w:val="2C385DA0"/>
    <w:rsid w:val="2C7726B2"/>
    <w:rsid w:val="2CE24E89"/>
    <w:rsid w:val="2CF402D6"/>
    <w:rsid w:val="2D470BCC"/>
    <w:rsid w:val="2E4E7EAF"/>
    <w:rsid w:val="2EB858F6"/>
    <w:rsid w:val="2EEA6CFE"/>
    <w:rsid w:val="2FB54C0D"/>
    <w:rsid w:val="2FFD6DBD"/>
    <w:rsid w:val="30B73737"/>
    <w:rsid w:val="30EB77E5"/>
    <w:rsid w:val="321355A2"/>
    <w:rsid w:val="323D79C6"/>
    <w:rsid w:val="32F07F7D"/>
    <w:rsid w:val="331A0A10"/>
    <w:rsid w:val="331A2928"/>
    <w:rsid w:val="33873F64"/>
    <w:rsid w:val="338A1AE7"/>
    <w:rsid w:val="33E555DD"/>
    <w:rsid w:val="341007DD"/>
    <w:rsid w:val="34117602"/>
    <w:rsid w:val="341B11B9"/>
    <w:rsid w:val="34BA37F6"/>
    <w:rsid w:val="34E726F7"/>
    <w:rsid w:val="351153E0"/>
    <w:rsid w:val="36162CAE"/>
    <w:rsid w:val="361D38FD"/>
    <w:rsid w:val="362C3C78"/>
    <w:rsid w:val="36393C52"/>
    <w:rsid w:val="36797408"/>
    <w:rsid w:val="372238D5"/>
    <w:rsid w:val="376835F9"/>
    <w:rsid w:val="376E4A08"/>
    <w:rsid w:val="379231C8"/>
    <w:rsid w:val="379D444E"/>
    <w:rsid w:val="38247A3B"/>
    <w:rsid w:val="39101A1A"/>
    <w:rsid w:val="392E6561"/>
    <w:rsid w:val="394F5D39"/>
    <w:rsid w:val="39A46509"/>
    <w:rsid w:val="39B36522"/>
    <w:rsid w:val="3A876D71"/>
    <w:rsid w:val="3B1838E2"/>
    <w:rsid w:val="3B524141"/>
    <w:rsid w:val="3B8B46CA"/>
    <w:rsid w:val="3B950068"/>
    <w:rsid w:val="3BE5505D"/>
    <w:rsid w:val="3C211123"/>
    <w:rsid w:val="3C363BCA"/>
    <w:rsid w:val="3D6573A8"/>
    <w:rsid w:val="3DC4085D"/>
    <w:rsid w:val="3DE218CD"/>
    <w:rsid w:val="3DE535AD"/>
    <w:rsid w:val="3F981BBC"/>
    <w:rsid w:val="3FCA1B56"/>
    <w:rsid w:val="3FF73C44"/>
    <w:rsid w:val="40546A8A"/>
    <w:rsid w:val="40845C79"/>
    <w:rsid w:val="41480657"/>
    <w:rsid w:val="42C92B50"/>
    <w:rsid w:val="43466DE7"/>
    <w:rsid w:val="434B00C5"/>
    <w:rsid w:val="43BA05BC"/>
    <w:rsid w:val="43E94AC7"/>
    <w:rsid w:val="441414C0"/>
    <w:rsid w:val="44DB6D96"/>
    <w:rsid w:val="45146BA5"/>
    <w:rsid w:val="456642D1"/>
    <w:rsid w:val="46992FB4"/>
    <w:rsid w:val="47092C92"/>
    <w:rsid w:val="471D35A9"/>
    <w:rsid w:val="47600762"/>
    <w:rsid w:val="478107DF"/>
    <w:rsid w:val="47DD3FBA"/>
    <w:rsid w:val="47EA69F4"/>
    <w:rsid w:val="480673AC"/>
    <w:rsid w:val="48077362"/>
    <w:rsid w:val="48856531"/>
    <w:rsid w:val="48F7016F"/>
    <w:rsid w:val="4AAA1B3A"/>
    <w:rsid w:val="4B2A05FC"/>
    <w:rsid w:val="4B3C215E"/>
    <w:rsid w:val="4C6E6583"/>
    <w:rsid w:val="4CD227EC"/>
    <w:rsid w:val="4CED73D1"/>
    <w:rsid w:val="4D6D15F3"/>
    <w:rsid w:val="4DF61C53"/>
    <w:rsid w:val="4F482228"/>
    <w:rsid w:val="4F962C9F"/>
    <w:rsid w:val="4FEE1EF8"/>
    <w:rsid w:val="4FF63F50"/>
    <w:rsid w:val="50074E50"/>
    <w:rsid w:val="502246FD"/>
    <w:rsid w:val="50B00528"/>
    <w:rsid w:val="50BC224C"/>
    <w:rsid w:val="51931BE7"/>
    <w:rsid w:val="51B063B5"/>
    <w:rsid w:val="52083E65"/>
    <w:rsid w:val="524D13AE"/>
    <w:rsid w:val="5262065D"/>
    <w:rsid w:val="527B665E"/>
    <w:rsid w:val="529C2335"/>
    <w:rsid w:val="52F35E67"/>
    <w:rsid w:val="53073492"/>
    <w:rsid w:val="53130947"/>
    <w:rsid w:val="533E0830"/>
    <w:rsid w:val="53432E29"/>
    <w:rsid w:val="53447C76"/>
    <w:rsid w:val="546F7BE8"/>
    <w:rsid w:val="552A25FB"/>
    <w:rsid w:val="558C253D"/>
    <w:rsid w:val="55B460B6"/>
    <w:rsid w:val="55D1416E"/>
    <w:rsid w:val="55FE3C7B"/>
    <w:rsid w:val="56226E25"/>
    <w:rsid w:val="5640661B"/>
    <w:rsid w:val="56D21AB9"/>
    <w:rsid w:val="57106E4E"/>
    <w:rsid w:val="57812303"/>
    <w:rsid w:val="5867622F"/>
    <w:rsid w:val="58B12F54"/>
    <w:rsid w:val="5A47527D"/>
    <w:rsid w:val="5A485DF5"/>
    <w:rsid w:val="5A495822"/>
    <w:rsid w:val="5B204CD4"/>
    <w:rsid w:val="5BDA0EA9"/>
    <w:rsid w:val="5C0B4483"/>
    <w:rsid w:val="5D2234B9"/>
    <w:rsid w:val="5D48349C"/>
    <w:rsid w:val="5E0B73EA"/>
    <w:rsid w:val="5E437782"/>
    <w:rsid w:val="5E4A3961"/>
    <w:rsid w:val="5EBC5C38"/>
    <w:rsid w:val="5EF57DD6"/>
    <w:rsid w:val="5F2C4920"/>
    <w:rsid w:val="5F48187B"/>
    <w:rsid w:val="60234096"/>
    <w:rsid w:val="604A04AA"/>
    <w:rsid w:val="60C01237"/>
    <w:rsid w:val="61B156B2"/>
    <w:rsid w:val="61BA27D8"/>
    <w:rsid w:val="61FE518C"/>
    <w:rsid w:val="62853336"/>
    <w:rsid w:val="63BB2D6B"/>
    <w:rsid w:val="64460353"/>
    <w:rsid w:val="64A62BA0"/>
    <w:rsid w:val="64A83DB0"/>
    <w:rsid w:val="65D43851"/>
    <w:rsid w:val="662A1698"/>
    <w:rsid w:val="66374AE3"/>
    <w:rsid w:val="6780215A"/>
    <w:rsid w:val="67937BD0"/>
    <w:rsid w:val="682B3AE8"/>
    <w:rsid w:val="68695C7B"/>
    <w:rsid w:val="68BF11CF"/>
    <w:rsid w:val="68FC5484"/>
    <w:rsid w:val="694462AA"/>
    <w:rsid w:val="696F5C56"/>
    <w:rsid w:val="6A0A6E71"/>
    <w:rsid w:val="6AB47BC1"/>
    <w:rsid w:val="6B503469"/>
    <w:rsid w:val="6C485E67"/>
    <w:rsid w:val="6CA35163"/>
    <w:rsid w:val="6D8F6D5A"/>
    <w:rsid w:val="6DC01141"/>
    <w:rsid w:val="6DCC623B"/>
    <w:rsid w:val="6EA951BA"/>
    <w:rsid w:val="6EF34B65"/>
    <w:rsid w:val="6EF848AB"/>
    <w:rsid w:val="6F33227C"/>
    <w:rsid w:val="70A0068F"/>
    <w:rsid w:val="713B764E"/>
    <w:rsid w:val="71751657"/>
    <w:rsid w:val="71C10319"/>
    <w:rsid w:val="72014410"/>
    <w:rsid w:val="7207686C"/>
    <w:rsid w:val="72717225"/>
    <w:rsid w:val="7327021A"/>
    <w:rsid w:val="73873217"/>
    <w:rsid w:val="7410464C"/>
    <w:rsid w:val="74A80E7D"/>
    <w:rsid w:val="7584440C"/>
    <w:rsid w:val="758E7A92"/>
    <w:rsid w:val="75C316FB"/>
    <w:rsid w:val="76760624"/>
    <w:rsid w:val="76A63920"/>
    <w:rsid w:val="76CF056F"/>
    <w:rsid w:val="77656397"/>
    <w:rsid w:val="77DE09AF"/>
    <w:rsid w:val="782D3668"/>
    <w:rsid w:val="78C3531E"/>
    <w:rsid w:val="79214C4B"/>
    <w:rsid w:val="79305402"/>
    <w:rsid w:val="79C600CE"/>
    <w:rsid w:val="79E027A0"/>
    <w:rsid w:val="7A7F2106"/>
    <w:rsid w:val="7AE851B3"/>
    <w:rsid w:val="7B3B008E"/>
    <w:rsid w:val="7B662C5C"/>
    <w:rsid w:val="7BC16022"/>
    <w:rsid w:val="7BFF2BE7"/>
    <w:rsid w:val="7CB15B8C"/>
    <w:rsid w:val="7CFB027A"/>
    <w:rsid w:val="7E4234E1"/>
    <w:rsid w:val="7E9564D6"/>
    <w:rsid w:val="7EB91991"/>
    <w:rsid w:val="7ED40249"/>
    <w:rsid w:val="7EEF54A9"/>
    <w:rsid w:val="7F0C365E"/>
    <w:rsid w:val="7F3B240A"/>
    <w:rsid w:val="7F3C32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1"/>
    <w:qFormat/>
    <w:uiPriority w:val="99"/>
    <w:pPr>
      <w:keepNext/>
      <w:keepLines/>
      <w:spacing w:line="360" w:lineRule="auto"/>
      <w:outlineLvl w:val="0"/>
    </w:pPr>
    <w:rPr>
      <w:rFonts w:eastAsia="黑体"/>
      <w:b/>
      <w:bCs/>
      <w:kern w:val="44"/>
      <w:sz w:val="44"/>
      <w:szCs w:val="44"/>
      <w:lang w:val="zh-CN"/>
    </w:rPr>
  </w:style>
  <w:style w:type="paragraph" w:styleId="4">
    <w:name w:val="heading 2"/>
    <w:basedOn w:val="1"/>
    <w:next w:val="1"/>
    <w:link w:val="52"/>
    <w:qFormat/>
    <w:uiPriority w:val="99"/>
    <w:pPr>
      <w:keepNext/>
      <w:keepLines/>
      <w:spacing w:before="60" w:after="60" w:line="413" w:lineRule="auto"/>
      <w:outlineLvl w:val="1"/>
    </w:pPr>
    <w:rPr>
      <w:rFonts w:ascii="Arial" w:hAnsi="Arial" w:eastAsia="黑体"/>
      <w:b/>
      <w:bCs/>
      <w:sz w:val="32"/>
      <w:szCs w:val="32"/>
      <w:lang w:val="zh-CN"/>
    </w:rPr>
  </w:style>
  <w:style w:type="paragraph" w:styleId="5">
    <w:name w:val="heading 3"/>
    <w:basedOn w:val="1"/>
    <w:next w:val="1"/>
    <w:link w:val="53"/>
    <w:qFormat/>
    <w:uiPriority w:val="99"/>
    <w:pPr>
      <w:keepNext/>
      <w:keepLines/>
      <w:spacing w:line="360" w:lineRule="auto"/>
      <w:outlineLvl w:val="2"/>
    </w:pPr>
    <w:rPr>
      <w:rFonts w:eastAsia="黑体"/>
      <w:b/>
      <w:bCs/>
      <w:sz w:val="32"/>
      <w:szCs w:val="32"/>
      <w:lang w:val="zh-CN"/>
    </w:rPr>
  </w:style>
  <w:style w:type="paragraph" w:styleId="6">
    <w:name w:val="heading 4"/>
    <w:basedOn w:val="1"/>
    <w:next w:val="1"/>
    <w:link w:val="54"/>
    <w:qFormat/>
    <w:uiPriority w:val="99"/>
    <w:pPr>
      <w:keepNext/>
      <w:keepLines/>
      <w:spacing w:line="360" w:lineRule="auto"/>
      <w:outlineLvl w:val="3"/>
    </w:pPr>
    <w:rPr>
      <w:rFonts w:ascii="Arial" w:hAnsi="Arial"/>
      <w:b/>
      <w:bCs/>
      <w:sz w:val="28"/>
      <w:szCs w:val="28"/>
    </w:rPr>
  </w:style>
  <w:style w:type="paragraph" w:styleId="7">
    <w:name w:val="heading 5"/>
    <w:basedOn w:val="1"/>
    <w:next w:val="1"/>
    <w:link w:val="55"/>
    <w:qFormat/>
    <w:uiPriority w:val="99"/>
    <w:pPr>
      <w:keepNext/>
      <w:keepLines/>
      <w:spacing w:before="280" w:after="290" w:line="376" w:lineRule="auto"/>
      <w:outlineLvl w:val="4"/>
    </w:pPr>
    <w:rPr>
      <w:b/>
      <w:bCs/>
      <w:sz w:val="28"/>
      <w:szCs w:val="28"/>
    </w:rPr>
  </w:style>
  <w:style w:type="paragraph" w:styleId="8">
    <w:name w:val="heading 6"/>
    <w:basedOn w:val="1"/>
    <w:next w:val="1"/>
    <w:link w:val="56"/>
    <w:qFormat/>
    <w:uiPriority w:val="9"/>
    <w:pPr>
      <w:keepNext/>
      <w:keepLines/>
      <w:spacing w:before="240" w:after="64" w:line="317" w:lineRule="auto"/>
      <w:outlineLvl w:val="5"/>
    </w:pPr>
    <w:rPr>
      <w:rFonts w:ascii="Cambria" w:hAnsi="Cambria"/>
      <w:b/>
      <w:bCs/>
      <w:kern w:val="0"/>
      <w:sz w:val="24"/>
      <w:szCs w:val="24"/>
    </w:rPr>
  </w:style>
  <w:style w:type="paragraph" w:styleId="9">
    <w:name w:val="heading 7"/>
    <w:basedOn w:val="1"/>
    <w:next w:val="1"/>
    <w:link w:val="57"/>
    <w:qFormat/>
    <w:uiPriority w:val="9"/>
    <w:pPr>
      <w:keepNext/>
      <w:keepLines/>
      <w:spacing w:before="240" w:after="64" w:line="317" w:lineRule="auto"/>
      <w:outlineLvl w:val="6"/>
    </w:pPr>
    <w:rPr>
      <w:b/>
      <w:bCs/>
      <w:kern w:val="0"/>
      <w:sz w:val="24"/>
      <w:szCs w:val="24"/>
    </w:rPr>
  </w:style>
  <w:style w:type="paragraph" w:styleId="10">
    <w:name w:val="heading 8"/>
    <w:basedOn w:val="1"/>
    <w:next w:val="1"/>
    <w:link w:val="58"/>
    <w:qFormat/>
    <w:uiPriority w:val="9"/>
    <w:pPr>
      <w:keepNext/>
      <w:keepLines/>
      <w:spacing w:before="240" w:after="64" w:line="317" w:lineRule="auto"/>
      <w:outlineLvl w:val="7"/>
    </w:pPr>
    <w:rPr>
      <w:rFonts w:ascii="Cambria" w:hAnsi="Cambria"/>
      <w:kern w:val="0"/>
      <w:sz w:val="24"/>
      <w:szCs w:val="24"/>
    </w:rPr>
  </w:style>
  <w:style w:type="paragraph" w:styleId="11">
    <w:name w:val="heading 9"/>
    <w:basedOn w:val="1"/>
    <w:next w:val="1"/>
    <w:link w:val="59"/>
    <w:qFormat/>
    <w:uiPriority w:val="9"/>
    <w:pPr>
      <w:keepNext/>
      <w:keepLines/>
      <w:spacing w:before="240" w:after="64" w:line="317" w:lineRule="auto"/>
      <w:outlineLvl w:val="8"/>
    </w:pPr>
    <w:rPr>
      <w:rFonts w:ascii="Cambria" w:hAnsi="Cambria"/>
      <w:kern w:val="0"/>
      <w:sz w:val="20"/>
    </w:rPr>
  </w:style>
  <w:style w:type="character" w:default="1" w:styleId="41">
    <w:name w:val="Default Paragraph Font"/>
    <w:semiHidden/>
    <w:qFormat/>
    <w:uiPriority w:val="99"/>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2"/>
    <w:qFormat/>
    <w:uiPriority w:val="99"/>
    <w:pPr>
      <w:adjustRightInd w:val="0"/>
      <w:spacing w:after="60" w:line="360" w:lineRule="atLeast"/>
      <w:ind w:left="72" w:leftChars="30" w:right="30" w:rightChars="30"/>
      <w:jc w:val="center"/>
      <w:textAlignment w:val="baseline"/>
    </w:pPr>
    <w:rPr>
      <w:sz w:val="22"/>
      <w:szCs w:val="22"/>
    </w:rPr>
  </w:style>
  <w:style w:type="paragraph" w:styleId="12">
    <w:name w:val="toc 7"/>
    <w:basedOn w:val="1"/>
    <w:next w:val="1"/>
    <w:qFormat/>
    <w:uiPriority w:val="39"/>
    <w:pPr>
      <w:ind w:left="2520" w:leftChars="1200"/>
    </w:pPr>
    <w:rPr>
      <w:rFonts w:ascii="Calibri" w:hAnsi="Calibri" w:cs="Calibri"/>
    </w:rPr>
  </w:style>
  <w:style w:type="paragraph" w:styleId="13">
    <w:name w:val="Normal Indent"/>
    <w:basedOn w:val="1"/>
    <w:qFormat/>
    <w:uiPriority w:val="99"/>
    <w:pPr>
      <w:widowControl/>
      <w:ind w:firstLine="420"/>
      <w:jc w:val="left"/>
    </w:pPr>
    <w:rPr>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60"/>
    <w:semiHidden/>
    <w:qFormat/>
    <w:uiPriority w:val="99"/>
    <w:pPr>
      <w:shd w:val="clear" w:color="auto" w:fill="000080"/>
    </w:pPr>
    <w:rPr>
      <w:sz w:val="24"/>
      <w:szCs w:val="24"/>
      <w:shd w:val="clear" w:color="auto" w:fill="000080"/>
    </w:rPr>
  </w:style>
  <w:style w:type="paragraph" w:styleId="16">
    <w:name w:val="annotation text"/>
    <w:basedOn w:val="1"/>
    <w:link w:val="61"/>
    <w:qFormat/>
    <w:uiPriority w:val="0"/>
    <w:pPr>
      <w:jc w:val="left"/>
    </w:pPr>
    <w:rPr>
      <w:sz w:val="24"/>
      <w:szCs w:val="24"/>
    </w:rPr>
  </w:style>
  <w:style w:type="paragraph" w:styleId="17">
    <w:name w:val="Body Text Indent"/>
    <w:basedOn w:val="1"/>
    <w:link w:val="64"/>
    <w:qFormat/>
    <w:uiPriority w:val="99"/>
    <w:pPr>
      <w:spacing w:before="240" w:line="360" w:lineRule="auto"/>
      <w:ind w:firstLine="552" w:firstLineChars="263"/>
    </w:pPr>
    <w:rPr>
      <w:rFonts w:ascii="宋体"/>
    </w:rPr>
  </w:style>
  <w:style w:type="paragraph" w:styleId="18">
    <w:name w:val="index 4"/>
    <w:basedOn w:val="1"/>
    <w:next w:val="1"/>
    <w:semiHidden/>
    <w:qFormat/>
    <w:uiPriority w:val="99"/>
    <w:pPr>
      <w:ind w:left="600" w:leftChars="600"/>
    </w:pPr>
  </w:style>
  <w:style w:type="paragraph" w:styleId="19">
    <w:name w:val="toc 5"/>
    <w:basedOn w:val="1"/>
    <w:next w:val="1"/>
    <w:qFormat/>
    <w:uiPriority w:val="39"/>
    <w:pPr>
      <w:ind w:left="1680" w:leftChars="800"/>
    </w:pPr>
    <w:rPr>
      <w:rFonts w:ascii="Calibri" w:hAnsi="Calibri" w:cs="Calibri"/>
    </w:rPr>
  </w:style>
  <w:style w:type="paragraph" w:styleId="20">
    <w:name w:val="toc 3"/>
    <w:basedOn w:val="1"/>
    <w:next w:val="1"/>
    <w:qFormat/>
    <w:uiPriority w:val="39"/>
    <w:pPr>
      <w:ind w:left="840" w:leftChars="400"/>
    </w:pPr>
  </w:style>
  <w:style w:type="paragraph" w:styleId="21">
    <w:name w:val="Plain Text"/>
    <w:basedOn w:val="1"/>
    <w:next w:val="22"/>
    <w:link w:val="65"/>
    <w:qFormat/>
    <w:uiPriority w:val="0"/>
    <w:rPr>
      <w:rFonts w:ascii="宋体" w:hAnsi="Courier New"/>
      <w:sz w:val="24"/>
      <w:szCs w:val="24"/>
    </w:rPr>
  </w:style>
  <w:style w:type="paragraph" w:styleId="22">
    <w:name w:val="Date"/>
    <w:basedOn w:val="1"/>
    <w:next w:val="1"/>
    <w:link w:val="66"/>
    <w:qFormat/>
    <w:uiPriority w:val="99"/>
    <w:pPr>
      <w:ind w:left="100" w:leftChars="2500"/>
    </w:pPr>
    <w:rPr>
      <w:sz w:val="24"/>
      <w:szCs w:val="24"/>
    </w:rPr>
  </w:style>
  <w:style w:type="paragraph" w:styleId="23">
    <w:name w:val="toc 8"/>
    <w:basedOn w:val="1"/>
    <w:next w:val="1"/>
    <w:qFormat/>
    <w:uiPriority w:val="39"/>
    <w:pPr>
      <w:ind w:left="2940" w:leftChars="1400"/>
    </w:pPr>
    <w:rPr>
      <w:rFonts w:ascii="Calibri" w:hAnsi="Calibri" w:cs="Calibri"/>
    </w:rPr>
  </w:style>
  <w:style w:type="paragraph" w:styleId="24">
    <w:name w:val="Body Text Indent 2"/>
    <w:basedOn w:val="1"/>
    <w:link w:val="67"/>
    <w:qFormat/>
    <w:uiPriority w:val="99"/>
    <w:pPr>
      <w:spacing w:after="120" w:line="480" w:lineRule="auto"/>
      <w:ind w:left="420" w:leftChars="200"/>
    </w:pPr>
    <w:rPr>
      <w:sz w:val="24"/>
      <w:szCs w:val="24"/>
    </w:rPr>
  </w:style>
  <w:style w:type="paragraph" w:styleId="25">
    <w:name w:val="Balloon Text"/>
    <w:basedOn w:val="1"/>
    <w:link w:val="68"/>
    <w:semiHidden/>
    <w:qFormat/>
    <w:uiPriority w:val="99"/>
    <w:rPr>
      <w:sz w:val="18"/>
      <w:szCs w:val="18"/>
    </w:rPr>
  </w:style>
  <w:style w:type="paragraph" w:styleId="26">
    <w:name w:val="footer"/>
    <w:basedOn w:val="1"/>
    <w:link w:val="50"/>
    <w:qFormat/>
    <w:uiPriority w:val="99"/>
    <w:pPr>
      <w:tabs>
        <w:tab w:val="center" w:pos="4153"/>
        <w:tab w:val="right" w:pos="8306"/>
      </w:tabs>
      <w:snapToGrid w:val="0"/>
      <w:jc w:val="left"/>
    </w:pPr>
    <w:rPr>
      <w:sz w:val="18"/>
      <w:szCs w:val="18"/>
    </w:rPr>
  </w:style>
  <w:style w:type="paragraph" w:styleId="27">
    <w:name w:val="header"/>
    <w:basedOn w:val="1"/>
    <w:next w:val="1"/>
    <w:link w:val="63"/>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60" w:line="400" w:lineRule="exact"/>
    </w:pPr>
    <w:rPr>
      <w:rFonts w:eastAsia="黑体"/>
    </w:rPr>
  </w:style>
  <w:style w:type="paragraph" w:styleId="29">
    <w:name w:val="toc 4"/>
    <w:basedOn w:val="1"/>
    <w:next w:val="1"/>
    <w:qFormat/>
    <w:uiPriority w:val="39"/>
    <w:pPr>
      <w:ind w:left="1260" w:leftChars="600"/>
    </w:pPr>
    <w:rPr>
      <w:rFonts w:ascii="Calibri" w:hAnsi="Calibri" w:cs="Calibri"/>
    </w:rPr>
  </w:style>
  <w:style w:type="paragraph" w:styleId="30">
    <w:name w:val="Subtitle"/>
    <w:basedOn w:val="1"/>
    <w:next w:val="1"/>
    <w:link w:val="69"/>
    <w:qFormat/>
    <w:uiPriority w:val="11"/>
    <w:pPr>
      <w:spacing w:before="240" w:after="60" w:line="312" w:lineRule="auto"/>
      <w:jc w:val="center"/>
      <w:outlineLvl w:val="1"/>
    </w:pPr>
    <w:rPr>
      <w:rFonts w:ascii="Cambria" w:hAnsi="Cambria"/>
      <w:b/>
      <w:bCs/>
      <w:kern w:val="28"/>
      <w:sz w:val="32"/>
      <w:szCs w:val="32"/>
    </w:rPr>
  </w:style>
  <w:style w:type="paragraph" w:styleId="31">
    <w:name w:val="footnote text"/>
    <w:basedOn w:val="1"/>
    <w:link w:val="70"/>
    <w:semiHidden/>
    <w:qFormat/>
    <w:uiPriority w:val="99"/>
    <w:pPr>
      <w:adjustRightInd w:val="0"/>
      <w:spacing w:line="312" w:lineRule="atLeast"/>
      <w:jc w:val="left"/>
      <w:textAlignment w:val="baseline"/>
    </w:pPr>
    <w:rPr>
      <w:kern w:val="0"/>
      <w:sz w:val="18"/>
      <w:szCs w:val="18"/>
    </w:rPr>
  </w:style>
  <w:style w:type="paragraph" w:styleId="32">
    <w:name w:val="toc 6"/>
    <w:basedOn w:val="1"/>
    <w:next w:val="1"/>
    <w:qFormat/>
    <w:uiPriority w:val="39"/>
    <w:pPr>
      <w:ind w:left="2100" w:leftChars="1000"/>
    </w:pPr>
    <w:rPr>
      <w:rFonts w:ascii="Calibri" w:hAnsi="Calibri" w:cs="Calibri"/>
    </w:rPr>
  </w:style>
  <w:style w:type="paragraph" w:styleId="33">
    <w:name w:val="toc 2"/>
    <w:basedOn w:val="1"/>
    <w:next w:val="1"/>
    <w:qFormat/>
    <w:uiPriority w:val="39"/>
    <w:pPr>
      <w:ind w:left="420" w:leftChars="200"/>
    </w:pPr>
    <w:rPr>
      <w:rFonts w:ascii="Calibri" w:hAnsi="Calibri" w:cs="Calibri"/>
    </w:rPr>
  </w:style>
  <w:style w:type="paragraph" w:styleId="34">
    <w:name w:val="toc 9"/>
    <w:basedOn w:val="1"/>
    <w:next w:val="1"/>
    <w:qFormat/>
    <w:uiPriority w:val="39"/>
    <w:pPr>
      <w:ind w:left="3360" w:leftChars="1600"/>
    </w:pPr>
    <w:rPr>
      <w:rFonts w:ascii="Calibri" w:hAnsi="Calibri" w:cs="Calibri"/>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71"/>
    <w:qFormat/>
    <w:uiPriority w:val="99"/>
    <w:pPr>
      <w:spacing w:before="240" w:after="60"/>
      <w:jc w:val="center"/>
      <w:outlineLvl w:val="0"/>
    </w:pPr>
    <w:rPr>
      <w:rFonts w:ascii="Cambria" w:hAnsi="Cambria"/>
      <w:b/>
      <w:bCs/>
      <w:sz w:val="32"/>
      <w:szCs w:val="32"/>
    </w:rPr>
  </w:style>
  <w:style w:type="paragraph" w:styleId="37">
    <w:name w:val="annotation subject"/>
    <w:basedOn w:val="16"/>
    <w:next w:val="16"/>
    <w:link w:val="72"/>
    <w:semiHidden/>
    <w:qFormat/>
    <w:uiPriority w:val="99"/>
    <w:rPr>
      <w:b/>
      <w:bCs/>
    </w:rPr>
  </w:style>
  <w:style w:type="paragraph" w:styleId="38">
    <w:name w:val="Body Text First Indent 2"/>
    <w:basedOn w:val="17"/>
    <w:qFormat/>
    <w:uiPriority w:val="0"/>
    <w:pPr>
      <w:spacing w:after="120" w:line="240" w:lineRule="auto"/>
      <w:ind w:left="420" w:leftChars="200" w:firstLine="420"/>
    </w:pPr>
    <w:rPr>
      <w:rFonts w:ascii="Times New Roman"/>
      <w:sz w:val="28"/>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basedOn w:val="41"/>
    <w:qFormat/>
    <w:uiPriority w:val="99"/>
  </w:style>
  <w:style w:type="character" w:styleId="44">
    <w:name w:val="FollowedHyperlink"/>
    <w:qFormat/>
    <w:uiPriority w:val="99"/>
    <w:rPr>
      <w:color w:val="800080"/>
      <w:u w:val="single"/>
    </w:rPr>
  </w:style>
  <w:style w:type="character" w:styleId="45">
    <w:name w:val="Emphasis"/>
    <w:qFormat/>
    <w:uiPriority w:val="99"/>
    <w:rPr>
      <w:i/>
      <w:iCs/>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paragraph" w:customStyle="1" w:styleId="48">
    <w:name w:val="Default"/>
    <w:next w:val="49"/>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49">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50">
    <w:name w:val="页脚 Char"/>
    <w:link w:val="26"/>
    <w:qFormat/>
    <w:locked/>
    <w:uiPriority w:val="99"/>
    <w:rPr>
      <w:kern w:val="2"/>
      <w:sz w:val="18"/>
      <w:szCs w:val="18"/>
    </w:rPr>
  </w:style>
  <w:style w:type="character" w:customStyle="1" w:styleId="51">
    <w:name w:val="标题 1 Char"/>
    <w:link w:val="3"/>
    <w:qFormat/>
    <w:locked/>
    <w:uiPriority w:val="99"/>
    <w:rPr>
      <w:rFonts w:eastAsia="黑体"/>
      <w:b/>
      <w:bCs/>
      <w:kern w:val="44"/>
      <w:sz w:val="44"/>
      <w:szCs w:val="44"/>
      <w:lang w:val="zh-CN" w:eastAsia="zh-CN"/>
    </w:rPr>
  </w:style>
  <w:style w:type="character" w:customStyle="1" w:styleId="52">
    <w:name w:val="标题 2 Char"/>
    <w:link w:val="4"/>
    <w:qFormat/>
    <w:locked/>
    <w:uiPriority w:val="99"/>
    <w:rPr>
      <w:rFonts w:ascii="Arial" w:hAnsi="Arial" w:eastAsia="黑体" w:cs="Arial"/>
      <w:b/>
      <w:bCs/>
      <w:kern w:val="2"/>
      <w:sz w:val="32"/>
      <w:szCs w:val="32"/>
      <w:lang w:val="zh-CN" w:eastAsia="zh-CN"/>
    </w:rPr>
  </w:style>
  <w:style w:type="character" w:customStyle="1" w:styleId="53">
    <w:name w:val="标题 3 Char"/>
    <w:link w:val="5"/>
    <w:qFormat/>
    <w:locked/>
    <w:uiPriority w:val="99"/>
    <w:rPr>
      <w:rFonts w:eastAsia="黑体"/>
      <w:b/>
      <w:bCs/>
      <w:kern w:val="2"/>
      <w:sz w:val="32"/>
      <w:szCs w:val="32"/>
      <w:lang w:val="zh-CN" w:eastAsia="zh-CN"/>
    </w:rPr>
  </w:style>
  <w:style w:type="character" w:customStyle="1" w:styleId="54">
    <w:name w:val="标题 4 Char"/>
    <w:link w:val="6"/>
    <w:qFormat/>
    <w:locked/>
    <w:uiPriority w:val="99"/>
    <w:rPr>
      <w:rFonts w:ascii="Arial" w:hAnsi="Arial" w:eastAsia="宋体" w:cs="Arial"/>
      <w:b/>
      <w:bCs/>
      <w:kern w:val="2"/>
      <w:sz w:val="28"/>
      <w:szCs w:val="28"/>
      <w:lang w:val="en-US" w:eastAsia="zh-CN"/>
    </w:rPr>
  </w:style>
  <w:style w:type="character" w:customStyle="1" w:styleId="55">
    <w:name w:val="标题 5 Char"/>
    <w:link w:val="7"/>
    <w:qFormat/>
    <w:locked/>
    <w:uiPriority w:val="99"/>
    <w:rPr>
      <w:rFonts w:eastAsia="宋体"/>
      <w:b/>
      <w:bCs/>
      <w:kern w:val="2"/>
      <w:sz w:val="28"/>
      <w:szCs w:val="28"/>
      <w:lang w:val="en-US" w:eastAsia="zh-CN"/>
    </w:rPr>
  </w:style>
  <w:style w:type="character" w:customStyle="1" w:styleId="56">
    <w:name w:val="标题 6 Char"/>
    <w:link w:val="8"/>
    <w:semiHidden/>
    <w:qFormat/>
    <w:uiPriority w:val="9"/>
    <w:rPr>
      <w:rFonts w:ascii="Cambria" w:hAnsi="Cambria" w:eastAsia="宋体" w:cs="Times New Roman"/>
      <w:b/>
      <w:bCs/>
      <w:sz w:val="24"/>
      <w:szCs w:val="24"/>
    </w:rPr>
  </w:style>
  <w:style w:type="character" w:customStyle="1" w:styleId="57">
    <w:name w:val="标题 7 Char"/>
    <w:link w:val="9"/>
    <w:semiHidden/>
    <w:qFormat/>
    <w:uiPriority w:val="9"/>
    <w:rPr>
      <w:b/>
      <w:bCs/>
      <w:sz w:val="24"/>
      <w:szCs w:val="24"/>
    </w:rPr>
  </w:style>
  <w:style w:type="character" w:customStyle="1" w:styleId="58">
    <w:name w:val="标题 8 Char"/>
    <w:link w:val="10"/>
    <w:semiHidden/>
    <w:qFormat/>
    <w:uiPriority w:val="9"/>
    <w:rPr>
      <w:rFonts w:ascii="Cambria" w:hAnsi="Cambria" w:eastAsia="宋体" w:cs="Times New Roman"/>
      <w:sz w:val="24"/>
      <w:szCs w:val="24"/>
    </w:rPr>
  </w:style>
  <w:style w:type="character" w:customStyle="1" w:styleId="59">
    <w:name w:val="标题 9 Char"/>
    <w:link w:val="11"/>
    <w:semiHidden/>
    <w:qFormat/>
    <w:uiPriority w:val="9"/>
    <w:rPr>
      <w:rFonts w:ascii="Cambria" w:hAnsi="Cambria" w:eastAsia="宋体" w:cs="Times New Roman"/>
      <w:szCs w:val="21"/>
    </w:rPr>
  </w:style>
  <w:style w:type="character" w:customStyle="1" w:styleId="60">
    <w:name w:val="文档结构图 Char"/>
    <w:link w:val="15"/>
    <w:qFormat/>
    <w:locked/>
    <w:uiPriority w:val="99"/>
    <w:rPr>
      <w:kern w:val="2"/>
      <w:sz w:val="24"/>
      <w:szCs w:val="24"/>
      <w:shd w:val="clear" w:color="auto" w:fill="000080"/>
    </w:rPr>
  </w:style>
  <w:style w:type="character" w:customStyle="1" w:styleId="61">
    <w:name w:val="批注文字 Char2"/>
    <w:link w:val="16"/>
    <w:qFormat/>
    <w:locked/>
    <w:uiPriority w:val="0"/>
    <w:rPr>
      <w:rFonts w:eastAsia="宋体"/>
      <w:kern w:val="2"/>
      <w:sz w:val="24"/>
      <w:szCs w:val="24"/>
      <w:lang w:val="en-US" w:eastAsia="zh-CN"/>
    </w:rPr>
  </w:style>
  <w:style w:type="character" w:customStyle="1" w:styleId="62">
    <w:name w:val="正文文本 Char"/>
    <w:link w:val="2"/>
    <w:qFormat/>
    <w:locked/>
    <w:uiPriority w:val="99"/>
    <w:rPr>
      <w:rFonts w:eastAsia="宋体"/>
      <w:kern w:val="2"/>
      <w:sz w:val="22"/>
      <w:szCs w:val="22"/>
      <w:lang w:val="en-US" w:eastAsia="zh-CN"/>
    </w:rPr>
  </w:style>
  <w:style w:type="character" w:customStyle="1" w:styleId="63">
    <w:name w:val="页眉 Char"/>
    <w:link w:val="27"/>
    <w:qFormat/>
    <w:locked/>
    <w:uiPriority w:val="99"/>
    <w:rPr>
      <w:kern w:val="2"/>
      <w:sz w:val="18"/>
      <w:szCs w:val="18"/>
    </w:rPr>
  </w:style>
  <w:style w:type="character" w:customStyle="1" w:styleId="64">
    <w:name w:val="正文文本缩进 Char"/>
    <w:link w:val="17"/>
    <w:qFormat/>
    <w:locked/>
    <w:uiPriority w:val="99"/>
    <w:rPr>
      <w:rFonts w:ascii="宋体" w:eastAsia="宋体" w:cs="宋体"/>
      <w:kern w:val="2"/>
      <w:sz w:val="21"/>
      <w:szCs w:val="21"/>
    </w:rPr>
  </w:style>
  <w:style w:type="character" w:customStyle="1" w:styleId="65">
    <w:name w:val="纯文本 Char"/>
    <w:link w:val="21"/>
    <w:qFormat/>
    <w:locked/>
    <w:uiPriority w:val="0"/>
    <w:rPr>
      <w:rFonts w:ascii="宋体" w:hAnsi="Courier New" w:eastAsia="宋体" w:cs="宋体"/>
      <w:kern w:val="2"/>
      <w:sz w:val="24"/>
      <w:szCs w:val="24"/>
      <w:lang w:val="en-US" w:eastAsia="zh-CN"/>
    </w:rPr>
  </w:style>
  <w:style w:type="character" w:customStyle="1" w:styleId="66">
    <w:name w:val="日期 Char"/>
    <w:link w:val="22"/>
    <w:qFormat/>
    <w:locked/>
    <w:uiPriority w:val="99"/>
    <w:rPr>
      <w:kern w:val="2"/>
      <w:sz w:val="24"/>
      <w:szCs w:val="24"/>
    </w:rPr>
  </w:style>
  <w:style w:type="character" w:customStyle="1" w:styleId="67">
    <w:name w:val="正文文本缩进 2 Char"/>
    <w:link w:val="24"/>
    <w:qFormat/>
    <w:locked/>
    <w:uiPriority w:val="99"/>
    <w:rPr>
      <w:kern w:val="2"/>
      <w:sz w:val="24"/>
      <w:szCs w:val="24"/>
    </w:rPr>
  </w:style>
  <w:style w:type="character" w:customStyle="1" w:styleId="68">
    <w:name w:val="批注框文本 Char"/>
    <w:link w:val="25"/>
    <w:qFormat/>
    <w:locked/>
    <w:uiPriority w:val="99"/>
    <w:rPr>
      <w:kern w:val="2"/>
      <w:sz w:val="18"/>
      <w:szCs w:val="18"/>
    </w:rPr>
  </w:style>
  <w:style w:type="character" w:customStyle="1" w:styleId="69">
    <w:name w:val="副标题 Char"/>
    <w:link w:val="30"/>
    <w:qFormat/>
    <w:uiPriority w:val="11"/>
    <w:rPr>
      <w:rFonts w:ascii="Cambria" w:hAnsi="Cambria" w:cs="Times New Roman"/>
      <w:b/>
      <w:bCs/>
      <w:kern w:val="28"/>
      <w:sz w:val="32"/>
      <w:szCs w:val="32"/>
    </w:rPr>
  </w:style>
  <w:style w:type="character" w:customStyle="1" w:styleId="70">
    <w:name w:val="脚注文本 Char"/>
    <w:link w:val="31"/>
    <w:qFormat/>
    <w:locked/>
    <w:uiPriority w:val="99"/>
    <w:rPr>
      <w:sz w:val="18"/>
      <w:szCs w:val="18"/>
    </w:rPr>
  </w:style>
  <w:style w:type="character" w:customStyle="1" w:styleId="71">
    <w:name w:val="标题 Char"/>
    <w:link w:val="36"/>
    <w:qFormat/>
    <w:locked/>
    <w:uiPriority w:val="99"/>
    <w:rPr>
      <w:rFonts w:ascii="Cambria" w:hAnsi="Cambria" w:cs="Cambria"/>
      <w:b/>
      <w:bCs/>
      <w:kern w:val="2"/>
      <w:sz w:val="32"/>
      <w:szCs w:val="32"/>
    </w:rPr>
  </w:style>
  <w:style w:type="character" w:customStyle="1" w:styleId="72">
    <w:name w:val="批注主题 Char"/>
    <w:link w:val="37"/>
    <w:qFormat/>
    <w:locked/>
    <w:uiPriority w:val="99"/>
    <w:rPr>
      <w:b/>
      <w:bCs/>
      <w:kern w:val="2"/>
      <w:sz w:val="24"/>
      <w:szCs w:val="24"/>
    </w:rPr>
  </w:style>
  <w:style w:type="character" w:customStyle="1" w:styleId="73">
    <w:name w:val="Char Char18"/>
    <w:qFormat/>
    <w:uiPriority w:val="99"/>
    <w:rPr>
      <w:rFonts w:ascii="Times New Roman" w:hAnsi="Times New Roman" w:eastAsia="宋体" w:cs="Times New Roman"/>
      <w:b/>
      <w:bCs/>
      <w:sz w:val="28"/>
      <w:szCs w:val="28"/>
    </w:rPr>
  </w:style>
  <w:style w:type="character" w:customStyle="1" w:styleId="74">
    <w:name w:val="Comment Text Char1"/>
    <w:qFormat/>
    <w:uiPriority w:val="99"/>
    <w:rPr>
      <w:sz w:val="24"/>
      <w:szCs w:val="24"/>
    </w:rPr>
  </w:style>
  <w:style w:type="character" w:customStyle="1" w:styleId="75">
    <w:name w:val="明显引用 Char1"/>
    <w:qFormat/>
    <w:uiPriority w:val="99"/>
    <w:rPr>
      <w:rFonts w:ascii="Times New Roman" w:hAnsi="Times New Roman" w:eastAsia="宋体" w:cs="Times New Roman"/>
      <w:b/>
      <w:bCs/>
      <w:i/>
      <w:iCs/>
      <w:color w:val="4F81BD"/>
      <w:sz w:val="24"/>
      <w:szCs w:val="24"/>
    </w:rPr>
  </w:style>
  <w:style w:type="character" w:customStyle="1" w:styleId="76">
    <w:name w:val="Comment Text Char"/>
    <w:qFormat/>
    <w:uiPriority w:val="99"/>
    <w:rPr>
      <w:sz w:val="24"/>
      <w:szCs w:val="24"/>
    </w:rPr>
  </w:style>
  <w:style w:type="character" w:customStyle="1" w:styleId="77">
    <w:name w:val="Char Char21"/>
    <w:qFormat/>
    <w:uiPriority w:val="99"/>
    <w:rPr>
      <w:rFonts w:ascii="Arial" w:hAnsi="Arial" w:eastAsia="黑体" w:cs="Arial"/>
      <w:b/>
      <w:bCs/>
      <w:sz w:val="32"/>
      <w:szCs w:val="32"/>
    </w:rPr>
  </w:style>
  <w:style w:type="character" w:customStyle="1" w:styleId="78">
    <w:name w:val="批注文字 字符1"/>
    <w:qFormat/>
    <w:uiPriority w:val="0"/>
    <w:rPr>
      <w:kern w:val="2"/>
      <w:sz w:val="21"/>
      <w:szCs w:val="22"/>
    </w:rPr>
  </w:style>
  <w:style w:type="character" w:customStyle="1" w:styleId="79">
    <w:name w:val="Heading 4 Char"/>
    <w:qFormat/>
    <w:uiPriority w:val="99"/>
    <w:rPr>
      <w:rFonts w:ascii="Arial" w:hAnsi="Arial" w:eastAsia="宋体" w:cs="Arial"/>
      <w:b/>
      <w:bCs/>
      <w:kern w:val="2"/>
      <w:sz w:val="28"/>
      <w:szCs w:val="28"/>
      <w:lang w:val="en-US" w:eastAsia="zh-CN"/>
    </w:rPr>
  </w:style>
  <w:style w:type="character" w:customStyle="1" w:styleId="80">
    <w:name w:val="Document Map Char"/>
    <w:qFormat/>
    <w:uiPriority w:val="99"/>
    <w:rPr>
      <w:rFonts w:eastAsia="宋体"/>
      <w:kern w:val="2"/>
      <w:sz w:val="24"/>
      <w:szCs w:val="24"/>
      <w:lang w:val="en-US" w:eastAsia="zh-CN"/>
    </w:rPr>
  </w:style>
  <w:style w:type="character" w:customStyle="1" w:styleId="81">
    <w:name w:val="Char Char22"/>
    <w:qFormat/>
    <w:uiPriority w:val="99"/>
    <w:rPr>
      <w:rFonts w:ascii="Times New Roman" w:hAnsi="Times New Roman" w:eastAsia="宋体" w:cs="Times New Roman"/>
      <w:b/>
      <w:bCs/>
      <w:kern w:val="44"/>
      <w:sz w:val="44"/>
      <w:szCs w:val="44"/>
    </w:rPr>
  </w:style>
  <w:style w:type="character" w:customStyle="1" w:styleId="82">
    <w:name w:val="批注文字 Char Char"/>
    <w:qFormat/>
    <w:uiPriority w:val="99"/>
    <w:rPr>
      <w:rFonts w:ascii="宋体" w:hAnsi="Times New Roman" w:eastAsia="宋体" w:cs="宋体"/>
      <w:sz w:val="20"/>
      <w:szCs w:val="20"/>
    </w:rPr>
  </w:style>
  <w:style w:type="character" w:customStyle="1" w:styleId="83">
    <w:name w:val="Header Char"/>
    <w:qFormat/>
    <w:uiPriority w:val="99"/>
    <w:rPr>
      <w:rFonts w:eastAsia="宋体"/>
      <w:kern w:val="2"/>
      <w:sz w:val="18"/>
      <w:szCs w:val="18"/>
      <w:lang w:val="en-US" w:eastAsia="zh-CN"/>
    </w:rPr>
  </w:style>
  <w:style w:type="character" w:customStyle="1" w:styleId="84">
    <w:name w:val="明显强调1"/>
    <w:qFormat/>
    <w:uiPriority w:val="99"/>
    <w:rPr>
      <w:b/>
      <w:bCs/>
      <w:i/>
      <w:iCs/>
      <w:color w:val="4F81BD"/>
    </w:rPr>
  </w:style>
  <w:style w:type="character" w:customStyle="1" w:styleId="85">
    <w:name w:val="批注文字 Char1"/>
    <w:qFormat/>
    <w:uiPriority w:val="99"/>
    <w:rPr>
      <w:rFonts w:ascii="Times New Roman" w:hAnsi="Times New Roman" w:eastAsia="宋体" w:cs="Times New Roman"/>
      <w:sz w:val="24"/>
      <w:szCs w:val="24"/>
    </w:rPr>
  </w:style>
  <w:style w:type="character" w:customStyle="1" w:styleId="86">
    <w:name w:val="Body Text Indent Char"/>
    <w:qFormat/>
    <w:uiPriority w:val="99"/>
    <w:rPr>
      <w:rFonts w:ascii="宋体" w:hAnsi="宋体" w:eastAsia="宋体" w:cs="宋体"/>
      <w:kern w:val="2"/>
      <w:sz w:val="21"/>
      <w:szCs w:val="21"/>
      <w:lang w:val="en-US" w:eastAsia="zh-CN"/>
    </w:rPr>
  </w:style>
  <w:style w:type="character" w:customStyle="1" w:styleId="87">
    <w:name w:val="纯文本 Char1"/>
    <w:qFormat/>
    <w:uiPriority w:val="99"/>
    <w:rPr>
      <w:rFonts w:ascii="宋体" w:hAnsi="Courier New" w:eastAsia="宋体" w:cs="宋体"/>
      <w:sz w:val="21"/>
      <w:szCs w:val="21"/>
    </w:rPr>
  </w:style>
  <w:style w:type="character" w:customStyle="1" w:styleId="88">
    <w:name w:val="书籍标题1"/>
    <w:qFormat/>
    <w:uiPriority w:val="99"/>
    <w:rPr>
      <w:b/>
      <w:bCs/>
      <w:smallCaps/>
      <w:spacing w:val="5"/>
    </w:rPr>
  </w:style>
  <w:style w:type="character" w:customStyle="1" w:styleId="89">
    <w:name w:val="Char Char20"/>
    <w:qFormat/>
    <w:uiPriority w:val="99"/>
    <w:rPr>
      <w:rFonts w:ascii="Times New Roman" w:hAnsi="Times New Roman" w:eastAsia="宋体" w:cs="Times New Roman"/>
      <w:b/>
      <w:bCs/>
      <w:sz w:val="32"/>
      <w:szCs w:val="32"/>
    </w:rPr>
  </w:style>
  <w:style w:type="character" w:customStyle="1" w:styleId="90">
    <w:name w:val="Date Char"/>
    <w:qFormat/>
    <w:uiPriority w:val="99"/>
    <w:rPr>
      <w:rFonts w:eastAsia="宋体"/>
      <w:kern w:val="2"/>
      <w:sz w:val="24"/>
      <w:szCs w:val="24"/>
      <w:lang w:val="en-US" w:eastAsia="zh-CN"/>
    </w:rPr>
  </w:style>
  <w:style w:type="character" w:customStyle="1" w:styleId="91">
    <w:name w:val="标题 Char2"/>
    <w:qFormat/>
    <w:uiPriority w:val="99"/>
    <w:rPr>
      <w:rFonts w:ascii="Cambria" w:hAnsi="Cambria" w:eastAsia="宋体" w:cs="Cambria"/>
      <w:b/>
      <w:bCs/>
      <w:sz w:val="32"/>
      <w:szCs w:val="32"/>
    </w:rPr>
  </w:style>
  <w:style w:type="character" w:customStyle="1" w:styleId="92">
    <w:name w:val="批注框文本 Char1"/>
    <w:qFormat/>
    <w:uiPriority w:val="99"/>
    <w:rPr>
      <w:rFonts w:ascii="Times New Roman" w:hAnsi="Times New Roman" w:eastAsia="宋体" w:cs="Times New Roman"/>
      <w:sz w:val="18"/>
      <w:szCs w:val="18"/>
    </w:rPr>
  </w:style>
  <w:style w:type="character" w:customStyle="1" w:styleId="93">
    <w:name w:val="正文文本 Char1"/>
    <w:qFormat/>
    <w:uiPriority w:val="99"/>
    <w:rPr>
      <w:kern w:val="2"/>
      <w:sz w:val="22"/>
      <w:szCs w:val="22"/>
    </w:rPr>
  </w:style>
  <w:style w:type="character" w:customStyle="1" w:styleId="94">
    <w:name w:val="批注文字 Char"/>
    <w:qFormat/>
    <w:uiPriority w:val="99"/>
    <w:rPr>
      <w:kern w:val="2"/>
      <w:sz w:val="24"/>
      <w:szCs w:val="24"/>
    </w:rPr>
  </w:style>
  <w:style w:type="character" w:customStyle="1" w:styleId="95">
    <w:name w:val="Footnote Text Char"/>
    <w:qFormat/>
    <w:uiPriority w:val="99"/>
    <w:rPr>
      <w:rFonts w:eastAsia="宋体"/>
      <w:sz w:val="18"/>
      <w:szCs w:val="18"/>
      <w:lang w:val="en-US" w:eastAsia="zh-CN"/>
    </w:rPr>
  </w:style>
  <w:style w:type="character" w:customStyle="1" w:styleId="96">
    <w:name w:val="Heading 3 Char"/>
    <w:qFormat/>
    <w:uiPriority w:val="99"/>
    <w:rPr>
      <w:b/>
      <w:bCs/>
      <w:kern w:val="2"/>
      <w:sz w:val="32"/>
      <w:szCs w:val="32"/>
    </w:rPr>
  </w:style>
  <w:style w:type="character" w:customStyle="1" w:styleId="97">
    <w:name w:val="Comment Subject Char"/>
    <w:qFormat/>
    <w:uiPriority w:val="99"/>
    <w:rPr>
      <w:b/>
      <w:bCs/>
      <w:sz w:val="24"/>
      <w:szCs w:val="24"/>
    </w:rPr>
  </w:style>
  <w:style w:type="character" w:customStyle="1" w:styleId="98">
    <w:name w:val="textcontents"/>
    <w:qFormat/>
    <w:uiPriority w:val="99"/>
  </w:style>
  <w:style w:type="character" w:customStyle="1" w:styleId="99">
    <w:name w:val="Heading 3 Char1"/>
    <w:qFormat/>
    <w:uiPriority w:val="99"/>
    <w:rPr>
      <w:rFonts w:eastAsia="宋体"/>
      <w:b/>
      <w:bCs/>
      <w:kern w:val="2"/>
      <w:sz w:val="32"/>
      <w:szCs w:val="32"/>
      <w:lang w:val="en-US" w:eastAsia="zh-CN"/>
    </w:rPr>
  </w:style>
  <w:style w:type="character" w:customStyle="1" w:styleId="100">
    <w:name w:val="Char Char24"/>
    <w:qFormat/>
    <w:uiPriority w:val="99"/>
    <w:rPr>
      <w:rFonts w:eastAsia="宋体"/>
      <w:b/>
      <w:bCs/>
      <w:kern w:val="44"/>
      <w:sz w:val="44"/>
      <w:szCs w:val="44"/>
      <w:lang w:val="en-US" w:eastAsia="zh-CN"/>
    </w:rPr>
  </w:style>
  <w:style w:type="character" w:customStyle="1" w:styleId="101">
    <w:name w:val="不明显参考1"/>
    <w:qFormat/>
    <w:uiPriority w:val="99"/>
    <w:rPr>
      <w:smallCaps/>
      <w:color w:val="auto"/>
      <w:u w:val="single"/>
    </w:rPr>
  </w:style>
  <w:style w:type="character" w:customStyle="1" w:styleId="102">
    <w:name w:val="引用 Char"/>
    <w:link w:val="103"/>
    <w:qFormat/>
    <w:locked/>
    <w:uiPriority w:val="99"/>
    <w:rPr>
      <w:i/>
      <w:iCs/>
      <w:color w:val="000000"/>
    </w:rPr>
  </w:style>
  <w:style w:type="paragraph" w:customStyle="1" w:styleId="103">
    <w:name w:val="引用1"/>
    <w:basedOn w:val="1"/>
    <w:next w:val="1"/>
    <w:link w:val="102"/>
    <w:qFormat/>
    <w:uiPriority w:val="99"/>
    <w:rPr>
      <w:i/>
      <w:iCs/>
      <w:color w:val="000000"/>
      <w:kern w:val="0"/>
      <w:sz w:val="20"/>
      <w:szCs w:val="20"/>
    </w:rPr>
  </w:style>
  <w:style w:type="character" w:customStyle="1" w:styleId="104">
    <w:name w:val="文档结构图 Char1"/>
    <w:qFormat/>
    <w:uiPriority w:val="99"/>
    <w:rPr>
      <w:rFonts w:ascii="宋体" w:hAnsi="Times New Roman" w:eastAsia="宋体" w:cs="宋体"/>
      <w:sz w:val="18"/>
      <w:szCs w:val="18"/>
    </w:rPr>
  </w:style>
  <w:style w:type="character" w:customStyle="1" w:styleId="105">
    <w:name w:val="Balloon Text Char"/>
    <w:qFormat/>
    <w:uiPriority w:val="99"/>
    <w:rPr>
      <w:sz w:val="18"/>
      <w:szCs w:val="18"/>
    </w:rPr>
  </w:style>
  <w:style w:type="character" w:customStyle="1" w:styleId="106">
    <w:name w:val="Char Char9"/>
    <w:qFormat/>
    <w:uiPriority w:val="99"/>
    <w:rPr>
      <w:rFonts w:eastAsia="宋体"/>
      <w:b/>
      <w:bCs/>
      <w:kern w:val="44"/>
      <w:sz w:val="44"/>
      <w:szCs w:val="44"/>
      <w:lang w:val="en-US" w:eastAsia="zh-CN"/>
    </w:rPr>
  </w:style>
  <w:style w:type="character" w:customStyle="1" w:styleId="107">
    <w:name w:val="Plain Text Char"/>
    <w:qFormat/>
    <w:uiPriority w:val="99"/>
    <w:rPr>
      <w:rFonts w:ascii="宋体" w:hAnsi="Courier New" w:eastAsia="宋体" w:cs="宋体"/>
      <w:sz w:val="24"/>
      <w:szCs w:val="24"/>
    </w:rPr>
  </w:style>
  <w:style w:type="character" w:customStyle="1" w:styleId="108">
    <w:name w:val="明显参考1"/>
    <w:qFormat/>
    <w:uiPriority w:val="99"/>
    <w:rPr>
      <w:b/>
      <w:bCs/>
      <w:smallCaps/>
      <w:color w:val="auto"/>
      <w:spacing w:val="5"/>
      <w:u w:val="single"/>
    </w:rPr>
  </w:style>
  <w:style w:type="character" w:customStyle="1" w:styleId="109">
    <w:name w:val="标题 Char1"/>
    <w:qFormat/>
    <w:uiPriority w:val="99"/>
    <w:rPr>
      <w:rFonts w:ascii="Cambria" w:hAnsi="Cambria" w:eastAsia="宋体" w:cs="Cambria"/>
      <w:b/>
      <w:bCs/>
      <w:sz w:val="32"/>
      <w:szCs w:val="32"/>
    </w:rPr>
  </w:style>
  <w:style w:type="character" w:customStyle="1" w:styleId="110">
    <w:name w:val="Title Char"/>
    <w:qFormat/>
    <w:uiPriority w:val="99"/>
    <w:rPr>
      <w:rFonts w:ascii="Cambria" w:hAnsi="Cambria" w:cs="Cambria"/>
      <w:b/>
      <w:bCs/>
      <w:sz w:val="32"/>
      <w:szCs w:val="32"/>
    </w:rPr>
  </w:style>
  <w:style w:type="character" w:customStyle="1" w:styleId="111">
    <w:name w:val="Char Char19"/>
    <w:qFormat/>
    <w:uiPriority w:val="99"/>
    <w:rPr>
      <w:rFonts w:ascii="Arial" w:hAnsi="Arial" w:eastAsia="宋体" w:cs="Arial"/>
      <w:b/>
      <w:bCs/>
      <w:sz w:val="28"/>
      <w:szCs w:val="28"/>
    </w:rPr>
  </w:style>
  <w:style w:type="character" w:customStyle="1" w:styleId="112">
    <w:name w:val="引用 Char1"/>
    <w:qFormat/>
    <w:uiPriority w:val="99"/>
    <w:rPr>
      <w:rFonts w:ascii="Times New Roman" w:hAnsi="Times New Roman" w:eastAsia="宋体" w:cs="Times New Roman"/>
      <w:i/>
      <w:iCs/>
      <w:color w:val="000000"/>
      <w:sz w:val="24"/>
      <w:szCs w:val="24"/>
    </w:rPr>
  </w:style>
  <w:style w:type="character" w:customStyle="1" w:styleId="113">
    <w:name w:val="日期 Char1"/>
    <w:qFormat/>
    <w:uiPriority w:val="99"/>
    <w:rPr>
      <w:rFonts w:ascii="Times New Roman" w:hAnsi="Times New Roman" w:eastAsia="宋体" w:cs="Times New Roman"/>
      <w:sz w:val="24"/>
      <w:szCs w:val="24"/>
    </w:rPr>
  </w:style>
  <w:style w:type="character" w:customStyle="1" w:styleId="114">
    <w:name w:val="标题5 Char Char"/>
    <w:link w:val="115"/>
    <w:qFormat/>
    <w:locked/>
    <w:uiPriority w:val="99"/>
    <w:rPr>
      <w:rFonts w:ascii="Arial" w:hAnsi="Arial" w:cs="Arial"/>
      <w:b/>
      <w:bCs/>
      <w:sz w:val="32"/>
      <w:szCs w:val="32"/>
    </w:rPr>
  </w:style>
  <w:style w:type="paragraph" w:customStyle="1" w:styleId="115">
    <w:name w:val="标题5"/>
    <w:basedOn w:val="5"/>
    <w:link w:val="114"/>
    <w:qFormat/>
    <w:uiPriority w:val="99"/>
    <w:pPr>
      <w:spacing w:before="260" w:after="260" w:line="413" w:lineRule="auto"/>
    </w:pPr>
    <w:rPr>
      <w:rFonts w:ascii="Arial" w:hAnsi="Arial" w:eastAsia="宋体"/>
      <w:kern w:val="0"/>
    </w:rPr>
  </w:style>
  <w:style w:type="character" w:customStyle="1" w:styleId="116">
    <w:name w:val="Char Char91"/>
    <w:qFormat/>
    <w:uiPriority w:val="99"/>
    <w:rPr>
      <w:rFonts w:eastAsia="宋体"/>
      <w:b/>
      <w:bCs/>
      <w:kern w:val="44"/>
      <w:sz w:val="44"/>
      <w:szCs w:val="44"/>
      <w:lang w:val="en-US" w:eastAsia="zh-CN"/>
    </w:rPr>
  </w:style>
  <w:style w:type="character" w:customStyle="1" w:styleId="117">
    <w:name w:val="Heading 2 Char"/>
    <w:qFormat/>
    <w:uiPriority w:val="99"/>
    <w:rPr>
      <w:rFonts w:ascii="Arial" w:hAnsi="Arial" w:eastAsia="黑体" w:cs="Arial"/>
      <w:b/>
      <w:bCs/>
      <w:kern w:val="2"/>
      <w:sz w:val="32"/>
      <w:szCs w:val="32"/>
      <w:lang w:val="en-US" w:eastAsia="zh-CN"/>
    </w:rPr>
  </w:style>
  <w:style w:type="character" w:customStyle="1" w:styleId="118">
    <w:name w:val="Heading 1 Char"/>
    <w:qFormat/>
    <w:uiPriority w:val="99"/>
    <w:rPr>
      <w:rFonts w:eastAsia="宋体"/>
      <w:b/>
      <w:bCs/>
      <w:kern w:val="44"/>
      <w:sz w:val="44"/>
      <w:szCs w:val="44"/>
      <w:lang w:val="en-US" w:eastAsia="zh-CN"/>
    </w:rPr>
  </w:style>
  <w:style w:type="character" w:customStyle="1" w:styleId="119">
    <w:name w:val="明显引用 Char"/>
    <w:link w:val="120"/>
    <w:qFormat/>
    <w:locked/>
    <w:uiPriority w:val="99"/>
    <w:rPr>
      <w:b/>
      <w:bCs/>
      <w:i/>
      <w:iCs/>
      <w:color w:val="4F81BD"/>
    </w:rPr>
  </w:style>
  <w:style w:type="paragraph" w:customStyle="1" w:styleId="120">
    <w:name w:val="明显引用1"/>
    <w:basedOn w:val="1"/>
    <w:next w:val="1"/>
    <w:link w:val="119"/>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21">
    <w:name w:val="Char Char23"/>
    <w:qFormat/>
    <w:uiPriority w:val="99"/>
    <w:rPr>
      <w:rFonts w:eastAsia="宋体"/>
      <w:b/>
      <w:bCs/>
      <w:kern w:val="44"/>
      <w:sz w:val="44"/>
      <w:szCs w:val="44"/>
      <w:lang w:val="en-US" w:eastAsia="zh-CN"/>
    </w:rPr>
  </w:style>
  <w:style w:type="character" w:customStyle="1" w:styleId="122">
    <w:name w:val="不明显强调1"/>
    <w:qFormat/>
    <w:uiPriority w:val="99"/>
    <w:rPr>
      <w:i/>
      <w:iCs/>
      <w:color w:val="808080"/>
    </w:rPr>
  </w:style>
  <w:style w:type="character" w:customStyle="1" w:styleId="123">
    <w:name w:val="批注文字 字符"/>
    <w:qFormat/>
    <w:locked/>
    <w:uiPriority w:val="0"/>
    <w:rPr>
      <w:rFonts w:eastAsia="宋体"/>
      <w:kern w:val="2"/>
      <w:sz w:val="24"/>
      <w:szCs w:val="24"/>
      <w:lang w:val="en-US" w:eastAsia="zh-CN"/>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18"/>
    <w:link w:val="124"/>
    <w:qFormat/>
    <w:uiPriority w:val="99"/>
    <w:rPr>
      <w:rFonts w:eastAsia="宋体"/>
      <w:kern w:val="0"/>
    </w:rPr>
  </w:style>
  <w:style w:type="character" w:customStyle="1" w:styleId="126">
    <w:name w:val="批注主题 Char1"/>
    <w:qFormat/>
    <w:uiPriority w:val="99"/>
    <w:rPr>
      <w:rFonts w:ascii="Times New Roman" w:hAnsi="Times New Roman" w:eastAsia="宋体" w:cs="Times New Roman"/>
      <w:b/>
      <w:bCs/>
      <w:sz w:val="24"/>
      <w:szCs w:val="24"/>
    </w:rPr>
  </w:style>
  <w:style w:type="character" w:customStyle="1" w:styleId="127">
    <w:name w:val="Footer Char"/>
    <w:qFormat/>
    <w:uiPriority w:val="99"/>
    <w:rPr>
      <w:rFonts w:eastAsia="宋体"/>
      <w:kern w:val="2"/>
      <w:sz w:val="18"/>
      <w:szCs w:val="18"/>
      <w:lang w:val="en-US" w:eastAsia="zh-CN"/>
    </w:rPr>
  </w:style>
  <w:style w:type="character" w:customStyle="1" w:styleId="128">
    <w:name w:val="Char Char6"/>
    <w:qFormat/>
    <w:uiPriority w:val="99"/>
    <w:rPr>
      <w:rFonts w:eastAsia="宋体"/>
      <w:b/>
      <w:bCs/>
      <w:kern w:val="44"/>
      <w:sz w:val="44"/>
      <w:szCs w:val="44"/>
      <w:lang w:val="en-US" w:eastAsia="zh-CN"/>
    </w:rPr>
  </w:style>
  <w:style w:type="character" w:customStyle="1" w:styleId="129">
    <w:name w:val="Heading 5 Char"/>
    <w:qFormat/>
    <w:uiPriority w:val="99"/>
    <w:rPr>
      <w:rFonts w:eastAsia="宋体"/>
      <w:b/>
      <w:bCs/>
      <w:kern w:val="2"/>
      <w:sz w:val="28"/>
      <w:szCs w:val="28"/>
      <w:lang w:val="en-US" w:eastAsia="zh-CN"/>
    </w:rPr>
  </w:style>
  <w:style w:type="character" w:customStyle="1" w:styleId="130">
    <w:name w:val="Body Text Indent 2 Char"/>
    <w:qFormat/>
    <w:uiPriority w:val="99"/>
    <w:rPr>
      <w:rFonts w:eastAsia="宋体"/>
      <w:kern w:val="2"/>
      <w:sz w:val="24"/>
      <w:szCs w:val="24"/>
      <w:lang w:val="en-US" w:eastAsia="zh-CN"/>
    </w:rPr>
  </w:style>
  <w:style w:type="character" w:customStyle="1" w:styleId="131">
    <w:name w:val="Char Char181"/>
    <w:qFormat/>
    <w:uiPriority w:val="99"/>
    <w:rPr>
      <w:b/>
      <w:bCs/>
      <w:kern w:val="44"/>
      <w:sz w:val="44"/>
      <w:szCs w:val="44"/>
    </w:rPr>
  </w:style>
  <w:style w:type="paragraph" w:customStyle="1" w:styleId="132">
    <w:name w:val="p0"/>
    <w:basedOn w:val="1"/>
    <w:qFormat/>
    <w:uiPriority w:val="99"/>
    <w:pPr>
      <w:widowControl/>
    </w:pPr>
    <w:rPr>
      <w:rFonts w:ascii="Calibri" w:hAnsi="Calibri" w:cs="Calibri"/>
      <w:kern w:val="0"/>
    </w:rPr>
  </w:style>
  <w:style w:type="paragraph" w:customStyle="1" w:styleId="133">
    <w:name w:val="列出段落1"/>
    <w:basedOn w:val="1"/>
    <w:qFormat/>
    <w:uiPriority w:val="99"/>
    <w:pPr>
      <w:ind w:firstLine="420" w:firstLineChars="200"/>
    </w:pPr>
    <w:rPr>
      <w:rFonts w:ascii="Calibri" w:hAnsi="Calibri" w:cs="Calibri"/>
    </w:rPr>
  </w:style>
  <w:style w:type="paragraph" w:customStyle="1" w:styleId="134">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35">
    <w:name w:val="修订1"/>
    <w:qFormat/>
    <w:uiPriority w:val="99"/>
    <w:rPr>
      <w:rFonts w:ascii="Times New Roman" w:hAnsi="Times New Roman" w:eastAsia="宋体" w:cs="Times New Roman"/>
      <w:kern w:val="2"/>
      <w:sz w:val="21"/>
      <w:szCs w:val="21"/>
      <w:lang w:val="en-US" w:eastAsia="zh-CN" w:bidi="ar-SA"/>
    </w:rPr>
  </w:style>
  <w:style w:type="paragraph" w:customStyle="1" w:styleId="136">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样式 标题 3 + (中文) 黑体 小四 非加粗 段前: 7.8 磅 段后: 0 磅 行距: 固定值 20 磅"/>
    <w:basedOn w:val="5"/>
    <w:qFormat/>
    <w:uiPriority w:val="99"/>
    <w:pPr>
      <w:spacing w:line="400" w:lineRule="exact"/>
    </w:pPr>
    <w:rPr>
      <w:b w:val="0"/>
      <w:bCs w:val="0"/>
    </w:rPr>
  </w:style>
  <w:style w:type="paragraph" w:customStyle="1" w:styleId="138">
    <w:name w:val="Char Char Char Char Char Char Char"/>
    <w:basedOn w:val="1"/>
    <w:qFormat/>
    <w:uiPriority w:val="99"/>
    <w:pPr>
      <w:widowControl/>
      <w:spacing w:after="160" w:line="240" w:lineRule="exact"/>
      <w:jc w:val="left"/>
    </w:pPr>
  </w:style>
  <w:style w:type="paragraph" w:styleId="139">
    <w:name w:val="List Paragraph"/>
    <w:basedOn w:val="1"/>
    <w:qFormat/>
    <w:uiPriority w:val="34"/>
    <w:pPr>
      <w:ind w:firstLine="420" w:firstLineChars="200"/>
    </w:pPr>
  </w:style>
  <w:style w:type="paragraph" w:customStyle="1" w:styleId="140">
    <w:name w:val="_Style 37"/>
    <w:basedOn w:val="1"/>
    <w:next w:val="1"/>
    <w:qFormat/>
    <w:uiPriority w:val="99"/>
  </w:style>
  <w:style w:type="paragraph" w:customStyle="1" w:styleId="141">
    <w:name w:val="_Style 139"/>
    <w:semiHidden/>
    <w:qFormat/>
    <w:uiPriority w:val="99"/>
    <w:rPr>
      <w:rFonts w:ascii="Times New Roman" w:hAnsi="Times New Roman" w:eastAsia="宋体" w:cs="Times New Roman"/>
      <w:kern w:val="2"/>
      <w:sz w:val="21"/>
      <w:szCs w:val="21"/>
      <w:lang w:val="en-US" w:eastAsia="zh-CN" w:bidi="ar-SA"/>
    </w:rPr>
  </w:style>
  <w:style w:type="paragraph" w:customStyle="1" w:styleId="142">
    <w:name w:val="正文呀"/>
    <w:basedOn w:val="143"/>
    <w:qFormat/>
    <w:uiPriority w:val="0"/>
    <w:pPr>
      <w:spacing w:line="420" w:lineRule="exact"/>
      <w:ind w:firstLine="420" w:firstLineChars="200"/>
    </w:pPr>
    <w:rPr>
      <w:rFonts w:ascii="宋体" w:hAnsi="宋体"/>
      <w:szCs w:val="21"/>
    </w:rPr>
  </w:style>
  <w:style w:type="paragraph" w:customStyle="1" w:styleId="143">
    <w:name w:val="正文_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Char1"/>
    <w:basedOn w:val="1"/>
    <w:qFormat/>
    <w:uiPriority w:val="99"/>
    <w:pPr>
      <w:widowControl/>
      <w:spacing w:after="160" w:line="240" w:lineRule="exact"/>
      <w:jc w:val="left"/>
    </w:pPr>
  </w:style>
  <w:style w:type="paragraph" w:customStyle="1" w:styleId="14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46">
    <w:name w:val="TOC 标题1"/>
    <w:basedOn w:val="3"/>
    <w:next w:val="1"/>
    <w:qFormat/>
    <w:uiPriority w:val="99"/>
    <w:pPr>
      <w:spacing w:before="340" w:after="330" w:line="576" w:lineRule="auto"/>
      <w:outlineLvl w:val="9"/>
    </w:pPr>
    <w:rPr>
      <w:rFonts w:ascii="Calibri" w:hAnsi="Calibri" w:cs="Calibri"/>
      <w:sz w:val="44"/>
      <w:szCs w:val="44"/>
    </w:rPr>
  </w:style>
  <w:style w:type="paragraph" w:customStyle="1" w:styleId="14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8">
    <w:name w:val="2-2ji"/>
    <w:basedOn w:val="4"/>
    <w:qFormat/>
    <w:uiPriority w:val="99"/>
    <w:pPr>
      <w:spacing w:before="0" w:after="0" w:line="360" w:lineRule="auto"/>
      <w:jc w:val="center"/>
    </w:pPr>
    <w:rPr>
      <w:rFonts w:ascii="宋体" w:hAnsi="宋体" w:eastAsia="宋体" w:cs="宋体"/>
      <w:sz w:val="36"/>
      <w:szCs w:val="36"/>
    </w:rPr>
  </w:style>
  <w:style w:type="paragraph" w:customStyle="1" w:styleId="149">
    <w:name w:val="样式1"/>
    <w:basedOn w:val="1"/>
    <w:next w:val="6"/>
    <w:qFormat/>
    <w:uiPriority w:val="99"/>
    <w:pPr>
      <w:spacing w:line="360" w:lineRule="auto"/>
      <w:ind w:firstLine="420" w:firstLineChars="200"/>
    </w:pPr>
    <w:rPr>
      <w:rFonts w:ascii="宋体" w:hAnsi="宋体" w:cs="宋体"/>
    </w:rPr>
  </w:style>
  <w:style w:type="paragraph" w:customStyle="1" w:styleId="150">
    <w:name w:val="1"/>
    <w:basedOn w:val="1"/>
    <w:next w:val="1"/>
    <w:qFormat/>
    <w:uiPriority w:val="99"/>
  </w:style>
  <w:style w:type="paragraph" w:customStyle="1" w:styleId="15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2">
    <w:name w:val="列出段落2"/>
    <w:basedOn w:val="1"/>
    <w:qFormat/>
    <w:uiPriority w:val="99"/>
    <w:pPr>
      <w:ind w:firstLine="420" w:firstLineChars="200"/>
    </w:pPr>
    <w:rPr>
      <w:rFonts w:ascii="Calibri" w:hAnsi="Calibri" w:cs="Calibri"/>
    </w:rPr>
  </w:style>
  <w:style w:type="paragraph" w:customStyle="1" w:styleId="15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4">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55">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6">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7">
    <w:name w:val="Char"/>
    <w:basedOn w:val="1"/>
    <w:qFormat/>
    <w:uiPriority w:val="99"/>
    <w:pPr>
      <w:widowControl/>
      <w:spacing w:after="160" w:line="240" w:lineRule="exact"/>
      <w:jc w:val="left"/>
    </w:pPr>
  </w:style>
  <w:style w:type="paragraph" w:customStyle="1" w:styleId="158">
    <w:name w:val="正文呀2"/>
    <w:basedOn w:val="142"/>
    <w:qFormat/>
    <w:uiPriority w:val="0"/>
    <w:rPr>
      <w:rFonts w:ascii="Calibri" w:hAnsi="Calibri"/>
    </w:rPr>
  </w:style>
  <w:style w:type="character" w:customStyle="1" w:styleId="159">
    <w:name w:val="font01"/>
    <w:basedOn w:val="41"/>
    <w:qFormat/>
    <w:uiPriority w:val="0"/>
    <w:rPr>
      <w:rFonts w:hint="eastAsia" w:ascii="宋体" w:hAnsi="宋体" w:eastAsia="宋体" w:cs="宋体"/>
      <w:color w:val="000000"/>
      <w:sz w:val="22"/>
      <w:szCs w:val="22"/>
      <w:u w:val="none"/>
    </w:rPr>
  </w:style>
  <w:style w:type="character" w:customStyle="1" w:styleId="160">
    <w:name w:val="font11"/>
    <w:basedOn w:val="41"/>
    <w:qFormat/>
    <w:uiPriority w:val="0"/>
    <w:rPr>
      <w:rFonts w:ascii="微软雅黑" w:hAnsi="微软雅黑" w:eastAsia="微软雅黑" w:cs="微软雅黑"/>
      <w:color w:val="000000"/>
      <w:sz w:val="22"/>
      <w:szCs w:val="22"/>
      <w:u w:val="none"/>
    </w:rPr>
  </w:style>
  <w:style w:type="paragraph" w:customStyle="1" w:styleId="161">
    <w:name w:val="表格文字"/>
    <w:basedOn w:val="1"/>
    <w:qFormat/>
    <w:uiPriority w:val="0"/>
    <w:pPr>
      <w:jc w:val="left"/>
    </w:pPr>
    <w:rPr>
      <w:bCs/>
      <w:spacing w:val="10"/>
      <w:kern w:val="0"/>
      <w:sz w:val="24"/>
      <w:szCs w:val="20"/>
    </w:rPr>
  </w:style>
  <w:style w:type="paragraph" w:customStyle="1" w:styleId="162">
    <w:name w:val="Other|1"/>
    <w:basedOn w:val="1"/>
    <w:qFormat/>
    <w:uiPriority w:val="0"/>
    <w:pPr>
      <w:spacing w:line="480" w:lineRule="auto"/>
      <w:ind w:firstLine="400"/>
    </w:pPr>
    <w:rPr>
      <w:rFonts w:ascii="宋体" w:hAnsi="宋体" w:cs="宋体"/>
      <w:sz w:val="17"/>
      <w:szCs w:val="17"/>
      <w:lang w:val="zh-TW" w:eastAsia="zh-TW" w:bidi="zh-TW"/>
    </w:rPr>
  </w:style>
  <w:style w:type="paragraph" w:customStyle="1" w:styleId="163">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164">
    <w:name w:val="Body text|2"/>
    <w:basedOn w:val="1"/>
    <w:qFormat/>
    <w:uiPriority w:val="99"/>
    <w:pPr>
      <w:spacing w:after="30"/>
      <w:ind w:firstLine="420"/>
    </w:pPr>
    <w:rPr>
      <w:sz w:val="20"/>
      <w:szCs w:val="20"/>
    </w:rPr>
  </w:style>
  <w:style w:type="paragraph" w:customStyle="1" w:styleId="165">
    <w:name w:val="Heading #4|1"/>
    <w:basedOn w:val="1"/>
    <w:qFormat/>
    <w:uiPriority w:val="0"/>
    <w:pPr>
      <w:widowControl w:val="0"/>
      <w:shd w:val="clear" w:color="auto" w:fill="auto"/>
      <w:spacing w:after="120"/>
      <w:outlineLvl w:val="3"/>
    </w:pPr>
    <w:rPr>
      <w:rFonts w:ascii="宋体" w:hAnsi="宋体" w:eastAsia="宋体" w:cs="宋体"/>
      <w:sz w:val="30"/>
      <w:szCs w:val="30"/>
      <w:u w:val="none"/>
      <w:shd w:val="clear" w:color="auto" w:fill="auto"/>
      <w:lang w:val="zh-TW" w:eastAsia="zh-TW" w:bidi="zh-TW"/>
    </w:rPr>
  </w:style>
  <w:style w:type="paragraph" w:customStyle="1" w:styleId="166">
    <w:name w:val="Body text|3"/>
    <w:basedOn w:val="1"/>
    <w:qFormat/>
    <w:uiPriority w:val="0"/>
    <w:pPr>
      <w:widowControl w:val="0"/>
      <w:shd w:val="clear" w:color="auto" w:fill="auto"/>
      <w:spacing w:after="450" w:line="300" w:lineRule="auto"/>
      <w:ind w:right="150" w:firstLine="220"/>
    </w:pPr>
    <w:rPr>
      <w:sz w:val="20"/>
      <w:szCs w:val="20"/>
      <w:u w:val="none"/>
      <w:shd w:val="clear" w:color="auto" w:fill="auto"/>
    </w:rPr>
  </w:style>
  <w:style w:type="paragraph" w:customStyle="1" w:styleId="167">
    <w:name w:val="Header or footer|1"/>
    <w:basedOn w:val="1"/>
    <w:qFormat/>
    <w:uiPriority w:val="0"/>
    <w:pPr>
      <w:jc w:val="center"/>
    </w:pPr>
    <w:rPr>
      <w:kern w:val="0"/>
      <w:sz w:val="17"/>
      <w:szCs w:val="17"/>
      <w:lang w:val="zh-CN" w:bidi="zh-CN"/>
    </w:rPr>
  </w:style>
  <w:style w:type="paragraph" w:customStyle="1" w:styleId="168">
    <w:name w:val="表头"/>
    <w:basedOn w:val="1"/>
    <w:qFormat/>
    <w:uiPriority w:val="0"/>
    <w:pPr>
      <w:spacing w:line="300" w:lineRule="auto"/>
      <w:jc w:val="center"/>
    </w:pPr>
    <w:rPr>
      <w:rFonts w:eastAsia="黑体" w:cs="华文细黑"/>
      <w:color w:val="000000"/>
    </w:rPr>
  </w:style>
  <w:style w:type="paragraph" w:customStyle="1" w:styleId="169">
    <w:name w:val="表"/>
    <w:basedOn w:val="1"/>
    <w:qFormat/>
    <w:uiPriority w:val="0"/>
    <w:pPr>
      <w:spacing w:line="300" w:lineRule="auto"/>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181</Pages>
  <Words>104989</Words>
  <Characters>113192</Characters>
  <Lines>797</Lines>
  <Paragraphs>224</Paragraphs>
  <TotalTime>21</TotalTime>
  <ScaleCrop>false</ScaleCrop>
  <LinksUpToDate>false</LinksUpToDate>
  <CharactersWithSpaces>119584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2020-11-23T01:23:00Z</dcterms:created>
  <dc:creator>梁 梦雪</dc:creator>
  <cp:lastModifiedBy>wild</cp:lastModifiedBy>
  <cp:lastPrinted>2022-09-27T10:14:00Z</cp:lastPrinted>
  <dcterms:modified xsi:type="dcterms:W3CDTF">2022-10-08T02:50:12Z</dcterms:modified>
  <dc:title>广西壮族自治区房屋建筑和市政工程施工电子招标文件范本（2015年版）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3D237C6C896A4FD6B4910BC7543A25ED</vt:lpwstr>
  </property>
</Properties>
</file>