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spacing w:before="6"/>
        <w:rPr>
          <w:rFonts w:asciiTheme="minorEastAsia" w:hAnsiTheme="minorEastAsia" w:eastAsiaTheme="minorEastAsia" w:cstheme="minorEastAsia"/>
          <w:color w:val="auto"/>
          <w:sz w:val="19"/>
        </w:rPr>
      </w:pPr>
    </w:p>
    <w:p>
      <w:pPr>
        <w:pStyle w:val="2"/>
        <w:ind w:left="398"/>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spacing w:before="172"/>
        <w:ind w:left="1672"/>
        <w:rPr>
          <w:rFonts w:asciiTheme="minorEastAsia" w:hAnsiTheme="minorEastAsia" w:eastAsiaTheme="minorEastAsia" w:cstheme="minorEastAsia"/>
          <w:color w:val="auto"/>
          <w:sz w:val="72"/>
        </w:rPr>
      </w:pPr>
      <w:r>
        <w:rPr>
          <w:rFonts w:hint="eastAsia" w:asciiTheme="minorEastAsia" w:hAnsiTheme="minorEastAsia" w:eastAsiaTheme="minorEastAsia" w:cstheme="minorEastAsia"/>
          <w:color w:val="auto"/>
          <w:sz w:val="72"/>
        </w:rPr>
        <w:t>竞争性磋商采购文件</w:t>
      </w:r>
    </w:p>
    <w:p>
      <w:pPr>
        <w:pStyle w:val="2"/>
        <w:rPr>
          <w:rFonts w:asciiTheme="minorEastAsia" w:hAnsiTheme="minorEastAsia" w:eastAsiaTheme="minorEastAsia" w:cstheme="minorEastAsia"/>
          <w:color w:val="auto"/>
          <w:sz w:val="72"/>
        </w:rPr>
      </w:pPr>
    </w:p>
    <w:p>
      <w:pPr>
        <w:pStyle w:val="2"/>
        <w:spacing w:before="12"/>
        <w:rPr>
          <w:rFonts w:asciiTheme="minorEastAsia" w:hAnsiTheme="minorEastAsia" w:eastAsiaTheme="minorEastAsia" w:cstheme="minorEastAsia"/>
          <w:color w:val="auto"/>
          <w:sz w:val="74"/>
        </w:rPr>
      </w:pPr>
    </w:p>
    <w:p>
      <w:pPr>
        <w:pStyle w:val="2"/>
        <w:spacing w:before="12"/>
        <w:rPr>
          <w:rFonts w:asciiTheme="minorEastAsia" w:hAnsiTheme="minorEastAsia" w:eastAsiaTheme="minorEastAsia" w:cstheme="minorEastAsia"/>
          <w:color w:val="auto"/>
          <w:sz w:val="74"/>
        </w:rPr>
      </w:pPr>
    </w:p>
    <w:p>
      <w:pPr>
        <w:pStyle w:val="2"/>
        <w:spacing w:before="12"/>
        <w:rPr>
          <w:rFonts w:asciiTheme="minorEastAsia" w:hAnsiTheme="minorEastAsia" w:eastAsiaTheme="minorEastAsia" w:cstheme="minorEastAsia"/>
          <w:color w:val="auto"/>
          <w:sz w:val="74"/>
        </w:rPr>
      </w:pPr>
    </w:p>
    <w:p>
      <w:pPr>
        <w:pStyle w:val="2"/>
        <w:spacing w:before="12"/>
        <w:rPr>
          <w:rFonts w:asciiTheme="minorEastAsia" w:hAnsiTheme="minorEastAsia" w:eastAsiaTheme="minorEastAsia" w:cstheme="minorEastAsia"/>
          <w:color w:val="auto"/>
          <w:sz w:val="74"/>
        </w:rPr>
      </w:pPr>
    </w:p>
    <w:p>
      <w:pPr>
        <w:pStyle w:val="5"/>
        <w:ind w:firstLine="904" w:firstLineChars="3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项目编号：</w:t>
      </w:r>
      <w:r>
        <w:rPr>
          <w:rFonts w:hint="eastAsia" w:asciiTheme="minorEastAsia" w:hAnsiTheme="minorEastAsia" w:eastAsiaTheme="minorEastAsia" w:cstheme="minorEastAsia"/>
          <w:color w:val="auto"/>
          <w:lang w:eastAsia="zh-CN"/>
        </w:rPr>
        <w:t>YLZC2020-C3-000824-HWST</w:t>
      </w:r>
    </w:p>
    <w:p>
      <w:pPr>
        <w:spacing w:before="216"/>
        <w:ind w:left="2580" w:leftChars="488" w:hanging="1506" w:hangingChars="500"/>
        <w:rPr>
          <w:rFonts w:hint="eastAsia" w:asciiTheme="minorEastAsia" w:hAnsiTheme="minorEastAsia" w:eastAsiaTheme="minorEastAsia" w:cstheme="minorEastAsia"/>
          <w:b/>
          <w:color w:val="auto"/>
          <w:sz w:val="30"/>
          <w:lang w:val="en-US" w:eastAsia="zh-CN"/>
        </w:rPr>
      </w:pPr>
      <w:r>
        <w:rPr>
          <w:rFonts w:hint="eastAsia" w:asciiTheme="minorEastAsia" w:hAnsiTheme="minorEastAsia" w:eastAsiaTheme="minorEastAsia" w:cstheme="minorEastAsia"/>
          <w:b/>
          <w:color w:val="auto"/>
          <w:sz w:val="30"/>
        </w:rPr>
        <w:t>项目名称：</w:t>
      </w:r>
      <w:r>
        <w:rPr>
          <w:rFonts w:hint="eastAsia" w:asciiTheme="minorEastAsia" w:hAnsiTheme="minorEastAsia" w:eastAsiaTheme="minorEastAsia" w:cstheme="minorEastAsia"/>
          <w:b/>
          <w:color w:val="auto"/>
          <w:sz w:val="30"/>
          <w:lang w:eastAsia="zh-CN"/>
        </w:rPr>
        <w:t>采购开展2020年“五彩玉林·田园都市”（肇庆、湛江、茂名）旅游推介活动服务项目</w:t>
      </w:r>
    </w:p>
    <w:p>
      <w:pPr>
        <w:pStyle w:val="2"/>
        <w:rPr>
          <w:rFonts w:asciiTheme="minorEastAsia" w:hAnsiTheme="minorEastAsia" w:eastAsiaTheme="minorEastAsia" w:cstheme="minorEastAsia"/>
          <w:b/>
          <w:color w:val="auto"/>
          <w:sz w:val="30"/>
        </w:rPr>
      </w:pPr>
    </w:p>
    <w:p>
      <w:pPr>
        <w:pStyle w:val="2"/>
        <w:spacing w:before="8"/>
        <w:rPr>
          <w:rFonts w:asciiTheme="minorEastAsia" w:hAnsiTheme="minorEastAsia" w:eastAsiaTheme="minorEastAsia" w:cstheme="minorEastAsia"/>
          <w:b/>
          <w:color w:val="auto"/>
          <w:sz w:val="33"/>
        </w:rPr>
      </w:pPr>
    </w:p>
    <w:p>
      <w:pPr>
        <w:pStyle w:val="2"/>
        <w:spacing w:before="8"/>
        <w:rPr>
          <w:rFonts w:asciiTheme="minorEastAsia" w:hAnsiTheme="minorEastAsia" w:eastAsiaTheme="minorEastAsia" w:cstheme="minorEastAsia"/>
          <w:b/>
          <w:color w:val="auto"/>
          <w:sz w:val="33"/>
        </w:rPr>
      </w:pPr>
    </w:p>
    <w:p>
      <w:pPr>
        <w:pStyle w:val="2"/>
        <w:spacing w:before="8"/>
        <w:rPr>
          <w:rFonts w:asciiTheme="minorEastAsia" w:hAnsiTheme="minorEastAsia" w:eastAsiaTheme="minorEastAsia" w:cstheme="minorEastAsia"/>
          <w:b/>
          <w:color w:val="auto"/>
          <w:sz w:val="33"/>
        </w:rPr>
      </w:pPr>
    </w:p>
    <w:p>
      <w:pPr>
        <w:pStyle w:val="2"/>
        <w:spacing w:before="8"/>
        <w:rPr>
          <w:rFonts w:asciiTheme="minorEastAsia" w:hAnsiTheme="minorEastAsia" w:eastAsiaTheme="minorEastAsia" w:cstheme="minorEastAsia"/>
          <w:b/>
          <w:color w:val="auto"/>
          <w:sz w:val="33"/>
        </w:rPr>
      </w:pPr>
    </w:p>
    <w:p>
      <w:pPr>
        <w:pStyle w:val="2"/>
        <w:spacing w:before="8"/>
        <w:rPr>
          <w:rFonts w:asciiTheme="minorEastAsia" w:hAnsiTheme="minorEastAsia" w:eastAsiaTheme="minorEastAsia" w:cstheme="minorEastAsia"/>
          <w:b/>
          <w:color w:val="auto"/>
          <w:sz w:val="33"/>
        </w:rPr>
      </w:pPr>
    </w:p>
    <w:p>
      <w:pPr>
        <w:pStyle w:val="2"/>
        <w:spacing w:before="8"/>
        <w:rPr>
          <w:rFonts w:asciiTheme="minorEastAsia" w:hAnsiTheme="minorEastAsia" w:eastAsiaTheme="minorEastAsia" w:cstheme="minorEastAsia"/>
          <w:b/>
          <w:color w:val="auto"/>
          <w:sz w:val="33"/>
        </w:rPr>
      </w:pPr>
    </w:p>
    <w:p>
      <w:pPr>
        <w:spacing w:line="374" w:lineRule="auto"/>
        <w:ind w:right="2082"/>
        <w:rPr>
          <w:rFonts w:asciiTheme="minorEastAsia" w:hAnsiTheme="minorEastAsia" w:eastAsiaTheme="minorEastAsia" w:cstheme="minorEastAsia"/>
          <w:b/>
          <w:color w:val="auto"/>
          <w:w w:val="95"/>
          <w:sz w:val="30"/>
        </w:rPr>
      </w:pPr>
      <w:r>
        <w:rPr>
          <w:rFonts w:asciiTheme="minorEastAsia" w:hAnsiTheme="minorEastAsia" w:eastAsiaTheme="minorEastAsia" w:cstheme="minorEastAsia"/>
          <w:color w:val="auto"/>
          <w:lang w:val="en-US" w:bidi="ar-SA"/>
        </w:rPr>
        <w:pict>
          <v:shape id="AutoShape 2" o:spid="_x0000_s1026" o:spt="100" style="position:absolute;left:0pt;margin-left:67.15pt;margin-top:-4.95pt;height:2pt;width:495pt;mso-position-horizontal-relative:page;z-index:251656192;mso-width-relative:page;mso-height-relative:page;" filled="f" coordsize="9900,40" o:gfxdata="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Z9qyx&#10;1wAAAAoBAAAPAAAAAAAAAAEAIAAAACIAAABkcnMvZG93bnJldi54bWxQSwECFAAUAAAACACHTuJA&#10;IIzpfwYDAAD5BwAADgAAAAAAAAABACAAAAAmAQAAZHJzL2Uyb0RvYy54bWxQSwUGAAAAAAYABgBZ&#10;AQAAngYAAAAA&#10;" path="m0,0l9900,0m0,40l9900,40e">
            <v:path o:connecttype="segments" o:connectlocs="0,-63500;6286500,-63500;0,-38100;6286500,-38100" o:connectangles="0,0,0,0"/>
            <v:fill on="f" focussize="0,0"/>
            <v:stroke weight="1pt" joinstyle="round"/>
            <v:imagedata o:title=""/>
            <o:lock v:ext="edit"/>
            <v:textbox>
              <w:txbxContent>
                <w:p/>
              </w:txbxContent>
            </v:textbox>
          </v:shape>
        </w:pict>
      </w:r>
      <w:r>
        <w:rPr>
          <w:rFonts w:hint="eastAsia" w:asciiTheme="minorEastAsia" w:hAnsiTheme="minorEastAsia" w:eastAsiaTheme="minorEastAsia" w:cstheme="minorEastAsia"/>
          <w:b/>
          <w:color w:val="auto"/>
          <w:w w:val="95"/>
          <w:sz w:val="30"/>
        </w:rPr>
        <w:t>采购单位：玉林市文化广电体育和旅游局</w:t>
      </w:r>
    </w:p>
    <w:p>
      <w:pPr>
        <w:spacing w:line="374" w:lineRule="auto"/>
        <w:ind w:right="2082"/>
        <w:rPr>
          <w:rFonts w:asciiTheme="minorEastAsia" w:hAnsiTheme="minorEastAsia" w:eastAsiaTheme="minorEastAsia" w:cstheme="minorEastAsia"/>
          <w:b/>
          <w:color w:val="auto"/>
          <w:sz w:val="30"/>
        </w:rPr>
      </w:pPr>
      <w:r>
        <w:rPr>
          <w:rFonts w:hint="eastAsia" w:asciiTheme="minorEastAsia" w:hAnsiTheme="minorEastAsia" w:eastAsiaTheme="minorEastAsia" w:cstheme="minorEastAsia"/>
          <w:b/>
          <w:color w:val="auto"/>
          <w:spacing w:val="2"/>
          <w:w w:val="90"/>
          <w:sz w:val="30"/>
        </w:rPr>
        <w:t>采购代理机构：华物盛泰工程咨询管理有限公司</w:t>
      </w:r>
    </w:p>
    <w:p>
      <w:pPr>
        <w:spacing w:before="1"/>
        <w:ind w:left="1202" w:right="758"/>
        <w:jc w:val="center"/>
        <w:rPr>
          <w:rFonts w:hint="eastAsia" w:asciiTheme="minorEastAsia" w:hAnsiTheme="minorEastAsia" w:eastAsiaTheme="minorEastAsia" w:cstheme="minorEastAsia"/>
          <w:b/>
          <w:color w:val="auto"/>
          <w:sz w:val="30"/>
          <w:lang w:eastAsia="zh-CN"/>
        </w:rPr>
      </w:pPr>
      <w:r>
        <w:rPr>
          <w:rFonts w:hint="eastAsia" w:asciiTheme="minorEastAsia" w:hAnsiTheme="minorEastAsia" w:eastAsiaTheme="minorEastAsia" w:cstheme="minorEastAsia"/>
          <w:b/>
          <w:color w:val="auto"/>
          <w:sz w:val="30"/>
          <w:lang w:eastAsia="zh-CN"/>
        </w:rPr>
        <w:t>2020年12月</w:t>
      </w:r>
    </w:p>
    <w:p>
      <w:pPr>
        <w:jc w:val="center"/>
        <w:rPr>
          <w:rFonts w:asciiTheme="minorEastAsia" w:hAnsiTheme="minorEastAsia" w:eastAsiaTheme="minorEastAsia" w:cstheme="minorEastAsia"/>
          <w:color w:val="auto"/>
          <w:sz w:val="30"/>
        </w:rPr>
        <w:sectPr>
          <w:type w:val="continuous"/>
          <w:pgSz w:w="11910" w:h="16840"/>
          <w:pgMar w:top="1580" w:right="820" w:bottom="280" w:left="1020" w:header="720" w:footer="720" w:gutter="0"/>
          <w:cols w:equalWidth="0" w:num="1">
            <w:col w:w="10070"/>
          </w:cols>
        </w:sectPr>
      </w:pPr>
    </w:p>
    <w:p>
      <w:pPr>
        <w:pStyle w:val="2"/>
        <w:rPr>
          <w:rFonts w:asciiTheme="minorEastAsia" w:hAnsiTheme="minorEastAsia" w:eastAsiaTheme="minorEastAsia" w:cstheme="minorEastAsia"/>
          <w:b/>
          <w:color w:val="auto"/>
          <w:sz w:val="20"/>
        </w:rPr>
      </w:pPr>
    </w:p>
    <w:p>
      <w:pPr>
        <w:pStyle w:val="2"/>
        <w:rPr>
          <w:rFonts w:asciiTheme="minorEastAsia" w:hAnsiTheme="minorEastAsia" w:eastAsiaTheme="minorEastAsia" w:cstheme="minorEastAsia"/>
          <w:b/>
          <w:color w:val="auto"/>
          <w:sz w:val="20"/>
        </w:rPr>
      </w:pPr>
    </w:p>
    <w:p>
      <w:pPr>
        <w:pStyle w:val="2"/>
        <w:spacing w:before="5"/>
        <w:rPr>
          <w:rFonts w:asciiTheme="minorEastAsia" w:hAnsiTheme="minorEastAsia" w:eastAsiaTheme="minorEastAsia" w:cstheme="minorEastAsia"/>
          <w:b/>
          <w:color w:val="auto"/>
          <w:sz w:val="27"/>
        </w:rPr>
      </w:pPr>
    </w:p>
    <w:p>
      <w:pPr>
        <w:tabs>
          <w:tab w:val="left" w:pos="880"/>
        </w:tabs>
        <w:spacing w:before="37"/>
        <w:ind w:right="905"/>
        <w:jc w:val="center"/>
        <w:rPr>
          <w:rFonts w:asciiTheme="minorEastAsia" w:hAnsiTheme="minorEastAsia" w:eastAsiaTheme="minorEastAsia" w:cstheme="minorEastAsia"/>
          <w:color w:val="auto"/>
          <w:sz w:val="44"/>
        </w:rPr>
        <w:sectPr>
          <w:headerReference r:id="rId3" w:type="default"/>
          <w:footerReference r:id="rId4" w:type="default"/>
          <w:pgSz w:w="11910" w:h="16840"/>
          <w:pgMar w:top="1360" w:right="820" w:bottom="1420" w:left="1020" w:header="1165" w:footer="1233" w:gutter="0"/>
          <w:pgNumType w:start="1"/>
          <w:cols w:equalWidth="0" w:num="1">
            <w:col w:w="10070"/>
          </w:cols>
        </w:sectPr>
      </w:pPr>
    </w:p>
    <w:p>
      <w:pPr>
        <w:tabs>
          <w:tab w:val="left" w:pos="880"/>
        </w:tabs>
        <w:spacing w:before="37"/>
        <w:ind w:right="905"/>
        <w:jc w:val="center"/>
        <w:rPr>
          <w:rFonts w:asciiTheme="minorEastAsia" w:hAnsiTheme="minorEastAsia" w:eastAsiaTheme="minorEastAsia" w:cstheme="minorEastAsia"/>
          <w:color w:val="auto"/>
          <w:sz w:val="44"/>
        </w:rPr>
      </w:pPr>
      <w:r>
        <w:rPr>
          <w:rFonts w:hint="eastAsia" w:asciiTheme="minorEastAsia" w:hAnsiTheme="minorEastAsia" w:eastAsiaTheme="minorEastAsia" w:cstheme="minorEastAsia"/>
          <w:color w:val="auto"/>
          <w:sz w:val="44"/>
        </w:rPr>
        <w:t>目</w:t>
      </w:r>
      <w:r>
        <w:rPr>
          <w:rFonts w:hint="eastAsia" w:asciiTheme="minorEastAsia" w:hAnsiTheme="minorEastAsia" w:eastAsiaTheme="minorEastAsia" w:cstheme="minorEastAsia"/>
          <w:color w:val="auto"/>
          <w:sz w:val="44"/>
        </w:rPr>
        <w:tab/>
      </w:r>
      <w:bookmarkStart w:id="0" w:name="第一章__竞争性磋商公告"/>
      <w:bookmarkEnd w:id="0"/>
      <w:r>
        <w:rPr>
          <w:rFonts w:hint="eastAsia" w:asciiTheme="minorEastAsia" w:hAnsiTheme="minorEastAsia" w:eastAsiaTheme="minorEastAsia" w:cstheme="minorEastAsia"/>
          <w:color w:val="auto"/>
          <w:sz w:val="44"/>
        </w:rPr>
        <w:t>录</w:t>
      </w:r>
    </w:p>
    <w:sdt>
      <w:sdtPr>
        <w:rPr>
          <w:color w:val="auto"/>
          <w:sz w:val="21"/>
        </w:rPr>
        <w:id w:val="147483467"/>
        <w:docPartObj>
          <w:docPartGallery w:val="Table of Contents"/>
          <w:docPartUnique/>
        </w:docPartObj>
      </w:sdtPr>
      <w:sdtEndPr>
        <w:rPr>
          <w:color w:val="auto"/>
          <w:sz w:val="21"/>
        </w:rPr>
      </w:sdtEndPr>
      <w:sdtContent>
        <w:p>
          <w:pPr>
            <w:spacing w:line="520" w:lineRule="exact"/>
            <w:jc w:val="center"/>
            <w:rPr>
              <w:color w:val="auto"/>
              <w:sz w:val="28"/>
              <w:szCs w:val="28"/>
            </w:rPr>
          </w:pPr>
        </w:p>
        <w:p>
          <w:pPr>
            <w:pStyle w:val="50"/>
            <w:tabs>
              <w:tab w:val="right" w:pos="2800"/>
              <w:tab w:val="right" w:leader="dot" w:pos="9076"/>
            </w:tabs>
            <w:spacing w:line="520" w:lineRule="exact"/>
            <w:rPr>
              <w:color w:val="auto"/>
              <w:sz w:val="28"/>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rPr>
            <w:fldChar w:fldCharType="begin"/>
          </w:r>
          <w:r>
            <w:rPr>
              <w:color w:val="auto"/>
            </w:rPr>
            <w:instrText xml:space="preserve"> HYPERLINK \l "_Toc28401" </w:instrText>
          </w:r>
          <w:r>
            <w:rPr>
              <w:color w:val="auto"/>
            </w:rPr>
            <w:fldChar w:fldCharType="separate"/>
          </w:r>
          <w:r>
            <w:rPr>
              <w:rFonts w:hint="eastAsia" w:asciiTheme="minorEastAsia" w:hAnsiTheme="minorEastAsia" w:eastAsiaTheme="minorEastAsia" w:cstheme="minorEastAsia"/>
              <w:color w:val="auto"/>
              <w:sz w:val="28"/>
              <w:szCs w:val="28"/>
            </w:rPr>
            <w:t>第一章</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竞争性磋商公告</w:t>
          </w:r>
          <w:r>
            <w:rPr>
              <w:color w:val="auto"/>
              <w:sz w:val="28"/>
              <w:szCs w:val="28"/>
            </w:rPr>
            <w:tab/>
          </w:r>
          <w:r>
            <w:rPr>
              <w:color w:val="auto"/>
              <w:sz w:val="28"/>
              <w:szCs w:val="28"/>
            </w:rPr>
            <w:fldChar w:fldCharType="begin"/>
          </w:r>
          <w:r>
            <w:rPr>
              <w:color w:val="auto"/>
              <w:sz w:val="28"/>
              <w:szCs w:val="28"/>
            </w:rPr>
            <w:instrText xml:space="preserve"> PAGEREF _Toc28401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50"/>
            <w:tabs>
              <w:tab w:val="right" w:pos="2800"/>
              <w:tab w:val="right" w:leader="dot" w:pos="9076"/>
            </w:tabs>
            <w:spacing w:line="520" w:lineRule="exact"/>
            <w:rPr>
              <w:color w:val="auto"/>
              <w:sz w:val="28"/>
              <w:szCs w:val="28"/>
            </w:rPr>
          </w:pPr>
          <w:r>
            <w:rPr>
              <w:color w:val="auto"/>
            </w:rPr>
            <w:fldChar w:fldCharType="begin"/>
          </w:r>
          <w:r>
            <w:rPr>
              <w:color w:val="auto"/>
            </w:rPr>
            <w:instrText xml:space="preserve"> HYPERLINK \l "_Toc29494" </w:instrText>
          </w:r>
          <w:r>
            <w:rPr>
              <w:color w:val="auto"/>
            </w:rPr>
            <w:fldChar w:fldCharType="separate"/>
          </w:r>
          <w:r>
            <w:rPr>
              <w:rFonts w:hint="eastAsia" w:asciiTheme="minorEastAsia" w:hAnsiTheme="minorEastAsia" w:eastAsiaTheme="minorEastAsia" w:cstheme="minorEastAsia"/>
              <w:color w:val="auto"/>
              <w:sz w:val="28"/>
              <w:szCs w:val="28"/>
            </w:rPr>
            <w:t>第二章</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磋商须知及前附表</w:t>
          </w:r>
          <w:r>
            <w:rPr>
              <w:color w:val="auto"/>
              <w:sz w:val="28"/>
              <w:szCs w:val="28"/>
            </w:rPr>
            <w:tab/>
          </w:r>
          <w:r>
            <w:rPr>
              <w:color w:val="auto"/>
              <w:sz w:val="28"/>
              <w:szCs w:val="28"/>
            </w:rPr>
            <w:fldChar w:fldCharType="begin"/>
          </w:r>
          <w:r>
            <w:rPr>
              <w:color w:val="auto"/>
              <w:sz w:val="28"/>
              <w:szCs w:val="28"/>
            </w:rPr>
            <w:instrText xml:space="preserve"> PAGEREF _Toc29494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pPr>
            <w:pStyle w:val="50"/>
            <w:tabs>
              <w:tab w:val="right" w:leader="dot" w:pos="9076"/>
            </w:tabs>
            <w:spacing w:line="520" w:lineRule="exact"/>
            <w:rPr>
              <w:color w:val="auto"/>
              <w:sz w:val="28"/>
              <w:szCs w:val="28"/>
            </w:rPr>
          </w:pPr>
          <w:r>
            <w:rPr>
              <w:color w:val="auto"/>
            </w:rPr>
            <w:fldChar w:fldCharType="begin"/>
          </w:r>
          <w:r>
            <w:rPr>
              <w:color w:val="auto"/>
            </w:rPr>
            <w:instrText xml:space="preserve"> HYPERLINK \l "_Toc12179" </w:instrText>
          </w:r>
          <w:r>
            <w:rPr>
              <w:color w:val="auto"/>
            </w:rPr>
            <w:fldChar w:fldCharType="separate"/>
          </w:r>
          <w:r>
            <w:rPr>
              <w:rFonts w:hint="eastAsia" w:asciiTheme="minorEastAsia" w:hAnsiTheme="minorEastAsia" w:eastAsiaTheme="minorEastAsia" w:cstheme="minorEastAsia"/>
              <w:color w:val="auto"/>
              <w:sz w:val="28"/>
              <w:szCs w:val="28"/>
            </w:rPr>
            <w:t>第三章采购项目需求</w:t>
          </w:r>
          <w:r>
            <w:rPr>
              <w:color w:val="auto"/>
              <w:sz w:val="28"/>
              <w:szCs w:val="28"/>
            </w:rPr>
            <w:tab/>
          </w:r>
          <w:r>
            <w:rPr>
              <w:color w:val="auto"/>
              <w:sz w:val="28"/>
              <w:szCs w:val="28"/>
            </w:rPr>
            <w:fldChar w:fldCharType="begin"/>
          </w:r>
          <w:r>
            <w:rPr>
              <w:color w:val="auto"/>
              <w:sz w:val="28"/>
              <w:szCs w:val="28"/>
            </w:rPr>
            <w:instrText xml:space="preserve"> PAGEREF _Toc12179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pPr>
            <w:pStyle w:val="50"/>
            <w:tabs>
              <w:tab w:val="right" w:pos="2800"/>
              <w:tab w:val="right" w:leader="dot" w:pos="9076"/>
            </w:tabs>
            <w:spacing w:line="520" w:lineRule="exact"/>
            <w:rPr>
              <w:color w:val="auto"/>
              <w:sz w:val="28"/>
              <w:szCs w:val="28"/>
            </w:rPr>
          </w:pPr>
          <w:r>
            <w:rPr>
              <w:color w:val="auto"/>
            </w:rPr>
            <w:fldChar w:fldCharType="begin"/>
          </w:r>
          <w:r>
            <w:rPr>
              <w:color w:val="auto"/>
            </w:rPr>
            <w:instrText xml:space="preserve"> HYPERLINK \l "_Toc8171" </w:instrText>
          </w:r>
          <w:r>
            <w:rPr>
              <w:color w:val="auto"/>
            </w:rPr>
            <w:fldChar w:fldCharType="separate"/>
          </w:r>
          <w:r>
            <w:rPr>
              <w:rFonts w:hint="eastAsia" w:asciiTheme="minorEastAsia" w:hAnsiTheme="minorEastAsia" w:eastAsiaTheme="minorEastAsia" w:cstheme="minorEastAsia"/>
              <w:color w:val="auto"/>
              <w:sz w:val="28"/>
              <w:szCs w:val="28"/>
            </w:rPr>
            <w:t>第四章</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竞争性磋商响应文件格式</w:t>
          </w:r>
          <w:r>
            <w:rPr>
              <w:color w:val="auto"/>
              <w:sz w:val="28"/>
              <w:szCs w:val="28"/>
            </w:rPr>
            <w:tab/>
          </w:r>
          <w:r>
            <w:rPr>
              <w:color w:val="auto"/>
              <w:sz w:val="28"/>
              <w:szCs w:val="28"/>
            </w:rPr>
            <w:fldChar w:fldCharType="begin"/>
          </w:r>
          <w:r>
            <w:rPr>
              <w:color w:val="auto"/>
              <w:sz w:val="28"/>
              <w:szCs w:val="28"/>
            </w:rPr>
            <w:instrText xml:space="preserve"> PAGEREF _Toc8171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pStyle w:val="50"/>
            <w:tabs>
              <w:tab w:val="right" w:pos="2800"/>
              <w:tab w:val="right" w:leader="dot" w:pos="9076"/>
            </w:tabs>
            <w:spacing w:line="520" w:lineRule="exact"/>
            <w:rPr>
              <w:color w:val="auto"/>
              <w:sz w:val="28"/>
              <w:szCs w:val="28"/>
            </w:rPr>
          </w:pPr>
          <w:r>
            <w:rPr>
              <w:color w:val="auto"/>
            </w:rPr>
            <w:fldChar w:fldCharType="begin"/>
          </w:r>
          <w:r>
            <w:rPr>
              <w:color w:val="auto"/>
            </w:rPr>
            <w:instrText xml:space="preserve"> HYPERLINK \l "_Toc7114" </w:instrText>
          </w:r>
          <w:r>
            <w:rPr>
              <w:color w:val="auto"/>
            </w:rPr>
            <w:fldChar w:fldCharType="separate"/>
          </w:r>
          <w:r>
            <w:rPr>
              <w:rFonts w:hint="eastAsia" w:asciiTheme="minorEastAsia" w:hAnsiTheme="minorEastAsia" w:eastAsiaTheme="minorEastAsia" w:cstheme="minorEastAsia"/>
              <w:color w:val="auto"/>
              <w:sz w:val="28"/>
              <w:szCs w:val="28"/>
            </w:rPr>
            <w:t>第五章</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合同主要条</w:t>
          </w:r>
          <w:r>
            <w:rPr>
              <w:color w:val="auto"/>
              <w:sz w:val="28"/>
              <w:szCs w:val="28"/>
            </w:rPr>
            <w:tab/>
          </w:r>
          <w:r>
            <w:rPr>
              <w:color w:val="auto"/>
              <w:sz w:val="28"/>
              <w:szCs w:val="28"/>
            </w:rPr>
            <w:fldChar w:fldCharType="begin"/>
          </w:r>
          <w:r>
            <w:rPr>
              <w:color w:val="auto"/>
              <w:sz w:val="28"/>
              <w:szCs w:val="28"/>
            </w:rPr>
            <w:instrText xml:space="preserve"> PAGEREF _Toc7114 </w:instrText>
          </w:r>
          <w:r>
            <w:rPr>
              <w:color w:val="auto"/>
              <w:sz w:val="28"/>
              <w:szCs w:val="28"/>
            </w:rPr>
            <w:fldChar w:fldCharType="separate"/>
          </w:r>
          <w:r>
            <w:rPr>
              <w:color w:val="auto"/>
              <w:sz w:val="28"/>
              <w:szCs w:val="28"/>
            </w:rPr>
            <w:t>27</w:t>
          </w:r>
          <w:r>
            <w:rPr>
              <w:color w:val="auto"/>
              <w:sz w:val="28"/>
              <w:szCs w:val="28"/>
            </w:rPr>
            <w:fldChar w:fldCharType="end"/>
          </w:r>
          <w:r>
            <w:rPr>
              <w:color w:val="auto"/>
              <w:sz w:val="28"/>
              <w:szCs w:val="28"/>
            </w:rPr>
            <w:fldChar w:fldCharType="end"/>
          </w:r>
        </w:p>
        <w:p>
          <w:pPr>
            <w:pStyle w:val="50"/>
            <w:tabs>
              <w:tab w:val="right" w:pos="2800"/>
              <w:tab w:val="right" w:leader="dot" w:pos="9076"/>
            </w:tabs>
            <w:spacing w:line="520" w:lineRule="exact"/>
            <w:rPr>
              <w:color w:val="auto"/>
              <w:sz w:val="28"/>
              <w:szCs w:val="28"/>
            </w:rPr>
          </w:pPr>
          <w:r>
            <w:rPr>
              <w:color w:val="auto"/>
            </w:rPr>
            <w:fldChar w:fldCharType="begin"/>
          </w:r>
          <w:r>
            <w:rPr>
              <w:color w:val="auto"/>
            </w:rPr>
            <w:instrText xml:space="preserve"> HYPERLINK \l "_Toc18918" </w:instrText>
          </w:r>
          <w:r>
            <w:rPr>
              <w:color w:val="auto"/>
            </w:rPr>
            <w:fldChar w:fldCharType="separate"/>
          </w:r>
          <w:r>
            <w:rPr>
              <w:rFonts w:hint="eastAsia"/>
              <w:color w:val="auto"/>
              <w:sz w:val="28"/>
              <w:szCs w:val="28"/>
            </w:rPr>
            <w:t>第六章</w:t>
          </w:r>
          <w:r>
            <w:rPr>
              <w:rFonts w:hint="eastAsia"/>
              <w:color w:val="auto"/>
              <w:sz w:val="28"/>
              <w:szCs w:val="28"/>
            </w:rPr>
            <w:tab/>
          </w:r>
          <w:r>
            <w:rPr>
              <w:rFonts w:hint="eastAsia"/>
              <w:color w:val="auto"/>
              <w:sz w:val="28"/>
              <w:szCs w:val="28"/>
            </w:rPr>
            <w:t>评审方法</w:t>
          </w:r>
          <w:r>
            <w:rPr>
              <w:color w:val="auto"/>
              <w:sz w:val="28"/>
              <w:szCs w:val="28"/>
            </w:rPr>
            <w:tab/>
          </w:r>
          <w:r>
            <w:rPr>
              <w:color w:val="auto"/>
              <w:sz w:val="28"/>
              <w:szCs w:val="28"/>
            </w:rPr>
            <w:fldChar w:fldCharType="begin"/>
          </w:r>
          <w:r>
            <w:rPr>
              <w:color w:val="auto"/>
              <w:sz w:val="28"/>
              <w:szCs w:val="28"/>
            </w:rPr>
            <w:instrText xml:space="preserve"> PAGEREF _Toc18918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pPr>
            <w:spacing w:line="520" w:lineRule="exact"/>
            <w:rPr>
              <w:color w:val="auto"/>
            </w:rPr>
          </w:pPr>
          <w:r>
            <w:rPr>
              <w:color w:val="auto"/>
              <w:sz w:val="28"/>
              <w:szCs w:val="28"/>
            </w:rPr>
            <w:fldChar w:fldCharType="end"/>
          </w:r>
        </w:p>
      </w:sdtContent>
    </w:sdt>
    <w:p>
      <w:pPr>
        <w:rPr>
          <w:rFonts w:asciiTheme="minorEastAsia" w:hAnsiTheme="minorEastAsia" w:eastAsiaTheme="minorEastAsia" w:cstheme="minorEastAsia"/>
          <w:color w:val="auto"/>
        </w:rPr>
      </w:pPr>
    </w:p>
    <w:p>
      <w:pPr>
        <w:rPr>
          <w:color w:val="auto"/>
        </w:rPr>
      </w:pPr>
    </w:p>
    <w:p>
      <w:pPr>
        <w:rPr>
          <w:color w:val="auto"/>
        </w:rPr>
      </w:pPr>
    </w:p>
    <w:p>
      <w:pPr>
        <w:tabs>
          <w:tab w:val="left" w:pos="5282"/>
        </w:tabs>
        <w:rPr>
          <w:color w:val="auto"/>
        </w:rPr>
      </w:pPr>
      <w:r>
        <w:rPr>
          <w:rFonts w:hint="eastAsia"/>
          <w:color w:val="auto"/>
        </w:rPr>
        <w:tab/>
      </w: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3616"/>
        </w:tabs>
        <w:rPr>
          <w:color w:val="auto"/>
        </w:rPr>
        <w:sectPr>
          <w:footerReference r:id="rId5" w:type="default"/>
          <w:pgSz w:w="11910" w:h="16840"/>
          <w:pgMar w:top="1360" w:right="1417" w:bottom="1420" w:left="1417" w:header="1165" w:footer="1233" w:gutter="0"/>
          <w:pgNumType w:start="1"/>
          <w:cols w:equalWidth="0" w:num="1">
            <w:col w:w="10070"/>
          </w:cols>
        </w:sectPr>
      </w:pPr>
      <w:r>
        <w:rPr>
          <w:rFonts w:hint="eastAsia"/>
          <w:color w:val="auto"/>
        </w:rPr>
        <w:tab/>
      </w:r>
    </w:p>
    <w:p>
      <w:pPr>
        <w:pStyle w:val="3"/>
        <w:tabs>
          <w:tab w:val="left" w:pos="4391"/>
        </w:tabs>
        <w:spacing w:before="100"/>
        <w:ind w:left="2947"/>
        <w:rPr>
          <w:rFonts w:asciiTheme="minorEastAsia" w:hAnsiTheme="minorEastAsia" w:eastAsiaTheme="minorEastAsia" w:cstheme="minorEastAsia"/>
          <w:color w:val="auto"/>
        </w:rPr>
      </w:pPr>
      <w:bookmarkStart w:id="1" w:name="_Toc28401"/>
      <w:r>
        <w:rPr>
          <w:rFonts w:hint="eastAsia" w:asciiTheme="minorEastAsia" w:hAnsiTheme="minorEastAsia" w:eastAsiaTheme="minorEastAsia" w:cstheme="minorEastAsia"/>
          <w:color w:val="auto"/>
        </w:rPr>
        <w:t>第一章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竞争性磋商公告</w:t>
      </w:r>
      <w:bookmarkEnd w:id="1"/>
    </w:p>
    <w:p>
      <w:pPr>
        <w:wordWrap w:val="0"/>
        <w:spacing w:line="360" w:lineRule="exact"/>
        <w:ind w:firstLine="550" w:firstLineChars="250"/>
        <w:rPr>
          <w:rFonts w:asciiTheme="minorEastAsia" w:hAnsiTheme="minorEastAsia" w:eastAsiaTheme="minorEastAsia" w:cstheme="minorEastAsia"/>
          <w:color w:val="auto"/>
        </w:rPr>
      </w:pPr>
    </w:p>
    <w:p>
      <w:pPr>
        <w:jc w:val="center"/>
        <w:rPr>
          <w:b/>
          <w:color w:val="auto"/>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760" w:type="dxa"/>
          </w:tcPr>
          <w:p>
            <w:pPr>
              <w:spacing w:line="400" w:lineRule="exact"/>
              <w:jc w:val="both"/>
              <w:rPr>
                <w:color w:val="auto"/>
                <w:sz w:val="21"/>
                <w:szCs w:val="21"/>
              </w:rPr>
            </w:pPr>
            <w:r>
              <w:rPr>
                <w:rFonts w:hint="eastAsia"/>
                <w:color w:val="auto"/>
                <w:sz w:val="21"/>
                <w:szCs w:val="21"/>
              </w:rPr>
              <w:t>项目概况</w:t>
            </w:r>
          </w:p>
          <w:p>
            <w:pPr>
              <w:spacing w:line="400" w:lineRule="exact"/>
              <w:ind w:firstLine="420" w:firstLineChars="200"/>
              <w:jc w:val="both"/>
              <w:rPr>
                <w:color w:val="auto"/>
                <w:sz w:val="21"/>
                <w:szCs w:val="21"/>
              </w:rPr>
            </w:pPr>
            <w:r>
              <w:rPr>
                <w:rFonts w:hint="eastAsia"/>
                <w:color w:val="auto"/>
                <w:sz w:val="21"/>
                <w:szCs w:val="21"/>
                <w:lang w:eastAsia="zh-CN"/>
              </w:rPr>
              <w:t>采购开展2020年“五彩玉林·田园都市”（肇庆、湛江、茂名）旅游推介活动服务项目</w:t>
            </w:r>
            <w:r>
              <w:rPr>
                <w:rFonts w:hint="eastAsia"/>
                <w:color w:val="auto"/>
                <w:sz w:val="21"/>
                <w:szCs w:val="21"/>
              </w:rPr>
              <w:t>采购项目的潜在供应商应在政采云平台（https://www.zcygov.cn/）在线办理并自行下载采购文件，并于</w:t>
            </w:r>
            <w:r>
              <w:rPr>
                <w:rFonts w:hint="eastAsia"/>
                <w:color w:val="auto"/>
                <w:sz w:val="21"/>
                <w:szCs w:val="21"/>
                <w:lang w:val="en-US" w:eastAsia="zh-CN"/>
              </w:rPr>
              <w:t>2020年12月24日15点30分</w:t>
            </w:r>
            <w:r>
              <w:rPr>
                <w:rFonts w:hint="eastAsia"/>
                <w:color w:val="auto"/>
                <w:sz w:val="21"/>
                <w:szCs w:val="21"/>
              </w:rPr>
              <w:t>（北京时间）前提交响应文件。</w:t>
            </w:r>
          </w:p>
        </w:tc>
      </w:tr>
    </w:tbl>
    <w:p>
      <w:pPr>
        <w:pStyle w:val="4"/>
        <w:spacing w:line="400" w:lineRule="exact"/>
        <w:ind w:left="0" w:firstLine="420" w:firstLineChars="200"/>
        <w:jc w:val="both"/>
        <w:rPr>
          <w:b w:val="0"/>
          <w:color w:val="auto"/>
          <w:sz w:val="21"/>
          <w:szCs w:val="21"/>
        </w:rPr>
      </w:pPr>
      <w:bookmarkStart w:id="2" w:name="_Toc28359089"/>
      <w:bookmarkStart w:id="3" w:name="_Toc28359012"/>
      <w:bookmarkStart w:id="4" w:name="_Toc35393629"/>
      <w:bookmarkStart w:id="5" w:name="_Toc35393798"/>
    </w:p>
    <w:p>
      <w:pPr>
        <w:pStyle w:val="4"/>
        <w:spacing w:line="400" w:lineRule="exact"/>
        <w:ind w:left="0" w:firstLine="420" w:firstLineChars="200"/>
        <w:jc w:val="both"/>
        <w:rPr>
          <w:b w:val="0"/>
          <w:color w:val="auto"/>
          <w:sz w:val="21"/>
          <w:szCs w:val="21"/>
        </w:rPr>
      </w:pPr>
      <w:r>
        <w:rPr>
          <w:rFonts w:hint="eastAsia"/>
          <w:b w:val="0"/>
          <w:color w:val="auto"/>
          <w:sz w:val="21"/>
          <w:szCs w:val="21"/>
        </w:rPr>
        <w:t>一、项目基本情况</w:t>
      </w:r>
      <w:bookmarkEnd w:id="2"/>
      <w:bookmarkEnd w:id="3"/>
      <w:bookmarkEnd w:id="4"/>
      <w:bookmarkEnd w:id="5"/>
    </w:p>
    <w:p>
      <w:pPr>
        <w:spacing w:line="400" w:lineRule="exact"/>
        <w:ind w:firstLine="420" w:firstLineChars="200"/>
        <w:rPr>
          <w:rFonts w:hint="eastAsia" w:eastAsia="宋体"/>
          <w:color w:val="auto"/>
          <w:sz w:val="21"/>
          <w:szCs w:val="21"/>
          <w:lang w:eastAsia="zh-CN"/>
        </w:rPr>
      </w:pPr>
      <w:r>
        <w:rPr>
          <w:rFonts w:hint="eastAsia"/>
          <w:color w:val="auto"/>
          <w:sz w:val="21"/>
          <w:szCs w:val="21"/>
        </w:rPr>
        <w:t>项目编号：</w:t>
      </w:r>
      <w:r>
        <w:rPr>
          <w:rFonts w:hint="eastAsia"/>
          <w:color w:val="auto"/>
          <w:sz w:val="21"/>
          <w:szCs w:val="21"/>
          <w:lang w:eastAsia="zh-CN"/>
        </w:rPr>
        <w:t>YLZC2020-C3-000824-HWST</w:t>
      </w:r>
    </w:p>
    <w:p>
      <w:pPr>
        <w:spacing w:line="400" w:lineRule="exact"/>
        <w:ind w:firstLine="420" w:firstLineChars="200"/>
        <w:rPr>
          <w:rFonts w:hint="eastAsia" w:eastAsia="宋体"/>
          <w:color w:val="auto"/>
          <w:sz w:val="21"/>
          <w:szCs w:val="21"/>
          <w:lang w:eastAsia="zh-CN"/>
        </w:rPr>
      </w:pPr>
      <w:r>
        <w:rPr>
          <w:rFonts w:hint="eastAsia"/>
          <w:color w:val="auto"/>
          <w:sz w:val="21"/>
          <w:szCs w:val="21"/>
        </w:rPr>
        <w:t>政府采购计划编号：</w:t>
      </w:r>
      <w:r>
        <w:rPr>
          <w:rFonts w:hint="eastAsia"/>
          <w:color w:val="auto"/>
          <w:sz w:val="21"/>
          <w:szCs w:val="21"/>
          <w:lang w:eastAsia="zh-CN"/>
        </w:rPr>
        <w:t>YLZC2020-C3-11836-001</w:t>
      </w:r>
    </w:p>
    <w:p>
      <w:pPr>
        <w:spacing w:line="400" w:lineRule="exact"/>
        <w:ind w:firstLine="420" w:firstLineChars="200"/>
        <w:rPr>
          <w:rFonts w:hint="eastAsia" w:eastAsia="宋体"/>
          <w:color w:val="auto"/>
          <w:sz w:val="21"/>
          <w:szCs w:val="21"/>
          <w:u w:val="single"/>
          <w:lang w:eastAsia="zh-CN"/>
        </w:rPr>
      </w:pPr>
      <w:r>
        <w:rPr>
          <w:rFonts w:hint="eastAsia"/>
          <w:color w:val="auto"/>
          <w:sz w:val="21"/>
          <w:szCs w:val="21"/>
        </w:rPr>
        <w:t>项目名称：</w:t>
      </w:r>
      <w:r>
        <w:rPr>
          <w:rFonts w:hint="eastAsia"/>
          <w:color w:val="auto"/>
          <w:sz w:val="21"/>
          <w:szCs w:val="21"/>
          <w:lang w:eastAsia="zh-CN"/>
        </w:rPr>
        <w:t>采购开展2020年“五彩玉林·田园都市”（肇庆、湛江、茂名）旅游推介活动服务项目</w:t>
      </w:r>
    </w:p>
    <w:p>
      <w:pPr>
        <w:spacing w:line="400" w:lineRule="exact"/>
        <w:ind w:firstLine="420" w:firstLineChars="200"/>
        <w:rPr>
          <w:color w:val="auto"/>
          <w:sz w:val="21"/>
          <w:szCs w:val="21"/>
        </w:rPr>
      </w:pPr>
      <w:r>
        <w:rPr>
          <w:rFonts w:hint="eastAsia"/>
          <w:color w:val="auto"/>
          <w:sz w:val="21"/>
          <w:szCs w:val="21"/>
        </w:rPr>
        <w:t>采购方式：□竞争性谈判 ☑竞争性磋商 □询价</w:t>
      </w:r>
    </w:p>
    <w:p>
      <w:pPr>
        <w:spacing w:line="400" w:lineRule="exact"/>
        <w:ind w:firstLine="420" w:firstLineChars="200"/>
        <w:rPr>
          <w:color w:val="auto"/>
          <w:sz w:val="21"/>
          <w:szCs w:val="21"/>
        </w:rPr>
      </w:pPr>
      <w:r>
        <w:rPr>
          <w:rFonts w:hint="eastAsia"/>
          <w:color w:val="auto"/>
          <w:sz w:val="21"/>
          <w:szCs w:val="21"/>
        </w:rPr>
        <w:t>预算金额：</w:t>
      </w:r>
      <w:r>
        <w:rPr>
          <w:rFonts w:hint="eastAsia"/>
          <w:color w:val="auto"/>
          <w:sz w:val="21"/>
          <w:szCs w:val="21"/>
          <w:lang w:val="en-US" w:eastAsia="zh-CN"/>
        </w:rPr>
        <w:t>人民币贰拾捌万捌仟叁佰叁拾元整（¥</w:t>
      </w:r>
      <w:r>
        <w:rPr>
          <w:rFonts w:hint="eastAsia"/>
          <w:color w:val="auto"/>
          <w:sz w:val="21"/>
          <w:szCs w:val="21"/>
        </w:rPr>
        <w:t>288330</w:t>
      </w:r>
      <w:r>
        <w:rPr>
          <w:rFonts w:hint="eastAsia"/>
          <w:color w:val="auto"/>
          <w:sz w:val="21"/>
          <w:szCs w:val="21"/>
          <w:lang w:val="en-US" w:eastAsia="zh-CN"/>
        </w:rPr>
        <w:t>）</w:t>
      </w:r>
      <w:r>
        <w:rPr>
          <w:rFonts w:hint="eastAsia"/>
          <w:color w:val="auto"/>
          <w:sz w:val="21"/>
          <w:szCs w:val="21"/>
        </w:rPr>
        <w:t>。</w:t>
      </w:r>
    </w:p>
    <w:p>
      <w:pPr>
        <w:spacing w:line="400" w:lineRule="exact"/>
        <w:ind w:firstLine="420" w:firstLineChars="200"/>
        <w:rPr>
          <w:color w:val="auto"/>
          <w:sz w:val="21"/>
          <w:szCs w:val="21"/>
          <w:lang w:val="en-US"/>
        </w:rPr>
      </w:pPr>
      <w:r>
        <w:rPr>
          <w:rFonts w:hint="eastAsia"/>
          <w:color w:val="auto"/>
          <w:sz w:val="21"/>
          <w:szCs w:val="21"/>
        </w:rPr>
        <w:t>采购需求：</w:t>
      </w:r>
      <w:r>
        <w:rPr>
          <w:rFonts w:hint="eastAsia"/>
          <w:color w:val="auto"/>
          <w:sz w:val="21"/>
          <w:szCs w:val="21"/>
          <w:lang w:eastAsia="zh-CN"/>
        </w:rPr>
        <w:t>采购开展2020年“五彩玉林·田园都市”（肇庆、湛江、茂名）旅游推介活动服务项目</w:t>
      </w:r>
      <w:r>
        <w:rPr>
          <w:rFonts w:hint="eastAsia"/>
          <w:color w:val="auto"/>
          <w:sz w:val="21"/>
          <w:szCs w:val="21"/>
        </w:rPr>
        <w:t>，</w:t>
      </w:r>
      <w:r>
        <w:rPr>
          <w:rFonts w:hint="eastAsia"/>
          <w:color w:val="auto"/>
          <w:sz w:val="21"/>
          <w:szCs w:val="21"/>
          <w:lang w:val="en-US"/>
        </w:rPr>
        <w:t>详见采购文件。</w:t>
      </w:r>
    </w:p>
    <w:p>
      <w:pPr>
        <w:spacing w:line="400" w:lineRule="exact"/>
        <w:ind w:firstLine="420" w:firstLineChars="200"/>
        <w:rPr>
          <w:color w:val="auto"/>
          <w:sz w:val="21"/>
          <w:szCs w:val="21"/>
          <w:u w:val="single"/>
        </w:rPr>
      </w:pPr>
      <w:r>
        <w:rPr>
          <w:rFonts w:hint="eastAsia"/>
          <w:color w:val="auto"/>
          <w:sz w:val="21"/>
          <w:szCs w:val="21"/>
        </w:rPr>
        <w:t>合同履行期限：详见</w:t>
      </w:r>
      <w:r>
        <w:rPr>
          <w:rFonts w:hint="eastAsia"/>
          <w:color w:val="auto"/>
          <w:sz w:val="21"/>
          <w:szCs w:val="21"/>
          <w:lang w:val="en-US"/>
        </w:rPr>
        <w:t>采购</w:t>
      </w:r>
      <w:r>
        <w:rPr>
          <w:rFonts w:hint="eastAsia"/>
          <w:color w:val="auto"/>
          <w:sz w:val="21"/>
          <w:szCs w:val="21"/>
        </w:rPr>
        <w:t>文件。</w:t>
      </w:r>
    </w:p>
    <w:p>
      <w:pPr>
        <w:spacing w:line="400" w:lineRule="exact"/>
        <w:ind w:firstLine="420" w:firstLineChars="200"/>
        <w:rPr>
          <w:color w:val="auto"/>
          <w:sz w:val="21"/>
          <w:szCs w:val="21"/>
        </w:rPr>
      </w:pPr>
      <w:r>
        <w:rPr>
          <w:rFonts w:hint="eastAsia"/>
          <w:color w:val="auto"/>
          <w:sz w:val="21"/>
          <w:szCs w:val="21"/>
        </w:rPr>
        <w:t>本项目（□是/☑否）接受联合体。</w:t>
      </w:r>
    </w:p>
    <w:p>
      <w:pPr>
        <w:pStyle w:val="4"/>
        <w:spacing w:line="400" w:lineRule="exact"/>
        <w:ind w:left="0" w:firstLine="420" w:firstLineChars="200"/>
        <w:jc w:val="both"/>
        <w:rPr>
          <w:b w:val="0"/>
          <w:color w:val="auto"/>
          <w:sz w:val="21"/>
          <w:szCs w:val="21"/>
        </w:rPr>
      </w:pPr>
      <w:bookmarkStart w:id="6" w:name="_Toc28359090"/>
      <w:bookmarkStart w:id="7" w:name="_Toc35393630"/>
      <w:bookmarkStart w:id="8" w:name="_Toc35393799"/>
      <w:bookmarkStart w:id="9" w:name="_Toc28359013"/>
      <w:r>
        <w:rPr>
          <w:rFonts w:hint="eastAsia"/>
          <w:b w:val="0"/>
          <w:color w:val="auto"/>
          <w:sz w:val="21"/>
          <w:szCs w:val="21"/>
        </w:rPr>
        <w:t>二、申请人的资格要求：</w:t>
      </w:r>
      <w:bookmarkEnd w:id="6"/>
      <w:bookmarkEnd w:id="7"/>
      <w:bookmarkEnd w:id="8"/>
      <w:bookmarkEnd w:id="9"/>
    </w:p>
    <w:p>
      <w:pPr>
        <w:spacing w:line="400" w:lineRule="exact"/>
        <w:ind w:firstLine="420" w:firstLineChars="200"/>
        <w:rPr>
          <w:color w:val="auto"/>
          <w:sz w:val="21"/>
          <w:szCs w:val="21"/>
        </w:rPr>
      </w:pPr>
      <w:r>
        <w:rPr>
          <w:rFonts w:hint="eastAsia"/>
          <w:color w:val="auto"/>
          <w:sz w:val="21"/>
          <w:szCs w:val="21"/>
        </w:rPr>
        <w:t>1.满足《中华人民共和国政府采购法》第二十二条规定；</w:t>
      </w:r>
    </w:p>
    <w:p>
      <w:pPr>
        <w:spacing w:line="400" w:lineRule="exact"/>
        <w:ind w:firstLine="420" w:firstLineChars="200"/>
        <w:rPr>
          <w:color w:val="auto"/>
          <w:sz w:val="21"/>
          <w:szCs w:val="21"/>
          <w:lang w:val="en-US"/>
        </w:rPr>
      </w:pPr>
      <w:bookmarkStart w:id="10" w:name="_Toc28359091"/>
      <w:bookmarkStart w:id="11" w:name="_Toc28359014"/>
      <w:r>
        <w:rPr>
          <w:rFonts w:hint="eastAsia"/>
          <w:color w:val="auto"/>
          <w:sz w:val="21"/>
          <w:szCs w:val="21"/>
        </w:rPr>
        <w:t>2.落实政府采购政策需满足的资格要求：</w:t>
      </w:r>
      <w:r>
        <w:rPr>
          <w:rFonts w:hint="eastAsia"/>
          <w:color w:val="auto"/>
          <w:sz w:val="21"/>
          <w:szCs w:val="21"/>
          <w:lang w:val="en-US"/>
        </w:rPr>
        <w:t>无；</w:t>
      </w:r>
    </w:p>
    <w:p>
      <w:pPr>
        <w:spacing w:line="400" w:lineRule="exact"/>
        <w:ind w:firstLine="420" w:firstLineChars="200"/>
        <w:rPr>
          <w:color w:val="auto"/>
          <w:sz w:val="21"/>
          <w:szCs w:val="21"/>
        </w:rPr>
      </w:pPr>
      <w:r>
        <w:rPr>
          <w:rFonts w:hint="eastAsia"/>
          <w:color w:val="auto"/>
          <w:sz w:val="21"/>
          <w:szCs w:val="21"/>
        </w:rPr>
        <w:t>3.本项目的特定资格要求：</w:t>
      </w:r>
      <w:r>
        <w:rPr>
          <w:rFonts w:hint="eastAsia"/>
          <w:color w:val="auto"/>
          <w:sz w:val="21"/>
          <w:szCs w:val="21"/>
          <w:lang w:val="en-US"/>
        </w:rPr>
        <w:t>无</w:t>
      </w:r>
      <w:r>
        <w:rPr>
          <w:rFonts w:hint="eastAsia"/>
          <w:color w:val="auto"/>
          <w:sz w:val="21"/>
          <w:szCs w:val="21"/>
        </w:rPr>
        <w:t>；</w:t>
      </w:r>
    </w:p>
    <w:p>
      <w:pPr>
        <w:spacing w:line="400" w:lineRule="exact"/>
        <w:ind w:firstLine="420" w:firstLineChars="200"/>
        <w:rPr>
          <w:color w:val="auto"/>
          <w:sz w:val="21"/>
          <w:szCs w:val="21"/>
        </w:rPr>
      </w:pPr>
      <w:r>
        <w:rPr>
          <w:rFonts w:hint="eastAsia"/>
          <w:color w:val="auto"/>
          <w:sz w:val="21"/>
          <w:szCs w:val="21"/>
          <w:lang w:val="en-US"/>
        </w:rPr>
        <w:t>4.</w:t>
      </w:r>
      <w:r>
        <w:rPr>
          <w:rFonts w:hint="eastAsia"/>
          <w:color w:val="auto"/>
          <w:sz w:val="21"/>
          <w:szCs w:val="21"/>
        </w:rPr>
        <w:t>单位负责人为同一人或者存在直接控股、管理关系的不同供应商，不得参加同一合同项下的政府采购活动；</w:t>
      </w:r>
    </w:p>
    <w:p>
      <w:pPr>
        <w:spacing w:line="400" w:lineRule="exact"/>
        <w:ind w:firstLine="420" w:firstLineChars="200"/>
        <w:rPr>
          <w:color w:val="auto"/>
          <w:sz w:val="21"/>
          <w:szCs w:val="21"/>
        </w:rPr>
      </w:pPr>
      <w:r>
        <w:rPr>
          <w:rFonts w:hint="eastAsia"/>
          <w:color w:val="auto"/>
          <w:sz w:val="21"/>
          <w:szCs w:val="21"/>
          <w:lang w:val="en-US"/>
        </w:rPr>
        <w:t>5.</w:t>
      </w:r>
      <w:r>
        <w:rPr>
          <w:rFonts w:hint="eastAsia"/>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color w:val="auto"/>
          <w:sz w:val="21"/>
          <w:szCs w:val="21"/>
        </w:rPr>
      </w:pPr>
      <w:bookmarkStart w:id="12" w:name="_Toc35393631"/>
      <w:bookmarkStart w:id="13" w:name="_Toc35393800"/>
      <w:r>
        <w:rPr>
          <w:rFonts w:hint="eastAsia"/>
          <w:color w:val="auto"/>
          <w:sz w:val="21"/>
          <w:szCs w:val="21"/>
        </w:rPr>
        <w:t>三、获取采购文件</w:t>
      </w:r>
      <w:bookmarkEnd w:id="10"/>
      <w:bookmarkEnd w:id="11"/>
      <w:bookmarkEnd w:id="12"/>
      <w:bookmarkEnd w:id="13"/>
    </w:p>
    <w:p>
      <w:pPr>
        <w:pStyle w:val="4"/>
        <w:spacing w:line="400" w:lineRule="exact"/>
        <w:ind w:left="0" w:firstLine="420" w:firstLineChars="200"/>
        <w:jc w:val="both"/>
        <w:rPr>
          <w:b w:val="0"/>
          <w:color w:val="auto"/>
          <w:sz w:val="21"/>
          <w:szCs w:val="21"/>
        </w:rPr>
      </w:pPr>
      <w:r>
        <w:rPr>
          <w:rFonts w:hint="eastAsia"/>
          <w:b w:val="0"/>
          <w:color w:val="auto"/>
          <w:sz w:val="21"/>
          <w:szCs w:val="21"/>
          <w:lang w:val="en-US"/>
        </w:rPr>
        <w:t>1.</w:t>
      </w:r>
      <w:r>
        <w:rPr>
          <w:rFonts w:hint="eastAsia"/>
          <w:b w:val="0"/>
          <w:color w:val="auto"/>
          <w:sz w:val="21"/>
          <w:szCs w:val="21"/>
        </w:rPr>
        <w:t>时间：</w:t>
      </w:r>
      <w:bookmarkStart w:id="50" w:name="_GoBack"/>
      <w:r>
        <w:rPr>
          <w:rFonts w:hint="eastAsia"/>
          <w:b w:val="0"/>
          <w:color w:val="auto"/>
          <w:sz w:val="21"/>
          <w:szCs w:val="21"/>
          <w:lang w:eastAsia="zh-CN"/>
        </w:rPr>
        <w:t>2020年12月</w:t>
      </w:r>
      <w:r>
        <w:rPr>
          <w:rFonts w:hint="eastAsia"/>
          <w:b w:val="0"/>
          <w:color w:val="auto"/>
          <w:sz w:val="21"/>
          <w:szCs w:val="21"/>
          <w:lang w:val="en-US" w:eastAsia="zh-CN"/>
        </w:rPr>
        <w:t>14</w:t>
      </w:r>
      <w:r>
        <w:rPr>
          <w:rFonts w:hint="eastAsia"/>
          <w:b w:val="0"/>
          <w:color w:val="auto"/>
          <w:sz w:val="21"/>
          <w:szCs w:val="21"/>
        </w:rPr>
        <w:t>日至</w:t>
      </w:r>
      <w:r>
        <w:rPr>
          <w:rFonts w:hint="eastAsia"/>
          <w:b w:val="0"/>
          <w:color w:val="auto"/>
          <w:sz w:val="21"/>
          <w:szCs w:val="21"/>
          <w:lang w:eastAsia="zh-CN"/>
        </w:rPr>
        <w:t>2020年1</w:t>
      </w:r>
      <w:r>
        <w:rPr>
          <w:rFonts w:hint="eastAsia"/>
          <w:b w:val="0"/>
          <w:color w:val="auto"/>
          <w:sz w:val="21"/>
          <w:szCs w:val="21"/>
          <w:lang w:val="en-US" w:eastAsia="zh-CN"/>
        </w:rPr>
        <w:t>2</w:t>
      </w:r>
      <w:r>
        <w:rPr>
          <w:rFonts w:hint="eastAsia"/>
          <w:b w:val="0"/>
          <w:color w:val="auto"/>
          <w:sz w:val="21"/>
          <w:szCs w:val="21"/>
          <w:lang w:eastAsia="zh-CN"/>
        </w:rPr>
        <w:t>月</w:t>
      </w:r>
      <w:r>
        <w:rPr>
          <w:rFonts w:hint="eastAsia"/>
          <w:b w:val="0"/>
          <w:color w:val="auto"/>
          <w:sz w:val="21"/>
          <w:szCs w:val="21"/>
          <w:lang w:val="en-US" w:eastAsia="zh-CN"/>
        </w:rPr>
        <w:t>21</w:t>
      </w:r>
      <w:r>
        <w:rPr>
          <w:rFonts w:hint="eastAsia"/>
          <w:b w:val="0"/>
          <w:color w:val="auto"/>
          <w:sz w:val="21"/>
          <w:szCs w:val="21"/>
        </w:rPr>
        <w:t>日止（工作日）</w:t>
      </w:r>
    </w:p>
    <w:p>
      <w:pPr>
        <w:pStyle w:val="4"/>
        <w:spacing w:line="400" w:lineRule="exact"/>
        <w:ind w:left="0" w:firstLine="420" w:firstLineChars="200"/>
        <w:jc w:val="both"/>
        <w:rPr>
          <w:b w:val="0"/>
          <w:color w:val="auto"/>
          <w:sz w:val="21"/>
          <w:szCs w:val="21"/>
        </w:rPr>
      </w:pPr>
      <w:r>
        <w:rPr>
          <w:rFonts w:hint="eastAsia"/>
          <w:b w:val="0"/>
          <w:color w:val="auto"/>
          <w:sz w:val="21"/>
          <w:szCs w:val="21"/>
          <w:lang w:val="en-US"/>
        </w:rPr>
        <w:t>2.</w:t>
      </w:r>
      <w:r>
        <w:rPr>
          <w:rFonts w:hint="eastAsia"/>
          <w:b w:val="0"/>
          <w:color w:val="auto"/>
          <w:sz w:val="21"/>
          <w:szCs w:val="21"/>
        </w:rPr>
        <w:t>获取方式：供应商须登录政采云平台（https://www.zcygov.cn/）在线办理并自行下载采购文件；未注册的供应商可在政采云平台完成注册后再获取采购文件。</w:t>
      </w:r>
    </w:p>
    <w:p>
      <w:pPr>
        <w:pStyle w:val="4"/>
        <w:spacing w:line="400" w:lineRule="exact"/>
        <w:ind w:left="0" w:firstLine="420" w:firstLineChars="200"/>
        <w:jc w:val="both"/>
        <w:rPr>
          <w:color w:val="auto"/>
          <w:sz w:val="21"/>
          <w:szCs w:val="21"/>
        </w:rPr>
      </w:pPr>
      <w:r>
        <w:rPr>
          <w:rFonts w:hint="eastAsia"/>
          <w:b w:val="0"/>
          <w:color w:val="auto"/>
          <w:sz w:val="21"/>
          <w:szCs w:val="21"/>
        </w:rPr>
        <w:t>如在操作过程中遇到问题或需技术支持，请致电政采云客服热线：400-881-7190。</w:t>
      </w:r>
    </w:p>
    <w:p>
      <w:pPr>
        <w:pStyle w:val="4"/>
        <w:spacing w:line="400" w:lineRule="exact"/>
        <w:ind w:left="0" w:firstLine="420" w:firstLineChars="200"/>
        <w:jc w:val="both"/>
        <w:rPr>
          <w:b w:val="0"/>
          <w:color w:val="auto"/>
          <w:sz w:val="21"/>
          <w:szCs w:val="21"/>
        </w:rPr>
      </w:pPr>
      <w:bookmarkStart w:id="14" w:name="_Toc28359092"/>
      <w:bookmarkStart w:id="15" w:name="_Toc35393801"/>
      <w:bookmarkStart w:id="16" w:name="_Toc28359015"/>
      <w:bookmarkStart w:id="17" w:name="_Toc35393632"/>
      <w:r>
        <w:rPr>
          <w:rFonts w:hint="eastAsia"/>
          <w:b w:val="0"/>
          <w:color w:val="auto"/>
          <w:sz w:val="21"/>
          <w:szCs w:val="21"/>
        </w:rPr>
        <w:t>四、响应文件提交</w:t>
      </w:r>
      <w:bookmarkEnd w:id="14"/>
      <w:bookmarkEnd w:id="15"/>
      <w:bookmarkEnd w:id="16"/>
      <w:bookmarkEnd w:id="17"/>
    </w:p>
    <w:p>
      <w:pPr>
        <w:spacing w:line="400" w:lineRule="exact"/>
        <w:ind w:firstLine="420" w:firstLineChars="200"/>
        <w:rPr>
          <w:bCs/>
          <w:color w:val="auto"/>
          <w:sz w:val="21"/>
          <w:szCs w:val="21"/>
          <w:u w:val="single"/>
        </w:rPr>
      </w:pPr>
      <w:r>
        <w:rPr>
          <w:rFonts w:hint="eastAsia"/>
          <w:color w:val="auto"/>
          <w:sz w:val="21"/>
          <w:szCs w:val="21"/>
        </w:rPr>
        <w:t>截止时间：</w:t>
      </w:r>
      <w:r>
        <w:rPr>
          <w:rFonts w:hint="eastAsia"/>
          <w:color w:val="auto"/>
          <w:sz w:val="21"/>
          <w:szCs w:val="21"/>
          <w:u w:val="none"/>
          <w:lang w:val="en-US" w:eastAsia="zh-CN"/>
        </w:rPr>
        <w:t>2020年12月24日15点30分</w:t>
      </w:r>
      <w:r>
        <w:rPr>
          <w:rFonts w:hint="eastAsia"/>
          <w:bCs/>
          <w:color w:val="auto"/>
          <w:sz w:val="21"/>
          <w:szCs w:val="21"/>
        </w:rPr>
        <w:t>（北京时间）</w:t>
      </w:r>
    </w:p>
    <w:bookmarkEnd w:id="50"/>
    <w:p>
      <w:pPr>
        <w:spacing w:line="400" w:lineRule="exact"/>
        <w:ind w:firstLine="420" w:firstLineChars="200"/>
        <w:rPr>
          <w:bCs/>
          <w:color w:val="auto"/>
          <w:sz w:val="21"/>
          <w:szCs w:val="21"/>
          <w:u w:val="single"/>
        </w:rPr>
      </w:pPr>
      <w:r>
        <w:rPr>
          <w:rFonts w:hint="eastAsia"/>
          <w:color w:val="auto"/>
          <w:sz w:val="21"/>
          <w:szCs w:val="21"/>
        </w:rPr>
        <w:t>地点：华物盛泰工程咨询管理有限公司</w:t>
      </w:r>
      <w:r>
        <w:rPr>
          <w:rFonts w:hint="eastAsia"/>
          <w:color w:val="auto"/>
          <w:sz w:val="21"/>
          <w:szCs w:val="21"/>
          <w:lang w:val="en-US"/>
        </w:rPr>
        <w:t>玉林分公司</w:t>
      </w:r>
      <w:r>
        <w:rPr>
          <w:rFonts w:hint="eastAsia"/>
          <w:color w:val="auto"/>
          <w:sz w:val="21"/>
          <w:szCs w:val="21"/>
        </w:rPr>
        <w:t>（玉林市百利街42号）</w:t>
      </w:r>
    </w:p>
    <w:p>
      <w:pPr>
        <w:pStyle w:val="4"/>
        <w:spacing w:line="400" w:lineRule="exact"/>
        <w:ind w:left="0" w:firstLine="420" w:firstLineChars="200"/>
        <w:jc w:val="both"/>
        <w:rPr>
          <w:b w:val="0"/>
          <w:color w:val="auto"/>
          <w:sz w:val="21"/>
          <w:szCs w:val="21"/>
        </w:rPr>
      </w:pPr>
      <w:bookmarkStart w:id="18" w:name="_Toc28359093"/>
      <w:bookmarkStart w:id="19" w:name="_Toc28359016"/>
      <w:bookmarkStart w:id="20" w:name="_Toc35393633"/>
      <w:bookmarkStart w:id="21" w:name="_Toc35393802"/>
      <w:r>
        <w:rPr>
          <w:rFonts w:hint="eastAsia"/>
          <w:b w:val="0"/>
          <w:color w:val="auto"/>
          <w:sz w:val="21"/>
          <w:szCs w:val="21"/>
        </w:rPr>
        <w:t>五、开启</w:t>
      </w:r>
      <w:bookmarkEnd w:id="18"/>
      <w:bookmarkEnd w:id="19"/>
      <w:bookmarkEnd w:id="20"/>
      <w:bookmarkEnd w:id="21"/>
    </w:p>
    <w:p>
      <w:pPr>
        <w:spacing w:line="400" w:lineRule="exact"/>
        <w:ind w:firstLine="420" w:firstLineChars="200"/>
        <w:rPr>
          <w:bCs/>
          <w:color w:val="auto"/>
          <w:sz w:val="21"/>
          <w:szCs w:val="21"/>
          <w:u w:val="single"/>
        </w:rPr>
      </w:pPr>
      <w:r>
        <w:rPr>
          <w:rFonts w:hint="eastAsia"/>
          <w:color w:val="auto"/>
          <w:sz w:val="21"/>
          <w:szCs w:val="21"/>
        </w:rPr>
        <w:t>时间：响应文件提交截止时间后</w:t>
      </w:r>
    </w:p>
    <w:p>
      <w:pPr>
        <w:spacing w:line="400" w:lineRule="exact"/>
        <w:ind w:firstLine="420" w:firstLineChars="200"/>
        <w:rPr>
          <w:bCs/>
          <w:color w:val="auto"/>
          <w:sz w:val="21"/>
          <w:szCs w:val="21"/>
          <w:u w:val="single"/>
          <w:lang w:val="en-US"/>
        </w:rPr>
      </w:pPr>
      <w:r>
        <w:rPr>
          <w:rFonts w:hint="eastAsia"/>
          <w:color w:val="auto"/>
          <w:sz w:val="21"/>
          <w:szCs w:val="21"/>
        </w:rPr>
        <w:t>地点：华物盛泰工程咨询管理有限公司</w:t>
      </w:r>
      <w:r>
        <w:rPr>
          <w:rFonts w:hint="eastAsia"/>
          <w:color w:val="auto"/>
          <w:sz w:val="21"/>
          <w:szCs w:val="21"/>
          <w:lang w:val="en-US"/>
        </w:rPr>
        <w:t>玉林分公司</w:t>
      </w:r>
      <w:r>
        <w:rPr>
          <w:rFonts w:hint="eastAsia"/>
          <w:color w:val="auto"/>
          <w:sz w:val="21"/>
          <w:szCs w:val="21"/>
        </w:rPr>
        <w:t>（玉林市百利街42号）</w:t>
      </w:r>
    </w:p>
    <w:p>
      <w:pPr>
        <w:pStyle w:val="4"/>
        <w:spacing w:line="400" w:lineRule="exact"/>
        <w:ind w:left="0" w:firstLine="420" w:firstLineChars="200"/>
        <w:jc w:val="both"/>
        <w:rPr>
          <w:b w:val="0"/>
          <w:color w:val="auto"/>
          <w:sz w:val="21"/>
          <w:szCs w:val="21"/>
        </w:rPr>
      </w:pPr>
      <w:bookmarkStart w:id="22" w:name="_Toc28359017"/>
      <w:bookmarkStart w:id="23" w:name="_Toc28359094"/>
      <w:bookmarkStart w:id="24" w:name="_Toc35393634"/>
      <w:bookmarkStart w:id="25" w:name="_Toc35393803"/>
      <w:r>
        <w:rPr>
          <w:rFonts w:hint="eastAsia"/>
          <w:b w:val="0"/>
          <w:color w:val="auto"/>
          <w:sz w:val="21"/>
          <w:szCs w:val="21"/>
        </w:rPr>
        <w:t>六、公告期限</w:t>
      </w:r>
      <w:bookmarkEnd w:id="22"/>
      <w:bookmarkEnd w:id="23"/>
      <w:bookmarkEnd w:id="24"/>
      <w:bookmarkEnd w:id="25"/>
    </w:p>
    <w:p>
      <w:pPr>
        <w:spacing w:line="400" w:lineRule="exact"/>
        <w:ind w:firstLine="420" w:firstLineChars="200"/>
        <w:rPr>
          <w:color w:val="auto"/>
          <w:sz w:val="21"/>
          <w:szCs w:val="21"/>
        </w:rPr>
      </w:pPr>
      <w:r>
        <w:rPr>
          <w:rFonts w:hint="eastAsia"/>
          <w:color w:val="auto"/>
          <w:sz w:val="21"/>
          <w:szCs w:val="21"/>
        </w:rPr>
        <w:t>自本公告发布之日起</w:t>
      </w:r>
      <w:r>
        <w:rPr>
          <w:rFonts w:hint="eastAsia"/>
          <w:color w:val="auto"/>
          <w:sz w:val="21"/>
          <w:szCs w:val="21"/>
          <w:lang w:val="en-US"/>
        </w:rPr>
        <w:t>5</w:t>
      </w:r>
      <w:r>
        <w:rPr>
          <w:rFonts w:hint="eastAsia"/>
          <w:color w:val="auto"/>
          <w:sz w:val="21"/>
          <w:szCs w:val="21"/>
        </w:rPr>
        <w:t>个工作日。</w:t>
      </w:r>
    </w:p>
    <w:p>
      <w:pPr>
        <w:pStyle w:val="4"/>
        <w:spacing w:line="400" w:lineRule="exact"/>
        <w:ind w:left="0" w:firstLine="420" w:firstLineChars="200"/>
        <w:jc w:val="both"/>
        <w:rPr>
          <w:b w:val="0"/>
          <w:color w:val="auto"/>
          <w:sz w:val="21"/>
          <w:szCs w:val="21"/>
        </w:rPr>
      </w:pPr>
      <w:bookmarkStart w:id="26" w:name="_Toc35393635"/>
      <w:bookmarkStart w:id="27" w:name="_Toc35393804"/>
      <w:r>
        <w:rPr>
          <w:rFonts w:hint="eastAsia"/>
          <w:b w:val="0"/>
          <w:color w:val="auto"/>
          <w:sz w:val="21"/>
          <w:szCs w:val="21"/>
        </w:rPr>
        <w:t>七、其他补充事宜</w:t>
      </w:r>
      <w:bookmarkEnd w:id="26"/>
      <w:bookmarkEnd w:id="27"/>
    </w:p>
    <w:p>
      <w:pPr>
        <w:spacing w:line="400" w:lineRule="exact"/>
        <w:ind w:firstLine="420" w:firstLineChars="200"/>
        <w:rPr>
          <w:color w:val="auto"/>
          <w:sz w:val="21"/>
          <w:szCs w:val="21"/>
        </w:rPr>
      </w:pPr>
      <w:r>
        <w:rPr>
          <w:rFonts w:hint="eastAsia"/>
          <w:color w:val="auto"/>
          <w:sz w:val="21"/>
          <w:szCs w:val="21"/>
          <w:lang w:val="en-US"/>
        </w:rPr>
        <w:t>1.</w:t>
      </w:r>
      <w:r>
        <w:rPr>
          <w:rFonts w:hint="eastAsia"/>
          <w:color w:val="auto"/>
          <w:sz w:val="21"/>
          <w:szCs w:val="21"/>
        </w:rPr>
        <w:t>本项目需要落实的政府采购政策</w:t>
      </w:r>
    </w:p>
    <w:p>
      <w:pPr>
        <w:spacing w:line="400" w:lineRule="exact"/>
        <w:ind w:firstLine="420" w:firstLineChars="200"/>
        <w:rPr>
          <w:color w:val="auto"/>
          <w:sz w:val="21"/>
          <w:szCs w:val="21"/>
        </w:rPr>
      </w:pPr>
      <w:r>
        <w:rPr>
          <w:rFonts w:hint="eastAsia"/>
          <w:color w:val="auto"/>
          <w:sz w:val="21"/>
          <w:szCs w:val="21"/>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spacing w:line="400" w:lineRule="exact"/>
        <w:ind w:firstLine="420" w:firstLineChars="200"/>
        <w:rPr>
          <w:color w:val="auto"/>
          <w:sz w:val="21"/>
          <w:szCs w:val="21"/>
        </w:rPr>
      </w:pPr>
      <w:r>
        <w:rPr>
          <w:rFonts w:hint="eastAsia"/>
          <w:color w:val="auto"/>
          <w:sz w:val="21"/>
          <w:szCs w:val="21"/>
          <w:lang w:val="en-US"/>
        </w:rPr>
        <w:t>2.</w:t>
      </w:r>
      <w:r>
        <w:rPr>
          <w:rFonts w:hint="eastAsia"/>
          <w:color w:val="auto"/>
          <w:sz w:val="21"/>
          <w:szCs w:val="21"/>
        </w:rPr>
        <w:t>网上公告媒体查询</w:t>
      </w:r>
    </w:p>
    <w:p>
      <w:pPr>
        <w:spacing w:line="400" w:lineRule="exact"/>
        <w:ind w:firstLine="420" w:firstLineChars="200"/>
        <w:rPr>
          <w:color w:val="auto"/>
          <w:sz w:val="21"/>
          <w:szCs w:val="21"/>
        </w:rPr>
      </w:pPr>
      <w:r>
        <w:rPr>
          <w:rFonts w:hint="eastAsia"/>
          <w:color w:val="auto"/>
          <w:sz w:val="21"/>
          <w:szCs w:val="21"/>
        </w:rPr>
        <w:t>公告发布媒体：中国政府采购网(www.ccgp.gov.cn)、广西政府采购网（http://zfcg.gxzf.gov.cn/）、广西玉林市人民政府门户网站（http://ggzy.yulin.gov.cn）发布。</w:t>
      </w:r>
    </w:p>
    <w:p>
      <w:pPr>
        <w:numPr>
          <w:ilvl w:val="0"/>
          <w:numId w:val="2"/>
        </w:numPr>
        <w:spacing w:line="400" w:lineRule="exact"/>
        <w:ind w:firstLine="420" w:firstLineChars="200"/>
        <w:rPr>
          <w:color w:val="auto"/>
          <w:sz w:val="21"/>
          <w:szCs w:val="21"/>
        </w:rPr>
      </w:pPr>
      <w:bookmarkStart w:id="28" w:name="_Toc35393805"/>
      <w:bookmarkStart w:id="29" w:name="_Toc28359018"/>
      <w:bookmarkStart w:id="30" w:name="_Toc28359095"/>
      <w:bookmarkStart w:id="31" w:name="_Toc35393636"/>
      <w:r>
        <w:rPr>
          <w:rFonts w:hint="eastAsia"/>
          <w:color w:val="auto"/>
          <w:sz w:val="21"/>
          <w:szCs w:val="21"/>
        </w:rPr>
        <w:t>凡对本次采购提出询问，请按以下方式联系。</w:t>
      </w:r>
      <w:bookmarkEnd w:id="28"/>
      <w:bookmarkEnd w:id="29"/>
      <w:bookmarkEnd w:id="30"/>
      <w:bookmarkEnd w:id="31"/>
      <w:bookmarkStart w:id="32" w:name="_Toc35393806"/>
      <w:bookmarkStart w:id="33" w:name="_Toc28359019"/>
      <w:bookmarkStart w:id="34" w:name="_Toc35393637"/>
      <w:bookmarkStart w:id="35" w:name="_Toc28359096"/>
    </w:p>
    <w:p>
      <w:pPr>
        <w:spacing w:line="400" w:lineRule="exact"/>
        <w:ind w:firstLine="420" w:firstLineChars="200"/>
        <w:rPr>
          <w:color w:val="auto"/>
          <w:sz w:val="21"/>
          <w:szCs w:val="21"/>
        </w:rPr>
      </w:pPr>
      <w:r>
        <w:rPr>
          <w:rFonts w:hint="eastAsia"/>
          <w:color w:val="auto"/>
          <w:sz w:val="21"/>
          <w:szCs w:val="21"/>
        </w:rPr>
        <w:t>1.采购人信息</w:t>
      </w:r>
      <w:bookmarkEnd w:id="32"/>
      <w:bookmarkEnd w:id="33"/>
      <w:bookmarkEnd w:id="34"/>
      <w:bookmarkEnd w:id="35"/>
    </w:p>
    <w:p>
      <w:pPr>
        <w:spacing w:line="400" w:lineRule="exact"/>
        <w:ind w:firstLine="420" w:firstLineChars="200"/>
        <w:rPr>
          <w:color w:val="auto"/>
          <w:sz w:val="21"/>
          <w:szCs w:val="21"/>
        </w:rPr>
      </w:pPr>
      <w:r>
        <w:rPr>
          <w:rFonts w:hint="eastAsia"/>
          <w:color w:val="auto"/>
          <w:sz w:val="21"/>
          <w:szCs w:val="21"/>
        </w:rPr>
        <w:t>名    称：玉林市文化广电体育和旅游局</w:t>
      </w:r>
    </w:p>
    <w:p>
      <w:pPr>
        <w:spacing w:line="400" w:lineRule="exact"/>
        <w:ind w:firstLine="420" w:firstLineChars="200"/>
        <w:rPr>
          <w:color w:val="auto"/>
          <w:sz w:val="21"/>
          <w:szCs w:val="21"/>
        </w:rPr>
      </w:pPr>
      <w:r>
        <w:rPr>
          <w:rFonts w:hint="eastAsia"/>
          <w:color w:val="auto"/>
          <w:sz w:val="21"/>
          <w:szCs w:val="21"/>
        </w:rPr>
        <w:t xml:space="preserve">地    址：玉林市玉东大道1号 </w:t>
      </w:r>
    </w:p>
    <w:p>
      <w:pPr>
        <w:spacing w:line="400" w:lineRule="exact"/>
        <w:ind w:firstLine="420" w:firstLineChars="200"/>
        <w:rPr>
          <w:color w:val="auto"/>
          <w:sz w:val="21"/>
          <w:szCs w:val="21"/>
        </w:rPr>
      </w:pPr>
      <w:r>
        <w:rPr>
          <w:rFonts w:hint="eastAsia"/>
          <w:color w:val="auto"/>
          <w:sz w:val="21"/>
          <w:szCs w:val="21"/>
        </w:rPr>
        <w:t xml:space="preserve">联系方式：李恒   0775-2686332    </w:t>
      </w:r>
    </w:p>
    <w:p>
      <w:pPr>
        <w:pStyle w:val="4"/>
        <w:spacing w:line="400" w:lineRule="exact"/>
        <w:ind w:left="0" w:firstLine="420" w:firstLineChars="200"/>
        <w:jc w:val="both"/>
        <w:rPr>
          <w:b w:val="0"/>
          <w:color w:val="auto"/>
          <w:sz w:val="21"/>
          <w:szCs w:val="21"/>
        </w:rPr>
      </w:pPr>
      <w:bookmarkStart w:id="36" w:name="_Toc35393807"/>
      <w:bookmarkStart w:id="37" w:name="_Toc28359020"/>
      <w:bookmarkStart w:id="38" w:name="_Toc28359097"/>
      <w:bookmarkStart w:id="39" w:name="_Toc35393638"/>
      <w:r>
        <w:rPr>
          <w:rFonts w:hint="eastAsia"/>
          <w:b w:val="0"/>
          <w:color w:val="auto"/>
          <w:sz w:val="21"/>
          <w:szCs w:val="21"/>
        </w:rPr>
        <w:t>2.采购代理机构信息</w:t>
      </w:r>
      <w:bookmarkEnd w:id="36"/>
      <w:bookmarkEnd w:id="37"/>
      <w:bookmarkEnd w:id="38"/>
      <w:bookmarkEnd w:id="39"/>
    </w:p>
    <w:p>
      <w:pPr>
        <w:spacing w:line="400" w:lineRule="exact"/>
        <w:ind w:firstLine="420" w:firstLineChars="200"/>
        <w:rPr>
          <w:color w:val="auto"/>
          <w:sz w:val="21"/>
          <w:szCs w:val="21"/>
        </w:rPr>
      </w:pPr>
      <w:r>
        <w:rPr>
          <w:rFonts w:hint="eastAsia"/>
          <w:color w:val="auto"/>
          <w:sz w:val="21"/>
          <w:szCs w:val="21"/>
        </w:rPr>
        <w:t>名    称：华物盛泰工程咨询管理有限公司</w:t>
      </w:r>
    </w:p>
    <w:p>
      <w:pPr>
        <w:spacing w:line="400" w:lineRule="exact"/>
        <w:ind w:firstLine="420" w:firstLineChars="200"/>
        <w:rPr>
          <w:color w:val="auto"/>
          <w:sz w:val="21"/>
          <w:szCs w:val="21"/>
        </w:rPr>
      </w:pPr>
      <w:r>
        <w:rPr>
          <w:rFonts w:hint="eastAsia"/>
          <w:color w:val="auto"/>
          <w:sz w:val="21"/>
          <w:szCs w:val="21"/>
        </w:rPr>
        <w:t>地　　址：南宁市青秀区百花岭路10号百花苑6栋2楼</w:t>
      </w:r>
    </w:p>
    <w:p>
      <w:pPr>
        <w:spacing w:line="400" w:lineRule="exact"/>
        <w:ind w:firstLine="420" w:firstLineChars="200"/>
        <w:rPr>
          <w:color w:val="auto"/>
          <w:sz w:val="21"/>
          <w:szCs w:val="21"/>
          <w:u w:val="single"/>
          <w:lang w:val="en-US"/>
        </w:rPr>
      </w:pPr>
      <w:r>
        <w:rPr>
          <w:rFonts w:hint="eastAsia"/>
          <w:color w:val="auto"/>
          <w:sz w:val="21"/>
          <w:szCs w:val="21"/>
        </w:rPr>
        <w:t>联系方式：</w:t>
      </w:r>
      <w:r>
        <w:rPr>
          <w:rFonts w:hint="eastAsia"/>
          <w:color w:val="auto"/>
          <w:sz w:val="21"/>
          <w:szCs w:val="21"/>
          <w:lang w:val="en-US"/>
        </w:rPr>
        <w:t>王悦强 0771-5581861</w:t>
      </w:r>
    </w:p>
    <w:p>
      <w:pPr>
        <w:pStyle w:val="4"/>
        <w:spacing w:line="400" w:lineRule="exact"/>
        <w:ind w:left="0" w:firstLine="420" w:firstLineChars="200"/>
        <w:jc w:val="both"/>
        <w:rPr>
          <w:b w:val="0"/>
          <w:color w:val="auto"/>
          <w:sz w:val="21"/>
          <w:szCs w:val="21"/>
        </w:rPr>
      </w:pPr>
      <w:bookmarkStart w:id="40" w:name="_Toc28359021"/>
      <w:bookmarkStart w:id="41" w:name="_Toc35393639"/>
      <w:bookmarkStart w:id="42" w:name="_Toc35393808"/>
      <w:bookmarkStart w:id="43" w:name="_Toc28359098"/>
      <w:r>
        <w:rPr>
          <w:rFonts w:hint="eastAsia"/>
          <w:b w:val="0"/>
          <w:color w:val="auto"/>
          <w:sz w:val="21"/>
          <w:szCs w:val="21"/>
        </w:rPr>
        <w:t>3.项目联系方式</w:t>
      </w:r>
      <w:bookmarkEnd w:id="40"/>
      <w:bookmarkEnd w:id="41"/>
      <w:bookmarkEnd w:id="42"/>
      <w:bookmarkEnd w:id="43"/>
    </w:p>
    <w:p>
      <w:pPr>
        <w:pStyle w:val="12"/>
        <w:spacing w:line="400" w:lineRule="exact"/>
        <w:ind w:firstLine="420" w:firstLineChars="200"/>
        <w:rPr>
          <w:rFonts w:hAnsi="宋体"/>
          <w:color w:val="auto"/>
          <w:kern w:val="2"/>
          <w:sz w:val="21"/>
          <w:lang w:val="en-US" w:bidi="ar-SA"/>
        </w:rPr>
      </w:pPr>
      <w:r>
        <w:rPr>
          <w:rFonts w:hint="eastAsia" w:hAnsi="宋体"/>
          <w:color w:val="auto"/>
          <w:sz w:val="21"/>
        </w:rPr>
        <w:t>项目联</w:t>
      </w:r>
      <w:r>
        <w:rPr>
          <w:rFonts w:hint="eastAsia" w:hAnsi="宋体"/>
          <w:color w:val="auto"/>
          <w:kern w:val="2"/>
          <w:sz w:val="21"/>
          <w:lang w:val="en-US" w:bidi="ar-SA"/>
        </w:rPr>
        <w:t>系人：王悦强</w:t>
      </w:r>
    </w:p>
    <w:p>
      <w:pPr>
        <w:spacing w:line="400" w:lineRule="exact"/>
        <w:ind w:firstLine="420" w:firstLineChars="200"/>
        <w:rPr>
          <w:color w:val="auto"/>
          <w:kern w:val="2"/>
          <w:sz w:val="21"/>
          <w:szCs w:val="21"/>
          <w:lang w:val="en-US" w:bidi="ar-SA"/>
        </w:rPr>
      </w:pPr>
      <w:r>
        <w:rPr>
          <w:rFonts w:hint="eastAsia"/>
          <w:color w:val="auto"/>
          <w:kern w:val="2"/>
          <w:sz w:val="21"/>
          <w:szCs w:val="21"/>
          <w:lang w:val="en-US" w:bidi="ar-SA"/>
        </w:rPr>
        <w:t>电　　 话：0771-5581861</w:t>
      </w:r>
    </w:p>
    <w:p>
      <w:pPr>
        <w:pStyle w:val="4"/>
        <w:spacing w:line="400" w:lineRule="exact"/>
        <w:ind w:left="0" w:firstLine="420" w:firstLineChars="200"/>
        <w:jc w:val="both"/>
        <w:rPr>
          <w:b w:val="0"/>
          <w:color w:val="auto"/>
          <w:sz w:val="21"/>
          <w:szCs w:val="21"/>
        </w:rPr>
      </w:pPr>
      <w:r>
        <w:rPr>
          <w:rFonts w:hint="eastAsia"/>
          <w:b w:val="0"/>
          <w:color w:val="auto"/>
          <w:sz w:val="21"/>
          <w:szCs w:val="21"/>
          <w:lang w:val="en-US"/>
        </w:rPr>
        <w:t>4.</w:t>
      </w:r>
      <w:r>
        <w:rPr>
          <w:rFonts w:hint="eastAsia"/>
          <w:b w:val="0"/>
          <w:color w:val="auto"/>
          <w:sz w:val="21"/>
          <w:szCs w:val="21"/>
        </w:rPr>
        <w:t>政府采购监督管理部门：</w:t>
      </w:r>
      <w:r>
        <w:rPr>
          <w:rFonts w:hint="eastAsia"/>
          <w:b w:val="0"/>
          <w:color w:val="auto"/>
          <w:sz w:val="21"/>
          <w:szCs w:val="21"/>
          <w:lang w:val="en-US"/>
        </w:rPr>
        <w:t>玉</w:t>
      </w:r>
      <w:r>
        <w:rPr>
          <w:rFonts w:hint="eastAsia"/>
          <w:b w:val="0"/>
          <w:color w:val="auto"/>
          <w:sz w:val="21"/>
          <w:szCs w:val="21"/>
        </w:rPr>
        <w:t>林市财政局  联系电话：0775-2697961</w:t>
      </w:r>
    </w:p>
    <w:p>
      <w:pPr>
        <w:pStyle w:val="3"/>
        <w:tabs>
          <w:tab w:val="left" w:pos="1444"/>
        </w:tabs>
        <w:spacing w:before="100" w:line="400" w:lineRule="exact"/>
        <w:ind w:right="195"/>
        <w:jc w:val="center"/>
        <w:rPr>
          <w:rFonts w:asciiTheme="minorEastAsia" w:hAnsiTheme="minorEastAsia" w:eastAsiaTheme="minorEastAsia" w:cstheme="minorEastAsia"/>
          <w:color w:val="auto"/>
        </w:rPr>
      </w:pPr>
      <w:r>
        <w:rPr>
          <w:rFonts w:hint="eastAsia"/>
          <w:b w:val="0"/>
          <w:color w:val="auto"/>
          <w:sz w:val="21"/>
          <w:szCs w:val="21"/>
        </w:rPr>
        <w:br w:type="page"/>
      </w:r>
      <w:bookmarkStart w:id="44" w:name="_Toc29494"/>
      <w:r>
        <w:rPr>
          <w:rFonts w:hint="eastAsia" w:asciiTheme="minorEastAsia" w:hAnsiTheme="minorEastAsia" w:eastAsiaTheme="minorEastAsia" w:cstheme="minorEastAsia"/>
          <w:color w:val="auto"/>
        </w:rPr>
        <w:t>第二章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磋商须知及前附表</w:t>
      </w:r>
      <w:bookmarkEnd w:id="44"/>
    </w:p>
    <w:p>
      <w:pPr>
        <w:pStyle w:val="4"/>
        <w:spacing w:before="61" w:after="58"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磋商须知前附表</w:t>
      </w:r>
    </w:p>
    <w:tbl>
      <w:tblPr>
        <w:tblStyle w:val="21"/>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942"/>
        <w:gridCol w:w="8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10" w:line="360" w:lineRule="exact"/>
              <w:ind w:left="131" w:right="121"/>
              <w:jc w:val="center"/>
              <w:rPr>
                <w:b/>
                <w:color w:val="auto"/>
                <w:sz w:val="21"/>
                <w:szCs w:val="21"/>
              </w:rPr>
            </w:pPr>
            <w:r>
              <w:rPr>
                <w:rFonts w:hint="eastAsia"/>
                <w:b/>
                <w:color w:val="auto"/>
                <w:sz w:val="21"/>
                <w:szCs w:val="21"/>
              </w:rPr>
              <w:t>序号</w:t>
            </w:r>
          </w:p>
        </w:tc>
        <w:tc>
          <w:tcPr>
            <w:tcW w:w="942" w:type="dxa"/>
          </w:tcPr>
          <w:p>
            <w:pPr>
              <w:pStyle w:val="40"/>
              <w:spacing w:before="110" w:line="360" w:lineRule="exact"/>
              <w:ind w:left="134" w:right="125"/>
              <w:jc w:val="center"/>
              <w:rPr>
                <w:b/>
                <w:color w:val="auto"/>
                <w:sz w:val="21"/>
                <w:szCs w:val="21"/>
              </w:rPr>
            </w:pPr>
            <w:r>
              <w:rPr>
                <w:rFonts w:hint="eastAsia"/>
                <w:b/>
                <w:color w:val="auto"/>
                <w:sz w:val="21"/>
                <w:szCs w:val="21"/>
              </w:rPr>
              <w:t>条款号</w:t>
            </w:r>
          </w:p>
        </w:tc>
        <w:tc>
          <w:tcPr>
            <w:tcW w:w="8345" w:type="dxa"/>
          </w:tcPr>
          <w:p>
            <w:pPr>
              <w:pStyle w:val="40"/>
              <w:tabs>
                <w:tab w:val="left" w:pos="643"/>
              </w:tabs>
              <w:spacing w:before="110" w:line="360" w:lineRule="exact"/>
              <w:ind w:left="9"/>
              <w:jc w:val="center"/>
              <w:rPr>
                <w:b/>
                <w:color w:val="auto"/>
                <w:sz w:val="21"/>
                <w:szCs w:val="21"/>
              </w:rPr>
            </w:pPr>
            <w:r>
              <w:rPr>
                <w:rFonts w:hint="eastAsia"/>
                <w:b/>
                <w:color w:val="auto"/>
                <w:sz w:val="21"/>
                <w:szCs w:val="21"/>
              </w:rPr>
              <w:t>内</w:t>
            </w:r>
            <w:r>
              <w:rPr>
                <w:rFonts w:hint="eastAsia"/>
                <w:b/>
                <w:color w:val="auto"/>
                <w:sz w:val="21"/>
                <w:szCs w:val="21"/>
              </w:rPr>
              <w:tab/>
            </w:r>
            <w:r>
              <w:rPr>
                <w:rFonts w:hint="eastAsia"/>
                <w:b/>
                <w:color w:val="auto"/>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724" w:type="dxa"/>
          </w:tcPr>
          <w:p>
            <w:pPr>
              <w:pStyle w:val="40"/>
              <w:spacing w:before="1" w:line="360" w:lineRule="exact"/>
              <w:rPr>
                <w:b/>
                <w:color w:val="auto"/>
                <w:sz w:val="21"/>
                <w:szCs w:val="21"/>
              </w:rPr>
            </w:pPr>
          </w:p>
          <w:p>
            <w:pPr>
              <w:pStyle w:val="40"/>
              <w:spacing w:before="1" w:line="360" w:lineRule="exact"/>
              <w:ind w:left="6"/>
              <w:jc w:val="center"/>
              <w:rPr>
                <w:color w:val="auto"/>
                <w:sz w:val="21"/>
                <w:szCs w:val="21"/>
              </w:rPr>
            </w:pPr>
            <w:r>
              <w:rPr>
                <w:rFonts w:hint="eastAsia"/>
                <w:color w:val="auto"/>
                <w:w w:val="99"/>
                <w:sz w:val="21"/>
                <w:szCs w:val="21"/>
              </w:rPr>
              <w:t>1</w:t>
            </w:r>
          </w:p>
        </w:tc>
        <w:tc>
          <w:tcPr>
            <w:tcW w:w="942" w:type="dxa"/>
          </w:tcPr>
          <w:p>
            <w:pPr>
              <w:pStyle w:val="40"/>
              <w:spacing w:line="360" w:lineRule="exact"/>
              <w:rPr>
                <w:color w:val="auto"/>
                <w:sz w:val="21"/>
                <w:szCs w:val="21"/>
              </w:rPr>
            </w:pPr>
          </w:p>
        </w:tc>
        <w:tc>
          <w:tcPr>
            <w:tcW w:w="8345" w:type="dxa"/>
          </w:tcPr>
          <w:p>
            <w:pPr>
              <w:pStyle w:val="40"/>
              <w:spacing w:before="110" w:line="360" w:lineRule="exact"/>
              <w:ind w:left="108"/>
              <w:rPr>
                <w:rFonts w:hint="eastAsia" w:eastAsia="宋体"/>
                <w:color w:val="auto"/>
                <w:sz w:val="21"/>
                <w:szCs w:val="21"/>
                <w:lang w:eastAsia="zh-CN"/>
              </w:rPr>
            </w:pPr>
            <w:r>
              <w:rPr>
                <w:rFonts w:hint="eastAsia"/>
                <w:b/>
                <w:color w:val="auto"/>
                <w:sz w:val="21"/>
                <w:szCs w:val="21"/>
              </w:rPr>
              <w:t>项目名称：</w:t>
            </w:r>
            <w:r>
              <w:rPr>
                <w:rFonts w:hint="eastAsia"/>
                <w:color w:val="auto"/>
                <w:sz w:val="21"/>
                <w:szCs w:val="21"/>
                <w:lang w:eastAsia="zh-CN"/>
              </w:rPr>
              <w:t>采购开展2020年“五彩玉林·田园都市”（肇庆、湛江、茂名）旅游推介活动服务项目</w:t>
            </w:r>
          </w:p>
          <w:p>
            <w:pPr>
              <w:pStyle w:val="40"/>
              <w:spacing w:before="132" w:line="360" w:lineRule="exact"/>
              <w:ind w:left="108"/>
              <w:rPr>
                <w:rFonts w:hint="eastAsia" w:eastAsia="宋体"/>
                <w:color w:val="auto"/>
                <w:sz w:val="21"/>
                <w:szCs w:val="21"/>
                <w:lang w:eastAsia="zh-CN"/>
              </w:rPr>
            </w:pPr>
            <w:r>
              <w:rPr>
                <w:rFonts w:hint="eastAsia"/>
                <w:b/>
                <w:color w:val="auto"/>
                <w:sz w:val="21"/>
                <w:szCs w:val="21"/>
              </w:rPr>
              <w:t>项目编号：</w:t>
            </w:r>
            <w:r>
              <w:rPr>
                <w:rFonts w:hint="eastAsia"/>
                <w:bCs/>
                <w:color w:val="auto"/>
                <w:sz w:val="21"/>
                <w:szCs w:val="21"/>
                <w:lang w:eastAsia="zh-CN"/>
              </w:rPr>
              <w:t>YLZC2020-C3-000824-HWST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0" w:hRule="atLeast"/>
          <w:jc w:val="center"/>
        </w:trPr>
        <w:tc>
          <w:tcPr>
            <w:tcW w:w="724" w:type="dxa"/>
          </w:tcPr>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before="159" w:line="360" w:lineRule="exact"/>
              <w:ind w:left="6"/>
              <w:jc w:val="center"/>
              <w:rPr>
                <w:color w:val="auto"/>
                <w:sz w:val="21"/>
                <w:szCs w:val="21"/>
              </w:rPr>
            </w:pPr>
            <w:r>
              <w:rPr>
                <w:rFonts w:hint="eastAsia"/>
                <w:color w:val="auto"/>
                <w:w w:val="99"/>
                <w:sz w:val="21"/>
                <w:szCs w:val="21"/>
              </w:rPr>
              <w:t>2</w:t>
            </w:r>
          </w:p>
        </w:tc>
        <w:tc>
          <w:tcPr>
            <w:tcW w:w="942" w:type="dxa"/>
          </w:tcPr>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line="360" w:lineRule="exact"/>
              <w:rPr>
                <w:b/>
                <w:color w:val="auto"/>
                <w:sz w:val="21"/>
                <w:szCs w:val="21"/>
              </w:rPr>
            </w:pPr>
          </w:p>
          <w:p>
            <w:pPr>
              <w:pStyle w:val="40"/>
              <w:spacing w:before="159" w:line="360" w:lineRule="exact"/>
              <w:ind w:left="134" w:right="124"/>
              <w:jc w:val="center"/>
              <w:rPr>
                <w:color w:val="auto"/>
                <w:sz w:val="21"/>
                <w:szCs w:val="21"/>
              </w:rPr>
            </w:pPr>
            <w:r>
              <w:rPr>
                <w:rFonts w:hint="eastAsia"/>
                <w:color w:val="auto"/>
                <w:sz w:val="21"/>
                <w:szCs w:val="21"/>
              </w:rPr>
              <w:t>3.1</w:t>
            </w:r>
          </w:p>
        </w:tc>
        <w:tc>
          <w:tcPr>
            <w:tcW w:w="8345" w:type="dxa"/>
          </w:tcPr>
          <w:p>
            <w:pPr>
              <w:pStyle w:val="40"/>
              <w:spacing w:before="109" w:line="360" w:lineRule="exact"/>
              <w:ind w:left="108"/>
              <w:rPr>
                <w:b/>
                <w:color w:val="auto"/>
                <w:sz w:val="21"/>
                <w:szCs w:val="21"/>
              </w:rPr>
            </w:pPr>
            <w:r>
              <w:rPr>
                <w:rFonts w:hint="eastAsia"/>
                <w:b/>
                <w:color w:val="auto"/>
                <w:sz w:val="21"/>
                <w:szCs w:val="21"/>
              </w:rPr>
              <w:t>供应商资格：</w:t>
            </w:r>
          </w:p>
          <w:p>
            <w:pPr>
              <w:spacing w:line="400" w:lineRule="exact"/>
              <w:ind w:firstLine="420" w:firstLineChars="200"/>
              <w:rPr>
                <w:color w:val="auto"/>
                <w:sz w:val="21"/>
                <w:szCs w:val="21"/>
              </w:rPr>
            </w:pPr>
            <w:r>
              <w:rPr>
                <w:rFonts w:hint="eastAsia"/>
                <w:color w:val="auto"/>
                <w:sz w:val="21"/>
                <w:szCs w:val="21"/>
              </w:rPr>
              <w:t>1.满足《中华人民共和国政府采购法》第二十二条规定；</w:t>
            </w:r>
          </w:p>
          <w:p>
            <w:pPr>
              <w:spacing w:line="400" w:lineRule="exact"/>
              <w:ind w:firstLine="420" w:firstLineChars="200"/>
              <w:rPr>
                <w:color w:val="auto"/>
                <w:sz w:val="21"/>
                <w:szCs w:val="21"/>
                <w:lang w:val="en-US"/>
              </w:rPr>
            </w:pPr>
            <w:r>
              <w:rPr>
                <w:rFonts w:hint="eastAsia"/>
                <w:color w:val="auto"/>
                <w:sz w:val="21"/>
                <w:szCs w:val="21"/>
              </w:rPr>
              <w:t>2.落实政府采购政策需满足的资格要求：</w:t>
            </w:r>
            <w:r>
              <w:rPr>
                <w:rFonts w:hint="eastAsia"/>
                <w:color w:val="auto"/>
                <w:sz w:val="21"/>
                <w:szCs w:val="21"/>
                <w:lang w:val="en-US"/>
              </w:rPr>
              <w:t>无；</w:t>
            </w:r>
          </w:p>
          <w:p>
            <w:pPr>
              <w:spacing w:line="400" w:lineRule="exact"/>
              <w:ind w:firstLine="420" w:firstLineChars="200"/>
              <w:rPr>
                <w:color w:val="auto"/>
                <w:sz w:val="21"/>
                <w:szCs w:val="21"/>
              </w:rPr>
            </w:pPr>
            <w:r>
              <w:rPr>
                <w:rFonts w:hint="eastAsia"/>
                <w:color w:val="auto"/>
                <w:sz w:val="21"/>
                <w:szCs w:val="21"/>
              </w:rPr>
              <w:t>3.本项目的特定资格要求：</w:t>
            </w:r>
            <w:r>
              <w:rPr>
                <w:rFonts w:hint="eastAsia"/>
                <w:color w:val="auto"/>
                <w:sz w:val="21"/>
                <w:szCs w:val="21"/>
                <w:lang w:val="en-US"/>
              </w:rPr>
              <w:t>无</w:t>
            </w:r>
            <w:r>
              <w:rPr>
                <w:rFonts w:hint="eastAsia"/>
                <w:color w:val="auto"/>
                <w:sz w:val="21"/>
                <w:szCs w:val="21"/>
              </w:rPr>
              <w:t>；</w:t>
            </w:r>
          </w:p>
          <w:p>
            <w:pPr>
              <w:spacing w:line="400" w:lineRule="exact"/>
              <w:ind w:firstLine="420" w:firstLineChars="200"/>
              <w:rPr>
                <w:color w:val="auto"/>
                <w:sz w:val="21"/>
                <w:szCs w:val="21"/>
              </w:rPr>
            </w:pPr>
            <w:r>
              <w:rPr>
                <w:rFonts w:hint="eastAsia"/>
                <w:color w:val="auto"/>
                <w:sz w:val="21"/>
                <w:szCs w:val="21"/>
                <w:lang w:val="en-US"/>
              </w:rPr>
              <w:t>4.</w:t>
            </w:r>
            <w:r>
              <w:rPr>
                <w:rFonts w:hint="eastAsia"/>
                <w:color w:val="auto"/>
                <w:sz w:val="21"/>
                <w:szCs w:val="21"/>
              </w:rPr>
              <w:t>单位负责人为同一人或者存在直接控股、管理关系的不同供应商，不得参加同一合同项下的政府采购活动；</w:t>
            </w:r>
          </w:p>
          <w:p>
            <w:pPr>
              <w:spacing w:line="400" w:lineRule="exact"/>
              <w:ind w:firstLine="420" w:firstLineChars="200"/>
              <w:rPr>
                <w:color w:val="auto"/>
                <w:sz w:val="21"/>
                <w:szCs w:val="21"/>
              </w:rPr>
            </w:pPr>
            <w:r>
              <w:rPr>
                <w:rFonts w:hint="eastAsia"/>
                <w:color w:val="auto"/>
                <w:sz w:val="21"/>
                <w:szCs w:val="21"/>
                <w:lang w:val="en-US"/>
              </w:rPr>
              <w:t>5.</w:t>
            </w:r>
            <w:r>
              <w:rPr>
                <w:rFonts w:hint="eastAsia"/>
                <w:color w:val="auto"/>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09" w:line="360" w:lineRule="exact"/>
              <w:ind w:left="6"/>
              <w:jc w:val="center"/>
              <w:rPr>
                <w:color w:val="auto"/>
                <w:w w:val="99"/>
                <w:sz w:val="21"/>
                <w:szCs w:val="21"/>
              </w:rPr>
            </w:pPr>
            <w:r>
              <w:rPr>
                <w:rFonts w:hint="eastAsia"/>
                <w:color w:val="auto"/>
                <w:w w:val="99"/>
                <w:sz w:val="21"/>
                <w:szCs w:val="21"/>
              </w:rPr>
              <w:t>3</w:t>
            </w:r>
          </w:p>
        </w:tc>
        <w:tc>
          <w:tcPr>
            <w:tcW w:w="942" w:type="dxa"/>
          </w:tcPr>
          <w:p>
            <w:pPr>
              <w:pStyle w:val="40"/>
              <w:spacing w:before="109" w:line="360" w:lineRule="exact"/>
              <w:ind w:left="6"/>
              <w:jc w:val="center"/>
              <w:rPr>
                <w:color w:val="auto"/>
                <w:w w:val="99"/>
                <w:sz w:val="21"/>
                <w:szCs w:val="21"/>
              </w:rPr>
            </w:pPr>
            <w:r>
              <w:rPr>
                <w:rFonts w:hint="eastAsia"/>
                <w:color w:val="auto"/>
                <w:w w:val="99"/>
                <w:sz w:val="21"/>
                <w:szCs w:val="21"/>
              </w:rPr>
              <w:t>3.2</w:t>
            </w:r>
          </w:p>
        </w:tc>
        <w:tc>
          <w:tcPr>
            <w:tcW w:w="8345" w:type="dxa"/>
          </w:tcPr>
          <w:p>
            <w:pPr>
              <w:pStyle w:val="40"/>
              <w:spacing w:before="109" w:line="360" w:lineRule="exact"/>
              <w:ind w:left="6"/>
              <w:rPr>
                <w:color w:val="auto"/>
                <w:sz w:val="21"/>
                <w:szCs w:val="21"/>
              </w:rPr>
            </w:pPr>
            <w:r>
              <w:rPr>
                <w:rFonts w:hint="eastAsia"/>
                <w:color w:val="auto"/>
                <w:sz w:val="21"/>
                <w:szCs w:val="21"/>
              </w:rPr>
              <w:t>踏勘现场：</w:t>
            </w:r>
            <w:r>
              <w:rPr>
                <w:rFonts w:hint="eastAsia"/>
                <w:color w:val="auto"/>
                <w:sz w:val="21"/>
                <w:szCs w:val="21"/>
                <w:lang w:val="en-US"/>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09" w:line="360" w:lineRule="exact"/>
              <w:ind w:left="6"/>
              <w:jc w:val="center"/>
              <w:rPr>
                <w:color w:val="auto"/>
                <w:w w:val="99"/>
                <w:sz w:val="21"/>
                <w:szCs w:val="21"/>
              </w:rPr>
            </w:pPr>
            <w:r>
              <w:rPr>
                <w:rFonts w:hint="eastAsia"/>
                <w:color w:val="auto"/>
                <w:w w:val="99"/>
                <w:sz w:val="21"/>
                <w:szCs w:val="21"/>
              </w:rPr>
              <w:t>4</w:t>
            </w:r>
          </w:p>
        </w:tc>
        <w:tc>
          <w:tcPr>
            <w:tcW w:w="942" w:type="dxa"/>
          </w:tcPr>
          <w:p>
            <w:pPr>
              <w:pStyle w:val="40"/>
              <w:spacing w:before="109" w:line="360" w:lineRule="exact"/>
              <w:ind w:left="6"/>
              <w:jc w:val="center"/>
              <w:rPr>
                <w:color w:val="auto"/>
                <w:w w:val="99"/>
                <w:sz w:val="21"/>
                <w:szCs w:val="21"/>
              </w:rPr>
            </w:pPr>
            <w:r>
              <w:rPr>
                <w:rFonts w:hint="eastAsia"/>
                <w:color w:val="auto"/>
                <w:w w:val="99"/>
                <w:sz w:val="21"/>
                <w:szCs w:val="21"/>
              </w:rPr>
              <w:t>8.1</w:t>
            </w:r>
          </w:p>
        </w:tc>
        <w:tc>
          <w:tcPr>
            <w:tcW w:w="8345" w:type="dxa"/>
          </w:tcPr>
          <w:p>
            <w:pPr>
              <w:pStyle w:val="40"/>
              <w:spacing w:before="109" w:line="360" w:lineRule="exact"/>
              <w:ind w:left="6"/>
              <w:rPr>
                <w:color w:val="auto"/>
                <w:sz w:val="21"/>
                <w:szCs w:val="21"/>
              </w:rPr>
            </w:pPr>
            <w:r>
              <w:rPr>
                <w:rFonts w:hint="eastAsia"/>
                <w:color w:val="auto"/>
                <w:sz w:val="21"/>
                <w:szCs w:val="21"/>
              </w:rPr>
              <w:t>竞争性磋商响应文件份数：正本一份，副本三份。（详见磋商响应文件的构成说明）。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4" w:type="dxa"/>
          </w:tcPr>
          <w:p>
            <w:pPr>
              <w:pStyle w:val="40"/>
              <w:spacing w:before="109" w:line="360" w:lineRule="exact"/>
              <w:ind w:left="6"/>
              <w:jc w:val="center"/>
              <w:rPr>
                <w:color w:val="auto"/>
                <w:w w:val="99"/>
                <w:sz w:val="21"/>
                <w:szCs w:val="21"/>
              </w:rPr>
            </w:pPr>
            <w:r>
              <w:rPr>
                <w:rFonts w:hint="eastAsia"/>
                <w:color w:val="auto"/>
                <w:w w:val="99"/>
                <w:sz w:val="21"/>
                <w:szCs w:val="21"/>
              </w:rPr>
              <w:t>5</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磋商有效期：磋商截止之日起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center"/>
          </w:tcPr>
          <w:p>
            <w:pPr>
              <w:pStyle w:val="40"/>
              <w:spacing w:before="109" w:line="360" w:lineRule="exact"/>
              <w:ind w:left="6"/>
              <w:jc w:val="center"/>
              <w:rPr>
                <w:color w:val="auto"/>
                <w:w w:val="99"/>
                <w:sz w:val="21"/>
                <w:szCs w:val="21"/>
              </w:rPr>
            </w:pPr>
            <w:r>
              <w:rPr>
                <w:rFonts w:hint="eastAsia"/>
                <w:color w:val="auto"/>
                <w:w w:val="99"/>
                <w:sz w:val="21"/>
                <w:szCs w:val="21"/>
              </w:rPr>
              <w:t>6</w:t>
            </w:r>
          </w:p>
        </w:tc>
        <w:tc>
          <w:tcPr>
            <w:tcW w:w="942" w:type="dxa"/>
            <w:vAlign w:val="center"/>
          </w:tcPr>
          <w:p>
            <w:pPr>
              <w:pStyle w:val="40"/>
              <w:spacing w:before="109" w:line="360" w:lineRule="exact"/>
              <w:ind w:left="6"/>
              <w:jc w:val="center"/>
              <w:rPr>
                <w:color w:val="auto"/>
                <w:w w:val="99"/>
                <w:sz w:val="21"/>
                <w:szCs w:val="21"/>
              </w:rPr>
            </w:pPr>
            <w:r>
              <w:rPr>
                <w:rFonts w:hint="eastAsia"/>
                <w:color w:val="auto"/>
                <w:w w:val="99"/>
                <w:sz w:val="21"/>
                <w:szCs w:val="21"/>
              </w:rPr>
              <w:t>6.11</w:t>
            </w:r>
          </w:p>
        </w:tc>
        <w:tc>
          <w:tcPr>
            <w:tcW w:w="8345" w:type="dxa"/>
          </w:tcPr>
          <w:p>
            <w:pPr>
              <w:pStyle w:val="40"/>
              <w:spacing w:before="109" w:line="360" w:lineRule="exact"/>
              <w:ind w:left="6"/>
              <w:rPr>
                <w:color w:val="auto"/>
                <w:sz w:val="21"/>
                <w:szCs w:val="21"/>
                <w:lang w:val="en-US"/>
              </w:rPr>
            </w:pPr>
            <w:r>
              <w:rPr>
                <w:rFonts w:hint="eastAsia"/>
                <w:b/>
                <w:bCs/>
                <w:color w:val="auto"/>
                <w:sz w:val="21"/>
                <w:szCs w:val="21"/>
              </w:rPr>
              <w:t>磋商保证金：</w:t>
            </w:r>
            <w:r>
              <w:rPr>
                <w:rFonts w:hint="eastAsia"/>
                <w:color w:val="auto"/>
                <w:sz w:val="21"/>
                <w:szCs w:val="21"/>
                <w:lang w:val="en-US"/>
              </w:rPr>
              <w:t>不收取保证金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center"/>
          </w:tcPr>
          <w:p>
            <w:pPr>
              <w:pStyle w:val="40"/>
              <w:spacing w:before="109" w:line="360" w:lineRule="exact"/>
              <w:ind w:left="6"/>
              <w:jc w:val="center"/>
              <w:rPr>
                <w:rFonts w:hint="eastAsia" w:eastAsia="宋体"/>
                <w:color w:val="auto"/>
                <w:w w:val="99"/>
                <w:sz w:val="21"/>
                <w:szCs w:val="21"/>
                <w:lang w:val="en-US" w:eastAsia="zh-CN"/>
              </w:rPr>
            </w:pPr>
            <w:r>
              <w:rPr>
                <w:rFonts w:hint="eastAsia"/>
                <w:color w:val="auto"/>
                <w:w w:val="99"/>
                <w:sz w:val="21"/>
                <w:szCs w:val="21"/>
                <w:lang w:val="en-US" w:eastAsia="zh-CN"/>
              </w:rPr>
              <w:t>7</w:t>
            </w:r>
          </w:p>
        </w:tc>
        <w:tc>
          <w:tcPr>
            <w:tcW w:w="942" w:type="dxa"/>
            <w:vAlign w:val="center"/>
          </w:tcPr>
          <w:p>
            <w:pPr>
              <w:pStyle w:val="40"/>
              <w:spacing w:before="109" w:line="360" w:lineRule="exact"/>
              <w:ind w:left="6"/>
              <w:jc w:val="center"/>
              <w:rPr>
                <w:rFonts w:hint="eastAsia"/>
                <w:color w:val="auto"/>
                <w:w w:val="99"/>
                <w:sz w:val="21"/>
                <w:szCs w:val="21"/>
              </w:rPr>
            </w:pPr>
          </w:p>
        </w:tc>
        <w:tc>
          <w:tcPr>
            <w:tcW w:w="8345" w:type="dxa"/>
          </w:tcPr>
          <w:p>
            <w:pPr>
              <w:pStyle w:val="40"/>
              <w:spacing w:before="109" w:line="360" w:lineRule="exact"/>
              <w:ind w:left="6"/>
              <w:rPr>
                <w:rFonts w:hint="default" w:eastAsia="宋体"/>
                <w:color w:val="auto"/>
                <w:sz w:val="21"/>
                <w:szCs w:val="21"/>
                <w:lang w:val="en-US" w:eastAsia="zh-CN"/>
              </w:rPr>
            </w:pPr>
            <w:r>
              <w:rPr>
                <w:rFonts w:hint="eastAsia"/>
                <w:b/>
                <w:bCs/>
                <w:color w:val="auto"/>
                <w:sz w:val="21"/>
                <w:szCs w:val="21"/>
                <w:lang w:val="en-US" w:eastAsia="zh-CN"/>
              </w:rPr>
              <w:t>履约保证金：</w:t>
            </w:r>
            <w:r>
              <w:rPr>
                <w:rFonts w:hint="eastAsia"/>
                <w:color w:val="auto"/>
                <w:sz w:val="21"/>
                <w:szCs w:val="21"/>
                <w:lang w:val="en-US" w:eastAsia="zh-CN"/>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Align w:val="center"/>
          </w:tcPr>
          <w:p>
            <w:pPr>
              <w:pStyle w:val="40"/>
              <w:spacing w:before="109" w:line="360" w:lineRule="exact"/>
              <w:ind w:left="6"/>
              <w:jc w:val="center"/>
              <w:rPr>
                <w:rFonts w:hint="eastAsia" w:eastAsia="宋体"/>
                <w:color w:val="auto"/>
                <w:w w:val="99"/>
                <w:sz w:val="21"/>
                <w:szCs w:val="21"/>
                <w:lang w:eastAsia="zh-CN"/>
              </w:rPr>
            </w:pPr>
            <w:r>
              <w:rPr>
                <w:rFonts w:hint="eastAsia"/>
                <w:color w:val="auto"/>
                <w:w w:val="99"/>
                <w:sz w:val="21"/>
                <w:szCs w:val="21"/>
                <w:lang w:val="en-US" w:eastAsia="zh-CN"/>
              </w:rPr>
              <w:t>8</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竞争性磋商响应文件递交截止时间：</w:t>
            </w:r>
            <w:r>
              <w:rPr>
                <w:rFonts w:hint="eastAsia"/>
                <w:color w:val="auto"/>
                <w:sz w:val="21"/>
                <w:szCs w:val="21"/>
                <w:lang w:val="en-US"/>
              </w:rPr>
              <w:t>详见</w:t>
            </w:r>
            <w:r>
              <w:rPr>
                <w:rFonts w:hint="eastAsia"/>
                <w:color w:val="auto"/>
                <w:sz w:val="21"/>
                <w:szCs w:val="21"/>
              </w:rPr>
              <w:t>《</w:t>
            </w:r>
            <w:r>
              <w:rPr>
                <w:rFonts w:hint="eastAsia"/>
                <w:color w:val="auto"/>
                <w:sz w:val="21"/>
                <w:szCs w:val="21"/>
                <w:lang w:val="en-US"/>
              </w:rPr>
              <w:t xml:space="preserve">第一章 </w:t>
            </w:r>
            <w:r>
              <w:rPr>
                <w:rFonts w:hint="eastAsia"/>
                <w:color w:val="auto"/>
                <w:sz w:val="21"/>
                <w:szCs w:val="21"/>
              </w:rPr>
              <w:t>竞争性磋商公告》。</w:t>
            </w:r>
          </w:p>
          <w:p>
            <w:pPr>
              <w:pStyle w:val="40"/>
              <w:spacing w:before="109" w:line="360" w:lineRule="exact"/>
              <w:ind w:left="6"/>
              <w:rPr>
                <w:color w:val="auto"/>
                <w:sz w:val="21"/>
                <w:szCs w:val="21"/>
              </w:rPr>
            </w:pPr>
            <w:r>
              <w:rPr>
                <w:rFonts w:hint="eastAsia"/>
                <w:color w:val="auto"/>
                <w:sz w:val="21"/>
                <w:szCs w:val="21"/>
              </w:rPr>
              <w:t>地址：华物盛泰工程咨询管理有限公司玉林分公司（玉林市百利街42号）。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tcPr>
          <w:p>
            <w:pPr>
              <w:pStyle w:val="40"/>
              <w:spacing w:before="109" w:line="360" w:lineRule="exact"/>
              <w:ind w:left="6"/>
              <w:jc w:val="center"/>
              <w:rPr>
                <w:color w:val="auto"/>
                <w:w w:val="99"/>
                <w:sz w:val="21"/>
                <w:szCs w:val="21"/>
              </w:rPr>
            </w:pPr>
          </w:p>
          <w:p>
            <w:pPr>
              <w:pStyle w:val="40"/>
              <w:spacing w:before="109" w:line="360" w:lineRule="exact"/>
              <w:ind w:left="6"/>
              <w:jc w:val="center"/>
              <w:rPr>
                <w:rFonts w:hint="eastAsia" w:eastAsia="宋体"/>
                <w:color w:val="auto"/>
                <w:w w:val="99"/>
                <w:sz w:val="21"/>
                <w:szCs w:val="21"/>
                <w:lang w:eastAsia="zh-CN"/>
              </w:rPr>
            </w:pPr>
            <w:r>
              <w:rPr>
                <w:rFonts w:hint="eastAsia"/>
                <w:color w:val="auto"/>
                <w:w w:val="99"/>
                <w:sz w:val="21"/>
                <w:szCs w:val="21"/>
                <w:lang w:val="en-US" w:eastAsia="zh-CN"/>
              </w:rPr>
              <w:t>9</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磋商时间：</w:t>
            </w:r>
            <w:r>
              <w:rPr>
                <w:rFonts w:hint="eastAsia"/>
                <w:color w:val="auto"/>
                <w:sz w:val="21"/>
                <w:szCs w:val="21"/>
                <w:lang w:val="en-US"/>
              </w:rPr>
              <w:t>详见</w:t>
            </w:r>
            <w:r>
              <w:rPr>
                <w:rFonts w:hint="eastAsia"/>
                <w:color w:val="auto"/>
                <w:sz w:val="21"/>
                <w:szCs w:val="21"/>
              </w:rPr>
              <w:t>《</w:t>
            </w:r>
            <w:r>
              <w:rPr>
                <w:rFonts w:hint="eastAsia"/>
                <w:color w:val="auto"/>
                <w:sz w:val="21"/>
                <w:szCs w:val="21"/>
                <w:lang w:val="en-US"/>
              </w:rPr>
              <w:t xml:space="preserve">第一章 </w:t>
            </w:r>
            <w:r>
              <w:rPr>
                <w:rFonts w:hint="eastAsia"/>
                <w:color w:val="auto"/>
                <w:sz w:val="21"/>
                <w:szCs w:val="21"/>
              </w:rPr>
              <w:t>竞争性磋商公告》（具体时间由采购代理机构另行通知）。</w:t>
            </w:r>
          </w:p>
          <w:p>
            <w:pPr>
              <w:pStyle w:val="40"/>
              <w:spacing w:before="109" w:line="360" w:lineRule="exact"/>
              <w:ind w:left="6"/>
              <w:rPr>
                <w:color w:val="auto"/>
                <w:sz w:val="21"/>
                <w:szCs w:val="21"/>
              </w:rPr>
            </w:pPr>
            <w:r>
              <w:rPr>
                <w:rFonts w:hint="eastAsia"/>
                <w:color w:val="auto"/>
                <w:sz w:val="21"/>
                <w:szCs w:val="21"/>
              </w:rPr>
              <w:t>磋商地点：华物盛泰工程咨询管理有限公司玉林分公司（玉林市百利街42号）。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tcPr>
          <w:p>
            <w:pPr>
              <w:pStyle w:val="40"/>
              <w:spacing w:before="109" w:line="360" w:lineRule="exact"/>
              <w:ind w:left="6"/>
              <w:jc w:val="center"/>
              <w:rPr>
                <w:rFonts w:hint="default" w:eastAsia="宋体"/>
                <w:color w:val="auto"/>
                <w:w w:val="99"/>
                <w:sz w:val="21"/>
                <w:szCs w:val="21"/>
                <w:lang w:val="en-US" w:eastAsia="zh-CN"/>
              </w:rPr>
            </w:pPr>
            <w:r>
              <w:rPr>
                <w:rFonts w:hint="eastAsia"/>
                <w:color w:val="auto"/>
                <w:w w:val="99"/>
                <w:sz w:val="21"/>
                <w:szCs w:val="21"/>
                <w:lang w:val="en-US" w:eastAsia="zh-CN"/>
              </w:rPr>
              <w:t>10</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代理服务费：由成交供应商向采购代理机构支付，由成交供应商在领取成交通知书前，一次性向采购代理机构支付，</w:t>
            </w:r>
            <w:r>
              <w:rPr>
                <w:rFonts w:hint="eastAsia"/>
                <w:color w:val="auto"/>
                <w:sz w:val="21"/>
                <w:szCs w:val="21"/>
                <w:lang w:val="en-US"/>
              </w:rPr>
              <w:t>收费标准详见磋商须知17款</w:t>
            </w:r>
            <w:r>
              <w:rPr>
                <w:rFonts w:hint="eastAsia"/>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tcPr>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color w:val="auto"/>
                <w:w w:val="99"/>
                <w:sz w:val="21"/>
                <w:szCs w:val="21"/>
              </w:rPr>
            </w:pPr>
          </w:p>
          <w:p>
            <w:pPr>
              <w:pStyle w:val="40"/>
              <w:spacing w:before="109" w:line="360" w:lineRule="exact"/>
              <w:ind w:left="6"/>
              <w:jc w:val="center"/>
              <w:rPr>
                <w:rFonts w:hint="eastAsia" w:eastAsia="宋体"/>
                <w:color w:val="auto"/>
                <w:w w:val="99"/>
                <w:sz w:val="21"/>
                <w:szCs w:val="21"/>
                <w:lang w:eastAsia="zh-CN"/>
              </w:rPr>
            </w:pPr>
            <w:r>
              <w:rPr>
                <w:rFonts w:hint="eastAsia"/>
                <w:color w:val="auto"/>
                <w:w w:val="99"/>
                <w:sz w:val="21"/>
                <w:szCs w:val="21"/>
              </w:rPr>
              <w:t>1</w:t>
            </w:r>
            <w:r>
              <w:rPr>
                <w:rFonts w:hint="eastAsia"/>
                <w:color w:val="auto"/>
                <w:w w:val="99"/>
                <w:sz w:val="21"/>
                <w:szCs w:val="21"/>
                <w:lang w:val="en-US" w:eastAsia="zh-CN"/>
              </w:rPr>
              <w:t>1</w:t>
            </w:r>
          </w:p>
        </w:tc>
        <w:tc>
          <w:tcPr>
            <w:tcW w:w="942" w:type="dxa"/>
          </w:tcPr>
          <w:p>
            <w:pPr>
              <w:pStyle w:val="40"/>
              <w:spacing w:before="109" w:line="360" w:lineRule="exact"/>
              <w:ind w:left="6"/>
              <w:jc w:val="center"/>
              <w:rPr>
                <w:color w:val="auto"/>
                <w:w w:val="99"/>
                <w:sz w:val="21"/>
                <w:szCs w:val="21"/>
              </w:rPr>
            </w:pPr>
          </w:p>
        </w:tc>
        <w:tc>
          <w:tcPr>
            <w:tcW w:w="8345" w:type="dxa"/>
          </w:tcPr>
          <w:p>
            <w:pPr>
              <w:pStyle w:val="40"/>
              <w:spacing w:before="109" w:line="360" w:lineRule="exact"/>
              <w:ind w:left="6"/>
              <w:rPr>
                <w:color w:val="auto"/>
                <w:sz w:val="21"/>
                <w:szCs w:val="21"/>
              </w:rPr>
            </w:pPr>
            <w:r>
              <w:rPr>
                <w:rFonts w:hint="eastAsia"/>
                <w:color w:val="auto"/>
                <w:sz w:val="21"/>
                <w:szCs w:val="21"/>
              </w:rPr>
              <w:t>查询渠道：“信用中国”网站(www.creditchina.gov.cn)、中国政府采购网(www.ccgp.gov.cn)；查询起止时间：自采购公告发布之日起至磋商截止时间止的查询记录；证据留存方式：在磋商响应文件中提供参加政府采购活动前三年内在经营活动中没有重大违法不良信用记录的书面声明（格式自拟）及上述两个查询渠道查询结果（查询结果网页打印件须显示打印时间或査询时间并加盖磋商供应商公章，查询结果  将作为政府采购活动档案留存）。</w:t>
            </w:r>
          </w:p>
          <w:p>
            <w:pPr>
              <w:pStyle w:val="40"/>
              <w:spacing w:before="109" w:line="360" w:lineRule="exact"/>
              <w:ind w:left="6"/>
              <w:rPr>
                <w:color w:val="auto"/>
                <w:sz w:val="21"/>
                <w:szCs w:val="21"/>
              </w:rPr>
            </w:pPr>
            <w:r>
              <w:rPr>
                <w:rFonts w:hint="eastAsia"/>
                <w:color w:val="auto"/>
                <w:sz w:val="21"/>
                <w:szCs w:val="21"/>
              </w:rPr>
              <w:t>信用信息使用规则：对在“信用中国”网站(www.creditchina.gov.cn)、中国政府采购网(www.ccgp.gov.cn)渠道列入失信被执行人、企业经营异常名录、重大税收违法  案件当事人名单、政府采购严重违法失信行为记录名单及其他不符合《中华人民共和  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  在不良信用记录的，视同联合体存在不良信用记录。</w:t>
            </w:r>
          </w:p>
          <w:p>
            <w:pPr>
              <w:pStyle w:val="40"/>
              <w:spacing w:before="109" w:line="360" w:lineRule="exact"/>
              <w:ind w:left="6"/>
              <w:rPr>
                <w:color w:val="auto"/>
                <w:sz w:val="21"/>
                <w:szCs w:val="21"/>
              </w:rPr>
            </w:pPr>
            <w:r>
              <w:rPr>
                <w:rFonts w:hint="eastAsia"/>
                <w:color w:val="auto"/>
                <w:sz w:val="21"/>
                <w:szCs w:val="21"/>
              </w:rPr>
              <w:t>中标（成交）供应商查询：在中标（成交）通知书发出前，由采购人或者采购代理机构对中标（成交）供应商信用进行查询，并按照信用信息使用规则处理。</w:t>
            </w:r>
          </w:p>
        </w:tc>
      </w:tr>
    </w:tbl>
    <w:p>
      <w:pPr>
        <w:spacing w:line="360" w:lineRule="exact"/>
        <w:rPr>
          <w:color w:val="auto"/>
          <w:sz w:val="21"/>
          <w:szCs w:val="21"/>
        </w:rPr>
        <w:sectPr>
          <w:pgSz w:w="11910" w:h="16840"/>
          <w:pgMar w:top="1360" w:right="820" w:bottom="1420" w:left="1020" w:header="1165" w:footer="1233" w:gutter="0"/>
          <w:cols w:equalWidth="0" w:num="1">
            <w:col w:w="10070"/>
          </w:cols>
        </w:sectPr>
      </w:pPr>
    </w:p>
    <w:p>
      <w:pPr>
        <w:spacing w:before="44"/>
        <w:ind w:left="708" w:right="905"/>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磋商须知</w:t>
      </w:r>
    </w:p>
    <w:p>
      <w:pPr>
        <w:pStyle w:val="2"/>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一、总则</w:t>
      </w:r>
    </w:p>
    <w:p>
      <w:pPr>
        <w:pStyle w:val="39"/>
        <w:numPr>
          <w:ilvl w:val="0"/>
          <w:numId w:val="3"/>
        </w:numPr>
        <w:tabs>
          <w:tab w:val="left" w:pos="1074"/>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适用范围</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本文件仅适用于本文件中所叙述的货物、服务类采购项目。</w:t>
      </w:r>
    </w:p>
    <w:p>
      <w:pPr>
        <w:pStyle w:val="39"/>
        <w:numPr>
          <w:ilvl w:val="0"/>
          <w:numId w:val="3"/>
        </w:numPr>
        <w:tabs>
          <w:tab w:val="left" w:pos="1074"/>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定义</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“采购人”是指：依法进行采购的国家机关、事业单位、团体组织。</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“采购代理机构”是指：华物盛泰工程咨询管理有限公司</w:t>
      </w:r>
    </w:p>
    <w:p>
      <w:pPr>
        <w:pStyle w:val="2"/>
        <w:spacing w:line="360" w:lineRule="exact"/>
        <w:ind w:right="561"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 “磋商供应商”是指响应本文件要求，参加磋商的法人或者其他组织。如果该供应商在本次磋商中成交，即成为“成交供应商”。</w:t>
      </w:r>
    </w:p>
    <w:p>
      <w:pPr>
        <w:pStyle w:val="39"/>
        <w:numPr>
          <w:ilvl w:val="1"/>
          <w:numId w:val="4"/>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“货物”是指各种形态和种类的物品，包括原材料、燃料、设备、产品等。</w:t>
      </w:r>
    </w:p>
    <w:p>
      <w:pPr>
        <w:pStyle w:val="39"/>
        <w:numPr>
          <w:ilvl w:val="1"/>
          <w:numId w:val="4"/>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“服务”是指除货物和工程以外的其他采购对象。</w:t>
      </w:r>
    </w:p>
    <w:p>
      <w:pPr>
        <w:pStyle w:val="39"/>
        <w:numPr>
          <w:ilvl w:val="1"/>
          <w:numId w:val="4"/>
        </w:numPr>
        <w:tabs>
          <w:tab w:val="left" w:pos="118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“响应文件”是指：供应商根据本文件要求，编制包含报价、技术和服务等所有内容的响应文件。</w:t>
      </w:r>
    </w:p>
    <w:p>
      <w:pPr>
        <w:pStyle w:val="39"/>
        <w:numPr>
          <w:ilvl w:val="0"/>
          <w:numId w:val="3"/>
        </w:numPr>
        <w:tabs>
          <w:tab w:val="left" w:pos="970"/>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磋商供应商的基本条件</w:t>
      </w:r>
    </w:p>
    <w:p>
      <w:pPr>
        <w:pStyle w:val="39"/>
        <w:numPr>
          <w:ilvl w:val="1"/>
          <w:numId w:val="3"/>
        </w:numPr>
        <w:tabs>
          <w:tab w:val="left" w:pos="1126"/>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供应商资格：见磋商须知前附表。</w:t>
      </w:r>
    </w:p>
    <w:p>
      <w:pPr>
        <w:pStyle w:val="39"/>
        <w:numPr>
          <w:ilvl w:val="1"/>
          <w:numId w:val="3"/>
        </w:numPr>
        <w:tabs>
          <w:tab w:val="left" w:pos="1126"/>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踏勘现场</w:t>
      </w:r>
    </w:p>
    <w:p>
      <w:pPr>
        <w:pStyle w:val="39"/>
        <w:numPr>
          <w:ilvl w:val="2"/>
          <w:numId w:val="3"/>
        </w:numPr>
        <w:tabs>
          <w:tab w:val="left" w:pos="1390"/>
        </w:tabs>
        <w:spacing w:before="0" w:line="360" w:lineRule="exact"/>
        <w:ind w:right="598"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磋商供应商须知前附表规定组织踏勘现场的，采购人按磋商供应商须知前附表规定的时间、地点组织磋商供应商踏勘项目现场。</w:t>
      </w:r>
    </w:p>
    <w:p>
      <w:pPr>
        <w:pStyle w:val="39"/>
        <w:numPr>
          <w:ilvl w:val="2"/>
          <w:numId w:val="3"/>
        </w:numPr>
        <w:tabs>
          <w:tab w:val="left" w:pos="1388"/>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磋商供应商承担自身踏勘现场发生的费用、责任和风险。</w:t>
      </w:r>
    </w:p>
    <w:p>
      <w:pPr>
        <w:pStyle w:val="39"/>
        <w:numPr>
          <w:ilvl w:val="2"/>
          <w:numId w:val="3"/>
        </w:numPr>
        <w:tabs>
          <w:tab w:val="left" w:pos="1388"/>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磋商供应商自行负责在踏勘现场中所发生的人员伤亡和财产损失。</w:t>
      </w:r>
    </w:p>
    <w:p>
      <w:pPr>
        <w:pStyle w:val="39"/>
        <w:numPr>
          <w:ilvl w:val="2"/>
          <w:numId w:val="3"/>
        </w:numPr>
        <w:tabs>
          <w:tab w:val="left" w:pos="1390"/>
        </w:tabs>
        <w:spacing w:before="0" w:line="360" w:lineRule="exact"/>
        <w:ind w:right="598"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采购人在踏勘现场中介绍的工程场地和相关的周边环境情况，供磋商供应商在编制磋商文件时参考，采购人不对磋商供应商据此作出的判断和决策负责。</w:t>
      </w:r>
    </w:p>
    <w:p>
      <w:pPr>
        <w:pStyle w:val="39"/>
        <w:numPr>
          <w:ilvl w:val="0"/>
          <w:numId w:val="3"/>
        </w:numPr>
        <w:tabs>
          <w:tab w:val="left" w:pos="970"/>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磋商费用</w:t>
      </w:r>
    </w:p>
    <w:p>
      <w:pPr>
        <w:pStyle w:val="39"/>
        <w:numPr>
          <w:ilvl w:val="1"/>
          <w:numId w:val="3"/>
        </w:numPr>
        <w:tabs>
          <w:tab w:val="left" w:pos="1181"/>
        </w:tabs>
        <w:spacing w:before="0" w:line="360" w:lineRule="exact"/>
        <w:ind w:right="596"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磋商供应商应自行承担所有与编写和提交响应文件有关的费用，不论磋商结果如何，采购人和采购代理机构在任何情况下无义务和责任承担此类费用。</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本项目代理服务费：见磋商须知前附表。</w:t>
      </w:r>
    </w:p>
    <w:p>
      <w:pPr>
        <w:pStyle w:val="39"/>
        <w:numPr>
          <w:ilvl w:val="0"/>
          <w:numId w:val="3"/>
        </w:numPr>
        <w:tabs>
          <w:tab w:val="left" w:pos="970"/>
        </w:tabs>
        <w:spacing w:before="0" w:line="36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竞争性磋商文件</w:t>
      </w:r>
      <w:r>
        <w:rPr>
          <w:rFonts w:hint="eastAsia" w:asciiTheme="minorEastAsia" w:hAnsiTheme="minorEastAsia" w:eastAsiaTheme="minorEastAsia" w:cstheme="minorEastAsia"/>
          <w:color w:val="auto"/>
          <w:sz w:val="21"/>
          <w:szCs w:val="21"/>
        </w:rPr>
        <w:t>（以下简称磋商文件）的澄清与修改提交首次响应文件截止之日前，采购人、采购代理机构或者磋商小组可以对己发出的磋商文件进行必要的澄清或者修改，澄清或者修改的内容作为磋商文件的组成部分。澄清或者修改的内</w:t>
      </w:r>
      <w:r>
        <w:rPr>
          <w:rFonts w:hint="eastAsia" w:asciiTheme="minorEastAsia" w:hAnsiTheme="minorEastAsia" w:eastAsiaTheme="minorEastAsia" w:cstheme="minorEastAsia"/>
          <w:color w:val="auto"/>
          <w:spacing w:val="-11"/>
          <w:sz w:val="21"/>
          <w:szCs w:val="21"/>
        </w:rPr>
        <w:t xml:space="preserve">容可能影响响应文件编制的，采购人、采购代理机构应当在提交首次响应文件截止时间至少 </w:t>
      </w: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pacing w:val="-4"/>
          <w:sz w:val="21"/>
          <w:szCs w:val="21"/>
        </w:rPr>
        <w:t xml:space="preserve"> 日前， </w:t>
      </w:r>
      <w:r>
        <w:rPr>
          <w:rFonts w:hint="eastAsia" w:asciiTheme="minorEastAsia" w:hAnsiTheme="minorEastAsia" w:eastAsiaTheme="minorEastAsia" w:cstheme="minorEastAsia"/>
          <w:color w:val="auto"/>
          <w:spacing w:val="-6"/>
          <w:sz w:val="21"/>
          <w:szCs w:val="21"/>
        </w:rPr>
        <w:t xml:space="preserve">以书面形式通知所有获取磋商文件的供应商；不足 </w:t>
      </w: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pacing w:val="-7"/>
          <w:sz w:val="21"/>
          <w:szCs w:val="21"/>
        </w:rPr>
        <w:t xml:space="preserve"> 日的，采购人、采购代理机构应当顺延提交首</w:t>
      </w:r>
      <w:r>
        <w:rPr>
          <w:rFonts w:hint="eastAsia" w:asciiTheme="minorEastAsia" w:hAnsiTheme="minorEastAsia" w:eastAsiaTheme="minorEastAsia" w:cstheme="minorEastAsia"/>
          <w:color w:val="auto"/>
          <w:sz w:val="21"/>
          <w:szCs w:val="21"/>
        </w:rPr>
        <w:t>次响应文件截止时间。</w:t>
      </w:r>
    </w:p>
    <w:p>
      <w:pPr>
        <w:pStyle w:val="39"/>
        <w:tabs>
          <w:tab w:val="left" w:pos="970"/>
        </w:tabs>
        <w:spacing w:before="0" w:line="360" w:lineRule="exact"/>
        <w:ind w:left="440" w:leftChars="200" w:firstLine="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二、响应文件的编制</w:t>
      </w:r>
    </w:p>
    <w:p>
      <w:pPr>
        <w:pStyle w:val="39"/>
        <w:numPr>
          <w:ilvl w:val="0"/>
          <w:numId w:val="3"/>
        </w:numPr>
        <w:tabs>
          <w:tab w:val="left" w:pos="1074"/>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响应文件编制基本要求</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磋商供应商对响应文件的编制应按要求装订和封装。活页装订的响应文件将被拒绝。</w:t>
      </w:r>
    </w:p>
    <w:p>
      <w:pPr>
        <w:pStyle w:val="39"/>
        <w:numPr>
          <w:ilvl w:val="1"/>
          <w:numId w:val="3"/>
        </w:numPr>
        <w:tabs>
          <w:tab w:val="left" w:pos="1181"/>
        </w:tabs>
        <w:spacing w:before="0" w:line="360" w:lineRule="exact"/>
        <w:ind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提交的响应文件以及磋商供应商与采购代理机构和采购人就有关磋商的所有来往函电均应使用中文。磋商供应商提交的支持文件和印刷的文献可以使用别的语言，但其相应内容必须附有中文翻译文本，在解释响应文件时以翻译文本为主。</w:t>
      </w:r>
    </w:p>
    <w:p>
      <w:pPr>
        <w:pStyle w:val="39"/>
        <w:numPr>
          <w:ilvl w:val="1"/>
          <w:numId w:val="3"/>
        </w:numPr>
        <w:tabs>
          <w:tab w:val="left" w:pos="1181"/>
        </w:tabs>
        <w:spacing w:before="0" w:line="360" w:lineRule="exact"/>
        <w:ind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磋商供应商应认真阅读、并充分理解本文件的全部内容（包括所有的补充、修改内容），承诺并履行本文件中各项条款规定及要求。</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响应文件必须按本文件的全部内容，包括所有的补充通知及附件进行编制。</w:t>
      </w:r>
    </w:p>
    <w:p>
      <w:pPr>
        <w:pStyle w:val="39"/>
        <w:numPr>
          <w:ilvl w:val="1"/>
          <w:numId w:val="3"/>
        </w:numPr>
        <w:tabs>
          <w:tab w:val="left" w:pos="1181"/>
        </w:tabs>
        <w:spacing w:before="0" w:line="360" w:lineRule="exact"/>
        <w:ind w:right="596"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如因磋商供应商只填写和提供了本文件要求的部分内容和附件，而给评审造成困难，其可能导致的结果和责任由磋商供应商自行承担。</w:t>
      </w:r>
    </w:p>
    <w:p>
      <w:pPr>
        <w:pStyle w:val="39"/>
        <w:numPr>
          <w:ilvl w:val="1"/>
          <w:numId w:val="3"/>
        </w:numPr>
        <w:tabs>
          <w:tab w:val="left" w:pos="1179"/>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响应文件的组成。</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响应文件应分为价格文件和商务技术文件两个部分组成。</w:t>
      </w:r>
    </w:p>
    <w:p>
      <w:pPr>
        <w:pStyle w:val="39"/>
        <w:numPr>
          <w:ilvl w:val="2"/>
          <w:numId w:val="3"/>
        </w:numPr>
        <w:tabs>
          <w:tab w:val="left" w:pos="1335"/>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价格文件：（必须提供，否则磋商响应无效）</w:t>
      </w:r>
    </w:p>
    <w:p>
      <w:pPr>
        <w:pStyle w:val="39"/>
        <w:numPr>
          <w:ilvl w:val="0"/>
          <w:numId w:val="5"/>
        </w:numPr>
        <w:tabs>
          <w:tab w:val="left" w:pos="1283"/>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磋商报价表；（附件二）（必须提供，否则磋商响应无效）</w:t>
      </w:r>
    </w:p>
    <w:p>
      <w:pPr>
        <w:pStyle w:val="39"/>
        <w:numPr>
          <w:ilvl w:val="2"/>
          <w:numId w:val="3"/>
        </w:numPr>
        <w:tabs>
          <w:tab w:val="left" w:pos="1335"/>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商务技术文件：</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磋商书；（附件一）（必须提供，否则磋商响应无效）</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技术服务偏离情况说明表；（附件三）（必须提供，否则磋商响应无效）</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有效的“营业执照”（副本）复印件；（必须提供，否则磋商响应无效）</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法定代表人身份证复印件；（必须提供，否则磋商响应无效）</w:t>
      </w:r>
    </w:p>
    <w:p>
      <w:pPr>
        <w:pStyle w:val="39"/>
        <w:numPr>
          <w:ilvl w:val="0"/>
          <w:numId w:val="6"/>
        </w:numPr>
        <w:tabs>
          <w:tab w:val="left" w:pos="1283"/>
        </w:tabs>
        <w:spacing w:before="0" w:line="360" w:lineRule="exact"/>
        <w:ind w:right="595"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法定代表人授权书原件及委托代理人身份证复印件；（附件四）（委托代理人磋商时必须提供，否则磋商响应无效）</w:t>
      </w:r>
    </w:p>
    <w:p>
      <w:pPr>
        <w:pStyle w:val="39"/>
        <w:numPr>
          <w:ilvl w:val="0"/>
          <w:numId w:val="6"/>
        </w:numPr>
        <w:tabs>
          <w:tab w:val="left" w:pos="1283"/>
        </w:tabs>
        <w:spacing w:before="0" w:line="360" w:lineRule="exact"/>
        <w:ind w:right="595"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最近半年内任意三个月依法缴纳税费的完税凭证或者《依法缴纳税费或依法免缴税费证明》（复印件，应清晰反映：付款人名称、帐号，征收机关名称，缴款金额，税种名称、所属时期等内容，原件备查）；（必须提供，否则磋商响应无效）</w:t>
      </w:r>
    </w:p>
    <w:p>
      <w:pPr>
        <w:pStyle w:val="39"/>
        <w:numPr>
          <w:ilvl w:val="0"/>
          <w:numId w:val="6"/>
        </w:numPr>
        <w:tabs>
          <w:tab w:val="left" w:pos="1283"/>
        </w:tabs>
        <w:spacing w:before="0" w:line="360" w:lineRule="exact"/>
        <w:ind w:right="595"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供应商最近半年内任意三个月依法缴纳社保费的缴费凭证复印件或供应商所在地社保部门出具的《依法缴纳或依法免缴社保费证明》复印件（原件备查）。（必须提供，否则磋商响应无效）</w:t>
      </w:r>
    </w:p>
    <w:p>
      <w:pPr>
        <w:pStyle w:val="7"/>
        <w:numPr>
          <w:ilvl w:val="0"/>
          <w:numId w:val="6"/>
        </w:numPr>
        <w:tabs>
          <w:tab w:val="left" w:pos="1344"/>
        </w:tabs>
        <w:spacing w:line="360" w:lineRule="exact"/>
        <w:ind w:right="595" w:firstLine="420" w:firstLineChars="200"/>
        <w:jc w:val="lef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供应商2018年或2019年财务会计报告或财务报表复印件；如供应商是2020年1月1日后新成立的，则按实现月份提供财务会计报告或财务报表复印件。（必须提供，否则磋商响应无效）</w:t>
      </w:r>
    </w:p>
    <w:p>
      <w:pPr>
        <w:pStyle w:val="7"/>
        <w:numPr>
          <w:ilvl w:val="0"/>
          <w:numId w:val="6"/>
        </w:numPr>
        <w:tabs>
          <w:tab w:val="left" w:pos="1344"/>
        </w:tabs>
        <w:spacing w:line="360" w:lineRule="exact"/>
        <w:ind w:firstLine="420" w:firstLineChars="200"/>
        <w:jc w:val="left"/>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参加政府采购活动前三年内在经营活动中没有重大违法记录和不良信用记录的书面声明；（必须提供，否则磋商响应无效）（格式自拟）。</w:t>
      </w:r>
    </w:p>
    <w:p>
      <w:pPr>
        <w:pStyle w:val="39"/>
        <w:numPr>
          <w:ilvl w:val="0"/>
          <w:numId w:val="6"/>
        </w:numPr>
        <w:tabs>
          <w:tab w:val="left" w:pos="1283"/>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技术服务要求（必须提供，否则磋商响应无效）：</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①针对本项目的实施方案（供应商就“项目采购需求”自行编制）必须提供；</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②针对本项目的服务承诺书（供应商就“项目采购需求”自行编制）必须提供；</w:t>
      </w:r>
    </w:p>
    <w:p>
      <w:pPr>
        <w:pStyle w:val="39"/>
        <w:numPr>
          <w:ilvl w:val="0"/>
          <w:numId w:val="6"/>
        </w:numPr>
        <w:tabs>
          <w:tab w:val="left" w:pos="1386"/>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拟投入本项目负责人基本情况表【磋商供应商应随此表附上项目负责人的相关材料（如身份证、职称证、合同等的复印件）】（格式自拟，必须提供）；</w:t>
      </w:r>
    </w:p>
    <w:p>
      <w:pPr>
        <w:pStyle w:val="39"/>
        <w:numPr>
          <w:ilvl w:val="0"/>
          <w:numId w:val="6"/>
        </w:numPr>
        <w:tabs>
          <w:tab w:val="left" w:pos="1386"/>
        </w:tabs>
        <w:spacing w:before="0" w:line="360" w:lineRule="exact"/>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供应商认为需要提供的有关资料。</w:t>
      </w:r>
    </w:p>
    <w:p>
      <w:pPr>
        <w:pStyle w:val="39"/>
        <w:numPr>
          <w:ilvl w:val="1"/>
          <w:numId w:val="7"/>
        </w:numPr>
        <w:tabs>
          <w:tab w:val="left" w:pos="1121"/>
        </w:tabs>
        <w:spacing w:before="0" w:line="360" w:lineRule="exact"/>
        <w:ind w:right="593" w:firstLine="396"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 xml:space="preserve">响应文件的正本须用 </w:t>
      </w:r>
      <w:r>
        <w:rPr>
          <w:rFonts w:hint="eastAsia" w:asciiTheme="minorEastAsia" w:hAnsiTheme="minorEastAsia" w:eastAsiaTheme="minorEastAsia" w:cstheme="minorEastAsia"/>
          <w:color w:val="auto"/>
          <w:sz w:val="21"/>
          <w:szCs w:val="21"/>
        </w:rPr>
        <w:t>A4</w:t>
      </w:r>
      <w:r>
        <w:rPr>
          <w:rFonts w:hint="eastAsia" w:asciiTheme="minorEastAsia" w:hAnsiTheme="minorEastAsia" w:eastAsiaTheme="minorEastAsia" w:cstheme="minorEastAsia"/>
          <w:color w:val="auto"/>
          <w:spacing w:val="-11"/>
          <w:sz w:val="21"/>
          <w:szCs w:val="21"/>
        </w:rPr>
        <w:t xml:space="preserve"> 纸打印或用不褪色的墨水填写，响应文件正本除《磋商须知》 中规定提供原件以外的均可提供复印件。副本可为正本的复印件。</w:t>
      </w:r>
    </w:p>
    <w:p>
      <w:pPr>
        <w:pStyle w:val="39"/>
        <w:numPr>
          <w:ilvl w:val="1"/>
          <w:numId w:val="7"/>
        </w:numPr>
        <w:tabs>
          <w:tab w:val="left" w:pos="1121"/>
        </w:tabs>
        <w:spacing w:before="0" w:line="360" w:lineRule="exact"/>
        <w:ind w:right="593" w:firstLine="396" w:firstLineChars="200"/>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响应文件须由磋商供应商法定代表人或法定代表人的授权委托人在规定签名、盖章位置签字盖章，否则磋商无效。</w:t>
      </w:r>
    </w:p>
    <w:p>
      <w:pPr>
        <w:pStyle w:val="39"/>
        <w:numPr>
          <w:ilvl w:val="1"/>
          <w:numId w:val="7"/>
        </w:numPr>
        <w:tabs>
          <w:tab w:val="left" w:pos="1121"/>
        </w:tabs>
        <w:spacing w:before="0" w:line="360" w:lineRule="exact"/>
        <w:ind w:right="593" w:firstLine="396"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6"/>
          <w:sz w:val="21"/>
          <w:szCs w:val="21"/>
        </w:rPr>
        <w:t>响应文件不得涂改，若有修改错漏处，须加盖单位公章或者法定代表人或授权委托人签字。</w:t>
      </w:r>
      <w:r>
        <w:rPr>
          <w:rFonts w:hint="eastAsia" w:asciiTheme="minorEastAsia" w:hAnsiTheme="minorEastAsia" w:eastAsiaTheme="minorEastAsia" w:cstheme="minorEastAsia"/>
          <w:color w:val="auto"/>
          <w:sz w:val="21"/>
          <w:szCs w:val="21"/>
        </w:rPr>
        <w:t>响应文件因字迹潦草或表达不清所引起的后果由磋商供应商负责。</w:t>
      </w:r>
    </w:p>
    <w:p>
      <w:pPr>
        <w:pStyle w:val="39"/>
        <w:numPr>
          <w:ilvl w:val="1"/>
          <w:numId w:val="7"/>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响应文件有效期：见磋商须知前附表。</w:t>
      </w:r>
    </w:p>
    <w:p>
      <w:pPr>
        <w:pStyle w:val="39"/>
        <w:tabs>
          <w:tab w:val="left" w:pos="968"/>
        </w:tabs>
        <w:spacing w:before="0" w:line="360" w:lineRule="exact"/>
        <w:ind w:left="0"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rPr>
        <w:t>7.</w:t>
      </w:r>
      <w:r>
        <w:rPr>
          <w:rFonts w:hint="eastAsia" w:asciiTheme="minorEastAsia" w:hAnsiTheme="minorEastAsia" w:eastAsiaTheme="minorEastAsia" w:cstheme="minorEastAsia"/>
          <w:b/>
          <w:bCs/>
          <w:color w:val="auto"/>
          <w:sz w:val="21"/>
          <w:szCs w:val="21"/>
        </w:rPr>
        <w:t>计量单位</w:t>
      </w:r>
    </w:p>
    <w:p>
      <w:pPr>
        <w:pStyle w:val="39"/>
        <w:tabs>
          <w:tab w:val="left" w:pos="968"/>
        </w:tabs>
        <w:spacing w:before="0" w:line="360" w:lineRule="exact"/>
        <w:ind w:lef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除技术要求中另有规定外，本文件所要求使用的计量单位均应采用国家法定计量单位。</w:t>
      </w:r>
    </w:p>
    <w:p>
      <w:pPr>
        <w:pStyle w:val="39"/>
        <w:tabs>
          <w:tab w:val="left" w:pos="1121"/>
        </w:tabs>
        <w:spacing w:before="0" w:line="360" w:lineRule="exact"/>
        <w:ind w:left="0" w:right="965"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三、磋商报价要求</w:t>
      </w:r>
    </w:p>
    <w:p>
      <w:pPr>
        <w:pStyle w:val="39"/>
        <w:numPr>
          <w:ilvl w:val="1"/>
          <w:numId w:val="8"/>
        </w:numPr>
        <w:tabs>
          <w:tab w:val="left" w:pos="1280"/>
        </w:tabs>
        <w:spacing w:before="0" w:line="360" w:lineRule="exact"/>
        <w:ind w:right="598"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对于本文件中未列明，而磋商供应商认为必需的费用也需列入总报价。在合同实施时，采购人将不予支付成交供应商没有列入的项目费用，并认为此项目的费用己包括在总报价中。</w:t>
      </w:r>
    </w:p>
    <w:p>
      <w:pPr>
        <w:pStyle w:val="39"/>
        <w:numPr>
          <w:ilvl w:val="1"/>
          <w:numId w:val="8"/>
        </w:numPr>
        <w:tabs>
          <w:tab w:val="left" w:pos="1280"/>
        </w:tabs>
        <w:spacing w:before="0" w:line="360" w:lineRule="exact"/>
        <w:ind w:right="598"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成交供应商负责本项目所需服务的全部工作。 </w:t>
      </w:r>
    </w:p>
    <w:p>
      <w:pPr>
        <w:pStyle w:val="39"/>
        <w:tabs>
          <w:tab w:val="left" w:pos="1280"/>
        </w:tabs>
        <w:spacing w:before="0" w:line="360" w:lineRule="exact"/>
        <w:ind w:left="0" w:right="598" w:firstLine="422" w:firstLineChars="200"/>
        <w:jc w:val="both"/>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四、响应文件的份数、封装和递交</w:t>
      </w:r>
    </w:p>
    <w:p>
      <w:pPr>
        <w:pStyle w:val="39"/>
        <w:numPr>
          <w:ilvl w:val="0"/>
          <w:numId w:val="9"/>
        </w:numPr>
        <w:tabs>
          <w:tab w:val="left" w:pos="1070"/>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磋商响应文件的份数和封装</w:t>
      </w:r>
    </w:p>
    <w:p>
      <w:pPr>
        <w:pStyle w:val="39"/>
        <w:numPr>
          <w:ilvl w:val="1"/>
          <w:numId w:val="9"/>
        </w:numPr>
        <w:tabs>
          <w:tab w:val="left" w:pos="1121"/>
        </w:tabs>
        <w:spacing w:before="0" w:line="360" w:lineRule="exact"/>
        <w:ind w:right="544" w:firstLine="392"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rPr>
        <w:t>磋商供应商应将竞争性磋商响应文件中“价格文件”和“商务技术文件”合并装订成一册，其</w:t>
      </w:r>
      <w:r>
        <w:rPr>
          <w:rFonts w:hint="eastAsia" w:asciiTheme="minorEastAsia" w:hAnsiTheme="minorEastAsia" w:eastAsiaTheme="minorEastAsia" w:cstheme="minorEastAsia"/>
          <w:color w:val="auto"/>
          <w:sz w:val="21"/>
          <w:szCs w:val="21"/>
        </w:rPr>
        <w:t>中正本一份，副本三份，并在每个文本封面上标明“正本”或“副本”。供应商应将正、副本一并装入一个文件袋中进行包装，同时加以密封，并在封贴处密封签章（公章、密封章、法定代表人或其委托代理人签字均可</w:t>
      </w:r>
      <w:r>
        <w:rPr>
          <w:rFonts w:hint="eastAsia" w:asciiTheme="minorEastAsia" w:hAnsiTheme="minorEastAsia" w:eastAsiaTheme="minorEastAsia" w:cstheme="minorEastAsia"/>
          <w:color w:val="auto"/>
          <w:spacing w:val="-104"/>
          <w:sz w:val="21"/>
          <w:szCs w:val="21"/>
        </w:rPr>
        <w:t>）</w:t>
      </w:r>
      <w:r>
        <w:rPr>
          <w:rFonts w:hint="eastAsia" w:asciiTheme="minorEastAsia" w:hAnsiTheme="minorEastAsia" w:eastAsiaTheme="minorEastAsia" w:cstheme="minorEastAsia"/>
          <w:color w:val="auto"/>
          <w:spacing w:val="-7"/>
          <w:sz w:val="21"/>
          <w:szCs w:val="21"/>
        </w:rPr>
        <w:t>。响应文件的外包装封面上应注明磋商供应商名称、磋商项目名称、项目编号字样，并加盖磋商供应商公章。未按规定密封或标记的响应文件磋商无效，由此造成的风险由磋商供应商承担。</w:t>
      </w:r>
    </w:p>
    <w:p>
      <w:pPr>
        <w:pStyle w:val="39"/>
        <w:numPr>
          <w:ilvl w:val="1"/>
          <w:numId w:val="9"/>
        </w:numPr>
        <w:tabs>
          <w:tab w:val="left" w:pos="1176"/>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响应文件的信封上应写明：</w:t>
      </w:r>
    </w:p>
    <w:p>
      <w:pPr>
        <w:pStyle w:val="39"/>
        <w:numPr>
          <w:ilvl w:val="0"/>
          <w:numId w:val="10"/>
        </w:numPr>
        <w:tabs>
          <w:tab w:val="left" w:pos="128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竞争性磋商项目编号；</w:t>
      </w:r>
    </w:p>
    <w:p>
      <w:pPr>
        <w:pStyle w:val="39"/>
        <w:numPr>
          <w:ilvl w:val="0"/>
          <w:numId w:val="10"/>
        </w:numPr>
        <w:tabs>
          <w:tab w:val="left" w:pos="128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竞争性磋商项目名称；</w:t>
      </w:r>
    </w:p>
    <w:p>
      <w:pPr>
        <w:pStyle w:val="39"/>
        <w:numPr>
          <w:ilvl w:val="0"/>
          <w:numId w:val="10"/>
        </w:numPr>
        <w:tabs>
          <w:tab w:val="left" w:pos="128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磋商供应商名称。</w:t>
      </w:r>
    </w:p>
    <w:p>
      <w:pPr>
        <w:pStyle w:val="39"/>
        <w:numPr>
          <w:ilvl w:val="0"/>
          <w:numId w:val="9"/>
        </w:numPr>
        <w:tabs>
          <w:tab w:val="left" w:pos="1175"/>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响应文件的递交</w:t>
      </w:r>
    </w:p>
    <w:p>
      <w:pPr>
        <w:pStyle w:val="39"/>
        <w:tabs>
          <w:tab w:val="left" w:pos="1280"/>
        </w:tabs>
        <w:spacing w:before="0" w:line="360" w:lineRule="exact"/>
        <w:ind w:lef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10.1 </w:t>
      </w:r>
      <w:r>
        <w:rPr>
          <w:rFonts w:hint="eastAsia" w:asciiTheme="minorEastAsia" w:hAnsiTheme="minorEastAsia" w:eastAsiaTheme="minorEastAsia" w:cstheme="minorEastAsia"/>
          <w:color w:val="auto"/>
          <w:sz w:val="21"/>
          <w:szCs w:val="21"/>
        </w:rPr>
        <w:t>所有响应文件应于竞争性磋商文件中规定的时间前递交到华物盛泰工程咨询管理有限公司。</w:t>
      </w:r>
    </w:p>
    <w:p>
      <w:pPr>
        <w:pStyle w:val="39"/>
        <w:tabs>
          <w:tab w:val="left" w:pos="1280"/>
        </w:tabs>
        <w:spacing w:before="0" w:line="360" w:lineRule="exact"/>
        <w:ind w:left="0" w:right="596" w:firstLine="416"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rPr>
        <w:t xml:space="preserve">10.2 </w:t>
      </w:r>
      <w:r>
        <w:rPr>
          <w:rFonts w:hint="eastAsia" w:asciiTheme="minorEastAsia" w:hAnsiTheme="minorEastAsia" w:eastAsiaTheme="minorEastAsia" w:cstheme="minorEastAsia"/>
          <w:color w:val="auto"/>
          <w:spacing w:val="-1"/>
          <w:sz w:val="21"/>
          <w:szCs w:val="21"/>
        </w:rPr>
        <w:t>若遇到磋商过多造成部分磋商供应商在截止时间前己抵达开标现场但未能签到的情况，采购人或采购代理机构将按规定在响应文件递交截止时间关闭大门，禁止迟到的磋商供应商进入递交响应文件，磋商供应商递交响应文件的时间应以其进入磋商文件规定的开标场所的时间为准（不递交的队外</w:t>
      </w:r>
      <w:r>
        <w:rPr>
          <w:rFonts w:hint="eastAsia" w:asciiTheme="minorEastAsia" w:hAnsiTheme="minorEastAsia" w:eastAsiaTheme="minorEastAsia" w:cstheme="minorEastAsia"/>
          <w:color w:val="auto"/>
          <w:spacing w:val="-104"/>
          <w:sz w:val="21"/>
          <w:szCs w:val="21"/>
        </w:rPr>
        <w:t>）</w:t>
      </w:r>
      <w:r>
        <w:rPr>
          <w:rFonts w:hint="eastAsia" w:asciiTheme="minorEastAsia" w:hAnsiTheme="minorEastAsia" w:eastAsiaTheme="minorEastAsia" w:cstheme="minorEastAsia"/>
          <w:color w:val="auto"/>
          <w:sz w:val="21"/>
          <w:szCs w:val="21"/>
        </w:rPr>
        <w:t>。</w:t>
      </w:r>
    </w:p>
    <w:p>
      <w:pPr>
        <w:pStyle w:val="39"/>
        <w:tabs>
          <w:tab w:val="left" w:pos="1280"/>
        </w:tabs>
        <w:spacing w:before="0" w:line="360" w:lineRule="exact"/>
        <w:ind w:left="0" w:right="595"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10.3 </w:t>
      </w:r>
      <w:r>
        <w:rPr>
          <w:rFonts w:hint="eastAsia" w:asciiTheme="minorEastAsia" w:hAnsiTheme="minorEastAsia" w:eastAsiaTheme="minorEastAsia" w:cstheme="minorEastAsia"/>
          <w:color w:val="auto"/>
          <w:sz w:val="21"/>
          <w:szCs w:val="21"/>
        </w:rPr>
        <w:t>供应商在提交响应文件截止时间前，可以对所提交的响应文件进行补充、修改或者撤回，   并书面通知采购人、采购代理机构。补充、修改的内容作为响应文件的组成部分。补充、修改的内容与响应文件不一致的，以补充、修改的内容为准。</w:t>
      </w:r>
    </w:p>
    <w:p>
      <w:pPr>
        <w:pStyle w:val="39"/>
        <w:numPr>
          <w:ilvl w:val="0"/>
          <w:numId w:val="9"/>
        </w:numPr>
        <w:tabs>
          <w:tab w:val="left" w:pos="1175"/>
        </w:tabs>
        <w:spacing w:before="0" w:line="360" w:lineRule="exact"/>
        <w:ind w:firstLine="422"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迟交的响应文件</w:t>
      </w:r>
    </w:p>
    <w:p>
      <w:pPr>
        <w:pStyle w:val="2"/>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华物盛泰工程咨询管理有限公司拒绝或原封退回在其规定的递交响应文件截止时间之后收到的任何响应文件。</w:t>
      </w:r>
    </w:p>
    <w:p>
      <w:pPr>
        <w:pStyle w:val="2"/>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五、响应文件评审及磋商的步骤</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磋商小组确认竞争性磋商文件。</w:t>
      </w:r>
    </w:p>
    <w:p>
      <w:pPr>
        <w:pStyle w:val="39"/>
        <w:numPr>
          <w:ilvl w:val="1"/>
          <w:numId w:val="11"/>
        </w:numPr>
        <w:tabs>
          <w:tab w:val="left" w:pos="1280"/>
        </w:tabs>
        <w:spacing w:before="0" w:line="360" w:lineRule="exact"/>
        <w:ind w:right="595" w:firstLine="40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5"/>
          <w:sz w:val="21"/>
          <w:szCs w:val="21"/>
        </w:rPr>
        <w:t>磋商小组对磋商资格条件及响应文件进行评审，并从符合</w:t>
      </w:r>
      <w:r>
        <w:rPr>
          <w:rFonts w:hint="eastAsia" w:asciiTheme="minorEastAsia" w:hAnsiTheme="minorEastAsia" w:eastAsiaTheme="minorEastAsia" w:cstheme="minorEastAsia"/>
          <w:color w:val="auto"/>
          <w:spacing w:val="-5"/>
          <w:sz w:val="21"/>
          <w:szCs w:val="21"/>
          <w:lang w:eastAsia="zh-CN"/>
        </w:rPr>
        <w:t>竞争性磋商文件</w:t>
      </w:r>
      <w:r>
        <w:rPr>
          <w:rFonts w:hint="eastAsia" w:asciiTheme="minorEastAsia" w:hAnsiTheme="minorEastAsia" w:eastAsiaTheme="minorEastAsia" w:cstheme="minorEastAsia"/>
          <w:color w:val="auto"/>
          <w:spacing w:val="-5"/>
          <w:sz w:val="21"/>
          <w:szCs w:val="21"/>
        </w:rPr>
        <w:t xml:space="preserve">规定的相应资格条件的供应商名单中确定不少于 </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pacing w:val="-4"/>
          <w:sz w:val="21"/>
          <w:szCs w:val="21"/>
        </w:rPr>
        <w:t xml:space="preserve"> 家的供应商参加磋商。资格条件不符合的供应商的响应文件按无效响应处理，磋商小组应当告知有关供应商。</w:t>
      </w:r>
    </w:p>
    <w:p>
      <w:pPr>
        <w:pStyle w:val="2"/>
        <w:spacing w:line="360" w:lineRule="exact"/>
        <w:ind w:right="596" w:firstLine="400" w:firstLineChars="200"/>
        <w:jc w:val="both"/>
        <w:rPr>
          <w:rFonts w:asciiTheme="minorEastAsia" w:hAnsiTheme="minorEastAsia" w:eastAsiaTheme="minorEastAsia" w:cstheme="minorEastAsia"/>
          <w:color w:val="auto"/>
          <w:spacing w:val="-5"/>
        </w:rPr>
      </w:pPr>
      <w:r>
        <w:rPr>
          <w:rFonts w:hint="eastAsia" w:asciiTheme="minorEastAsia" w:hAnsiTheme="minorEastAsia" w:eastAsiaTheme="minorEastAsia" w:cstheme="minorEastAsia"/>
          <w:color w:val="auto"/>
          <w:spacing w:val="-5"/>
        </w:rPr>
        <w:t>磋商小组在对响应文件的有效性、完整性和响应程度进行审查时，可以要求供应商对响应文件</w:t>
      </w:r>
      <w:r>
        <w:rPr>
          <w:rFonts w:hint="eastAsia" w:asciiTheme="minorEastAsia" w:hAnsiTheme="minorEastAsia" w:eastAsiaTheme="minorEastAsia" w:cstheme="minorEastAsia"/>
          <w:color w:val="auto"/>
          <w:spacing w:val="-5"/>
          <w:lang w:val="en-US"/>
        </w:rPr>
        <w:t>中</w:t>
      </w:r>
      <w:r>
        <w:rPr>
          <w:rFonts w:hint="eastAsia" w:asciiTheme="minorEastAsia" w:hAnsiTheme="minorEastAsia" w:eastAsiaTheme="minorEastAsia" w:cstheme="minorEastAsia"/>
          <w:color w:val="auto"/>
          <w:spacing w:val="-5"/>
        </w:rPr>
        <w:t>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第一轮磋商</w:t>
      </w:r>
    </w:p>
    <w:p>
      <w:pPr>
        <w:pStyle w:val="2"/>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磋商小组按已确定的磋商顺序，磋商小组所有成员应当集中与单一供应商分别进行磋商，并给予所有参加磋商的供应商平等的磋商机会。</w:t>
      </w:r>
    </w:p>
    <w:p>
      <w:pPr>
        <w:pStyle w:val="2"/>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在磋商过程中，磋商小组可以根据磋商文件和磋商情况实质性变动采购需求中的技术、服务要求以及合同草案条款，但不得变动磋商文件中的其他内容。实质性变动的内容，须经采购人代表确认。</w:t>
      </w:r>
    </w:p>
    <w:p>
      <w:pPr>
        <w:pStyle w:val="2"/>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对磋商文件作出的实质性变动是磋商文件的有效组成部分，磋商小组应当及时以书面形式同时通知所有参加磋商的供应商。</w:t>
      </w:r>
    </w:p>
    <w:p>
      <w:pPr>
        <w:pStyle w:val="2"/>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供应商应当按照磋商文件的变动情况和磋商小组的要求重新提交响应文件，并由其法定代表人或授权代表签字或者加盖公章。由授权代表签字的，应当附法定代表人授权书。磋商中，磋商的任何一方不得透露与磋商有关的其他供应商的技术资料、价格和其他信息。</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采购代理机构对磋商过程和重要磋商内容进行记录，磋商双方在记录上签字确认。</w:t>
      </w:r>
    </w:p>
    <w:p>
      <w:pPr>
        <w:pStyle w:val="2"/>
        <w:spacing w:line="360" w:lineRule="exact"/>
        <w:ind w:right="596"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磋商小组一致确定响应供应商符合磋商文件要求的，按磋商文件设定的方法和标准确定成交候选人。第一轮磋商磋商小组未能确定成交候选人的，对磋商文件修正后进行第二轮磋商。</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磋商文件修正</w:t>
      </w:r>
    </w:p>
    <w:p>
      <w:pPr>
        <w:pStyle w:val="2"/>
        <w:spacing w:line="360" w:lineRule="exact"/>
        <w:ind w:right="59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(1）第一轮磋商结束后，各响应供应商退场等候，磋商小组进行合议。根据第一轮磋商掌握的情况，可以对磋商文件进行修改，确定采购内容的详细规格或具体要求，优化采购方案。</w:t>
      </w:r>
    </w:p>
    <w:p>
      <w:pPr>
        <w:pStyle w:val="2"/>
        <w:spacing w:line="360" w:lineRule="exact"/>
        <w:ind w:right="59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(2）采购代理机构通知响应供应商集中，磋商小组强调调整后的采购要求，将磋商文件的修改结果以书面形式通知响应供应商，向响应供应商提供较充分的修正时间。</w:t>
      </w:r>
    </w:p>
    <w:p>
      <w:pPr>
        <w:pStyle w:val="2"/>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(3）响应供应商根据第一轮磋商情况和磋商文件修改书面通知，对原响应文件进行修正，并将修正文件签字（盖公章）后密封送交磋商小组。逾时不交的，视同放弃磋商。修正文件与响应文件同具法律效应。</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第二轮磋商</w:t>
      </w:r>
    </w:p>
    <w:p>
      <w:pPr>
        <w:pStyle w:val="2"/>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第二轮磋商磋商小组未能确定成交候选人的，对磋商文件修正后进行第三轮磋商。以此类推。</w:t>
      </w:r>
    </w:p>
    <w:p>
      <w:pPr>
        <w:pStyle w:val="39"/>
        <w:numPr>
          <w:ilvl w:val="1"/>
          <w:numId w:val="11"/>
        </w:numPr>
        <w:tabs>
          <w:tab w:val="left" w:pos="1280"/>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最后报价</w:t>
      </w:r>
    </w:p>
    <w:p>
      <w:pPr>
        <w:pStyle w:val="39"/>
        <w:numPr>
          <w:ilvl w:val="2"/>
          <w:numId w:val="11"/>
        </w:numPr>
        <w:tabs>
          <w:tab w:val="left" w:pos="149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结束后，磋商小组应当要求所有实质性响应的供应商在规定时间内提交最后报价，提交最后报价的供应商不得少于3家。最后报价是供应商响应文件的有效组成部分。符合《政府采购竞争性磋商采购方式管理暂行办法》第三条第一、四项情形的，提交最后报价的供应商可以为2家。</w:t>
      </w:r>
      <w:r>
        <w:rPr>
          <w:rFonts w:hint="eastAsia" w:asciiTheme="minorEastAsia" w:hAnsiTheme="minorEastAsia" w:eastAsiaTheme="minorEastAsia" w:cstheme="minorEastAsia"/>
          <w:color w:val="auto"/>
          <w:sz w:val="21"/>
          <w:szCs w:val="21"/>
          <w:lang w:val="en-US" w:eastAsia="zh-CN"/>
        </w:rPr>
        <w:t>根据《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采购代理机构应当终止竞争性磋商采购活动，发布项目终止公告并说明原因，重新开展采购活动。</w:t>
      </w:r>
    </w:p>
    <w:p>
      <w:pPr>
        <w:pStyle w:val="39"/>
        <w:numPr>
          <w:ilvl w:val="2"/>
          <w:numId w:val="11"/>
        </w:numPr>
        <w:tabs>
          <w:tab w:val="left" w:pos="149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最后报价是磋商供应商响应文件的有效组成部分。</w:t>
      </w:r>
    </w:p>
    <w:p>
      <w:pPr>
        <w:pStyle w:val="39"/>
        <w:numPr>
          <w:ilvl w:val="2"/>
          <w:numId w:val="11"/>
        </w:numPr>
        <w:tabs>
          <w:tab w:val="left" w:pos="1491"/>
        </w:tabs>
        <w:spacing w:before="0" w:line="360" w:lineRule="exact"/>
        <w:ind w:right="595"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己经提交响应文件的磋商供应商，在提交最后报价之前，可以根据磋商情况退出磋商。采购人、采购代理机构将退还退出磋商的供应商的保证金。</w:t>
      </w:r>
    </w:p>
    <w:p>
      <w:pPr>
        <w:pStyle w:val="39"/>
        <w:numPr>
          <w:ilvl w:val="2"/>
          <w:numId w:val="11"/>
        </w:numPr>
        <w:tabs>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小型和微型企业最终报价扣除计算。</w:t>
      </w:r>
    </w:p>
    <w:p>
      <w:pPr>
        <w:pStyle w:val="2"/>
        <w:spacing w:line="360" w:lineRule="exact"/>
        <w:ind w:right="593" w:firstLine="396"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按照《政府采购促进中小企业发展暂行办法》</w:t>
      </w:r>
      <w:r>
        <w:rPr>
          <w:rFonts w:hint="eastAsia" w:asciiTheme="minorEastAsia" w:hAnsiTheme="minorEastAsia" w:eastAsiaTheme="minorEastAsia" w:cstheme="minorEastAsia"/>
          <w:color w:val="auto"/>
        </w:rPr>
        <w:t>（财库[2011]181</w:t>
      </w:r>
      <w:r>
        <w:rPr>
          <w:rFonts w:hint="eastAsia" w:asciiTheme="minorEastAsia" w:hAnsiTheme="minorEastAsia" w:eastAsiaTheme="minorEastAsia" w:cstheme="minorEastAsia"/>
          <w:color w:val="auto"/>
          <w:spacing w:val="-17"/>
        </w:rPr>
        <w:t xml:space="preserve"> 号</w:t>
      </w:r>
      <w:r>
        <w:rPr>
          <w:rFonts w:hint="eastAsia" w:asciiTheme="minorEastAsia" w:hAnsiTheme="minorEastAsia" w:eastAsiaTheme="minorEastAsia" w:cstheme="minorEastAsia"/>
          <w:color w:val="auto"/>
        </w:rPr>
        <w:t>）认定为小型和微型企业产品</w:t>
      </w:r>
      <w:r>
        <w:rPr>
          <w:rFonts w:hint="eastAsia" w:asciiTheme="minorEastAsia" w:hAnsiTheme="minorEastAsia" w:eastAsiaTheme="minorEastAsia" w:cstheme="minorEastAsia"/>
          <w:color w:val="auto"/>
          <w:spacing w:val="-5"/>
        </w:rPr>
        <w:t>的（以响应文件提供的符合规定生产厂家有关证明材料为准），对磋商价给予</w:t>
      </w:r>
      <w:r>
        <w:rPr>
          <w:rFonts w:hint="eastAsia" w:asciiTheme="minorEastAsia" w:hAnsiTheme="minorEastAsia" w:eastAsiaTheme="minorEastAsia" w:cstheme="minorEastAsia"/>
          <w:color w:val="auto"/>
          <w:spacing w:val="-5"/>
          <w:lang w:val="en-US"/>
        </w:rPr>
        <w:t>10</w:t>
      </w:r>
      <w:r>
        <w:rPr>
          <w:rFonts w:hint="eastAsia" w:asciiTheme="minorEastAsia" w:hAnsiTheme="minorEastAsia" w:eastAsiaTheme="minorEastAsia" w:cstheme="minorEastAsia"/>
          <w:color w:val="auto"/>
          <w:spacing w:val="-5"/>
        </w:rPr>
        <w:t>%的扣除，扣除后的价格为评标价，即评标价=磋商价×（1-</w:t>
      </w:r>
      <w:r>
        <w:rPr>
          <w:rFonts w:hint="eastAsia" w:asciiTheme="minorEastAsia" w:hAnsiTheme="minorEastAsia" w:eastAsiaTheme="minorEastAsia" w:cstheme="minorEastAsia"/>
          <w:color w:val="auto"/>
          <w:spacing w:val="-5"/>
          <w:lang w:val="en-US"/>
        </w:rPr>
        <w:t>10</w:t>
      </w:r>
      <w:r>
        <w:rPr>
          <w:rFonts w:hint="eastAsia" w:asciiTheme="minorEastAsia" w:hAnsiTheme="minorEastAsia" w:eastAsiaTheme="minorEastAsia" w:cstheme="minorEastAsia"/>
          <w:color w:val="auto"/>
          <w:spacing w:val="-5"/>
        </w:rPr>
        <w:t>%）；大中型企业与小型、微型企业组成联合体磋商，其中小型、微型企业的协议合同金额占到联合体协议合同总金额 30%以上的，联合体磋商价给予2%的扣除，扣除后的价格为评标价，即评标价=投标价×（1-2%）。根据《关于政府采购支持监狱企业发展有关问题的通知》（财库[2014]68 号）及《关于我区政府采购支持监狱企业发展有关问题的通知》（桂财采[2015]24 号）的有关规定，监狱企业视同小型、微型企业，对磋商价给予</w:t>
      </w:r>
      <w:r>
        <w:rPr>
          <w:rFonts w:hint="eastAsia" w:asciiTheme="minorEastAsia" w:hAnsiTheme="minorEastAsia" w:eastAsiaTheme="minorEastAsia" w:cstheme="minorEastAsia"/>
          <w:color w:val="auto"/>
          <w:spacing w:val="-5"/>
          <w:lang w:val="en-US"/>
        </w:rPr>
        <w:t>6</w:t>
      </w:r>
      <w:r>
        <w:rPr>
          <w:rFonts w:hint="eastAsia" w:asciiTheme="minorEastAsia" w:hAnsiTheme="minorEastAsia" w:eastAsiaTheme="minorEastAsia" w:cstheme="minorEastAsia"/>
          <w:color w:val="auto"/>
          <w:spacing w:val="-5"/>
        </w:rPr>
        <w:t>%～10%的扣除（监狱企业名单详见第一期《广西壮族自治区监狱企业产品目录》）。根据《关于促进残疾人就业政府采购政策的通知》（财库〔2017〕141 号）对磋商价</w:t>
      </w:r>
      <w:r>
        <w:rPr>
          <w:rFonts w:hint="eastAsia" w:asciiTheme="minorEastAsia" w:hAnsiTheme="minorEastAsia" w:eastAsiaTheme="minorEastAsia" w:cstheme="minorEastAsia"/>
          <w:color w:val="auto"/>
          <w:spacing w:val="-9"/>
        </w:rPr>
        <w:t>给予</w:t>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spacing w:val="-5"/>
        </w:rPr>
        <w:t>的扣除</w:t>
      </w:r>
      <w:r>
        <w:rPr>
          <w:rFonts w:hint="eastAsia" w:asciiTheme="minorEastAsia" w:hAnsiTheme="minorEastAsia" w:eastAsiaTheme="minorEastAsia" w:cstheme="minorEastAsia"/>
          <w:color w:val="auto"/>
        </w:rPr>
        <w:t>（磋商供应商即属于残疾人福利性单</w:t>
      </w:r>
      <w:r>
        <w:rPr>
          <w:rFonts w:hint="eastAsia" w:asciiTheme="minorEastAsia" w:hAnsiTheme="minorEastAsia" w:eastAsiaTheme="minorEastAsia" w:cstheme="minorEastAsia"/>
          <w:color w:val="auto"/>
          <w:spacing w:val="-5"/>
        </w:rPr>
        <w:t xml:space="preserve">位又属于小型、微型企业的，其只能享受磋商价格一次性 </w:t>
      </w: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spacing w:val="-3"/>
        </w:rPr>
        <w:t xml:space="preserve"> 的扣除，不重复享受政策</w:t>
      </w:r>
      <w:r>
        <w:rPr>
          <w:rFonts w:hint="eastAsia" w:asciiTheme="minorEastAsia" w:hAnsiTheme="minorEastAsia" w:eastAsiaTheme="minorEastAsia" w:cstheme="minorEastAsia"/>
          <w:color w:val="auto"/>
          <w:spacing w:val="-104"/>
        </w:rPr>
        <w:t>）</w:t>
      </w:r>
      <w:r>
        <w:rPr>
          <w:rFonts w:hint="eastAsia" w:asciiTheme="minorEastAsia" w:hAnsiTheme="minorEastAsia" w:eastAsiaTheme="minorEastAsia" w:cstheme="minorEastAsia"/>
          <w:color w:val="auto"/>
          <w:spacing w:val="-2"/>
        </w:rPr>
        <w:t>。除上述情况外，评标价=投标价。</w:t>
      </w:r>
    </w:p>
    <w:p>
      <w:pPr>
        <w:pStyle w:val="39"/>
        <w:numPr>
          <w:ilvl w:val="2"/>
          <w:numId w:val="11"/>
        </w:numPr>
        <w:tabs>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经磋商确定最终采购需求和提交最后报价的磋商供应商后，由磋商小组采用综合评分法</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对提交最后报价的磋商供应商的响应文件和最后报价进行综合评分。</w:t>
      </w:r>
    </w:p>
    <w:p>
      <w:pPr>
        <w:pStyle w:val="2"/>
        <w:spacing w:line="360" w:lineRule="exact"/>
        <w:ind w:right="490" w:firstLine="41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 xml:space="preserve">磋商小组应当根据综合评分情况，按照评审得分由高到低顺序推荐 </w:t>
      </w: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spacing w:val="-4"/>
        </w:rPr>
        <w:t>名以上成交候选供应商，并编写评审报告。符合财库〔</w:t>
      </w:r>
      <w:r>
        <w:rPr>
          <w:rFonts w:hint="eastAsia" w:asciiTheme="minorEastAsia" w:hAnsiTheme="minorEastAsia" w:eastAsiaTheme="minorEastAsia" w:cstheme="minorEastAsia"/>
          <w:color w:val="auto"/>
        </w:rPr>
        <w:t>2014</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t>214</w:t>
      </w:r>
      <w:r>
        <w:rPr>
          <w:rFonts w:hint="eastAsia" w:asciiTheme="minorEastAsia" w:hAnsiTheme="minorEastAsia" w:eastAsiaTheme="minorEastAsia" w:cstheme="minorEastAsia"/>
          <w:color w:val="auto"/>
          <w:spacing w:val="-9"/>
        </w:rPr>
        <w:t xml:space="preserve"> 号《政府采购竞争性磋商采购方式管理暂行办法》 第二十</w:t>
      </w:r>
      <w:r>
        <w:rPr>
          <w:rFonts w:hint="eastAsia" w:asciiTheme="minorEastAsia" w:hAnsiTheme="minorEastAsia" w:eastAsiaTheme="minorEastAsia" w:cstheme="minorEastAsia"/>
          <w:color w:val="auto"/>
          <w:spacing w:val="-13"/>
        </w:rPr>
        <w:t>一条第三款情形</w:t>
      </w:r>
      <w:r>
        <w:rPr>
          <w:rFonts w:hint="eastAsia" w:asciiTheme="minorEastAsia" w:hAnsiTheme="minorEastAsia" w:eastAsiaTheme="minorEastAsia" w:cstheme="minorEastAsia"/>
          <w:color w:val="auto"/>
          <w:spacing w:val="-8"/>
        </w:rPr>
        <w:t>的，可以推荐 2家成交候选磋商供应商。评审得分相同的，按照最后报价由低到高的顺序推荐。评审得分且最后报价相同的，依次按节能环保和自主创新产品优先、技术指标高优先、质量保证期长优先、交货期短优先、故障响应时间短优先的顺序排列并推荐。</w:t>
      </w:r>
    </w:p>
    <w:p>
      <w:pPr>
        <w:pStyle w:val="39"/>
        <w:numPr>
          <w:ilvl w:val="1"/>
          <w:numId w:val="12"/>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响应供应商的报价均超过了采购预算，采购人不能支付的，磋商活动终止。</w:t>
      </w:r>
    </w:p>
    <w:p>
      <w:pPr>
        <w:pStyle w:val="39"/>
        <w:numPr>
          <w:ilvl w:val="1"/>
          <w:numId w:val="12"/>
        </w:numPr>
        <w:tabs>
          <w:tab w:val="left" w:pos="1229"/>
        </w:tabs>
        <w:spacing w:before="0" w:line="360" w:lineRule="exact"/>
        <w:ind w:right="596"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在评标过程中出现法律法规和磋商文件均没有明确规定的情形时，由磋商小组现场协商解决，协商不一致的，由全体磋商小组投票表决，以得票率二分之一以上专家的意见为准。</w:t>
      </w:r>
    </w:p>
    <w:p>
      <w:pPr>
        <w:pStyle w:val="39"/>
        <w:numPr>
          <w:ilvl w:val="1"/>
          <w:numId w:val="12"/>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特别说明：</w:t>
      </w:r>
    </w:p>
    <w:p>
      <w:pPr>
        <w:pStyle w:val="39"/>
        <w:tabs>
          <w:tab w:val="left" w:pos="1070"/>
        </w:tabs>
        <w:spacing w:before="0" w:line="360" w:lineRule="exact"/>
        <w:ind w:left="0" w:right="595"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12.9.1 </w:t>
      </w:r>
      <w:r>
        <w:rPr>
          <w:rFonts w:hint="eastAsia" w:asciiTheme="minorEastAsia" w:hAnsiTheme="minorEastAsia" w:eastAsiaTheme="minorEastAsia" w:cstheme="minorEastAsia"/>
          <w:color w:val="auto"/>
          <w:sz w:val="21"/>
          <w:szCs w:val="21"/>
        </w:rPr>
        <w:t>磋商供应商磋商所使用的资格、信誉、荣誉、业绩与企业认证必须为本法人所拥有或按磋商   文件规定。磋商供应商磋商所使用的采购项目实施人员必须为本法人员工（或必须为本法人或控股公司正式员工</w:t>
      </w:r>
      <w:r>
        <w:rPr>
          <w:rFonts w:hint="eastAsia" w:asciiTheme="minorEastAsia" w:hAnsiTheme="minorEastAsia" w:eastAsiaTheme="minorEastAsia" w:cstheme="minorEastAsia"/>
          <w:color w:val="auto"/>
          <w:spacing w:val="-104"/>
          <w:sz w:val="21"/>
          <w:szCs w:val="21"/>
        </w:rPr>
        <w:t>）</w:t>
      </w:r>
      <w:r>
        <w:rPr>
          <w:rFonts w:hint="eastAsia" w:asciiTheme="minorEastAsia" w:hAnsiTheme="minorEastAsia" w:eastAsiaTheme="minorEastAsia" w:cstheme="minorEastAsia"/>
          <w:color w:val="auto"/>
          <w:sz w:val="21"/>
          <w:szCs w:val="21"/>
        </w:rPr>
        <w:t>。</w:t>
      </w:r>
    </w:p>
    <w:p>
      <w:pPr>
        <w:pStyle w:val="39"/>
        <w:tabs>
          <w:tab w:val="left" w:pos="1070"/>
        </w:tabs>
        <w:spacing w:before="0" w:line="360" w:lineRule="exact"/>
        <w:ind w:left="0" w:right="598" w:firstLine="398"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5"/>
          <w:sz w:val="21"/>
          <w:szCs w:val="21"/>
          <w:lang w:val="en-US"/>
        </w:rPr>
        <w:t xml:space="preserve">12.9.2 </w:t>
      </w:r>
      <w:r>
        <w:rPr>
          <w:rFonts w:hint="eastAsia" w:asciiTheme="minorEastAsia" w:hAnsiTheme="minorEastAsia" w:eastAsiaTheme="minorEastAsia" w:cstheme="minorEastAsia"/>
          <w:color w:val="auto"/>
          <w:sz w:val="21"/>
          <w:szCs w:val="21"/>
        </w:rPr>
        <w:t>磋商供应商应仔细阅读竞争性磋商文件的所有内容，按照竞争性磋商文件的要求提交响应文件，并对所提供的全部资料的真实性承担法律责任。</w:t>
      </w:r>
    </w:p>
    <w:p>
      <w:pPr>
        <w:pStyle w:val="39"/>
        <w:tabs>
          <w:tab w:val="left" w:pos="1070"/>
        </w:tabs>
        <w:spacing w:before="0" w:line="360" w:lineRule="exact"/>
        <w:ind w:left="0" w:right="598"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 xml:space="preserve">12.9.3 </w:t>
      </w:r>
      <w:r>
        <w:rPr>
          <w:rFonts w:hint="eastAsia" w:asciiTheme="minorEastAsia" w:hAnsiTheme="minorEastAsia" w:eastAsiaTheme="minorEastAsia" w:cstheme="minorEastAsia"/>
          <w:color w:val="auto"/>
          <w:sz w:val="21"/>
          <w:szCs w:val="21"/>
        </w:rPr>
        <w:t>磋商供应商在磋商活动中提供任何虚假材料，其磋商无效，并报监管部门查处；中标后发现的，成交供应商须依照《中华人民共和国消费者权益保护法》 第 49 条之规定双倍赔偿采购人，且民事赔偿并不免除违法磋商供应商的行政与刑事责任。</w:t>
      </w:r>
    </w:p>
    <w:p>
      <w:pPr>
        <w:pStyle w:val="39"/>
        <w:numPr>
          <w:ilvl w:val="1"/>
          <w:numId w:val="12"/>
        </w:numPr>
        <w:tabs>
          <w:tab w:val="left" w:pos="1490"/>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低于成本报价</w:t>
      </w:r>
    </w:p>
    <w:p>
      <w:pPr>
        <w:pStyle w:val="2"/>
        <w:spacing w:line="360" w:lineRule="exact"/>
        <w:ind w:right="596" w:firstLine="42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小组在评审过程中发现磋商供应商的总报价明显低于其他磋商供应商的总报价或者明显低于采购预算价，有理由怀疑其总报价可能低于其成本的，应当要求该磋商供应商做出书面说明并提供相关证明材料。磋商供应商不能合理说明或者不能提供相关证明材料的，视作该磋商供应商以低于成本报价磋商，其磋商无效。</w:t>
      </w:r>
    </w:p>
    <w:p>
      <w:pPr>
        <w:pStyle w:val="39"/>
        <w:numPr>
          <w:ilvl w:val="1"/>
          <w:numId w:val="12"/>
        </w:numPr>
        <w:tabs>
          <w:tab w:val="left" w:pos="1490"/>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最终磋商结束后，磋商小组不得再与磋商供应商进行任何形式的商谈。</w:t>
      </w:r>
    </w:p>
    <w:p>
      <w:pPr>
        <w:pStyle w:val="39"/>
        <w:numPr>
          <w:ilvl w:val="1"/>
          <w:numId w:val="12"/>
        </w:numPr>
        <w:tabs>
          <w:tab w:val="left" w:pos="1490"/>
          <w:tab w:val="left" w:pos="1491"/>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磋商供应商有下列情形之一的，磋商保证金将不予退还：</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(1）供应商在提交响应文件截止时间后撤回响应文件的；</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(2）供应商在响应文件中提供虚假材料的；</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(3）除因不可抗力或磋商文件认可的情形以外，成交供应商不与采购人签订合同的；</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(4）供应商与采购人、其他供应商或者采购代理机构恶意串通的；</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(5）磋商文件规定的其他情形。</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六、确定成交供应商办法及结果公告</w:t>
      </w:r>
    </w:p>
    <w:p>
      <w:pPr>
        <w:pStyle w:val="39"/>
        <w:numPr>
          <w:ilvl w:val="1"/>
          <w:numId w:val="13"/>
        </w:numPr>
        <w:tabs>
          <w:tab w:val="left" w:pos="1280"/>
        </w:tabs>
        <w:spacing w:before="0" w:line="360" w:lineRule="exact"/>
        <w:ind w:right="598" w:firstLine="404" w:firstLineChars="200"/>
        <w:rPr>
          <w:rFonts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pacing w:val="-4"/>
          <w:sz w:val="21"/>
          <w:szCs w:val="21"/>
        </w:rPr>
        <w:t>采购代理机构应当在评审结束后 2个工作日内将评审报告送采购人确认。采购人应当在收到评审报告后 5 个工作日，从评审报告提出的成交候选供应商中，按照排序由高到低的原则确定成交供应商，也可以书面授权磋商小组直接确定成交供应商。采购人逾期未确定成交供应商且不提出异议的，视为确定评审报告提出的拼序第一的供应商为成交供应商。</w:t>
      </w:r>
    </w:p>
    <w:p>
      <w:pPr>
        <w:pStyle w:val="39"/>
        <w:numPr>
          <w:ilvl w:val="1"/>
          <w:numId w:val="13"/>
        </w:numPr>
        <w:tabs>
          <w:tab w:val="left" w:pos="1280"/>
        </w:tabs>
        <w:spacing w:before="0" w:line="360" w:lineRule="exact"/>
        <w:ind w:right="598" w:firstLine="404"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4"/>
          <w:sz w:val="21"/>
          <w:szCs w:val="21"/>
        </w:rPr>
        <w:t xml:space="preserve">采购代理机构应当在成交供应商确定后 </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pacing w:val="-9"/>
          <w:sz w:val="21"/>
          <w:szCs w:val="21"/>
        </w:rPr>
        <w:t>个工作日内，在</w:t>
      </w:r>
      <w:r>
        <w:rPr>
          <w:rFonts w:hint="eastAsia" w:asciiTheme="minorEastAsia" w:hAnsiTheme="minorEastAsia" w:eastAsiaTheme="minorEastAsia" w:cstheme="minorEastAsia"/>
          <w:color w:val="auto"/>
          <w:spacing w:val="-9"/>
          <w:sz w:val="21"/>
          <w:szCs w:val="21"/>
          <w:lang w:eastAsia="zh-CN"/>
        </w:rPr>
        <w:t>竞争性磋商</w:t>
      </w:r>
      <w:r>
        <w:rPr>
          <w:rFonts w:hint="eastAsia" w:asciiTheme="minorEastAsia" w:hAnsiTheme="minorEastAsia" w:eastAsiaTheme="minorEastAsia" w:cstheme="minorEastAsia"/>
          <w:color w:val="auto"/>
          <w:spacing w:val="-9"/>
          <w:sz w:val="21"/>
          <w:szCs w:val="21"/>
        </w:rPr>
        <w:t>公告发布媒体上公告成交结果，同时向成交供应商发出成交通知书。</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七、质疑</w:t>
      </w:r>
    </w:p>
    <w:p>
      <w:pPr>
        <w:pStyle w:val="39"/>
        <w:tabs>
          <w:tab w:val="left" w:pos="1282"/>
        </w:tabs>
        <w:spacing w:before="0" w:line="360" w:lineRule="exact"/>
        <w:ind w:left="0" w:right="595" w:firstLine="398"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5"/>
          <w:sz w:val="21"/>
          <w:szCs w:val="21"/>
          <w:lang w:val="en-US"/>
        </w:rPr>
        <w:t xml:space="preserve">14.1 </w:t>
      </w:r>
      <w:r>
        <w:rPr>
          <w:rFonts w:hint="eastAsia" w:asciiTheme="minorEastAsia" w:hAnsiTheme="minorEastAsia" w:eastAsiaTheme="minorEastAsia" w:cstheme="minorEastAsia"/>
          <w:color w:val="auto"/>
          <w:spacing w:val="-2"/>
          <w:sz w:val="21"/>
          <w:szCs w:val="21"/>
        </w:rPr>
        <w:t>潜在供应商已依法获取其可质疑的采购文件的，可以对该文件提出质疑。对采购文件提出质疑的，应当在获取采购文件或者采购文件公告期限届满之日起</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pacing w:val="-7"/>
          <w:sz w:val="21"/>
          <w:szCs w:val="21"/>
        </w:rPr>
        <w:t>个工作日内提出；供应商认为招</w:t>
      </w:r>
      <w:r>
        <w:rPr>
          <w:rFonts w:hint="eastAsia" w:asciiTheme="minorEastAsia" w:hAnsiTheme="minorEastAsia" w:eastAsiaTheme="minorEastAsia" w:cstheme="minorEastAsia"/>
          <w:color w:val="auto"/>
          <w:spacing w:val="-2"/>
          <w:sz w:val="21"/>
          <w:szCs w:val="21"/>
        </w:rPr>
        <w:t>标过程使自己的合法权益受到损害的，应当在各采购程序环节结束之日起</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pacing w:val="-6"/>
          <w:sz w:val="21"/>
          <w:szCs w:val="21"/>
        </w:rPr>
        <w:t>个工作日内，以书面形式向采购人、采购代理机构提出质疑；供应商认为中标结果使自己的合法权益受到损害的，应当在成交结果公告期限（</w:t>
      </w:r>
      <w:r>
        <w:rPr>
          <w:rFonts w:hint="eastAsia" w:asciiTheme="minorEastAsia" w:hAnsiTheme="minorEastAsia" w:eastAsiaTheme="minorEastAsia" w:cstheme="minorEastAsia"/>
          <w:color w:val="auto"/>
          <w:spacing w:val="-11"/>
          <w:sz w:val="21"/>
          <w:szCs w:val="21"/>
        </w:rPr>
        <w:t>成交结果公告期限为</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pacing w:val="-10"/>
          <w:sz w:val="21"/>
          <w:szCs w:val="21"/>
        </w:rPr>
        <w:t>个工作日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pacing w:val="-8"/>
          <w:sz w:val="21"/>
          <w:szCs w:val="21"/>
        </w:rPr>
        <w:t>届满之日起</w:t>
      </w: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pacing w:val="-7"/>
          <w:sz w:val="21"/>
          <w:szCs w:val="21"/>
        </w:rPr>
        <w:t>个工作日内，以书面形式向采购人、采购代理机构提出质疑。供应商应一次性提出针对同一采购程序环节的质疑。供应商对招标</w:t>
      </w:r>
      <w:r>
        <w:rPr>
          <w:rFonts w:hint="eastAsia" w:asciiTheme="minorEastAsia" w:hAnsiTheme="minorEastAsia" w:eastAsiaTheme="minorEastAsia" w:cstheme="minorEastAsia"/>
          <w:color w:val="auto"/>
          <w:sz w:val="21"/>
          <w:szCs w:val="21"/>
        </w:rPr>
        <w:t>采购单位的质疑答复不满意或者招标采购单位未在规定时间内作出答复的，可以在答复期满后15个工作日内向同级政府采购监督管理部门投诉。</w:t>
      </w:r>
    </w:p>
    <w:p>
      <w:pPr>
        <w:pStyle w:val="39"/>
        <w:tabs>
          <w:tab w:val="left" w:pos="1282"/>
        </w:tabs>
        <w:spacing w:before="0" w:line="360" w:lineRule="exact"/>
        <w:ind w:left="0" w:right="595" w:firstLine="412"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lang w:val="en-US"/>
        </w:rPr>
        <w:t xml:space="preserve">14.2 </w:t>
      </w:r>
      <w:r>
        <w:rPr>
          <w:rFonts w:hint="eastAsia" w:asciiTheme="minorEastAsia" w:hAnsiTheme="minorEastAsia" w:eastAsiaTheme="minorEastAsia" w:cstheme="minorEastAsia"/>
          <w:color w:val="auto"/>
          <w:spacing w:val="-2"/>
          <w:sz w:val="21"/>
          <w:szCs w:val="21"/>
        </w:rPr>
        <w:t>供应商提出质疑、投诉，应当遵守中华人民共和国财政部令第</w:t>
      </w:r>
      <w:r>
        <w:rPr>
          <w:rFonts w:hint="eastAsia" w:asciiTheme="minorEastAsia" w:hAnsiTheme="minorEastAsia" w:eastAsiaTheme="minorEastAsia" w:cstheme="minorEastAsia"/>
          <w:color w:val="auto"/>
          <w:sz w:val="21"/>
          <w:szCs w:val="21"/>
        </w:rPr>
        <w:t>94</w:t>
      </w:r>
      <w:r>
        <w:rPr>
          <w:rFonts w:hint="eastAsia" w:asciiTheme="minorEastAsia" w:hAnsiTheme="minorEastAsia" w:eastAsiaTheme="minorEastAsia" w:cstheme="minorEastAsia"/>
          <w:color w:val="auto"/>
          <w:spacing w:val="-5"/>
          <w:sz w:val="21"/>
          <w:szCs w:val="21"/>
        </w:rPr>
        <w:t xml:space="preserve"> 号《政府采购质疑和投诉办法》的相关规定，且采用书面形式。质疑书、投诉书均应明确阐述招标文件、采购过程或成交结果中使自己合法权益受到损害的实质性内容，并提供相关事实、依据和证据及其来源。</w:t>
      </w:r>
    </w:p>
    <w:p>
      <w:pPr>
        <w:pStyle w:val="39"/>
        <w:tabs>
          <w:tab w:val="left" w:pos="1282"/>
        </w:tabs>
        <w:spacing w:before="0" w:line="360" w:lineRule="exact"/>
        <w:ind w:lef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递交质疑函的联系事项：</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接收部门：华物盛泰工程咨询管理有限公司</w:t>
      </w:r>
    </w:p>
    <w:p>
      <w:pPr>
        <w:pStyle w:val="2"/>
        <w:spacing w:line="360" w:lineRule="exact"/>
        <w:ind w:right="5110" w:firstLine="400" w:firstLineChars="200"/>
        <w:rPr>
          <w:rFonts w:asciiTheme="minorEastAsia" w:hAnsiTheme="minorEastAsia" w:eastAsiaTheme="minorEastAsia" w:cstheme="minorEastAsia"/>
          <w:color w:val="auto"/>
          <w:spacing w:val="-5"/>
        </w:rPr>
      </w:pPr>
      <w:r>
        <w:rPr>
          <w:rFonts w:hint="eastAsia" w:asciiTheme="minorEastAsia" w:hAnsiTheme="minorEastAsia" w:eastAsiaTheme="minorEastAsia" w:cstheme="minorEastAsia"/>
          <w:color w:val="auto"/>
          <w:spacing w:val="-5"/>
        </w:rPr>
        <w:t>联系电话：0771-5</w:t>
      </w:r>
      <w:r>
        <w:rPr>
          <w:rFonts w:hint="eastAsia" w:asciiTheme="minorEastAsia" w:hAnsiTheme="minorEastAsia" w:eastAsiaTheme="minorEastAsia" w:cstheme="minorEastAsia"/>
          <w:color w:val="auto"/>
          <w:spacing w:val="-5"/>
          <w:lang w:val="en-US"/>
        </w:rPr>
        <w:t>81861</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传真：0771-5</w:t>
      </w:r>
      <w:r>
        <w:rPr>
          <w:rFonts w:hint="eastAsia" w:asciiTheme="minorEastAsia" w:hAnsiTheme="minorEastAsia" w:eastAsiaTheme="minorEastAsia" w:cstheme="minorEastAsia"/>
          <w:color w:val="auto"/>
          <w:lang w:val="en-US"/>
        </w:rPr>
        <w:t>567193</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地址：南宁市青秀区百花岭路10号百花苑6栋2层</w:t>
      </w:r>
    </w:p>
    <w:p>
      <w:pPr>
        <w:pStyle w:val="7"/>
        <w:spacing w:line="360" w:lineRule="exact"/>
        <w:ind w:left="0" w:right="877" w:firstLine="422"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如不按政府采购相关规定及上述要求质疑或投诉的，视为无效质疑或无效投诉，不予受理。   </w:t>
      </w:r>
    </w:p>
    <w:p>
      <w:pPr>
        <w:pStyle w:val="7"/>
        <w:spacing w:line="360" w:lineRule="exact"/>
        <w:ind w:left="0" w:right="877" w:firstLine="422" w:firstLineChars="200"/>
        <w:rPr>
          <w:rFonts w:asciiTheme="minorEastAsia" w:hAnsiTheme="minorEastAsia" w:eastAsiaTheme="minorEastAsia" w:cstheme="minorEastAsia"/>
          <w:bCs w:val="0"/>
          <w:color w:val="auto"/>
        </w:rPr>
      </w:pPr>
      <w:r>
        <w:rPr>
          <w:rFonts w:hint="eastAsia" w:asciiTheme="minorEastAsia" w:hAnsiTheme="minorEastAsia" w:eastAsiaTheme="minorEastAsia" w:cstheme="minorEastAsia"/>
          <w:bCs w:val="0"/>
          <w:color w:val="auto"/>
        </w:rPr>
        <w:t>八、签订合同</w:t>
      </w:r>
    </w:p>
    <w:p>
      <w:pPr>
        <w:pStyle w:val="39"/>
        <w:numPr>
          <w:ilvl w:val="1"/>
          <w:numId w:val="14"/>
        </w:numPr>
        <w:tabs>
          <w:tab w:val="left" w:pos="1227"/>
        </w:tabs>
        <w:spacing w:before="0"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成交供应商</w:t>
      </w:r>
      <w:r>
        <w:rPr>
          <w:rFonts w:hint="eastAsia" w:asciiTheme="minorEastAsia" w:hAnsiTheme="minorEastAsia" w:eastAsiaTheme="minorEastAsia" w:cstheme="minorEastAsia"/>
          <w:color w:val="auto"/>
          <w:sz w:val="21"/>
          <w:szCs w:val="21"/>
          <w:lang w:val="en-US"/>
        </w:rPr>
        <w:t>应</w:t>
      </w:r>
      <w:r>
        <w:rPr>
          <w:rFonts w:hint="eastAsia" w:asciiTheme="minorEastAsia" w:hAnsiTheme="minorEastAsia" w:eastAsiaTheme="minorEastAsia" w:cstheme="minorEastAsia"/>
          <w:color w:val="auto"/>
          <w:sz w:val="21"/>
          <w:szCs w:val="21"/>
        </w:rPr>
        <w:t>成交通知书发出之日起25个自然日内和采购人签订政府采购合同合同。</w:t>
      </w:r>
    </w:p>
    <w:p>
      <w:pPr>
        <w:pStyle w:val="39"/>
        <w:numPr>
          <w:ilvl w:val="1"/>
          <w:numId w:val="14"/>
        </w:numPr>
        <w:tabs>
          <w:tab w:val="left" w:pos="1229"/>
        </w:tabs>
        <w:spacing w:before="0" w:line="360" w:lineRule="exact"/>
        <w:ind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2"/>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九、政府采购合同公告</w:t>
      </w:r>
    </w:p>
    <w:p>
      <w:pPr>
        <w:pStyle w:val="39"/>
        <w:tabs>
          <w:tab w:val="left" w:pos="1229"/>
        </w:tabs>
        <w:spacing w:before="0" w:line="360" w:lineRule="exact"/>
        <w:ind w:left="0" w:right="596"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16、根据《 中华人民共和国政府采购法实施条例》 第五十条规定，采购人应当自政府来购合同签订之日起 2 个工作日内，将政府采购合同在省级以上人民政府财政部门指定的媒体上公告，但政府采购合同中涉及国家秘密、商业秘密的内容除外。 </w:t>
      </w:r>
    </w:p>
    <w:p>
      <w:pPr>
        <w:pStyle w:val="2"/>
        <w:spacing w:line="360" w:lineRule="exact"/>
        <w:ind w:firstLine="422" w:firstLineChars="2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十、成交服务费</w:t>
      </w:r>
    </w:p>
    <w:p>
      <w:pPr>
        <w:pStyle w:val="12"/>
        <w:snapToGrid w:val="0"/>
        <w:spacing w:after="120"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lang w:val="en-US"/>
        </w:rPr>
        <w:t>17、</w:t>
      </w:r>
      <w:r>
        <w:rPr>
          <w:rFonts w:hint="eastAsia" w:asciiTheme="minorEastAsia" w:hAnsiTheme="minorEastAsia" w:eastAsiaTheme="minorEastAsia" w:cstheme="minorEastAsia"/>
          <w:color w:val="auto"/>
          <w:sz w:val="21"/>
        </w:rPr>
        <w:t>成交服务收费按国家发展计划委员会《招标代理服务费管理暂行办法》（计价格[2002]1980号）收费标准向成交人收取。签订合同前，成交人应当向采购代理机构一次付清成交服务费。</w:t>
      </w:r>
      <w:r>
        <w:rPr>
          <w:rFonts w:hint="eastAsia" w:asciiTheme="minorEastAsia" w:hAnsiTheme="minorEastAsia" w:eastAsiaTheme="minorEastAsia" w:cstheme="minorEastAsia"/>
          <w:color w:val="auto"/>
          <w:sz w:val="21"/>
          <w:u w:val="single"/>
        </w:rPr>
        <w:t>根据国家发展改革委关于进一步放开建设项目专业服务价格的通知（发改价格〔2015〕299号）精神，成交服务费不足5000元人民币的按5000元人民币收取。</w:t>
      </w:r>
    </w:p>
    <w:p>
      <w:pPr>
        <w:pStyle w:val="12"/>
        <w:snapToGrid w:val="0"/>
        <w:spacing w:after="120"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代理服务收费标准：</w:t>
      </w:r>
    </w:p>
    <w:tbl>
      <w:tblPr>
        <w:tblStyle w:val="21"/>
        <w:tblW w:w="8522" w:type="dxa"/>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pict>
                <v:line id="_x0000_s1029" o:spid="_x0000_s1029" o:spt="20" style="position:absolute;left:0pt;margin-left:36.1pt;margin-top:2.1pt;height:93.75pt;width:81.1pt;z-index:251661312;mso-width-relative:page;mso-height-relative:page;" coordsize="21600,21600" o:gfxdata="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tpvrXAAAACAEAAA8A&#10;AAAAAAAAAQAgAAAAIgAAAGRycy9kb3ducmV2LnhtbFBLAQIUABQAAAAIAIdO4kAAdqGS3wEAAJwD&#10;AAAOAAAAAAAAAAEAIAAAACYBAABkcnMvZTJvRG9jLnhtbFBLBQYAAAAABgAGAFkBAAB3BQAAAAA=&#10;">
                  <v:path arrowok="t"/>
                  <v:fill focussize="0,0"/>
                  <v:stroke/>
                  <v:imagedata o:title=""/>
                  <o:lock v:ext="edit"/>
                </v:line>
              </w:pict>
            </w:r>
            <w:r>
              <w:rPr>
                <w:rFonts w:hint="eastAsia" w:asciiTheme="minorEastAsia" w:hAnsiTheme="minorEastAsia" w:eastAsiaTheme="minorEastAsia" w:cstheme="minorEastAsia"/>
                <w:color w:val="auto"/>
                <w:sz w:val="21"/>
                <w:szCs w:val="21"/>
              </w:rPr>
              <w:t>服务类型</w:t>
            </w:r>
          </w:p>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pict>
                <v:line id="_x0000_s1028" o:spid="_x0000_s1028" o:spt="20" style="position:absolute;left:0pt;margin-left:-5.6pt;margin-top:4.4pt;height:63.2pt;width:122.7pt;z-index:251662336;mso-width-relative:page;mso-height-relative:page;" coordsize="21600,21600" o:gfxdata="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xSN1gAAAAkBAAAP&#10;AAAAAAAAAAEAIAAAACIAAABkcnMvZG93bnJldi54bWxQSwECFAAUAAAACACHTuJAQbKvGOEBAACd&#10;AwAADgAAAAAAAAABACAAAAAlAQAAZHJzL2Uyb0RvYy54bWxQSwUGAAAAAAYABgBZAQAAeAUAAAAA&#10;">
                  <v:path arrowok="t"/>
                  <v:fill focussize="0,0"/>
                  <v:stroke/>
                  <v:imagedata o:title=""/>
                  <o:lock v:ext="edit"/>
                </v:line>
              </w:pict>
            </w:r>
            <w:r>
              <w:rPr>
                <w:rFonts w:hint="eastAsia" w:asciiTheme="minorEastAsia" w:hAnsiTheme="minorEastAsia" w:eastAsiaTheme="minorEastAsia" w:cstheme="minorEastAsia"/>
                <w:color w:val="auto"/>
                <w:sz w:val="21"/>
                <w:szCs w:val="21"/>
              </w:rPr>
              <w:t>费率</w:t>
            </w:r>
          </w:p>
          <w:p>
            <w:pPr>
              <w:spacing w:after="100" w:afterAutospacing="1" w:line="360" w:lineRule="exact"/>
              <w:ind w:firstLine="420" w:firstLineChars="200"/>
              <w:rPr>
                <w:rFonts w:asciiTheme="minorEastAsia" w:hAnsiTheme="minorEastAsia" w:eastAsiaTheme="minorEastAsia" w:cstheme="minorEastAsia"/>
                <w:color w:val="auto"/>
                <w:sz w:val="21"/>
                <w:szCs w:val="21"/>
              </w:rPr>
            </w:pPr>
          </w:p>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中标金额（万元）</w:t>
            </w:r>
          </w:p>
        </w:tc>
        <w:tc>
          <w:tcPr>
            <w:tcW w:w="2520" w:type="dxa"/>
            <w:noWrap/>
            <w:vAlign w:val="center"/>
          </w:tcPr>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p>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货物招标</w:t>
            </w:r>
          </w:p>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p>
        </w:tc>
        <w:tc>
          <w:tcPr>
            <w:tcW w:w="1980" w:type="dxa"/>
            <w:noWrap/>
            <w:vAlign w:val="center"/>
          </w:tcPr>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服务招标</w:t>
            </w:r>
          </w:p>
        </w:tc>
        <w:tc>
          <w:tcPr>
            <w:tcW w:w="1574" w:type="dxa"/>
            <w:noWrap/>
            <w:vAlign w:val="center"/>
          </w:tcPr>
          <w:p>
            <w:pPr>
              <w:spacing w:after="100" w:afterAutospacing="1" w:line="360" w:lineRule="exact"/>
              <w:ind w:firstLine="420" w:firstLineChars="20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100以下</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100-500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500-1000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0.8%</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0.45%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1000-5000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5000-10000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0.1%</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10000-100000</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0.05%</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0.05%</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2448"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1000000以上</w:t>
            </w:r>
          </w:p>
        </w:tc>
        <w:tc>
          <w:tcPr>
            <w:tcW w:w="252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c>
          <w:tcPr>
            <w:tcW w:w="1980"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c>
          <w:tcPr>
            <w:tcW w:w="1574" w:type="dxa"/>
            <w:noWrap/>
            <w:vAlign w:val="center"/>
          </w:tcPr>
          <w:p>
            <w:pPr>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0.01%</w:t>
            </w:r>
          </w:p>
        </w:tc>
      </w:tr>
    </w:tbl>
    <w:p>
      <w:pPr>
        <w:pStyle w:val="12"/>
        <w:snapToGrid w:val="0"/>
        <w:spacing w:after="120"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注：招标代理服务收费按差额定率累进法计算。例如：某货物招标代理业务中标金额为5000万元，计算招标代理服务收费额如下：</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100万元×1.5％＝1.5万元</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（500一100）万元×1.1％＝4.4万元</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（1000－500）万元×0.8％＝4.00万元</w:t>
      </w:r>
    </w:p>
    <w:p>
      <w:pPr>
        <w:adjustRightInd w:val="0"/>
        <w:snapToGrid w:val="0"/>
        <w:spacing w:after="100" w:afterAutospacing="1"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（5000—1000）万元×0.5％＝20万元</w:t>
      </w:r>
    </w:p>
    <w:p>
      <w:pPr>
        <w:pStyle w:val="12"/>
        <w:adjustRightInd w:val="0"/>
        <w:snapToGrid w:val="0"/>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合计收费=1.5十4.4＋4.00＋20＝29.90（万元）</w:t>
      </w:r>
    </w:p>
    <w:p>
      <w:pPr>
        <w:pStyle w:val="39"/>
        <w:tabs>
          <w:tab w:val="left" w:pos="1229"/>
        </w:tabs>
        <w:spacing w:before="0" w:line="360" w:lineRule="exact"/>
        <w:ind w:left="0" w:right="596" w:firstLine="422" w:firstLineChars="200"/>
        <w:jc w:val="both"/>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十一、适用法律</w:t>
      </w:r>
    </w:p>
    <w:p>
      <w:pPr>
        <w:pStyle w:val="2"/>
        <w:spacing w:line="360" w:lineRule="exact"/>
        <w:ind w:right="598"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w:t>
      </w:r>
      <w:r>
        <w:rPr>
          <w:rFonts w:hint="eastAsia" w:asciiTheme="minorEastAsia" w:hAnsiTheme="minorEastAsia" w:eastAsiaTheme="minorEastAsia" w:cstheme="minorEastAsia"/>
          <w:color w:val="auto"/>
          <w:spacing w:val="-8"/>
        </w:rPr>
        <w:t>、采购当事人的一切活动均适用于《中华人民共和国政府采购法》、《政府采购竞争性磋商采购方式管理暂行办法》及相关规定。</w:t>
      </w:r>
    </w:p>
    <w:p>
      <w:pPr>
        <w:pStyle w:val="2"/>
        <w:spacing w:line="36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十二、有关事宜</w:t>
      </w:r>
    </w:p>
    <w:p>
      <w:pPr>
        <w:pStyle w:val="2"/>
        <w:spacing w:line="360" w:lineRule="exact"/>
        <w:ind w:right="598" w:firstLine="398" w:firstLineChars="200"/>
        <w:rPr>
          <w:rFonts w:asciiTheme="minorEastAsia" w:hAnsiTheme="minorEastAsia" w:eastAsiaTheme="minorEastAsia" w:cstheme="minorEastAsia"/>
          <w:color w:val="auto"/>
          <w:spacing w:val="-8"/>
        </w:rPr>
      </w:pPr>
      <w:r>
        <w:rPr>
          <w:rFonts w:hint="eastAsia" w:asciiTheme="minorEastAsia" w:hAnsiTheme="minorEastAsia" w:eastAsiaTheme="minorEastAsia" w:cstheme="minorEastAsia"/>
          <w:color w:val="auto"/>
          <w:w w:val="95"/>
        </w:rPr>
        <w:t>1</w:t>
      </w:r>
      <w:r>
        <w:rPr>
          <w:rFonts w:hint="eastAsia" w:asciiTheme="minorEastAsia" w:hAnsiTheme="minorEastAsia" w:eastAsiaTheme="minorEastAsia" w:cstheme="minorEastAsia"/>
          <w:color w:val="auto"/>
          <w:spacing w:val="-8"/>
        </w:rPr>
        <w:t>9、所有与本条件书有关的函电请按下列通讯地址联系：</w:t>
      </w:r>
    </w:p>
    <w:p>
      <w:pPr>
        <w:pStyle w:val="2"/>
        <w:spacing w:line="360" w:lineRule="exact"/>
        <w:ind w:right="598" w:firstLine="388"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华物盛泰工程咨询管理有限公司</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邮政编码：530028</w:t>
      </w:r>
    </w:p>
    <w:p>
      <w:pPr>
        <w:pStyle w:val="12"/>
        <w:spacing w:line="360" w:lineRule="exact"/>
        <w:ind w:firstLine="420" w:firstLineChars="200"/>
        <w:rPr>
          <w:rFonts w:asciiTheme="minorEastAsia" w:hAnsiTheme="minorEastAsia" w:eastAsiaTheme="minorEastAsia" w:cstheme="minorEastAsia"/>
          <w:color w:val="auto"/>
          <w:sz w:val="21"/>
          <w:lang w:val="en-US"/>
        </w:rPr>
      </w:pPr>
      <w:r>
        <w:rPr>
          <w:rFonts w:hint="eastAsia" w:asciiTheme="minorEastAsia" w:hAnsiTheme="minorEastAsia" w:eastAsiaTheme="minorEastAsia" w:cstheme="minorEastAsia"/>
          <w:color w:val="auto"/>
          <w:sz w:val="21"/>
        </w:rPr>
        <w:t>通讯地址：南宁市青秀区百花岭路10号百花苑6栋2层</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电话：0771-5</w:t>
      </w:r>
      <w:r>
        <w:rPr>
          <w:rFonts w:hint="eastAsia" w:asciiTheme="minorEastAsia" w:hAnsiTheme="minorEastAsia" w:eastAsiaTheme="minorEastAsia" w:cstheme="minorEastAsia"/>
          <w:color w:val="auto"/>
          <w:sz w:val="21"/>
          <w:lang w:val="en-US"/>
        </w:rPr>
        <w:t>581861</w:t>
      </w:r>
    </w:p>
    <w:p>
      <w:pPr>
        <w:pStyle w:val="12"/>
        <w:spacing w:line="360" w:lineRule="exact"/>
        <w:ind w:firstLine="422" w:firstLineChars="200"/>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缴纳成交服务费用以下账户</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开户名称：华物盛泰工程咨询管理有限公司</w:t>
      </w:r>
    </w:p>
    <w:p>
      <w:pPr>
        <w:pStyle w:val="12"/>
        <w:spacing w:line="36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开户银行：中国工商银行南宁市津头支行（</w:t>
      </w:r>
      <w:r>
        <w:rPr>
          <w:rFonts w:hint="eastAsia" w:asciiTheme="minorEastAsia" w:hAnsiTheme="minorEastAsia" w:eastAsiaTheme="minorEastAsia" w:cstheme="minorEastAsia"/>
          <w:color w:val="auto"/>
          <w:sz w:val="21"/>
          <w:lang w:val="en-US"/>
        </w:rPr>
        <w:t>可选南湖支行</w:t>
      </w:r>
      <w:r>
        <w:rPr>
          <w:rFonts w:hint="eastAsia" w:asciiTheme="minorEastAsia" w:hAnsiTheme="minorEastAsia" w:eastAsiaTheme="minorEastAsia" w:cstheme="minorEastAsia"/>
          <w:color w:val="auto"/>
          <w:sz w:val="21"/>
        </w:rPr>
        <w:t>）</w:t>
      </w:r>
    </w:p>
    <w:p>
      <w:pPr>
        <w:spacing w:line="360" w:lineRule="exact"/>
        <w:ind w:firstLine="420" w:firstLineChars="200"/>
        <w:rPr>
          <w:rFonts w:asciiTheme="minorEastAsia" w:hAnsiTheme="minorEastAsia" w:eastAsiaTheme="minorEastAsia" w:cstheme="minorEastAsia"/>
          <w:color w:val="auto"/>
          <w:sz w:val="21"/>
          <w:szCs w:val="21"/>
        </w:rPr>
        <w:sectPr>
          <w:footerReference r:id="rId6" w:type="default"/>
          <w:pgSz w:w="11910" w:h="16840"/>
          <w:pgMar w:top="1360" w:right="820" w:bottom="1420" w:left="1020" w:header="1165" w:footer="1233" w:gutter="0"/>
          <w:cols w:equalWidth="0" w:num="1">
            <w:col w:w="10070"/>
          </w:cols>
        </w:sectPr>
      </w:pPr>
      <w:r>
        <w:rPr>
          <w:rFonts w:hint="eastAsia" w:asciiTheme="minorEastAsia" w:hAnsiTheme="minorEastAsia" w:eastAsiaTheme="minorEastAsia" w:cstheme="minorEastAsia"/>
          <w:color w:val="auto"/>
          <w:sz w:val="21"/>
          <w:szCs w:val="21"/>
        </w:rPr>
        <w:t>银行帐号：2102108309300006294</w:t>
      </w:r>
    </w:p>
    <w:p>
      <w:pPr>
        <w:pStyle w:val="3"/>
        <w:tabs>
          <w:tab w:val="left" w:pos="4391"/>
        </w:tabs>
        <w:spacing w:before="100"/>
        <w:jc w:val="center"/>
        <w:rPr>
          <w:rFonts w:asciiTheme="minorEastAsia" w:hAnsiTheme="minorEastAsia" w:eastAsiaTheme="minorEastAsia" w:cstheme="minorEastAsia"/>
          <w:color w:val="auto"/>
        </w:rPr>
      </w:pPr>
      <w:bookmarkStart w:id="45" w:name="_Toc12179"/>
      <w:r>
        <w:rPr>
          <w:rFonts w:hint="eastAsia" w:asciiTheme="minorEastAsia" w:hAnsiTheme="minorEastAsia" w:eastAsiaTheme="minorEastAsia" w:cstheme="minorEastAsia"/>
          <w:color w:val="auto"/>
        </w:rPr>
        <w:t>第三章采购项目需求</w:t>
      </w:r>
      <w:bookmarkEnd w:id="45"/>
    </w:p>
    <w:p>
      <w:pPr>
        <w:adjustRightInd w:val="0"/>
        <w:snapToGrid w:val="0"/>
        <w:spacing w:line="360" w:lineRule="exact"/>
        <w:jc w:val="both"/>
        <w:rPr>
          <w:rFonts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一、活动名称</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2020年“五彩玉林·田园都市”走进肇庆、湛江、茂名旅游推介会。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二、活动目的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一步加强我市与肇庆、湛江、茂名等城市的区域文化旅游交流合作，积极推动“冬游广西”活动，加快融入粤港澳大湾区旅游圈，迎合疫后旅游市场需求，主打“健康、养生”牌，全方位、立体化、多角度讲好玉林文化旅游故事，宣传推介休闲康养游、侨乡寻根游、祈福感恩游、客家文化游、海丝文化游、红色教育游、名人踪迹游、美丽乡村游等精品旅游线路，深挖广东第一大客源地市场,吸引更多游客到我市观光旅游，进一步打响“五彩玉林 田园都市”文化旅游品牌，助力玉林文化旅游市场的复苏与繁荣。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三、活动时间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2020年1</w:t>
      </w:r>
      <w:r>
        <w:rPr>
          <w:rFonts w:hint="eastAsia" w:cs="宋体"/>
          <w:sz w:val="21"/>
          <w:szCs w:val="21"/>
          <w:lang w:val="en-US" w:eastAsia="zh-CN"/>
        </w:rPr>
        <w:t>2</w:t>
      </w:r>
      <w:r>
        <w:rPr>
          <w:rFonts w:hint="eastAsia" w:ascii="宋体" w:hAnsi="宋体" w:eastAsia="宋体" w:cs="宋体"/>
          <w:sz w:val="21"/>
          <w:szCs w:val="21"/>
        </w:rPr>
        <w:t>月（具体时间视实际情况）</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四、组织单位</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玉林市文化广电体育和旅游局、玉林交通旅游投资集团有限公司共同举办旅游推介会。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五、参加人员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（一）玉林代表团成员（50人左右）</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1.玉林市分管旅游工作领导1人、协管副秘书长1人、工作人员1人；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2.玉林市文化广电体育和旅游局领导2人、工作人员5人；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3.玉林交旅集团领导1人、业务人员1人；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4.各县（市、区）旅游行政主管部门或文化和旅游发展服务中心（旅游开发办公室）分管领导各1人；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5.景区代表4人、旅行社代表4人；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6.演出代表队人员10人、主持人1人；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7.市内外媒体记者10人。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（二）嘉宾人员（70人左右）</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当地文化旅游部门领导及旅游市场业务负责人、当地媒体媒体记者、当地旅行社代表。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六、活动内容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（一）举办2020“五彩玉林·田园都市”走进肇庆、湛江、茂名旅游推介会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1.播放玉林旅游宣传片；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2.领导致辞；</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3.玉林文化旅游宣传推介；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4.玉林文化旅游情景节目表演；</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5.玉林旅游商品展览及抽奖。</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（二）学习全域旅游及创建国家4A级景区经验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1.与肇庆市、湛江市、茂名市进行学习交流全域旅游示范创建经验；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2.实地学习创建和管理国家4A级景区经验。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（三）线上媒体宣传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1.推广形式：</w:t>
      </w:r>
      <w:r>
        <w:rPr>
          <w:rFonts w:hint="eastAsia" w:ascii="宋体" w:hAnsi="宋体" w:eastAsia="宋体" w:cs="宋体"/>
          <w:sz w:val="21"/>
          <w:szCs w:val="21"/>
        </w:rPr>
        <w:t>安排采编小组（3人），采用VLOG短视频、抖音短视频等新颖的采编形式，整合采写推介会全程图文、视频报道。</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2.发送频率：</w:t>
      </w:r>
      <w:r>
        <w:rPr>
          <w:rFonts w:hint="eastAsia" w:ascii="宋体" w:hAnsi="宋体" w:eastAsia="宋体" w:cs="宋体"/>
          <w:sz w:val="21"/>
          <w:szCs w:val="21"/>
        </w:rPr>
        <w:t>预热稿1篇、各地活动稿3篇、全程综合稿1篇，VOLG视频4条。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3.发送平台：</w:t>
      </w:r>
      <w:r>
        <w:rPr>
          <w:rFonts w:hint="eastAsia" w:ascii="宋体" w:hAnsi="宋体" w:eastAsia="宋体" w:cs="宋体"/>
          <w:sz w:val="21"/>
          <w:szCs w:val="21"/>
        </w:rPr>
        <w:t>人民网、中国新闻网、国际在线、腾讯、新浪网、网易、湛江新闻网、茂名新闻网、肇庆新闻网、广西新闻网首页、广西新闻网旅游频道首页、壮观客户端、广西文旅厅“来吧！广西人游广西”大型专题首页。</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七、行程安排</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到肇庆、湛江、茂名等3城市开展文化旅游宣传推介，行程往返共4天3晚。（详见附件2）</w:t>
      </w:r>
    </w:p>
    <w:p>
      <w:pPr>
        <w:pStyle w:val="2"/>
      </w:pPr>
    </w:p>
    <w:p>
      <w:pPr>
        <w:pStyle w:val="37"/>
        <w:numPr>
          <w:ilvl w:val="0"/>
          <w:numId w:val="15"/>
        </w:numPr>
        <w:spacing w:before="0" w:after="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付款方式</w:t>
      </w:r>
    </w:p>
    <w:p>
      <w:pPr>
        <w:adjustRightInd w:val="0"/>
        <w:snapToGrid w:val="0"/>
        <w:spacing w:line="360" w:lineRule="exact"/>
        <w:ind w:firstLine="420" w:firstLineChars="200"/>
        <w:jc w:val="both"/>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合同生效之日起</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val="en-US"/>
        </w:rPr>
        <w:t>个工作日内支付合同金额的50%，成交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val="en-US"/>
        </w:rPr>
        <w:t>须开具等额增值税发票给采购人；项目完成验收通过后，采购人向成交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val="en-US"/>
        </w:rPr>
        <w:t>支付合同款的50%，成交人须开具等额增值税发票给采购人。</w:t>
      </w:r>
    </w:p>
    <w:p>
      <w:pPr>
        <w:adjustRightInd w:val="0"/>
        <w:snapToGrid w:val="0"/>
        <w:spacing w:line="360" w:lineRule="exact"/>
        <w:jc w:val="both"/>
        <w:rPr>
          <w:rFonts w:ascii="仿宋_GB2312" w:eastAsia="仿宋_GB2312"/>
          <w:b/>
          <w:sz w:val="32"/>
          <w:szCs w:val="32"/>
        </w:rPr>
      </w:pPr>
      <w:bookmarkStart w:id="46" w:name="_Toc8171"/>
      <w:r>
        <w:rPr>
          <w:rFonts w:hint="eastAsia" w:asciiTheme="minorEastAsia" w:hAnsiTheme="minorEastAsia" w:eastAsiaTheme="minorEastAsia" w:cstheme="minorEastAsia"/>
          <w:color w:val="auto"/>
        </w:rPr>
        <w:br w:type="page"/>
      </w:r>
      <w:r>
        <w:rPr>
          <w:rFonts w:hint="eastAsia" w:ascii="仿宋_GB2312" w:eastAsia="仿宋_GB2312"/>
          <w:b/>
          <w:sz w:val="32"/>
          <w:szCs w:val="32"/>
        </w:rPr>
        <w:t>附件1</w:t>
      </w:r>
    </w:p>
    <w:p>
      <w:pPr>
        <w:adjustRightInd w:val="0"/>
        <w:snapToGrid w:val="0"/>
        <w:spacing w:line="560" w:lineRule="exact"/>
        <w:jc w:val="center"/>
        <w:rPr>
          <w:rFonts w:ascii="黑体" w:hAnsi="黑体" w:eastAsia="黑体"/>
          <w:sz w:val="44"/>
          <w:szCs w:val="44"/>
        </w:rPr>
      </w:pPr>
      <w:r>
        <w:rPr>
          <w:rFonts w:hint="eastAsia" w:ascii="黑体" w:hAnsi="黑体" w:eastAsia="黑体"/>
          <w:sz w:val="44"/>
          <w:szCs w:val="44"/>
        </w:rPr>
        <w:t>2020“五彩玉林·田园都市”（</w:t>
      </w:r>
      <w:r>
        <w:rPr>
          <w:rFonts w:ascii="黑体" w:hAnsi="黑体" w:eastAsia="黑体"/>
          <w:sz w:val="44"/>
          <w:szCs w:val="44"/>
        </w:rPr>
        <w:t>肇庆</w:t>
      </w:r>
      <w:r>
        <w:rPr>
          <w:rFonts w:hint="eastAsia" w:ascii="黑体" w:hAnsi="黑体" w:eastAsia="黑体"/>
          <w:sz w:val="44"/>
          <w:szCs w:val="44"/>
        </w:rPr>
        <w:t>、湛江、茂名）旅游推介活动费用明细</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一、交通及往返车辆费（小计27000元）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1、55座大巴1辆：16000元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2、22座中巴1辆：11000元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二、住宿、会务费（小计83500元）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1、湛江：26500元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（1）住宿：500元/间×30间=15000元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（2）推介会场地费：9500元（迎宾礼仪、会场布置、LED大屏、茶水、音响、疫情防控物资）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（3）会谈小会议室：2000元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2、茂名：26500元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（1）住宿：500元/间×30间=15000元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（2）推介会场地费：9500元（迎宾礼仪、会场布置、LED大屏、茶水、音响、疫情防控物资）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（3）会谈小会议室：2000元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肇庆</w:t>
      </w:r>
      <w:r>
        <w:rPr>
          <w:rFonts w:hint="eastAsia" w:ascii="仿宋_GB2312" w:eastAsia="仿宋_GB2312"/>
          <w:sz w:val="32"/>
          <w:szCs w:val="32"/>
        </w:rPr>
        <w:t>：30500元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（1）住宿：550元/间×30间=16500元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（2）推介会场地费：11000元（迎宾礼仪、会场布置、LED大屏幕、茶水、音响、疫情防控物资）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（3）会谈小会议室：3000元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三、用餐费（小计59300元）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1、工作用餐：50元/人×5餐×50人=12500元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2、推介会用餐：130元/人×3餐×120人=46800元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四、演艺费（小计33990元）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1、歌舞演出费：11000元/城市×3城市=33000元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2、税金：33000元×3%=990元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五、线上媒体宣传（小计45000元）</w:t>
      </w: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配合到</w:t>
      </w:r>
      <w:r>
        <w:rPr>
          <w:rFonts w:ascii="仿宋_GB2312" w:eastAsia="仿宋_GB2312"/>
          <w:sz w:val="32"/>
          <w:szCs w:val="32"/>
        </w:rPr>
        <w:t>肇庆</w:t>
      </w:r>
      <w:r>
        <w:rPr>
          <w:rFonts w:hint="eastAsia" w:ascii="仿宋_GB2312" w:eastAsia="仿宋_GB2312"/>
          <w:sz w:val="32"/>
          <w:szCs w:val="32"/>
        </w:rPr>
        <w:t>、湛江、茂名等3城市开展的文化旅游推介会，在人民网、中国新闻网、国际在线、腾讯、新浪网、网易、湛江新闻网、茂名新闻网、</w:t>
      </w:r>
      <w:r>
        <w:rPr>
          <w:rFonts w:ascii="仿宋_GB2312" w:eastAsia="仿宋_GB2312"/>
          <w:sz w:val="32"/>
          <w:szCs w:val="32"/>
        </w:rPr>
        <w:t>肇庆</w:t>
      </w:r>
      <w:r>
        <w:rPr>
          <w:rFonts w:hint="eastAsia" w:ascii="仿宋_GB2312" w:eastAsia="仿宋_GB2312"/>
          <w:sz w:val="32"/>
          <w:szCs w:val="32"/>
        </w:rPr>
        <w:t>新闻网、广西新闻网首页、广西新闻网旅游频道首页、壮观客户端、广西文旅厅“来吧！广西人游广西”大型专题首页等媒体平台开展线上文化旅游宣传，分别发布预热稿1篇、各地活动稿3篇、全程综合稿1篇，VOLG视频4条。</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六、旅游商品（奖品）：6000元/场×3场=18000元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七、保险费：10元/人×50人=500元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八、资料及旅游商品搬运费：2500元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九、矿泉水：36元/箱×15箱=540元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十、承办服务费：18000元</w:t>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 xml:space="preserve">总合计：288330元 </w:t>
      </w:r>
    </w:p>
    <w:p>
      <w:pPr>
        <w:adjustRightInd w:val="0"/>
        <w:snapToGrid w:val="0"/>
        <w:spacing w:line="560" w:lineRule="exact"/>
        <w:rPr>
          <w:rFonts w:ascii="仿宋_GB2312" w:eastAsia="仿宋_GB2312"/>
          <w:b/>
          <w:sz w:val="32"/>
          <w:szCs w:val="32"/>
        </w:rPr>
      </w:pPr>
    </w:p>
    <w:p>
      <w:pPr>
        <w:adjustRightInd w:val="0"/>
        <w:snapToGrid w:val="0"/>
        <w:spacing w:line="560" w:lineRule="exact"/>
        <w:rPr>
          <w:rFonts w:ascii="仿宋_GB2312" w:eastAsia="仿宋_GB2312"/>
          <w:b/>
          <w:sz w:val="32"/>
          <w:szCs w:val="32"/>
        </w:rPr>
      </w:pPr>
    </w:p>
    <w:p>
      <w:pPr>
        <w:adjustRightInd w:val="0"/>
        <w:snapToGrid w:val="0"/>
        <w:spacing w:line="560" w:lineRule="exact"/>
        <w:rPr>
          <w:rFonts w:ascii="仿宋_GB2312" w:eastAsia="仿宋_GB2312"/>
          <w:b/>
          <w:sz w:val="32"/>
          <w:szCs w:val="32"/>
        </w:rPr>
      </w:pPr>
    </w:p>
    <w:p>
      <w:pPr>
        <w:adjustRightInd w:val="0"/>
        <w:snapToGrid w:val="0"/>
        <w:spacing w:line="560" w:lineRule="exact"/>
        <w:rPr>
          <w:rFonts w:ascii="仿宋_GB2312" w:eastAsia="仿宋_GB2312"/>
          <w:b/>
          <w:sz w:val="32"/>
          <w:szCs w:val="32"/>
        </w:rPr>
      </w:pPr>
    </w:p>
    <w:p>
      <w:pPr>
        <w:adjustRightInd w:val="0"/>
        <w:snapToGrid w:val="0"/>
        <w:spacing w:line="560" w:lineRule="exact"/>
        <w:rPr>
          <w:rFonts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br w:type="page"/>
      </w:r>
    </w:p>
    <w:p>
      <w:pPr>
        <w:adjustRightInd w:val="0"/>
        <w:snapToGrid w:val="0"/>
        <w:spacing w:line="560" w:lineRule="exact"/>
        <w:rPr>
          <w:rFonts w:ascii="仿宋_GB2312" w:eastAsia="仿宋_GB2312"/>
          <w:b/>
          <w:sz w:val="32"/>
          <w:szCs w:val="32"/>
        </w:rPr>
      </w:pPr>
      <w:r>
        <w:rPr>
          <w:rFonts w:hint="eastAsia" w:ascii="仿宋_GB2312" w:eastAsia="仿宋_GB2312"/>
          <w:b/>
          <w:sz w:val="32"/>
          <w:szCs w:val="32"/>
        </w:rPr>
        <w:t>附件2</w:t>
      </w:r>
    </w:p>
    <w:p>
      <w:pPr>
        <w:adjustRightInd w:val="0"/>
        <w:snapToGrid w:val="0"/>
        <w:spacing w:line="560" w:lineRule="exact"/>
        <w:jc w:val="center"/>
        <w:rPr>
          <w:rFonts w:ascii="黑体" w:hAnsi="黑体" w:eastAsia="黑体"/>
          <w:sz w:val="44"/>
          <w:szCs w:val="44"/>
        </w:rPr>
      </w:pPr>
      <w:r>
        <w:rPr>
          <w:rFonts w:hint="eastAsia" w:ascii="黑体" w:hAnsi="黑体" w:eastAsia="黑体"/>
          <w:sz w:val="44"/>
          <w:szCs w:val="44"/>
        </w:rPr>
        <w:t>活动行程安排</w:t>
      </w:r>
    </w:p>
    <w:p>
      <w:pPr>
        <w:adjustRightInd w:val="0"/>
        <w:snapToGrid w:val="0"/>
        <w:spacing w:line="560" w:lineRule="exact"/>
        <w:rPr>
          <w:rFonts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第一天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1、08:30-11:00  市政府西门集中乘车往湛江市（约2小时）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2、11:00-12:30　抵达湛江市，入住酒店，午餐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3、13:00-15:00  布置会场和彩排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4、15:00-16:00　与湛江市文旅部门交流会谈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5、16:00-18:00  举办玉林旅游推介会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6、18:00-19:00  晚餐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第二天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1、07:30-08:30  早餐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2、08:30-10:00  往茂名市，入住酒店（约1.5小时）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4、10:00-13:00　布置会场和彩排，午餐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5、15:00-16:00  与茂名市文旅部门交流会谈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6、16:00-18:00  举办玉林旅游推介会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7、18:00-19:00  晚餐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第三天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1、07:00-08:00  早餐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2、08:00-12:30  往</w:t>
      </w:r>
      <w:r>
        <w:rPr>
          <w:rFonts w:ascii="仿宋_GB2312" w:eastAsia="仿宋_GB2312"/>
          <w:sz w:val="32"/>
          <w:szCs w:val="32"/>
        </w:rPr>
        <w:t>肇庆</w:t>
      </w:r>
      <w:r>
        <w:rPr>
          <w:rFonts w:hint="eastAsia" w:ascii="仿宋_GB2312" w:eastAsia="仿宋_GB2312"/>
          <w:sz w:val="32"/>
          <w:szCs w:val="32"/>
        </w:rPr>
        <w:t>市（约3.5小时），午餐，入住酒店，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3、15:00-18:00  考察4A景区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4、18:00-19:00  晚餐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5、19:00-21:00  布置会场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第四天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1、07:30-08:30  早餐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2、09:00-10:00　与</w:t>
      </w:r>
      <w:r>
        <w:rPr>
          <w:rFonts w:ascii="仿宋_GB2312" w:eastAsia="仿宋_GB2312"/>
          <w:sz w:val="32"/>
          <w:szCs w:val="32"/>
        </w:rPr>
        <w:t>肇庆</w:t>
      </w:r>
      <w:r>
        <w:rPr>
          <w:rFonts w:hint="eastAsia" w:ascii="仿宋_GB2312" w:eastAsia="仿宋_GB2312"/>
          <w:sz w:val="32"/>
          <w:szCs w:val="32"/>
        </w:rPr>
        <w:t>市文旅部门交流会谈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3、10:00-12:00　举办玉林旅游推介会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4、12:00-13:00  午餐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5、14:00-18:00  乘车返回玉林（约4小时，途中晚餐）</w:t>
      </w:r>
    </w:p>
    <w:p>
      <w:pPr>
        <w:keepNext w:val="0"/>
        <w:keepLines w:val="0"/>
        <w:pageBreakBefore w:val="0"/>
        <w:widowControl w:val="0"/>
        <w:kinsoku/>
        <w:wordWrap/>
        <w:overflowPunct/>
        <w:topLinePunct w:val="0"/>
        <w:autoSpaceDE w:val="0"/>
        <w:autoSpaceDN w:val="0"/>
        <w:bidi w:val="0"/>
        <w:ind w:firstLine="440" w:firstLineChars="200"/>
        <w:textAlignment w:val="auto"/>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val="0"/>
        <w:autoSpaceDN w:val="0"/>
        <w:bidi w:val="0"/>
        <w:ind w:firstLine="44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3"/>
        <w:tabs>
          <w:tab w:val="left" w:pos="3671"/>
        </w:tabs>
        <w:spacing w:before="50"/>
        <w:ind w:left="222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竞争性磋商响应文件格式</w:t>
      </w:r>
      <w:bookmarkEnd w:id="46"/>
    </w:p>
    <w:p>
      <w:pPr>
        <w:pStyle w:val="2"/>
        <w:rPr>
          <w:rFonts w:asciiTheme="minorEastAsia" w:hAnsiTheme="minorEastAsia" w:eastAsiaTheme="minorEastAsia" w:cstheme="minorEastAsia"/>
          <w:b/>
          <w:color w:val="auto"/>
          <w:sz w:val="20"/>
        </w:rPr>
      </w:pPr>
    </w:p>
    <w:p>
      <w:pPr>
        <w:pStyle w:val="2"/>
        <w:spacing w:before="12"/>
        <w:rPr>
          <w:rFonts w:asciiTheme="minorEastAsia" w:hAnsiTheme="minorEastAsia" w:eastAsiaTheme="minorEastAsia" w:cstheme="minorEastAsia"/>
          <w:b/>
          <w:color w:val="auto"/>
          <w:sz w:val="23"/>
        </w:rPr>
      </w:pPr>
    </w:p>
    <w:p>
      <w:pPr>
        <w:pStyle w:val="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封面：</w:t>
      </w:r>
    </w:p>
    <w:p>
      <w:pPr>
        <w:spacing w:before="141"/>
        <w:ind w:right="859"/>
        <w:jc w:val="right"/>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正本/副本</w:t>
      </w: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spacing w:before="177"/>
        <w:ind w:left="2584"/>
        <w:rPr>
          <w:rFonts w:asciiTheme="minorEastAsia" w:hAnsiTheme="minorEastAsia" w:eastAsiaTheme="minorEastAsia" w:cstheme="minorEastAsia"/>
          <w:b/>
          <w:color w:val="auto"/>
          <w:sz w:val="52"/>
        </w:rPr>
      </w:pPr>
      <w:r>
        <w:rPr>
          <w:rFonts w:hint="eastAsia" w:asciiTheme="minorEastAsia" w:hAnsiTheme="minorEastAsia" w:eastAsiaTheme="minorEastAsia" w:cstheme="minorEastAsia"/>
          <w:b/>
          <w:color w:val="auto"/>
          <w:sz w:val="52"/>
        </w:rPr>
        <w:t>竞争性磋商响应文件</w:t>
      </w:r>
    </w:p>
    <w:p>
      <w:pPr>
        <w:pStyle w:val="2"/>
        <w:rPr>
          <w:rFonts w:asciiTheme="minorEastAsia" w:hAnsiTheme="minorEastAsia" w:eastAsiaTheme="minorEastAsia" w:cstheme="minorEastAsia"/>
          <w:b/>
          <w:color w:val="auto"/>
          <w:sz w:val="52"/>
        </w:rPr>
      </w:pPr>
    </w:p>
    <w:p>
      <w:pPr>
        <w:pStyle w:val="2"/>
        <w:rPr>
          <w:rFonts w:asciiTheme="minorEastAsia" w:hAnsiTheme="minorEastAsia" w:eastAsiaTheme="minorEastAsia" w:cstheme="minorEastAsia"/>
          <w:b/>
          <w:color w:val="auto"/>
          <w:sz w:val="52"/>
        </w:rPr>
      </w:pPr>
    </w:p>
    <w:p>
      <w:pPr>
        <w:pStyle w:val="2"/>
        <w:spacing w:before="9"/>
        <w:rPr>
          <w:rFonts w:asciiTheme="minorEastAsia" w:hAnsiTheme="minorEastAsia" w:eastAsiaTheme="minorEastAsia" w:cstheme="minorEastAsia"/>
          <w:b/>
          <w:color w:val="auto"/>
          <w:sz w:val="37"/>
        </w:rPr>
      </w:pPr>
    </w:p>
    <w:p>
      <w:pPr>
        <w:pStyle w:val="6"/>
        <w:tabs>
          <w:tab w:val="left" w:pos="7575"/>
          <w:tab w:val="left" w:pos="7645"/>
        </w:tabs>
        <w:spacing w:before="0" w:line="333" w:lineRule="auto"/>
        <w:ind w:left="2397" w:right="2419"/>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采</w:t>
      </w:r>
      <w:r>
        <w:rPr>
          <w:rFonts w:hint="eastAsia" w:asciiTheme="minorEastAsia" w:hAnsiTheme="minorEastAsia" w:eastAsiaTheme="minorEastAsia" w:cstheme="minorEastAsia"/>
          <w:color w:val="auto"/>
          <w:spacing w:val="-3"/>
        </w:rPr>
        <w:t>购</w:t>
      </w:r>
      <w:r>
        <w:rPr>
          <w:rFonts w:hint="eastAsia" w:asciiTheme="minorEastAsia" w:hAnsiTheme="minorEastAsia" w:eastAsiaTheme="minorEastAsia" w:cstheme="minorEastAsia"/>
          <w:color w:val="auto"/>
          <w:spacing w:val="-1"/>
        </w:rPr>
        <w:t>项目</w:t>
      </w:r>
      <w:r>
        <w:rPr>
          <w:rFonts w:hint="eastAsia" w:asciiTheme="minorEastAsia" w:hAnsiTheme="minorEastAsia" w:eastAsiaTheme="minorEastAsia" w:cstheme="minorEastAsia"/>
          <w:color w:val="auto"/>
          <w:spacing w:val="-3"/>
        </w:rPr>
        <w:t>编</w:t>
      </w:r>
      <w:r>
        <w:rPr>
          <w:rFonts w:hint="eastAsia" w:asciiTheme="minorEastAsia" w:hAnsiTheme="minorEastAsia" w:eastAsiaTheme="minorEastAsia" w:cstheme="minorEastAsia"/>
          <w:color w:val="auto"/>
          <w:spacing w:val="-1"/>
        </w:rPr>
        <w:t>号</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1"/>
        </w:rPr>
        <w:t>采</w:t>
      </w:r>
      <w:r>
        <w:rPr>
          <w:rFonts w:hint="eastAsia" w:asciiTheme="minorEastAsia" w:hAnsiTheme="minorEastAsia" w:eastAsiaTheme="minorEastAsia" w:cstheme="minorEastAsia"/>
          <w:color w:val="auto"/>
          <w:spacing w:val="-3"/>
        </w:rPr>
        <w:t>购</w:t>
      </w:r>
      <w:r>
        <w:rPr>
          <w:rFonts w:hint="eastAsia" w:asciiTheme="minorEastAsia" w:hAnsiTheme="minorEastAsia" w:eastAsiaTheme="minorEastAsia" w:cstheme="minorEastAsia"/>
          <w:color w:val="auto"/>
          <w:spacing w:val="-1"/>
        </w:rPr>
        <w:t>项目</w:t>
      </w:r>
      <w:r>
        <w:rPr>
          <w:rFonts w:hint="eastAsia" w:asciiTheme="minorEastAsia" w:hAnsiTheme="minorEastAsia" w:eastAsiaTheme="minorEastAsia" w:cstheme="minorEastAsia"/>
          <w:color w:val="auto"/>
          <w:spacing w:val="-3"/>
        </w:rPr>
        <w:t>名</w:t>
      </w:r>
      <w:r>
        <w:rPr>
          <w:rFonts w:hint="eastAsia" w:asciiTheme="minorEastAsia" w:hAnsiTheme="minorEastAsia" w:eastAsiaTheme="minorEastAsia" w:cstheme="minorEastAsia"/>
          <w:color w:val="auto"/>
          <w:spacing w:val="-1"/>
        </w:rPr>
        <w:t>称</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3"/>
          <w:u w:val="single"/>
        </w:rPr>
        <w:tab/>
      </w:r>
      <w:r>
        <w:rPr>
          <w:rFonts w:hint="eastAsia" w:asciiTheme="minorEastAsia" w:hAnsiTheme="minorEastAsia" w:eastAsiaTheme="minorEastAsia" w:cstheme="minorEastAsia"/>
          <w:color w:val="auto"/>
          <w:spacing w:val="-1"/>
        </w:rPr>
        <w:t>分</w:t>
      </w:r>
      <w:r>
        <w:rPr>
          <w:rFonts w:hint="eastAsia" w:asciiTheme="minorEastAsia" w:hAnsiTheme="minorEastAsia" w:eastAsiaTheme="minorEastAsia" w:cstheme="minorEastAsia"/>
          <w:color w:val="auto"/>
          <w:spacing w:val="-3"/>
        </w:rPr>
        <w:t>标</w:t>
      </w:r>
      <w:r>
        <w:rPr>
          <w:rFonts w:hint="eastAsia" w:asciiTheme="minorEastAsia" w:hAnsiTheme="minorEastAsia" w:eastAsiaTheme="minorEastAsia" w:cstheme="minorEastAsia"/>
          <w:color w:val="auto"/>
          <w:spacing w:val="-1"/>
        </w:rPr>
        <w:t>号（</w:t>
      </w:r>
      <w:r>
        <w:rPr>
          <w:rFonts w:hint="eastAsia" w:asciiTheme="minorEastAsia" w:hAnsiTheme="minorEastAsia" w:eastAsiaTheme="minorEastAsia" w:cstheme="minorEastAsia"/>
          <w:color w:val="auto"/>
          <w:spacing w:val="-3"/>
        </w:rPr>
        <w:t>如</w:t>
      </w:r>
      <w:r>
        <w:rPr>
          <w:rFonts w:hint="eastAsia" w:asciiTheme="minorEastAsia" w:hAnsiTheme="minorEastAsia" w:eastAsiaTheme="minorEastAsia" w:cstheme="minorEastAsia"/>
          <w:color w:val="auto"/>
          <w:spacing w:val="-1"/>
        </w:rPr>
        <w:t>有</w:t>
      </w:r>
      <w:r>
        <w:rPr>
          <w:rFonts w:hint="eastAsia" w:asciiTheme="minorEastAsia" w:hAnsiTheme="minorEastAsia" w:eastAsiaTheme="minorEastAsia" w:cstheme="minorEastAsia"/>
          <w:color w:val="auto"/>
          <w:spacing w:val="-142"/>
        </w:rPr>
        <w:t>）</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u w:val="single"/>
        </w:rPr>
        <w:tab/>
      </w: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0"/>
        </w:rPr>
      </w:pPr>
    </w:p>
    <w:p>
      <w:pPr>
        <w:spacing w:before="209"/>
        <w:ind w:left="983" w:right="905"/>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（供应商名称）</w:t>
      </w:r>
    </w:p>
    <w:p>
      <w:pPr>
        <w:tabs>
          <w:tab w:val="left" w:pos="2042"/>
          <w:tab w:val="left" w:pos="2882"/>
        </w:tabs>
        <w:spacing w:before="143"/>
        <w:ind w:left="1202"/>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年</w:t>
      </w:r>
      <w:r>
        <w:rPr>
          <w:rFonts w:hint="eastAsia" w:asciiTheme="minorEastAsia" w:hAnsiTheme="minorEastAsia" w:eastAsiaTheme="minorEastAsia" w:cstheme="minorEastAsia"/>
          <w:color w:val="auto"/>
          <w:sz w:val="28"/>
        </w:rPr>
        <w:tab/>
      </w:r>
      <w:r>
        <w:rPr>
          <w:rFonts w:hint="eastAsia" w:asciiTheme="minorEastAsia" w:hAnsiTheme="minorEastAsia" w:eastAsiaTheme="minorEastAsia" w:cstheme="minorEastAsia"/>
          <w:color w:val="auto"/>
          <w:sz w:val="28"/>
        </w:rPr>
        <w:t>月</w:t>
      </w:r>
      <w:r>
        <w:rPr>
          <w:rFonts w:hint="eastAsia" w:asciiTheme="minorEastAsia" w:hAnsiTheme="minorEastAsia" w:eastAsiaTheme="minorEastAsia" w:cstheme="minorEastAsia"/>
          <w:color w:val="auto"/>
          <w:sz w:val="28"/>
        </w:rPr>
        <w:tab/>
      </w:r>
      <w:r>
        <w:rPr>
          <w:rFonts w:hint="eastAsia" w:asciiTheme="minorEastAsia" w:hAnsiTheme="minorEastAsia" w:eastAsiaTheme="minorEastAsia" w:cstheme="minorEastAsia"/>
          <w:color w:val="auto"/>
          <w:sz w:val="28"/>
        </w:rPr>
        <w:t>日</w:t>
      </w:r>
    </w:p>
    <w:p>
      <w:pPr>
        <w:jc w:val="center"/>
        <w:rPr>
          <w:rFonts w:asciiTheme="minorEastAsia" w:hAnsiTheme="minorEastAsia" w:eastAsiaTheme="minorEastAsia" w:cstheme="minorEastAsia"/>
          <w:color w:val="auto"/>
          <w:sz w:val="28"/>
        </w:rPr>
        <w:sectPr>
          <w:footerReference r:id="rId7" w:type="default"/>
          <w:pgSz w:w="11910" w:h="16840"/>
          <w:pgMar w:top="1360" w:right="820" w:bottom="1420" w:left="1020" w:header="1165" w:footer="1233" w:gutter="0"/>
          <w:cols w:equalWidth="0" w:num="1">
            <w:col w:w="10070"/>
          </w:cols>
        </w:sectPr>
      </w:pPr>
    </w:p>
    <w:p>
      <w:pPr>
        <w:pStyle w:val="2"/>
        <w:spacing w:before="3"/>
        <w:rPr>
          <w:rFonts w:asciiTheme="minorEastAsia" w:hAnsiTheme="minorEastAsia" w:eastAsiaTheme="minorEastAsia" w:cstheme="minorEastAsia"/>
          <w:color w:val="auto"/>
          <w:sz w:val="9"/>
        </w:rPr>
      </w:pPr>
    </w:p>
    <w:p>
      <w:pPr>
        <w:spacing w:before="62"/>
        <w:ind w:left="398"/>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t>附件一：</w:t>
      </w:r>
    </w:p>
    <w:p>
      <w:pPr>
        <w:pStyle w:val="2"/>
        <w:rPr>
          <w:rFonts w:asciiTheme="minorEastAsia" w:hAnsiTheme="minorEastAsia" w:eastAsiaTheme="minorEastAsia" w:cstheme="minorEastAsia"/>
          <w:color w:val="auto"/>
          <w:sz w:val="20"/>
        </w:rPr>
      </w:pPr>
    </w:p>
    <w:p>
      <w:pPr>
        <w:pStyle w:val="2"/>
        <w:rPr>
          <w:rFonts w:asciiTheme="minorEastAsia" w:hAnsiTheme="minorEastAsia" w:eastAsiaTheme="minorEastAsia" w:cstheme="minorEastAsia"/>
          <w:color w:val="auto"/>
          <w:sz w:val="23"/>
        </w:rPr>
      </w:pPr>
    </w:p>
    <w:p>
      <w:pPr>
        <w:tabs>
          <w:tab w:val="left" w:pos="719"/>
          <w:tab w:val="left" w:pos="1444"/>
        </w:tabs>
        <w:spacing w:before="49"/>
        <w:ind w:right="195"/>
        <w:jc w:val="center"/>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磋</w:t>
      </w:r>
      <w:r>
        <w:rPr>
          <w:rFonts w:hint="eastAsia" w:asciiTheme="minorEastAsia" w:hAnsiTheme="minorEastAsia" w:eastAsiaTheme="minorEastAsia" w:cstheme="minorEastAsia"/>
          <w:b/>
          <w:color w:val="auto"/>
          <w:sz w:val="36"/>
        </w:rPr>
        <w:tab/>
      </w:r>
      <w:r>
        <w:rPr>
          <w:rFonts w:hint="eastAsia" w:asciiTheme="minorEastAsia" w:hAnsiTheme="minorEastAsia" w:eastAsiaTheme="minorEastAsia" w:cstheme="minorEastAsia"/>
          <w:b/>
          <w:color w:val="auto"/>
          <w:sz w:val="36"/>
        </w:rPr>
        <w:t>商</w:t>
      </w:r>
      <w:r>
        <w:rPr>
          <w:rFonts w:hint="eastAsia" w:asciiTheme="minorEastAsia" w:hAnsiTheme="minorEastAsia" w:eastAsiaTheme="minorEastAsia" w:cstheme="minorEastAsia"/>
          <w:b/>
          <w:color w:val="auto"/>
          <w:sz w:val="36"/>
        </w:rPr>
        <w:tab/>
      </w:r>
      <w:r>
        <w:rPr>
          <w:rFonts w:hint="eastAsia" w:asciiTheme="minorEastAsia" w:hAnsiTheme="minorEastAsia" w:eastAsiaTheme="minorEastAsia" w:cstheme="minorEastAsia"/>
          <w:b/>
          <w:color w:val="auto"/>
          <w:sz w:val="36"/>
        </w:rPr>
        <w:t>书</w:t>
      </w:r>
    </w:p>
    <w:p>
      <w:pPr>
        <w:pStyle w:val="2"/>
        <w:rPr>
          <w:rFonts w:asciiTheme="minorEastAsia" w:hAnsiTheme="minorEastAsia" w:eastAsiaTheme="minorEastAsia" w:cstheme="minorEastAsia"/>
          <w:b/>
          <w:color w:val="auto"/>
          <w:sz w:val="20"/>
        </w:rPr>
      </w:pPr>
    </w:p>
    <w:p>
      <w:pPr>
        <w:pStyle w:val="2"/>
        <w:spacing w:before="2"/>
        <w:rPr>
          <w:rFonts w:asciiTheme="minorEastAsia" w:hAnsiTheme="minorEastAsia" w:eastAsiaTheme="minorEastAsia" w:cstheme="minorEastAsia"/>
          <w:b/>
          <w:color w:val="auto"/>
          <w:sz w:val="17"/>
        </w:rPr>
      </w:pPr>
    </w:p>
    <w:p>
      <w:pPr>
        <w:pStyle w:val="2"/>
        <w:spacing w:before="70"/>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华物盛泰工程咨询管理有限公司：</w:t>
      </w:r>
    </w:p>
    <w:p>
      <w:pPr>
        <w:pStyle w:val="2"/>
        <w:tabs>
          <w:tab w:val="left" w:pos="7507"/>
        </w:tabs>
        <w:spacing w:before="170" w:line="391" w:lineRule="auto"/>
        <w:ind w:left="398" w:right="492"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依据</w:t>
      </w:r>
      <w:r>
        <w:rPr>
          <w:rFonts w:hint="eastAsia" w:asciiTheme="minorEastAsia" w:hAnsiTheme="minorEastAsia" w:eastAsiaTheme="minorEastAsia" w:cstheme="minorEastAsia"/>
          <w:color w:val="auto"/>
        </w:rPr>
        <w:t>贵</w:t>
      </w:r>
      <w:r>
        <w:rPr>
          <w:rFonts w:hint="eastAsia" w:asciiTheme="minorEastAsia" w:hAnsiTheme="minorEastAsia" w:eastAsiaTheme="minorEastAsia" w:cstheme="minorEastAsia"/>
          <w:color w:val="auto"/>
          <w:spacing w:val="4"/>
        </w:rPr>
        <w:t>方</w:t>
      </w:r>
      <w:r>
        <w:rPr>
          <w:rFonts w:hint="eastAsia" w:asciiTheme="minorEastAsia" w:hAnsiTheme="minorEastAsia" w:eastAsiaTheme="minorEastAsia" w:cstheme="minorEastAsia"/>
          <w:color w:val="auto"/>
        </w:rPr>
        <w:t>项目政府采购的磋商邀请</w:t>
      </w:r>
      <w:r>
        <w:rPr>
          <w:rFonts w:hint="eastAsia" w:asciiTheme="minorEastAsia" w:hAnsiTheme="minorEastAsia" w:eastAsiaTheme="minorEastAsia" w:cstheme="minorEastAsia"/>
          <w:color w:val="auto"/>
          <w:spacing w:val="-34"/>
        </w:rPr>
        <w:t>，</w:t>
      </w:r>
      <w:r>
        <w:rPr>
          <w:rFonts w:hint="eastAsia" w:asciiTheme="minorEastAsia" w:hAnsiTheme="minorEastAsia" w:eastAsiaTheme="minorEastAsia" w:cstheme="minorEastAsia"/>
          <w:color w:val="auto"/>
        </w:rPr>
        <w:t>我</w:t>
      </w:r>
      <w:r>
        <w:rPr>
          <w:rFonts w:hint="eastAsia" w:asciiTheme="minorEastAsia" w:hAnsiTheme="minorEastAsia" w:eastAsiaTheme="minorEastAsia" w:cstheme="minorEastAsia"/>
          <w:color w:val="auto"/>
          <w:spacing w:val="-32"/>
        </w:rPr>
        <w:t>方</w:t>
      </w:r>
      <w:r>
        <w:rPr>
          <w:rFonts w:hint="eastAsia" w:asciiTheme="minorEastAsia" w:hAnsiTheme="minorEastAsia" w:eastAsiaTheme="minorEastAsia" w:cstheme="minorEastAsia"/>
          <w:color w:val="auto"/>
          <w:u w:val="single"/>
        </w:rPr>
        <w:t>（姓名和职务</w:t>
      </w:r>
      <w:r>
        <w:rPr>
          <w:rFonts w:hint="eastAsia" w:asciiTheme="minorEastAsia" w:hAnsiTheme="minorEastAsia" w:eastAsiaTheme="minorEastAsia" w:cstheme="minorEastAsia"/>
          <w:color w:val="auto"/>
          <w:spacing w:val="-34"/>
          <w:u w:val="single"/>
        </w:rPr>
        <w:t>）</w:t>
      </w:r>
      <w:r>
        <w:rPr>
          <w:rFonts w:hint="eastAsia" w:asciiTheme="minorEastAsia" w:hAnsiTheme="minorEastAsia" w:eastAsiaTheme="minorEastAsia" w:cstheme="minorEastAsia"/>
          <w:color w:val="auto"/>
        </w:rPr>
        <w:t>经正式授权并代表供应商</w:t>
      </w:r>
      <w:r>
        <w:rPr>
          <w:rFonts w:hint="eastAsia" w:asciiTheme="minorEastAsia" w:hAnsiTheme="minorEastAsia" w:eastAsiaTheme="minorEastAsia" w:cstheme="minorEastAsia"/>
          <w:color w:val="auto"/>
          <w:u w:val="single"/>
        </w:rPr>
        <w:t>（供应商名称</w:t>
      </w:r>
      <w:r>
        <w:rPr>
          <w:rFonts w:hint="eastAsia" w:asciiTheme="minorEastAsia" w:hAnsiTheme="minorEastAsia" w:eastAsiaTheme="minorEastAsia" w:cstheme="minorEastAsia"/>
          <w:color w:val="auto"/>
          <w:spacing w:val="-34"/>
          <w:u w:val="single"/>
        </w:rPr>
        <w:t>、</w:t>
      </w:r>
      <w:r>
        <w:rPr>
          <w:rFonts w:hint="eastAsia" w:asciiTheme="minorEastAsia" w:hAnsiTheme="minorEastAsia" w:eastAsiaTheme="minorEastAsia" w:cstheme="minorEastAsia"/>
          <w:color w:val="auto"/>
          <w:u w:val="single"/>
        </w:rPr>
        <w:t>地址</w:t>
      </w:r>
      <w:r>
        <w:rPr>
          <w:rFonts w:hint="eastAsia" w:asciiTheme="minorEastAsia" w:hAnsiTheme="minorEastAsia" w:eastAsiaTheme="minorEastAsia" w:cstheme="minorEastAsia"/>
          <w:color w:val="auto"/>
          <w:spacing w:val="-13"/>
          <w:u w:val="single"/>
        </w:rPr>
        <w:t>）</w:t>
      </w:r>
      <w:r>
        <w:rPr>
          <w:rFonts w:hint="eastAsia" w:asciiTheme="minorEastAsia" w:hAnsiTheme="minorEastAsia" w:eastAsiaTheme="minorEastAsia" w:cstheme="minorEastAsia"/>
          <w:color w:val="auto"/>
        </w:rPr>
        <w:t>提交下述竞争性磋商响应文件（价格文件、商务技术文件）正本一份和副本三份：据此函，签字代表宣布同意如下：</w:t>
      </w:r>
    </w:p>
    <w:p>
      <w:pPr>
        <w:pStyle w:val="39"/>
        <w:numPr>
          <w:ilvl w:val="0"/>
          <w:numId w:val="16"/>
        </w:numPr>
        <w:tabs>
          <w:tab w:val="left" w:pos="1090"/>
        </w:tabs>
        <w:spacing w:before="2"/>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按磋商文件项目采购需求和磋商报价表：</w:t>
      </w:r>
    </w:p>
    <w:p>
      <w:pPr>
        <w:pStyle w:val="39"/>
        <w:numPr>
          <w:ilvl w:val="0"/>
          <w:numId w:val="16"/>
        </w:numPr>
        <w:tabs>
          <w:tab w:val="left" w:pos="1090"/>
        </w:tabs>
        <w:spacing w:before="172"/>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我方承诺已具备磋商文件规定的磋商供应商资格条件。</w:t>
      </w:r>
    </w:p>
    <w:p>
      <w:pPr>
        <w:pStyle w:val="39"/>
        <w:numPr>
          <w:ilvl w:val="0"/>
          <w:numId w:val="16"/>
        </w:numPr>
        <w:tabs>
          <w:tab w:val="left" w:pos="1090"/>
        </w:tabs>
        <w:spacing w:line="391" w:lineRule="auto"/>
        <w:ind w:left="398" w:right="598" w:firstLine="48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2"/>
          <w:w w:val="95"/>
          <w:sz w:val="21"/>
        </w:rPr>
        <w:t>我</w:t>
      </w:r>
      <w:r>
        <w:rPr>
          <w:rFonts w:hint="eastAsia" w:asciiTheme="minorEastAsia" w:hAnsiTheme="minorEastAsia" w:eastAsiaTheme="minorEastAsia" w:cstheme="minorEastAsia"/>
          <w:color w:val="auto"/>
          <w:sz w:val="21"/>
        </w:rPr>
        <w:t>方已详细审核磋商文件，包括修改文件（如有的话）和有关附件，将自行承担因对全部磋商文件理解不正确或误解而产生的相应后果。</w:t>
      </w:r>
    </w:p>
    <w:p>
      <w:pPr>
        <w:pStyle w:val="39"/>
        <w:numPr>
          <w:ilvl w:val="0"/>
          <w:numId w:val="16"/>
        </w:numPr>
        <w:tabs>
          <w:tab w:val="left" w:pos="1090"/>
        </w:tabs>
        <w:spacing w:before="4"/>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如我方成交：</w:t>
      </w:r>
    </w:p>
    <w:p>
      <w:pPr>
        <w:pStyle w:val="2"/>
        <w:numPr>
          <w:ilvl w:val="0"/>
          <w:numId w:val="17"/>
        </w:numPr>
        <w:spacing w:before="170" w:line="391" w:lineRule="auto"/>
        <w:ind w:left="398" w:right="550"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我方承诺在收到成交通知书后，在成交通知书规定的期限内与采购人签订合同。</w:t>
      </w:r>
    </w:p>
    <w:p>
      <w:pPr>
        <w:pStyle w:val="2"/>
        <w:numPr>
          <w:ilvl w:val="0"/>
          <w:numId w:val="17"/>
        </w:numPr>
        <w:spacing w:before="170" w:line="391" w:lineRule="auto"/>
        <w:ind w:left="398" w:right="550"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我方承诺按照磋商文件规定递交履约担保。</w:t>
      </w:r>
    </w:p>
    <w:p>
      <w:pPr>
        <w:pStyle w:val="2"/>
        <w:spacing w:before="4" w:line="391" w:lineRule="auto"/>
        <w:ind w:left="398" w:right="492"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w w:val="95"/>
        </w:rPr>
        <w:t>（3）</w:t>
      </w:r>
      <w:r>
        <w:rPr>
          <w:rFonts w:hint="eastAsia" w:asciiTheme="minorEastAsia" w:hAnsiTheme="minorEastAsia" w:eastAsiaTheme="minorEastAsia" w:cstheme="minorEastAsia"/>
          <w:color w:val="auto"/>
        </w:rPr>
        <w:t>我方承诺本响应文件至本项目合同履行完毕止均保持有效，按磋商文件及政府采购法律、 法规的规定履行合同责任和义务。</w:t>
      </w:r>
    </w:p>
    <w:p>
      <w:pPr>
        <w:pStyle w:val="39"/>
        <w:numPr>
          <w:ilvl w:val="0"/>
          <w:numId w:val="16"/>
        </w:numPr>
        <w:tabs>
          <w:tab w:val="left" w:pos="1090"/>
          <w:tab w:val="left" w:pos="7335"/>
        </w:tabs>
        <w:spacing w:before="1"/>
        <w:ind w:hanging="211"/>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szCs w:val="21"/>
        </w:rPr>
        <w:t>与本磋商有关的一切正式往来信函请寄：</w:t>
      </w:r>
      <w:r>
        <w:rPr>
          <w:rFonts w:hint="eastAsia" w:asciiTheme="minorEastAsia" w:hAnsiTheme="minorEastAsia" w:eastAsiaTheme="minorEastAsia" w:cstheme="minorEastAsia"/>
          <w:color w:val="auto"/>
          <w:sz w:val="21"/>
          <w:u w:val="single"/>
        </w:rPr>
        <w:tab/>
      </w:r>
    </w:p>
    <w:p>
      <w:pPr>
        <w:pStyle w:val="2"/>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电话/传真：</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w w:val="95"/>
        </w:rPr>
        <w:t>电子函件：</w:t>
      </w:r>
      <w:r>
        <w:rPr>
          <w:rFonts w:hint="eastAsia" w:asciiTheme="minorEastAsia" w:hAnsiTheme="minorEastAsia" w:eastAsiaTheme="minorEastAsia" w:cstheme="minorEastAsia"/>
          <w:color w:val="auto"/>
          <w:u w:val="single"/>
        </w:rPr>
        <w:tab/>
      </w:r>
    </w:p>
    <w:p>
      <w:pPr>
        <w:pStyle w:val="2"/>
        <w:tabs>
          <w:tab w:val="left" w:pos="2498"/>
          <w:tab w:val="left" w:pos="3023"/>
          <w:tab w:val="left" w:pos="3652"/>
        </w:tabs>
        <w:spacing w:before="170"/>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pStyle w:val="2"/>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法定代表人、法定代表人授权代表签字：</w:t>
      </w:r>
      <w:r>
        <w:rPr>
          <w:rFonts w:hint="eastAsia" w:asciiTheme="minorEastAsia" w:hAnsiTheme="minorEastAsia" w:eastAsiaTheme="minorEastAsia" w:cstheme="minorEastAsia"/>
          <w:color w:val="auto"/>
        </w:rPr>
        <w:tab/>
      </w:r>
    </w:p>
    <w:p>
      <w:pPr>
        <w:pStyle w:val="2"/>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供应商名称（签章）：</w:t>
      </w:r>
      <w:r>
        <w:rPr>
          <w:rFonts w:hint="eastAsia" w:asciiTheme="minorEastAsia" w:hAnsiTheme="minorEastAsia" w:eastAsiaTheme="minorEastAsia" w:cstheme="minorEastAsia"/>
          <w:color w:val="auto"/>
        </w:rPr>
        <w:tab/>
      </w:r>
    </w:p>
    <w:p>
      <w:pPr>
        <w:pStyle w:val="2"/>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w:t>
      </w:r>
      <w:r>
        <w:rPr>
          <w:rFonts w:hint="eastAsia" w:asciiTheme="minorEastAsia" w:hAnsiTheme="minorEastAsia" w:eastAsiaTheme="minorEastAsia" w:cstheme="minorEastAsia"/>
          <w:color w:val="auto"/>
        </w:rPr>
        <w:tab/>
      </w:r>
    </w:p>
    <w:p>
      <w:pPr>
        <w:pStyle w:val="2"/>
        <w:tabs>
          <w:tab w:val="left" w:pos="4963"/>
          <w:tab w:val="left" w:pos="7483"/>
        </w:tabs>
        <w:spacing w:before="173"/>
        <w:ind w:left="12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帐号/行号：</w:t>
      </w:r>
      <w:r>
        <w:rPr>
          <w:rFonts w:hint="eastAsia" w:asciiTheme="minorEastAsia" w:hAnsiTheme="minorEastAsia" w:eastAsiaTheme="minorEastAsia" w:cstheme="minorEastAsia"/>
          <w:color w:val="auto"/>
          <w:u w:val="single"/>
        </w:rPr>
        <w:tab/>
      </w:r>
    </w:p>
    <w:p>
      <w:pPr>
        <w:rPr>
          <w:rFonts w:asciiTheme="minorEastAsia" w:hAnsiTheme="minorEastAsia" w:eastAsiaTheme="minorEastAsia" w:cstheme="minorEastAsia"/>
          <w:color w:val="auto"/>
        </w:rPr>
        <w:sectPr>
          <w:footerReference r:id="rId8" w:type="default"/>
          <w:pgSz w:w="11910" w:h="16840"/>
          <w:pgMar w:top="1360" w:right="820" w:bottom="1420" w:left="1020" w:header="1165" w:footer="1233" w:gutter="0"/>
          <w:pgNumType w:start="20"/>
          <w:cols w:equalWidth="0" w:num="1">
            <w:col w:w="10070"/>
          </w:cols>
        </w:sectPr>
      </w:pPr>
    </w:p>
    <w:p>
      <w:pPr>
        <w:pStyle w:val="2"/>
        <w:spacing w:before="9"/>
        <w:rPr>
          <w:rFonts w:asciiTheme="minorEastAsia" w:hAnsiTheme="minorEastAsia" w:eastAsiaTheme="minorEastAsia" w:cstheme="minorEastAsia"/>
          <w:color w:val="auto"/>
          <w:sz w:val="8"/>
        </w:rPr>
      </w:pPr>
    </w:p>
    <w:p>
      <w:pPr>
        <w:rPr>
          <w:rFonts w:asciiTheme="minorEastAsia" w:hAnsiTheme="minorEastAsia" w:eastAsiaTheme="minorEastAsia" w:cstheme="minorEastAsia"/>
          <w:color w:val="auto"/>
          <w:sz w:val="8"/>
        </w:rPr>
        <w:sectPr>
          <w:pgSz w:w="11910" w:h="16840"/>
          <w:pgMar w:top="1360" w:right="820" w:bottom="1420" w:left="1020" w:header="1165" w:footer="1233" w:gutter="0"/>
          <w:cols w:equalWidth="0" w:num="1">
            <w:col w:w="10070"/>
          </w:cols>
        </w:sectPr>
      </w:pPr>
    </w:p>
    <w:p>
      <w:pPr>
        <w:pStyle w:val="6"/>
        <w:spacing w:before="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附件二</w:t>
      </w:r>
    </w:p>
    <w:p>
      <w:pPr>
        <w:pStyle w:val="2"/>
        <w:spacing w:before="11"/>
        <w:rPr>
          <w:rFonts w:asciiTheme="minorEastAsia" w:hAnsiTheme="minorEastAsia" w:eastAsiaTheme="minorEastAsia" w:cstheme="minorEastAsia"/>
          <w:color w:val="auto"/>
          <w:sz w:val="38"/>
        </w:rPr>
      </w:pPr>
      <w:r>
        <w:rPr>
          <w:rFonts w:hint="eastAsia" w:asciiTheme="minorEastAsia" w:hAnsiTheme="minorEastAsia" w:eastAsiaTheme="minorEastAsia" w:cstheme="minorEastAsia"/>
          <w:color w:val="auto"/>
        </w:rPr>
        <w:br w:type="column"/>
      </w:r>
    </w:p>
    <w:p>
      <w:pPr>
        <w:ind w:left="398"/>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磋商报价表</w:t>
      </w:r>
    </w:p>
    <w:p>
      <w:pPr>
        <w:rPr>
          <w:rFonts w:asciiTheme="minorEastAsia" w:hAnsiTheme="minorEastAsia" w:eastAsiaTheme="minorEastAsia" w:cstheme="minorEastAsia"/>
          <w:color w:val="auto"/>
          <w:sz w:val="36"/>
        </w:rPr>
        <w:sectPr>
          <w:type w:val="continuous"/>
          <w:pgSz w:w="11910" w:h="16840"/>
          <w:pgMar w:top="1580" w:right="820" w:bottom="280" w:left="1020" w:header="720" w:footer="720" w:gutter="0"/>
          <w:cols w:equalWidth="0" w:num="2">
            <w:col w:w="1279" w:space="2352"/>
            <w:col w:w="6439"/>
          </w:cols>
        </w:sectPr>
      </w:pPr>
    </w:p>
    <w:p>
      <w:pPr>
        <w:pStyle w:val="2"/>
        <w:rPr>
          <w:rFonts w:asciiTheme="minorEastAsia" w:hAnsiTheme="minorEastAsia" w:eastAsiaTheme="minorEastAsia" w:cstheme="minorEastAsia"/>
          <w:b/>
          <w:color w:val="auto"/>
          <w:sz w:val="20"/>
        </w:rPr>
      </w:pPr>
    </w:p>
    <w:p>
      <w:pPr>
        <w:pStyle w:val="2"/>
        <w:spacing w:before="2"/>
        <w:rPr>
          <w:rFonts w:asciiTheme="minorEastAsia" w:hAnsiTheme="minorEastAsia" w:eastAsiaTheme="minorEastAsia" w:cstheme="minorEastAsia"/>
          <w:b/>
          <w:color w:val="auto"/>
          <w:sz w:val="23"/>
        </w:rPr>
      </w:pPr>
    </w:p>
    <w:p>
      <w:pPr>
        <w:pStyle w:val="2"/>
        <w:tabs>
          <w:tab w:val="left" w:pos="3703"/>
        </w:tabs>
        <w:spacing w:before="77"/>
        <w:ind w:left="398"/>
        <w:rPr>
          <w:rFonts w:asciiTheme="minorEastAsia" w:hAnsiTheme="minorEastAsia" w:eastAsiaTheme="minorEastAsia" w:cstheme="minorEastAsia"/>
          <w:color w:val="auto"/>
          <w:szCs w:val="22"/>
        </w:rPr>
      </w:pPr>
      <w:r>
        <w:rPr>
          <w:rFonts w:hint="eastAsia" w:asciiTheme="minorEastAsia" w:hAnsiTheme="minorEastAsia" w:eastAsiaTheme="minorEastAsia" w:cstheme="minorEastAsia"/>
          <w:color w:val="auto"/>
          <w:szCs w:val="22"/>
        </w:rPr>
        <w:t>采购项目编号：</w:t>
      </w:r>
      <w:r>
        <w:rPr>
          <w:rFonts w:hint="eastAsia" w:asciiTheme="minorEastAsia" w:hAnsiTheme="minorEastAsia" w:eastAsiaTheme="minorEastAsia" w:cstheme="minorEastAsia"/>
          <w:color w:val="auto"/>
          <w:szCs w:val="22"/>
        </w:rPr>
        <w:tab/>
      </w:r>
    </w:p>
    <w:p>
      <w:pPr>
        <w:pStyle w:val="2"/>
        <w:tabs>
          <w:tab w:val="left" w:pos="3703"/>
        </w:tabs>
        <w:spacing w:before="151" w:after="24"/>
        <w:ind w:left="398"/>
        <w:rPr>
          <w:rFonts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Cs w:val="22"/>
        </w:rPr>
        <w:t>采购项目名称：</w:t>
      </w:r>
      <w:r>
        <w:rPr>
          <w:rFonts w:hint="eastAsia" w:asciiTheme="minorEastAsia" w:hAnsiTheme="minorEastAsia" w:eastAsiaTheme="minorEastAsia" w:cstheme="minorEastAsia"/>
          <w:color w:val="auto"/>
          <w:u w:val="single"/>
        </w:rPr>
        <w:tab/>
      </w:r>
    </w:p>
    <w:p>
      <w:pPr>
        <w:pStyle w:val="2"/>
        <w:ind w:left="398"/>
        <w:rPr>
          <w:rFonts w:asciiTheme="minorEastAsia" w:hAnsiTheme="minorEastAsia" w:eastAsiaTheme="minorEastAsia" w:cstheme="minorEastAsia"/>
          <w:color w:val="auto"/>
        </w:rPr>
      </w:pPr>
    </w:p>
    <w:tbl>
      <w:tblPr>
        <w:tblStyle w:val="2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85"/>
        <w:gridCol w:w="2627"/>
        <w:gridCol w:w="700"/>
        <w:gridCol w:w="750"/>
        <w:gridCol w:w="900"/>
        <w:gridCol w:w="118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665" w:type="dxa"/>
            <w:noWrap/>
            <w:vAlign w:val="center"/>
          </w:tcPr>
          <w:p>
            <w:pPr>
              <w:spacing w:line="380" w:lineRule="exact"/>
              <w:jc w:val="center"/>
              <w:rPr>
                <w:rFonts w:ascii="Arial" w:hAnsi="Arial" w:cs="Arial"/>
                <w:color w:val="auto"/>
                <w:szCs w:val="21"/>
              </w:rPr>
            </w:pPr>
            <w:r>
              <w:rPr>
                <w:rFonts w:hint="eastAsia" w:ascii="Arial" w:hAnsi="Arial" w:cs="Arial"/>
                <w:color w:val="auto"/>
                <w:szCs w:val="21"/>
                <w:lang w:val="en-US"/>
              </w:rPr>
              <w:t>序号</w:t>
            </w:r>
          </w:p>
        </w:tc>
        <w:tc>
          <w:tcPr>
            <w:tcW w:w="2385" w:type="dxa"/>
            <w:noWrap/>
            <w:vAlign w:val="center"/>
          </w:tcPr>
          <w:p>
            <w:pPr>
              <w:spacing w:line="380" w:lineRule="exact"/>
              <w:jc w:val="center"/>
              <w:rPr>
                <w:rFonts w:ascii="Arial" w:hAnsi="Arial" w:cs="Arial"/>
                <w:color w:val="auto"/>
                <w:szCs w:val="21"/>
              </w:rPr>
            </w:pPr>
            <w:r>
              <w:rPr>
                <w:rFonts w:hint="eastAsia" w:asciiTheme="minorEastAsia" w:hAnsiTheme="minorEastAsia" w:eastAsiaTheme="minorEastAsia" w:cstheme="minorEastAsia"/>
                <w:color w:val="auto"/>
                <w:sz w:val="21"/>
                <w:lang w:val="en-US"/>
              </w:rPr>
              <w:t>货物（</w:t>
            </w:r>
            <w:r>
              <w:rPr>
                <w:rFonts w:hint="eastAsia" w:asciiTheme="minorEastAsia" w:hAnsiTheme="minorEastAsia" w:eastAsiaTheme="minorEastAsia" w:cstheme="minorEastAsia"/>
                <w:color w:val="auto"/>
                <w:sz w:val="21"/>
              </w:rPr>
              <w:t>服务</w:t>
            </w:r>
            <w:r>
              <w:rPr>
                <w:rFonts w:hint="eastAsia" w:asciiTheme="minorEastAsia" w:hAnsiTheme="minorEastAsia" w:eastAsiaTheme="minorEastAsia" w:cstheme="minorEastAsia"/>
                <w:color w:val="auto"/>
                <w:sz w:val="21"/>
                <w:lang w:val="en-US"/>
              </w:rPr>
              <w:t>）</w:t>
            </w:r>
            <w:r>
              <w:rPr>
                <w:rFonts w:hint="eastAsia" w:asciiTheme="minorEastAsia" w:hAnsiTheme="minorEastAsia" w:eastAsiaTheme="minorEastAsia" w:cstheme="minorEastAsia"/>
                <w:color w:val="auto"/>
                <w:sz w:val="21"/>
              </w:rPr>
              <w:t>项目名称</w:t>
            </w:r>
          </w:p>
        </w:tc>
        <w:tc>
          <w:tcPr>
            <w:tcW w:w="2627" w:type="dxa"/>
            <w:noWrap/>
            <w:vAlign w:val="center"/>
          </w:tcPr>
          <w:p>
            <w:pPr>
              <w:spacing w:line="380" w:lineRule="exact"/>
              <w:jc w:val="center"/>
              <w:rPr>
                <w:rFonts w:ascii="Arial" w:hAnsi="Arial" w:cs="Arial"/>
                <w:color w:val="auto"/>
                <w:szCs w:val="21"/>
              </w:rPr>
            </w:pPr>
            <w:r>
              <w:rPr>
                <w:rFonts w:hint="eastAsia" w:ascii="Arial" w:hAnsi="Arial" w:cs="Arial"/>
                <w:color w:val="auto"/>
                <w:szCs w:val="21"/>
              </w:rPr>
              <w:t>项目内容及要求</w:t>
            </w:r>
          </w:p>
        </w:tc>
        <w:tc>
          <w:tcPr>
            <w:tcW w:w="700" w:type="dxa"/>
            <w:noWrap/>
            <w:vAlign w:val="center"/>
          </w:tcPr>
          <w:p>
            <w:pPr>
              <w:spacing w:line="380" w:lineRule="exact"/>
              <w:jc w:val="center"/>
              <w:rPr>
                <w:rFonts w:ascii="Arial" w:hAnsi="Arial" w:cs="Arial"/>
                <w:color w:val="auto"/>
                <w:szCs w:val="21"/>
              </w:rPr>
            </w:pPr>
            <w:r>
              <w:rPr>
                <w:rFonts w:hint="eastAsia" w:ascii="Arial" w:hAnsi="Arial" w:cs="Arial"/>
                <w:color w:val="auto"/>
                <w:szCs w:val="21"/>
                <w:lang w:val="en-US"/>
              </w:rPr>
              <w:t>数量</w:t>
            </w:r>
          </w:p>
        </w:tc>
        <w:tc>
          <w:tcPr>
            <w:tcW w:w="750" w:type="dxa"/>
            <w:noWrap/>
            <w:vAlign w:val="center"/>
          </w:tcPr>
          <w:p>
            <w:pPr>
              <w:spacing w:line="380" w:lineRule="exact"/>
              <w:jc w:val="center"/>
              <w:rPr>
                <w:rFonts w:ascii="Arial" w:hAnsi="Arial" w:cs="Arial"/>
                <w:color w:val="auto"/>
                <w:szCs w:val="21"/>
              </w:rPr>
            </w:pPr>
            <w:r>
              <w:rPr>
                <w:rFonts w:hint="eastAsia" w:ascii="Arial" w:hAnsi="Arial" w:cs="Arial"/>
                <w:color w:val="auto"/>
                <w:szCs w:val="21"/>
                <w:lang w:val="en-US"/>
              </w:rPr>
              <w:t>单位</w:t>
            </w:r>
          </w:p>
        </w:tc>
        <w:tc>
          <w:tcPr>
            <w:tcW w:w="900" w:type="dxa"/>
            <w:noWrap/>
            <w:vAlign w:val="center"/>
          </w:tcPr>
          <w:p>
            <w:pPr>
              <w:spacing w:line="380" w:lineRule="exact"/>
              <w:jc w:val="center"/>
              <w:rPr>
                <w:rFonts w:ascii="Arial" w:hAnsi="Arial" w:cs="Arial"/>
                <w:color w:val="auto"/>
                <w:szCs w:val="21"/>
                <w:lang w:val="en-US"/>
              </w:rPr>
            </w:pPr>
            <w:r>
              <w:rPr>
                <w:rFonts w:hint="eastAsia" w:ascii="Arial" w:hAnsi="Arial" w:cs="Arial"/>
                <w:color w:val="auto"/>
                <w:szCs w:val="21"/>
                <w:lang w:val="en-US"/>
              </w:rPr>
              <w:t>单价</w:t>
            </w:r>
          </w:p>
        </w:tc>
        <w:tc>
          <w:tcPr>
            <w:tcW w:w="1188" w:type="dxa"/>
            <w:noWrap/>
            <w:vAlign w:val="center"/>
          </w:tcPr>
          <w:p>
            <w:pPr>
              <w:spacing w:line="380" w:lineRule="exact"/>
              <w:jc w:val="center"/>
              <w:rPr>
                <w:rFonts w:ascii="Arial" w:hAnsi="Arial" w:cs="Arial"/>
                <w:color w:val="auto"/>
                <w:szCs w:val="21"/>
                <w:lang w:val="en-US"/>
              </w:rPr>
            </w:pPr>
            <w:r>
              <w:rPr>
                <w:rFonts w:hint="eastAsia" w:ascii="Arial" w:hAnsi="Arial" w:cs="Arial"/>
                <w:color w:val="auto"/>
                <w:szCs w:val="21"/>
                <w:lang w:val="en-US"/>
              </w:rPr>
              <w:t>投标报价</w:t>
            </w:r>
          </w:p>
        </w:tc>
        <w:tc>
          <w:tcPr>
            <w:tcW w:w="738" w:type="dxa"/>
            <w:noWrap/>
            <w:vAlign w:val="center"/>
          </w:tcPr>
          <w:p>
            <w:pPr>
              <w:spacing w:line="380" w:lineRule="exact"/>
              <w:jc w:val="center"/>
              <w:rPr>
                <w:rFonts w:ascii="Arial" w:hAnsi="Arial" w:cs="Arial"/>
                <w:color w:val="auto"/>
                <w:szCs w:val="21"/>
                <w:lang w:val="en-US"/>
              </w:rPr>
            </w:pPr>
            <w:r>
              <w:rPr>
                <w:rFonts w:hint="eastAsia" w:ascii="Arial" w:hAnsi="Arial" w:cs="Arial"/>
                <w:color w:val="auto"/>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65" w:type="dxa"/>
            <w:noWrap/>
            <w:vAlign w:val="center"/>
          </w:tcPr>
          <w:p>
            <w:pPr>
              <w:jc w:val="center"/>
              <w:rPr>
                <w:rFonts w:ascii="Arial" w:hAnsi="Arial" w:cs="Arial"/>
                <w:color w:val="auto"/>
                <w:sz w:val="24"/>
              </w:rPr>
            </w:pPr>
            <w:r>
              <w:rPr>
                <w:rFonts w:ascii="Arial" w:hAnsi="Arial" w:cs="Arial"/>
                <w:color w:val="auto"/>
                <w:sz w:val="24"/>
              </w:rPr>
              <w:t>1</w:t>
            </w:r>
          </w:p>
        </w:tc>
        <w:tc>
          <w:tcPr>
            <w:tcW w:w="2385" w:type="dxa"/>
            <w:noWrap/>
            <w:vAlign w:val="center"/>
          </w:tcPr>
          <w:p>
            <w:pPr>
              <w:jc w:val="center"/>
              <w:rPr>
                <w:rFonts w:ascii="Arial" w:hAnsi="Arial" w:cs="Arial"/>
                <w:color w:val="auto"/>
              </w:rPr>
            </w:pPr>
          </w:p>
        </w:tc>
        <w:tc>
          <w:tcPr>
            <w:tcW w:w="2627" w:type="dxa"/>
            <w:noWrap/>
            <w:vAlign w:val="center"/>
          </w:tcPr>
          <w:p>
            <w:pPr>
              <w:pStyle w:val="12"/>
              <w:spacing w:after="240"/>
              <w:ind w:firstLine="396"/>
              <w:jc w:val="center"/>
              <w:rPr>
                <w:rFonts w:ascii="Arial" w:hAnsi="Arial" w:cs="Arial"/>
                <w:color w:val="auto"/>
                <w:spacing w:val="-6"/>
                <w:lang w:val="en-US"/>
              </w:rPr>
            </w:pPr>
          </w:p>
        </w:tc>
        <w:tc>
          <w:tcPr>
            <w:tcW w:w="700" w:type="dxa"/>
            <w:noWrap/>
            <w:vAlign w:val="center"/>
          </w:tcPr>
          <w:p>
            <w:pPr>
              <w:pStyle w:val="12"/>
              <w:spacing w:after="240"/>
              <w:ind w:firstLine="396"/>
              <w:jc w:val="center"/>
              <w:rPr>
                <w:rFonts w:ascii="Arial" w:hAnsi="Arial" w:cs="Arial"/>
                <w:color w:val="auto"/>
                <w:spacing w:val="-6"/>
                <w:lang w:val="en-US"/>
              </w:rPr>
            </w:pPr>
          </w:p>
        </w:tc>
        <w:tc>
          <w:tcPr>
            <w:tcW w:w="750" w:type="dxa"/>
            <w:noWrap/>
            <w:vAlign w:val="center"/>
          </w:tcPr>
          <w:p>
            <w:pPr>
              <w:pStyle w:val="12"/>
              <w:spacing w:after="240"/>
              <w:ind w:firstLine="396"/>
              <w:jc w:val="center"/>
              <w:rPr>
                <w:rFonts w:ascii="Arial" w:hAnsi="Arial" w:cs="Arial"/>
                <w:color w:val="auto"/>
                <w:spacing w:val="-6"/>
                <w:lang w:val="en-US"/>
              </w:rPr>
            </w:pPr>
          </w:p>
        </w:tc>
        <w:tc>
          <w:tcPr>
            <w:tcW w:w="900" w:type="dxa"/>
            <w:noWrap/>
            <w:vAlign w:val="center"/>
          </w:tcPr>
          <w:p>
            <w:pPr>
              <w:pStyle w:val="12"/>
              <w:spacing w:after="240"/>
              <w:ind w:firstLine="396"/>
              <w:jc w:val="center"/>
              <w:rPr>
                <w:rFonts w:ascii="Arial" w:hAnsi="Arial" w:cs="Arial"/>
                <w:color w:val="auto"/>
                <w:spacing w:val="-6"/>
                <w:lang w:val="en-US"/>
              </w:rPr>
            </w:pPr>
          </w:p>
        </w:tc>
        <w:tc>
          <w:tcPr>
            <w:tcW w:w="1188" w:type="dxa"/>
            <w:noWrap/>
            <w:vAlign w:val="center"/>
          </w:tcPr>
          <w:p>
            <w:pPr>
              <w:pStyle w:val="12"/>
              <w:spacing w:after="240"/>
              <w:ind w:firstLine="396"/>
              <w:jc w:val="center"/>
              <w:rPr>
                <w:rFonts w:ascii="Arial" w:hAnsi="Arial" w:cs="Arial"/>
                <w:color w:val="auto"/>
                <w:spacing w:val="-6"/>
                <w:lang w:val="en-US"/>
              </w:rPr>
            </w:pPr>
          </w:p>
        </w:tc>
        <w:tc>
          <w:tcPr>
            <w:tcW w:w="738" w:type="dxa"/>
            <w:noWrap/>
            <w:vAlign w:val="center"/>
          </w:tcPr>
          <w:p>
            <w:pPr>
              <w:pStyle w:val="12"/>
              <w:spacing w:after="240"/>
              <w:ind w:firstLine="396"/>
              <w:jc w:val="center"/>
              <w:rPr>
                <w:rFonts w:ascii="Arial" w:hAnsi="Arial" w:cs="Arial"/>
                <w:color w:val="auto"/>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65" w:type="dxa"/>
            <w:noWrap/>
            <w:vAlign w:val="center"/>
          </w:tcPr>
          <w:p>
            <w:pPr>
              <w:jc w:val="center"/>
              <w:rPr>
                <w:rFonts w:ascii="Arial" w:hAnsi="Arial" w:cs="Arial"/>
                <w:color w:val="auto"/>
                <w:sz w:val="24"/>
              </w:rPr>
            </w:pPr>
            <w:r>
              <w:rPr>
                <w:rFonts w:ascii="Arial" w:hAnsi="Arial" w:cs="Arial"/>
                <w:color w:val="auto"/>
                <w:sz w:val="24"/>
              </w:rPr>
              <w:t>…</w:t>
            </w:r>
          </w:p>
        </w:tc>
        <w:tc>
          <w:tcPr>
            <w:tcW w:w="2385" w:type="dxa"/>
            <w:noWrap/>
            <w:vAlign w:val="center"/>
          </w:tcPr>
          <w:p>
            <w:pPr>
              <w:jc w:val="center"/>
              <w:rPr>
                <w:rFonts w:ascii="Arial" w:hAnsi="Arial" w:cs="Arial"/>
                <w:color w:val="auto"/>
              </w:rPr>
            </w:pPr>
          </w:p>
        </w:tc>
        <w:tc>
          <w:tcPr>
            <w:tcW w:w="2627" w:type="dxa"/>
            <w:noWrap/>
            <w:vAlign w:val="center"/>
          </w:tcPr>
          <w:p>
            <w:pPr>
              <w:pStyle w:val="12"/>
              <w:spacing w:after="240"/>
              <w:ind w:firstLine="396"/>
              <w:jc w:val="center"/>
              <w:rPr>
                <w:rFonts w:ascii="Arial" w:hAnsi="Arial" w:cs="Arial"/>
                <w:color w:val="auto"/>
                <w:spacing w:val="-6"/>
                <w:lang w:val="en-US"/>
              </w:rPr>
            </w:pPr>
          </w:p>
        </w:tc>
        <w:tc>
          <w:tcPr>
            <w:tcW w:w="700" w:type="dxa"/>
            <w:noWrap/>
            <w:vAlign w:val="center"/>
          </w:tcPr>
          <w:p>
            <w:pPr>
              <w:pStyle w:val="12"/>
              <w:spacing w:after="240"/>
              <w:ind w:firstLine="396"/>
              <w:jc w:val="center"/>
              <w:rPr>
                <w:rFonts w:ascii="Arial" w:hAnsi="Arial" w:cs="Arial"/>
                <w:color w:val="auto"/>
                <w:spacing w:val="-6"/>
                <w:lang w:val="en-US"/>
              </w:rPr>
            </w:pPr>
          </w:p>
        </w:tc>
        <w:tc>
          <w:tcPr>
            <w:tcW w:w="750" w:type="dxa"/>
            <w:noWrap/>
            <w:vAlign w:val="center"/>
          </w:tcPr>
          <w:p>
            <w:pPr>
              <w:pStyle w:val="12"/>
              <w:spacing w:after="240"/>
              <w:ind w:firstLine="396"/>
              <w:jc w:val="center"/>
              <w:rPr>
                <w:rFonts w:ascii="Arial" w:hAnsi="Arial" w:cs="Arial"/>
                <w:color w:val="auto"/>
                <w:spacing w:val="-6"/>
                <w:lang w:val="en-US"/>
              </w:rPr>
            </w:pPr>
          </w:p>
        </w:tc>
        <w:tc>
          <w:tcPr>
            <w:tcW w:w="900" w:type="dxa"/>
            <w:noWrap/>
            <w:vAlign w:val="center"/>
          </w:tcPr>
          <w:p>
            <w:pPr>
              <w:pStyle w:val="12"/>
              <w:spacing w:after="240"/>
              <w:ind w:firstLine="396"/>
              <w:jc w:val="center"/>
              <w:rPr>
                <w:rFonts w:ascii="Arial" w:hAnsi="Arial" w:cs="Arial"/>
                <w:color w:val="auto"/>
                <w:spacing w:val="-6"/>
                <w:lang w:val="en-US"/>
              </w:rPr>
            </w:pPr>
          </w:p>
        </w:tc>
        <w:tc>
          <w:tcPr>
            <w:tcW w:w="1188" w:type="dxa"/>
            <w:noWrap/>
            <w:vAlign w:val="center"/>
          </w:tcPr>
          <w:p>
            <w:pPr>
              <w:pStyle w:val="12"/>
              <w:spacing w:after="240"/>
              <w:ind w:firstLine="396"/>
              <w:jc w:val="center"/>
              <w:rPr>
                <w:rFonts w:ascii="Arial" w:hAnsi="Arial" w:cs="Arial"/>
                <w:color w:val="auto"/>
                <w:spacing w:val="-6"/>
                <w:lang w:val="en-US"/>
              </w:rPr>
            </w:pPr>
          </w:p>
        </w:tc>
        <w:tc>
          <w:tcPr>
            <w:tcW w:w="738" w:type="dxa"/>
            <w:noWrap/>
            <w:vAlign w:val="center"/>
          </w:tcPr>
          <w:p>
            <w:pPr>
              <w:pStyle w:val="12"/>
              <w:spacing w:after="240"/>
              <w:ind w:firstLine="396"/>
              <w:jc w:val="center"/>
              <w:rPr>
                <w:rFonts w:ascii="Arial" w:hAnsi="Arial" w:cs="Arial"/>
                <w:color w:val="auto"/>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65" w:type="dxa"/>
            <w:noWrap/>
            <w:vAlign w:val="center"/>
          </w:tcPr>
          <w:p>
            <w:pPr>
              <w:jc w:val="center"/>
              <w:rPr>
                <w:rFonts w:ascii="Arial" w:hAnsi="Arial" w:cs="Arial"/>
                <w:color w:val="auto"/>
                <w:sz w:val="24"/>
              </w:rPr>
            </w:pPr>
            <w:r>
              <w:rPr>
                <w:rFonts w:ascii="Arial" w:hAnsi="Arial" w:cs="Arial"/>
                <w:color w:val="auto"/>
                <w:sz w:val="24"/>
              </w:rPr>
              <w:t>N</w:t>
            </w:r>
          </w:p>
        </w:tc>
        <w:tc>
          <w:tcPr>
            <w:tcW w:w="2385" w:type="dxa"/>
            <w:noWrap/>
            <w:vAlign w:val="center"/>
          </w:tcPr>
          <w:p>
            <w:pPr>
              <w:jc w:val="center"/>
              <w:rPr>
                <w:rFonts w:ascii="Arial" w:hAnsi="Arial" w:cs="Arial"/>
                <w:color w:val="auto"/>
              </w:rPr>
            </w:pPr>
          </w:p>
        </w:tc>
        <w:tc>
          <w:tcPr>
            <w:tcW w:w="2627" w:type="dxa"/>
            <w:noWrap/>
            <w:vAlign w:val="center"/>
          </w:tcPr>
          <w:p>
            <w:pPr>
              <w:pStyle w:val="12"/>
              <w:spacing w:after="240"/>
              <w:ind w:firstLine="396"/>
              <w:jc w:val="center"/>
              <w:rPr>
                <w:rFonts w:ascii="Arial" w:hAnsi="Arial" w:cs="Arial"/>
                <w:color w:val="auto"/>
                <w:spacing w:val="-6"/>
                <w:lang w:val="en-US"/>
              </w:rPr>
            </w:pPr>
          </w:p>
        </w:tc>
        <w:tc>
          <w:tcPr>
            <w:tcW w:w="700" w:type="dxa"/>
            <w:noWrap/>
            <w:vAlign w:val="center"/>
          </w:tcPr>
          <w:p>
            <w:pPr>
              <w:pStyle w:val="12"/>
              <w:spacing w:after="240"/>
              <w:ind w:firstLine="396"/>
              <w:jc w:val="center"/>
              <w:rPr>
                <w:rFonts w:ascii="Arial" w:hAnsi="Arial" w:cs="Arial"/>
                <w:color w:val="auto"/>
                <w:spacing w:val="-6"/>
                <w:lang w:val="en-US"/>
              </w:rPr>
            </w:pPr>
          </w:p>
        </w:tc>
        <w:tc>
          <w:tcPr>
            <w:tcW w:w="750" w:type="dxa"/>
            <w:noWrap/>
            <w:vAlign w:val="center"/>
          </w:tcPr>
          <w:p>
            <w:pPr>
              <w:pStyle w:val="12"/>
              <w:spacing w:after="240"/>
              <w:ind w:firstLine="396"/>
              <w:jc w:val="center"/>
              <w:rPr>
                <w:rFonts w:ascii="Arial" w:hAnsi="Arial" w:cs="Arial"/>
                <w:color w:val="auto"/>
                <w:spacing w:val="-6"/>
                <w:lang w:val="en-US"/>
              </w:rPr>
            </w:pPr>
          </w:p>
        </w:tc>
        <w:tc>
          <w:tcPr>
            <w:tcW w:w="900" w:type="dxa"/>
            <w:noWrap/>
            <w:vAlign w:val="center"/>
          </w:tcPr>
          <w:p>
            <w:pPr>
              <w:pStyle w:val="12"/>
              <w:spacing w:after="240"/>
              <w:ind w:firstLine="396"/>
              <w:jc w:val="center"/>
              <w:rPr>
                <w:rFonts w:ascii="Arial" w:hAnsi="Arial" w:cs="Arial"/>
                <w:color w:val="auto"/>
                <w:spacing w:val="-6"/>
                <w:lang w:val="en-US"/>
              </w:rPr>
            </w:pPr>
          </w:p>
        </w:tc>
        <w:tc>
          <w:tcPr>
            <w:tcW w:w="1188" w:type="dxa"/>
            <w:noWrap/>
            <w:vAlign w:val="center"/>
          </w:tcPr>
          <w:p>
            <w:pPr>
              <w:pStyle w:val="12"/>
              <w:spacing w:after="240"/>
              <w:ind w:firstLine="396"/>
              <w:jc w:val="center"/>
              <w:rPr>
                <w:rFonts w:ascii="Arial" w:hAnsi="Arial" w:cs="Arial"/>
                <w:color w:val="auto"/>
                <w:spacing w:val="-6"/>
                <w:lang w:val="en-US"/>
              </w:rPr>
            </w:pPr>
          </w:p>
        </w:tc>
        <w:tc>
          <w:tcPr>
            <w:tcW w:w="738" w:type="dxa"/>
            <w:noWrap/>
            <w:vAlign w:val="center"/>
          </w:tcPr>
          <w:p>
            <w:pPr>
              <w:pStyle w:val="12"/>
              <w:spacing w:after="240"/>
              <w:ind w:firstLine="396"/>
              <w:jc w:val="center"/>
              <w:rPr>
                <w:rFonts w:ascii="Arial" w:hAnsi="Arial" w:cs="Arial"/>
                <w:color w:val="auto"/>
                <w:spacing w:val="-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53" w:type="dxa"/>
            <w:gridSpan w:val="8"/>
            <w:noWrap/>
            <w:vAlign w:val="center"/>
          </w:tcPr>
          <w:p>
            <w:pPr>
              <w:pStyle w:val="12"/>
              <w:jc w:val="both"/>
              <w:rPr>
                <w:rFonts w:ascii="Arial" w:hAnsi="Arial" w:cs="Arial"/>
                <w:color w:val="auto"/>
                <w:spacing w:val="-20"/>
                <w:lang w:val="en-US"/>
              </w:rPr>
            </w:pPr>
            <w:r>
              <w:rPr>
                <w:rFonts w:ascii="Arial" w:hAnsi="Arial" w:cs="Arial"/>
                <w:color w:val="auto"/>
                <w:spacing w:val="-20"/>
                <w:lang w:val="en-US"/>
              </w:rPr>
              <w:t>总报价（人民币大写）：</w:t>
            </w:r>
            <w:r>
              <w:rPr>
                <w:rFonts w:ascii="Arial" w:hAnsi="Arial" w:cs="Arial"/>
                <w:color w:val="auto"/>
                <w:spacing w:val="-20"/>
                <w:u w:val="single"/>
                <w:lang w:val="en-US"/>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953" w:type="dxa"/>
            <w:gridSpan w:val="8"/>
            <w:noWrap/>
            <w:vAlign w:val="center"/>
          </w:tcPr>
          <w:p>
            <w:pPr>
              <w:tabs>
                <w:tab w:val="left" w:pos="3750"/>
              </w:tabs>
              <w:spacing w:line="380" w:lineRule="exact"/>
              <w:jc w:val="both"/>
              <w:rPr>
                <w:color w:val="auto"/>
                <w:sz w:val="21"/>
                <w:szCs w:val="21"/>
                <w:lang w:val="en-US"/>
              </w:rPr>
            </w:pPr>
            <w:r>
              <w:rPr>
                <w:rFonts w:hint="eastAsia"/>
                <w:color w:val="auto"/>
                <w:sz w:val="21"/>
                <w:szCs w:val="21"/>
                <w:lang w:val="en-US"/>
              </w:rPr>
              <w:t>注：投标报价包括但不限于服务费、税金等以及实施过程中的应预见和不可预见的费用等。投标人必须考虑本项目在实施期间的一切可能产生费用。在本项目实施过程中，响应总价不予调整，采购人将不再另行支付与本项目相关的任何费用。</w:t>
            </w:r>
          </w:p>
        </w:tc>
      </w:tr>
    </w:tbl>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法定代表人或法定代表人授权代表（签字）：</w:t>
      </w:r>
      <w:r>
        <w:rPr>
          <w:rFonts w:hint="eastAsia" w:asciiTheme="minorEastAsia" w:hAnsiTheme="minorEastAsia" w:eastAsiaTheme="minorEastAsia" w:cstheme="minorEastAsia"/>
          <w:color w:val="auto"/>
        </w:rPr>
        <w:tab/>
      </w:r>
    </w:p>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供应商名称（签章）：</w:t>
      </w:r>
      <w:r>
        <w:rPr>
          <w:rFonts w:hint="eastAsia" w:asciiTheme="minorEastAsia" w:hAnsiTheme="minorEastAsia" w:eastAsiaTheme="minorEastAsia" w:cstheme="minorEastAsia"/>
          <w:color w:val="auto"/>
        </w:rPr>
        <w:tab/>
      </w:r>
    </w:p>
    <w:p>
      <w:pPr>
        <w:pStyle w:val="2"/>
        <w:ind w:left="398"/>
        <w:rPr>
          <w:rFonts w:asciiTheme="minorEastAsia" w:hAnsiTheme="minorEastAsia" w:eastAsiaTheme="minorEastAsia" w:cstheme="minorEastAsia"/>
          <w:color w:val="auto"/>
        </w:rPr>
      </w:pPr>
    </w:p>
    <w:p>
      <w:pPr>
        <w:pStyle w:val="2"/>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rPr>
          <w:rFonts w:asciiTheme="minorEastAsia" w:hAnsiTheme="minorEastAsia" w:eastAsiaTheme="minorEastAsia" w:cstheme="minorEastAsia"/>
          <w:color w:val="auto"/>
        </w:rPr>
        <w:sectPr>
          <w:type w:val="continuous"/>
          <w:pgSz w:w="11910" w:h="16840"/>
          <w:pgMar w:top="1580" w:right="820" w:bottom="280" w:left="1020" w:header="720" w:footer="720" w:gutter="0"/>
          <w:cols w:equalWidth="0" w:num="1">
            <w:col w:w="10070"/>
          </w:cols>
        </w:sectPr>
      </w:pPr>
    </w:p>
    <w:p>
      <w:pPr>
        <w:pStyle w:val="2"/>
        <w:spacing w:before="5"/>
        <w:rPr>
          <w:rFonts w:asciiTheme="minorEastAsia" w:hAnsiTheme="minorEastAsia" w:eastAsiaTheme="minorEastAsia" w:cstheme="minorEastAsia"/>
          <w:color w:val="auto"/>
          <w:sz w:val="10"/>
        </w:rPr>
      </w:pPr>
    </w:p>
    <w:p>
      <w:pPr>
        <w:rPr>
          <w:rFonts w:asciiTheme="minorEastAsia" w:hAnsiTheme="minorEastAsia" w:eastAsiaTheme="minorEastAsia" w:cstheme="minorEastAsia"/>
          <w:color w:val="auto"/>
          <w:sz w:val="10"/>
        </w:rPr>
        <w:sectPr>
          <w:pgSz w:w="11910" w:h="16840"/>
          <w:pgMar w:top="1360" w:right="820" w:bottom="1420" w:left="1020" w:header="1165" w:footer="1233" w:gutter="0"/>
          <w:cols w:equalWidth="0" w:num="1">
            <w:col w:w="10070"/>
          </w:cols>
        </w:sectPr>
      </w:pPr>
    </w:p>
    <w:p>
      <w:pPr>
        <w:pStyle w:val="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附件三：</w:t>
      </w:r>
    </w:p>
    <w:p>
      <w:pPr>
        <w:pStyle w:val="2"/>
        <w:spacing w:before="9"/>
        <w:rPr>
          <w:rFonts w:asciiTheme="minorEastAsia" w:hAnsiTheme="minorEastAsia" w:eastAsiaTheme="minorEastAsia" w:cstheme="minorEastAsia"/>
          <w:color w:val="auto"/>
          <w:sz w:val="48"/>
        </w:rPr>
      </w:pPr>
      <w:r>
        <w:rPr>
          <w:rFonts w:hint="eastAsia" w:asciiTheme="minorEastAsia" w:hAnsiTheme="minorEastAsia" w:eastAsiaTheme="minorEastAsia" w:cstheme="minorEastAsia"/>
          <w:color w:val="auto"/>
        </w:rPr>
        <w:br w:type="column"/>
      </w:r>
    </w:p>
    <w:p>
      <w:pPr>
        <w:ind w:left="398"/>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技术服务偏离情况说明表</w:t>
      </w:r>
    </w:p>
    <w:p>
      <w:pPr>
        <w:rPr>
          <w:rFonts w:asciiTheme="minorEastAsia" w:hAnsiTheme="minorEastAsia" w:eastAsiaTheme="minorEastAsia" w:cstheme="minorEastAsia"/>
          <w:color w:val="auto"/>
          <w:sz w:val="36"/>
        </w:rPr>
        <w:sectPr>
          <w:type w:val="continuous"/>
          <w:pgSz w:w="11910" w:h="16840"/>
          <w:pgMar w:top="1580" w:right="820" w:bottom="280" w:left="1020" w:header="720" w:footer="720" w:gutter="0"/>
          <w:cols w:equalWidth="0" w:num="2">
            <w:col w:w="1560" w:space="989"/>
            <w:col w:w="7521"/>
          </w:cols>
        </w:sectPr>
      </w:pPr>
    </w:p>
    <w:p>
      <w:pPr>
        <w:pStyle w:val="2"/>
        <w:rPr>
          <w:rFonts w:asciiTheme="minorEastAsia" w:hAnsiTheme="minorEastAsia" w:eastAsiaTheme="minorEastAsia" w:cstheme="minorEastAsia"/>
          <w:b/>
          <w:color w:val="auto"/>
          <w:sz w:val="20"/>
        </w:rPr>
      </w:pPr>
    </w:p>
    <w:p>
      <w:pPr>
        <w:pStyle w:val="2"/>
        <w:spacing w:before="11"/>
        <w:rPr>
          <w:rFonts w:asciiTheme="minorEastAsia" w:hAnsiTheme="minorEastAsia" w:eastAsiaTheme="minorEastAsia" w:cstheme="minorEastAsia"/>
          <w:b/>
          <w:color w:val="auto"/>
          <w:sz w:val="16"/>
        </w:rPr>
      </w:pPr>
    </w:p>
    <w:p>
      <w:pPr>
        <w:pStyle w:val="2"/>
        <w:tabs>
          <w:tab w:val="left" w:pos="3703"/>
        </w:tabs>
        <w:spacing w:before="76"/>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w w:val="95"/>
        </w:rPr>
        <w:t>采购项目编号：</w:t>
      </w:r>
      <w:r>
        <w:rPr>
          <w:rFonts w:hint="eastAsia" w:asciiTheme="minorEastAsia" w:hAnsiTheme="minorEastAsia" w:eastAsiaTheme="minorEastAsia" w:cstheme="minorEastAsia"/>
          <w:color w:val="auto"/>
          <w:u w:val="single"/>
        </w:rPr>
        <w:tab/>
      </w:r>
    </w:p>
    <w:p>
      <w:pPr>
        <w:pStyle w:val="2"/>
        <w:tabs>
          <w:tab w:val="left" w:pos="3703"/>
        </w:tabs>
        <w:spacing w:before="151" w:after="27"/>
        <w:ind w:left="398"/>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w w:val="95"/>
        </w:rPr>
        <w:t>采购项目名称：</w:t>
      </w:r>
      <w:r>
        <w:rPr>
          <w:rFonts w:hint="eastAsia" w:asciiTheme="minorEastAsia" w:hAnsiTheme="minorEastAsia" w:eastAsiaTheme="minorEastAsia" w:cstheme="minorEastAsia"/>
          <w:color w:val="auto"/>
          <w:u w:val="single"/>
        </w:rPr>
        <w:tab/>
      </w:r>
    </w:p>
    <w:p>
      <w:pPr>
        <w:pStyle w:val="2"/>
        <w:tabs>
          <w:tab w:val="left" w:pos="3703"/>
        </w:tabs>
        <w:spacing w:before="151" w:after="27"/>
        <w:ind w:left="398"/>
        <w:rPr>
          <w:rFonts w:asciiTheme="minorEastAsia" w:hAnsiTheme="minorEastAsia" w:eastAsiaTheme="minorEastAsia" w:cstheme="minorEastAsia"/>
          <w:color w:val="auto"/>
          <w:u w:val="single"/>
          <w:lang w:val="en-US"/>
        </w:rPr>
      </w:pPr>
      <w:r>
        <w:rPr>
          <w:rFonts w:hint="eastAsia" w:asciiTheme="minorEastAsia" w:hAnsiTheme="minorEastAsia" w:eastAsiaTheme="minorEastAsia" w:cstheme="minorEastAsia"/>
          <w:color w:val="auto"/>
          <w:lang w:val="en-US"/>
        </w:rPr>
        <w:t>标段：</w:t>
      </w:r>
    </w:p>
    <w:tbl>
      <w:tblPr>
        <w:tblStyle w:val="21"/>
        <w:tblW w:w="9135" w:type="dxa"/>
        <w:tblInd w:w="3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2764"/>
        <w:gridCol w:w="2764"/>
        <w:gridCol w:w="1571"/>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0" w:type="dxa"/>
            <w:tcBorders>
              <w:bottom w:val="single" w:color="000000" w:sz="6" w:space="0"/>
              <w:right w:val="single" w:color="000000" w:sz="6" w:space="0"/>
            </w:tcBorders>
          </w:tcPr>
          <w:p>
            <w:pPr>
              <w:pStyle w:val="40"/>
              <w:spacing w:before="119"/>
              <w:ind w:left="88" w:right="78"/>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序号</w:t>
            </w:r>
          </w:p>
        </w:tc>
        <w:tc>
          <w:tcPr>
            <w:tcW w:w="2764" w:type="dxa"/>
            <w:tcBorders>
              <w:left w:val="single" w:color="000000" w:sz="6" w:space="0"/>
              <w:bottom w:val="single" w:color="000000" w:sz="6" w:space="0"/>
              <w:right w:val="single" w:color="000000" w:sz="6" w:space="0"/>
            </w:tcBorders>
          </w:tcPr>
          <w:p>
            <w:pPr>
              <w:pStyle w:val="40"/>
              <w:spacing w:before="119"/>
              <w:ind w:left="434"/>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竞争性磋商文件要求</w:t>
            </w:r>
          </w:p>
        </w:tc>
        <w:tc>
          <w:tcPr>
            <w:tcW w:w="2764" w:type="dxa"/>
            <w:tcBorders>
              <w:left w:val="single" w:color="000000" w:sz="6" w:space="0"/>
              <w:bottom w:val="single" w:color="000000" w:sz="6" w:space="0"/>
              <w:right w:val="single" w:color="000000" w:sz="6" w:space="0"/>
            </w:tcBorders>
          </w:tcPr>
          <w:p>
            <w:pPr>
              <w:pStyle w:val="40"/>
              <w:spacing w:before="119"/>
              <w:ind w:left="329"/>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磋商响应文件具体响应</w:t>
            </w:r>
          </w:p>
        </w:tc>
        <w:tc>
          <w:tcPr>
            <w:tcW w:w="1571" w:type="dxa"/>
            <w:tcBorders>
              <w:left w:val="single" w:color="000000" w:sz="6" w:space="0"/>
              <w:bottom w:val="single" w:color="000000" w:sz="6" w:space="0"/>
              <w:right w:val="single" w:color="000000" w:sz="6" w:space="0"/>
            </w:tcBorders>
          </w:tcPr>
          <w:p>
            <w:pPr>
              <w:pStyle w:val="40"/>
              <w:spacing w:before="119"/>
              <w:ind w:left="309"/>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响应/偏离</w:t>
            </w:r>
          </w:p>
        </w:tc>
        <w:tc>
          <w:tcPr>
            <w:tcW w:w="1396" w:type="dxa"/>
            <w:tcBorders>
              <w:left w:val="single" w:color="000000" w:sz="6" w:space="0"/>
              <w:bottom w:val="single" w:color="000000" w:sz="6" w:space="0"/>
            </w:tcBorders>
          </w:tcPr>
          <w:p>
            <w:pPr>
              <w:pStyle w:val="40"/>
              <w:spacing w:before="119"/>
              <w:ind w:left="463" w:right="459"/>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0" w:type="dxa"/>
            <w:tcBorders>
              <w:top w:val="single" w:color="000000" w:sz="6" w:space="0"/>
              <w:bottom w:val="single" w:color="000000" w:sz="6" w:space="0"/>
              <w:right w:val="single" w:color="000000" w:sz="6" w:space="0"/>
            </w:tcBorders>
          </w:tcPr>
          <w:p>
            <w:pPr>
              <w:pStyle w:val="40"/>
              <w:spacing w:before="109"/>
              <w:ind w:left="8"/>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w w:val="99"/>
                <w:sz w:val="21"/>
              </w:rPr>
              <w:t>1</w:t>
            </w: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571"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396" w:type="dxa"/>
            <w:tcBorders>
              <w:top w:val="single" w:color="000000" w:sz="6" w:space="0"/>
              <w:left w:val="single" w:color="000000" w:sz="6" w:space="0"/>
              <w:bottom w:val="single" w:color="000000" w:sz="6" w:space="0"/>
            </w:tcBorders>
          </w:tcPr>
          <w:p>
            <w:pPr>
              <w:pStyle w:val="40"/>
              <w:rPr>
                <w:rFonts w:asciiTheme="minorEastAsia" w:hAnsiTheme="minorEastAsia" w:eastAsiaTheme="minorEastAsia" w:cstheme="minorEastAsia"/>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0" w:type="dxa"/>
            <w:tcBorders>
              <w:top w:val="single" w:color="000000" w:sz="6" w:space="0"/>
              <w:bottom w:val="single" w:color="000000" w:sz="6" w:space="0"/>
              <w:right w:val="single" w:color="000000" w:sz="6" w:space="0"/>
            </w:tcBorders>
          </w:tcPr>
          <w:p>
            <w:pPr>
              <w:pStyle w:val="40"/>
              <w:spacing w:before="119"/>
              <w:ind w:left="8"/>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w w:val="99"/>
                <w:sz w:val="21"/>
              </w:rPr>
              <w:t>2</w:t>
            </w: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571"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396" w:type="dxa"/>
            <w:tcBorders>
              <w:top w:val="single" w:color="000000" w:sz="6" w:space="0"/>
              <w:left w:val="single" w:color="000000" w:sz="6" w:space="0"/>
              <w:bottom w:val="single" w:color="000000" w:sz="6" w:space="0"/>
            </w:tcBorders>
          </w:tcPr>
          <w:p>
            <w:pPr>
              <w:pStyle w:val="40"/>
              <w:rPr>
                <w:rFonts w:asciiTheme="minorEastAsia" w:hAnsiTheme="minorEastAsia" w:eastAsiaTheme="minorEastAsia" w:cstheme="minorEastAsia"/>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0" w:type="dxa"/>
            <w:tcBorders>
              <w:top w:val="single" w:color="000000" w:sz="6" w:space="0"/>
              <w:bottom w:val="single" w:color="000000" w:sz="6" w:space="0"/>
              <w:right w:val="single" w:color="000000" w:sz="6" w:space="0"/>
            </w:tcBorders>
          </w:tcPr>
          <w:p>
            <w:pPr>
              <w:pStyle w:val="40"/>
              <w:spacing w:before="118"/>
              <w:ind w:left="8"/>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w w:val="99"/>
                <w:sz w:val="21"/>
              </w:rPr>
              <w:t>3</w:t>
            </w: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571"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396" w:type="dxa"/>
            <w:tcBorders>
              <w:top w:val="single" w:color="000000" w:sz="6" w:space="0"/>
              <w:left w:val="single" w:color="000000" w:sz="6" w:space="0"/>
              <w:bottom w:val="single" w:color="000000" w:sz="6" w:space="0"/>
            </w:tcBorders>
          </w:tcPr>
          <w:p>
            <w:pPr>
              <w:pStyle w:val="40"/>
              <w:rPr>
                <w:rFonts w:asciiTheme="minorEastAsia" w:hAnsiTheme="minorEastAsia" w:eastAsiaTheme="minorEastAsia" w:cstheme="minorEastAsia"/>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0" w:type="dxa"/>
            <w:tcBorders>
              <w:top w:val="single" w:color="000000" w:sz="6" w:space="0"/>
              <w:bottom w:val="single" w:color="000000" w:sz="6" w:space="0"/>
              <w:right w:val="single" w:color="000000" w:sz="6" w:space="0"/>
            </w:tcBorders>
          </w:tcPr>
          <w:p>
            <w:pPr>
              <w:pStyle w:val="40"/>
              <w:spacing w:before="120"/>
              <w:ind w:left="8"/>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w w:val="99"/>
                <w:sz w:val="21"/>
              </w:rPr>
              <w:t>4</w:t>
            </w: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571"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396" w:type="dxa"/>
            <w:tcBorders>
              <w:top w:val="single" w:color="000000" w:sz="6" w:space="0"/>
              <w:left w:val="single" w:color="000000" w:sz="6" w:space="0"/>
              <w:bottom w:val="single" w:color="000000" w:sz="6" w:space="0"/>
            </w:tcBorders>
          </w:tcPr>
          <w:p>
            <w:pPr>
              <w:pStyle w:val="40"/>
              <w:rPr>
                <w:rFonts w:asciiTheme="minorEastAsia" w:hAnsiTheme="minorEastAsia" w:eastAsiaTheme="minorEastAsia" w:cstheme="minorEastAsia"/>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0" w:type="dxa"/>
            <w:tcBorders>
              <w:top w:val="single" w:color="000000" w:sz="6" w:space="0"/>
              <w:bottom w:val="single" w:color="000000" w:sz="6" w:space="0"/>
              <w:right w:val="single" w:color="000000" w:sz="6" w:space="0"/>
            </w:tcBorders>
          </w:tcPr>
          <w:p>
            <w:pPr>
              <w:pStyle w:val="40"/>
              <w:spacing w:before="119"/>
              <w:ind w:left="8"/>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w w:val="99"/>
                <w:sz w:val="21"/>
              </w:rPr>
              <w:t>5</w:t>
            </w: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2764"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571" w:type="dxa"/>
            <w:tcBorders>
              <w:top w:val="single" w:color="000000" w:sz="6" w:space="0"/>
              <w:left w:val="single" w:color="000000" w:sz="6" w:space="0"/>
              <w:bottom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396" w:type="dxa"/>
            <w:tcBorders>
              <w:top w:val="single" w:color="000000" w:sz="6" w:space="0"/>
              <w:left w:val="single" w:color="000000" w:sz="6" w:space="0"/>
              <w:bottom w:val="single" w:color="000000" w:sz="6" w:space="0"/>
            </w:tcBorders>
          </w:tcPr>
          <w:p>
            <w:pPr>
              <w:pStyle w:val="40"/>
              <w:rPr>
                <w:rFonts w:asciiTheme="minorEastAsia" w:hAnsiTheme="minorEastAsia" w:eastAsiaTheme="minorEastAsia" w:cstheme="minorEastAsia"/>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40" w:type="dxa"/>
            <w:tcBorders>
              <w:top w:val="single" w:color="000000" w:sz="6" w:space="0"/>
              <w:right w:val="single" w:color="000000" w:sz="6" w:space="0"/>
            </w:tcBorders>
          </w:tcPr>
          <w:p>
            <w:pPr>
              <w:pStyle w:val="40"/>
              <w:spacing w:before="109"/>
              <w:ind w:left="12"/>
              <w:jc w:val="center"/>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w w:val="99"/>
                <w:sz w:val="21"/>
              </w:rPr>
              <w:t>…</w:t>
            </w:r>
          </w:p>
        </w:tc>
        <w:tc>
          <w:tcPr>
            <w:tcW w:w="2764" w:type="dxa"/>
            <w:tcBorders>
              <w:top w:val="single" w:color="000000" w:sz="6" w:space="0"/>
              <w:left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2764" w:type="dxa"/>
            <w:tcBorders>
              <w:top w:val="single" w:color="000000" w:sz="6" w:space="0"/>
              <w:left w:val="single" w:color="000000" w:sz="6" w:space="0"/>
              <w:right w:val="single" w:color="000000" w:sz="6" w:space="0"/>
            </w:tcBorders>
          </w:tcPr>
          <w:p>
            <w:pPr>
              <w:pStyle w:val="40"/>
              <w:rPr>
                <w:rFonts w:asciiTheme="minorEastAsia" w:hAnsiTheme="minorEastAsia" w:eastAsiaTheme="minorEastAsia" w:cstheme="minorEastAsia"/>
                <w:color w:val="auto"/>
                <w:sz w:val="20"/>
              </w:rPr>
            </w:pPr>
          </w:p>
        </w:tc>
        <w:tc>
          <w:tcPr>
            <w:tcW w:w="1571" w:type="dxa"/>
            <w:tcBorders>
              <w:top w:val="single" w:color="000000" w:sz="6" w:space="0"/>
              <w:left w:val="single" w:color="000000" w:sz="6" w:space="0"/>
            </w:tcBorders>
          </w:tcPr>
          <w:p>
            <w:pPr>
              <w:pStyle w:val="40"/>
              <w:rPr>
                <w:rFonts w:asciiTheme="minorEastAsia" w:hAnsiTheme="minorEastAsia" w:eastAsiaTheme="minorEastAsia" w:cstheme="minorEastAsia"/>
                <w:color w:val="auto"/>
                <w:sz w:val="20"/>
              </w:rPr>
            </w:pPr>
          </w:p>
        </w:tc>
        <w:tc>
          <w:tcPr>
            <w:tcW w:w="1396" w:type="dxa"/>
            <w:tcBorders>
              <w:top w:val="single" w:color="000000" w:sz="6" w:space="0"/>
            </w:tcBorders>
          </w:tcPr>
          <w:p>
            <w:pPr>
              <w:pStyle w:val="40"/>
              <w:rPr>
                <w:rFonts w:asciiTheme="minorEastAsia" w:hAnsiTheme="minorEastAsia" w:eastAsiaTheme="minorEastAsia" w:cstheme="minorEastAsia"/>
                <w:color w:val="auto"/>
                <w:sz w:val="20"/>
              </w:rPr>
            </w:pPr>
          </w:p>
        </w:tc>
      </w:tr>
    </w:tbl>
    <w:p>
      <w:pPr>
        <w:pStyle w:val="2"/>
        <w:rPr>
          <w:rFonts w:asciiTheme="minorEastAsia" w:hAnsiTheme="minorEastAsia" w:eastAsiaTheme="minorEastAsia" w:cstheme="minorEastAsia"/>
          <w:color w:val="auto"/>
          <w:sz w:val="22"/>
        </w:rPr>
      </w:pPr>
    </w:p>
    <w:p>
      <w:pPr>
        <w:pStyle w:val="2"/>
        <w:rPr>
          <w:rFonts w:asciiTheme="minorEastAsia" w:hAnsiTheme="minorEastAsia" w:eastAsiaTheme="minorEastAsia" w:cstheme="minorEastAsia"/>
          <w:color w:val="auto"/>
          <w:sz w:val="22"/>
        </w:rPr>
      </w:pPr>
    </w:p>
    <w:p>
      <w:pPr>
        <w:pStyle w:val="2"/>
        <w:spacing w:before="3"/>
        <w:rPr>
          <w:rFonts w:asciiTheme="minorEastAsia" w:hAnsiTheme="minorEastAsia" w:eastAsiaTheme="minorEastAsia" w:cstheme="minorEastAsia"/>
          <w:color w:val="auto"/>
          <w:sz w:val="31"/>
        </w:rPr>
      </w:pPr>
    </w:p>
    <w:p>
      <w:pPr>
        <w:pStyle w:val="2"/>
        <w:ind w:left="49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声明：供应商必须对第三章《采购需求》中所有内容逐一进行响应。</w:t>
      </w:r>
    </w:p>
    <w:p>
      <w:pPr>
        <w:pStyle w:val="2"/>
        <w:rPr>
          <w:rFonts w:asciiTheme="minorEastAsia" w:hAnsiTheme="minorEastAsia" w:eastAsiaTheme="minorEastAsia" w:cstheme="minorEastAsia"/>
          <w:color w:val="auto"/>
          <w:sz w:val="20"/>
        </w:rPr>
      </w:pPr>
    </w:p>
    <w:p>
      <w:pPr>
        <w:pStyle w:val="2"/>
        <w:ind w:left="494"/>
        <w:rPr>
          <w:rFonts w:asciiTheme="minorEastAsia" w:hAnsiTheme="minorEastAsia" w:eastAsiaTheme="minorEastAsia" w:cstheme="minorEastAsia"/>
          <w:color w:val="auto"/>
        </w:rPr>
      </w:pPr>
    </w:p>
    <w:p>
      <w:pPr>
        <w:pStyle w:val="2"/>
        <w:ind w:left="49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法定代表人或法定代表人授权代表（签字）：</w:t>
      </w:r>
      <w:r>
        <w:rPr>
          <w:rFonts w:hint="eastAsia" w:asciiTheme="minorEastAsia" w:hAnsiTheme="minorEastAsia" w:eastAsiaTheme="minorEastAsia" w:cstheme="minorEastAsia"/>
          <w:color w:val="auto"/>
        </w:rPr>
        <w:tab/>
      </w:r>
    </w:p>
    <w:p>
      <w:pPr>
        <w:pStyle w:val="2"/>
        <w:ind w:left="494"/>
        <w:rPr>
          <w:rFonts w:asciiTheme="minorEastAsia" w:hAnsiTheme="minorEastAsia" w:eastAsiaTheme="minorEastAsia" w:cstheme="minorEastAsia"/>
          <w:color w:val="auto"/>
        </w:rPr>
      </w:pPr>
    </w:p>
    <w:p>
      <w:pPr>
        <w:pStyle w:val="2"/>
        <w:ind w:left="494"/>
        <w:rPr>
          <w:rFonts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rPr>
        <w:t>供应商名称（签章）：</w:t>
      </w:r>
      <w:r>
        <w:rPr>
          <w:rFonts w:hint="eastAsia" w:asciiTheme="minorEastAsia" w:hAnsiTheme="minorEastAsia" w:eastAsiaTheme="minorEastAsia" w:cstheme="minorEastAsia"/>
          <w:color w:val="auto"/>
          <w:u w:val="single"/>
        </w:rPr>
        <w:tab/>
      </w:r>
    </w:p>
    <w:p>
      <w:pPr>
        <w:pStyle w:val="2"/>
        <w:spacing w:before="11"/>
        <w:rPr>
          <w:rFonts w:asciiTheme="minorEastAsia" w:hAnsiTheme="minorEastAsia" w:eastAsiaTheme="minorEastAsia" w:cstheme="minorEastAsia"/>
          <w:color w:val="auto"/>
          <w:sz w:val="13"/>
        </w:rPr>
      </w:pPr>
    </w:p>
    <w:p>
      <w:pPr>
        <w:pStyle w:val="2"/>
        <w:tabs>
          <w:tab w:val="left" w:pos="1552"/>
          <w:tab w:val="left" w:pos="2287"/>
          <w:tab w:val="left" w:pos="2918"/>
        </w:tabs>
        <w:spacing w:before="69"/>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rPr>
          <w:rFonts w:asciiTheme="minorEastAsia" w:hAnsiTheme="minorEastAsia" w:eastAsiaTheme="minorEastAsia" w:cstheme="minorEastAsia"/>
          <w:color w:val="auto"/>
        </w:rPr>
        <w:sectPr>
          <w:type w:val="continuous"/>
          <w:pgSz w:w="11910" w:h="16840"/>
          <w:pgMar w:top="1580" w:right="820" w:bottom="280" w:left="1020" w:header="720" w:footer="720" w:gutter="0"/>
          <w:cols w:equalWidth="0" w:num="1">
            <w:col w:w="10070"/>
          </w:cols>
        </w:sectPr>
      </w:pPr>
    </w:p>
    <w:p>
      <w:pPr>
        <w:pStyle w:val="2"/>
        <w:spacing w:before="5"/>
        <w:rPr>
          <w:rFonts w:asciiTheme="minorEastAsia" w:hAnsiTheme="minorEastAsia" w:eastAsiaTheme="minorEastAsia" w:cstheme="minorEastAsia"/>
          <w:color w:val="auto"/>
          <w:sz w:val="10"/>
        </w:rPr>
      </w:pPr>
    </w:p>
    <w:p>
      <w:pPr>
        <w:rPr>
          <w:rFonts w:asciiTheme="minorEastAsia" w:hAnsiTheme="minorEastAsia" w:eastAsiaTheme="minorEastAsia" w:cstheme="minorEastAsia"/>
          <w:color w:val="auto"/>
          <w:sz w:val="10"/>
        </w:rPr>
        <w:sectPr>
          <w:pgSz w:w="11910" w:h="16840"/>
          <w:pgMar w:top="1360" w:right="820" w:bottom="1420" w:left="1020" w:header="1165" w:footer="1233" w:gutter="0"/>
          <w:cols w:equalWidth="0" w:num="1">
            <w:col w:w="10070"/>
          </w:cols>
        </w:sectPr>
      </w:pPr>
    </w:p>
    <w:p>
      <w:pPr>
        <w:pStyle w:val="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附件四：</w:t>
      </w:r>
    </w:p>
    <w:p>
      <w:pPr>
        <w:pStyle w:val="2"/>
        <w:spacing w:before="5"/>
        <w:rPr>
          <w:rFonts w:asciiTheme="minorEastAsia" w:hAnsiTheme="minorEastAsia" w:eastAsiaTheme="minorEastAsia" w:cstheme="minorEastAsia"/>
          <w:color w:val="auto"/>
          <w:sz w:val="44"/>
        </w:rPr>
      </w:pPr>
      <w:r>
        <w:rPr>
          <w:rFonts w:hint="eastAsia" w:asciiTheme="minorEastAsia" w:hAnsiTheme="minorEastAsia" w:eastAsiaTheme="minorEastAsia" w:cstheme="minorEastAsia"/>
          <w:color w:val="auto"/>
        </w:rPr>
        <w:br w:type="column"/>
      </w:r>
    </w:p>
    <w:p>
      <w:pPr>
        <w:ind w:left="398"/>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法定代表人授权书</w:t>
      </w:r>
    </w:p>
    <w:p>
      <w:pPr>
        <w:rPr>
          <w:rFonts w:asciiTheme="minorEastAsia" w:hAnsiTheme="minorEastAsia" w:eastAsiaTheme="minorEastAsia" w:cstheme="minorEastAsia"/>
          <w:color w:val="auto"/>
          <w:sz w:val="36"/>
        </w:rPr>
        <w:sectPr>
          <w:type w:val="continuous"/>
          <w:pgSz w:w="11910" w:h="16840"/>
          <w:pgMar w:top="1580" w:right="820" w:bottom="280" w:left="1020" w:header="720" w:footer="720" w:gutter="0"/>
          <w:cols w:equalWidth="0" w:num="2">
            <w:col w:w="1560" w:space="1531"/>
            <w:col w:w="6979"/>
          </w:cols>
        </w:sectPr>
      </w:pPr>
    </w:p>
    <w:p>
      <w:pPr>
        <w:pStyle w:val="2"/>
        <w:rPr>
          <w:rFonts w:asciiTheme="minorEastAsia" w:hAnsiTheme="minorEastAsia" w:eastAsiaTheme="minorEastAsia" w:cstheme="minorEastAsia"/>
          <w:b/>
          <w:color w:val="auto"/>
          <w:sz w:val="20"/>
        </w:rPr>
      </w:pPr>
    </w:p>
    <w:p>
      <w:pPr>
        <w:pStyle w:val="2"/>
        <w:rPr>
          <w:rFonts w:asciiTheme="minorEastAsia" w:hAnsiTheme="minorEastAsia" w:eastAsiaTheme="minorEastAsia" w:cstheme="minorEastAsia"/>
          <w:b/>
          <w:color w:val="auto"/>
          <w:sz w:val="20"/>
        </w:rPr>
      </w:pPr>
    </w:p>
    <w:p>
      <w:pPr>
        <w:pStyle w:val="2"/>
        <w:spacing w:before="10"/>
        <w:rPr>
          <w:rFonts w:asciiTheme="minorEastAsia" w:hAnsiTheme="minorEastAsia" w:eastAsiaTheme="minorEastAsia" w:cstheme="minorEastAsia"/>
          <w:b/>
          <w:color w:val="auto"/>
          <w:sz w:val="20"/>
        </w:rPr>
      </w:pPr>
    </w:p>
    <w:p>
      <w:pPr>
        <w:pStyle w:val="2"/>
        <w:spacing w:before="70"/>
        <w:ind w:left="39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华物盛泰工程咨询管理有限公司</w:t>
      </w:r>
      <w:r>
        <w:rPr>
          <w:rFonts w:hint="eastAsia" w:asciiTheme="minorEastAsia" w:hAnsiTheme="minorEastAsia" w:eastAsiaTheme="minorEastAsia" w:cstheme="minorEastAsia"/>
          <w:color w:val="auto"/>
        </w:rPr>
        <w:t>：</w:t>
      </w:r>
    </w:p>
    <w:p>
      <w:pPr>
        <w:pStyle w:val="2"/>
        <w:spacing w:before="8"/>
        <w:rPr>
          <w:rFonts w:asciiTheme="minorEastAsia" w:hAnsiTheme="minorEastAsia" w:eastAsiaTheme="minorEastAsia" w:cstheme="minorEastAsia"/>
          <w:color w:val="auto"/>
          <w:sz w:val="19"/>
        </w:rPr>
      </w:pPr>
    </w:p>
    <w:p>
      <w:pPr>
        <w:pStyle w:val="2"/>
        <w:tabs>
          <w:tab w:val="left" w:pos="3652"/>
          <w:tab w:val="left" w:pos="4178"/>
          <w:tab w:val="left" w:pos="4703"/>
          <w:tab w:val="left" w:pos="5858"/>
          <w:tab w:val="left" w:pos="6383"/>
          <w:tab w:val="left" w:pos="6907"/>
        </w:tabs>
        <w:spacing w:before="70" w:line="465" w:lineRule="auto"/>
        <w:ind w:left="398" w:right="596" w:firstLine="436"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兹授</w:t>
      </w:r>
      <w:r>
        <w:rPr>
          <w:rFonts w:hint="eastAsia" w:asciiTheme="minorEastAsia" w:hAnsiTheme="minorEastAsia" w:eastAsiaTheme="minorEastAsia" w:cstheme="minorEastAsia"/>
          <w:color w:val="auto"/>
        </w:rPr>
        <w:t>权</w:t>
      </w:r>
      <w:r>
        <w:rPr>
          <w:rFonts w:hint="eastAsia" w:asciiTheme="minorEastAsia" w:hAnsiTheme="minorEastAsia" w:eastAsiaTheme="minorEastAsia" w:cstheme="minorEastAsia"/>
          <w:color w:val="auto"/>
          <w:spacing w:val="4"/>
        </w:rPr>
        <w:t>同志为我公司参加贵单位组织</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lang w:val="en-US"/>
        </w:rPr>
        <w:t xml:space="preserve">           （项目名称、编号、标段）</w:t>
      </w:r>
      <w:r>
        <w:rPr>
          <w:rFonts w:hint="eastAsia" w:asciiTheme="minorEastAsia" w:hAnsiTheme="minorEastAsia" w:eastAsiaTheme="minorEastAsia" w:cstheme="minorEastAsia"/>
          <w:color w:val="auto"/>
        </w:rPr>
        <w:t>政府采购活动的磋商代表人，全权代表我公司处理在该</w:t>
      </w:r>
      <w:r>
        <w:rPr>
          <w:rFonts w:hint="eastAsia" w:asciiTheme="minorEastAsia" w:hAnsiTheme="minorEastAsia" w:eastAsiaTheme="minorEastAsia" w:cstheme="minorEastAsia"/>
          <w:color w:val="auto"/>
          <w:spacing w:val="4"/>
        </w:rPr>
        <w:t>项</w:t>
      </w:r>
      <w:r>
        <w:rPr>
          <w:rFonts w:hint="eastAsia" w:asciiTheme="minorEastAsia" w:hAnsiTheme="minorEastAsia" w:eastAsiaTheme="minorEastAsia" w:cstheme="minorEastAsia"/>
          <w:color w:val="auto"/>
        </w:rPr>
        <w:t>目活动中的一切事宜。代理期限从</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日起至</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日止。</w:t>
      </w:r>
    </w:p>
    <w:p>
      <w:pPr>
        <w:pStyle w:val="2"/>
        <w:rPr>
          <w:rFonts w:asciiTheme="minorEastAsia" w:hAnsiTheme="minorEastAsia" w:eastAsiaTheme="minorEastAsia" w:cstheme="minorEastAsia"/>
          <w:color w:val="auto"/>
          <w:sz w:val="22"/>
        </w:rPr>
      </w:pPr>
    </w:p>
    <w:p>
      <w:pPr>
        <w:pStyle w:val="2"/>
        <w:spacing w:before="3"/>
        <w:rPr>
          <w:rFonts w:asciiTheme="minorEastAsia" w:hAnsiTheme="minorEastAsia" w:eastAsiaTheme="minorEastAsia" w:cstheme="minorEastAsia"/>
          <w:color w:val="auto"/>
          <w:sz w:val="18"/>
        </w:rPr>
      </w:pPr>
    </w:p>
    <w:p>
      <w:pPr>
        <w:pStyle w:val="2"/>
        <w:tabs>
          <w:tab w:val="left" w:pos="5124"/>
        </w:tabs>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授权单位（签章）：</w:t>
      </w:r>
      <w:r>
        <w:rPr>
          <w:rFonts w:hint="eastAsia" w:asciiTheme="minorEastAsia" w:hAnsiTheme="minorEastAsia" w:eastAsiaTheme="minorEastAsia" w:cstheme="minorEastAsia"/>
          <w:color w:val="auto"/>
          <w:u w:val="single"/>
        </w:rPr>
        <w:tab/>
      </w:r>
    </w:p>
    <w:p>
      <w:pPr>
        <w:pStyle w:val="2"/>
        <w:spacing w:before="3"/>
        <w:rPr>
          <w:rFonts w:asciiTheme="minorEastAsia" w:hAnsiTheme="minorEastAsia" w:eastAsiaTheme="minorEastAsia" w:cstheme="minorEastAsia"/>
          <w:color w:val="auto"/>
          <w:sz w:val="15"/>
        </w:rPr>
      </w:pPr>
    </w:p>
    <w:p>
      <w:pPr>
        <w:pStyle w:val="2"/>
        <w:tabs>
          <w:tab w:val="left" w:pos="5124"/>
        </w:tabs>
        <w:spacing w:before="77"/>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法定代表人（签字或盖章）：</w:t>
      </w:r>
      <w:r>
        <w:rPr>
          <w:rFonts w:hint="eastAsia" w:asciiTheme="minorEastAsia" w:hAnsiTheme="minorEastAsia" w:eastAsiaTheme="minorEastAsia" w:cstheme="minorEastAsia"/>
          <w:color w:val="auto"/>
          <w:u w:val="single"/>
        </w:rPr>
        <w:tab/>
      </w:r>
    </w:p>
    <w:p>
      <w:pPr>
        <w:pStyle w:val="2"/>
        <w:spacing w:before="3"/>
        <w:rPr>
          <w:rFonts w:asciiTheme="minorEastAsia" w:hAnsiTheme="minorEastAsia" w:eastAsiaTheme="minorEastAsia" w:cstheme="minorEastAsia"/>
          <w:color w:val="auto"/>
          <w:sz w:val="15"/>
        </w:rPr>
      </w:pPr>
    </w:p>
    <w:p>
      <w:pPr>
        <w:pStyle w:val="2"/>
        <w:tabs>
          <w:tab w:val="left" w:pos="2553"/>
          <w:tab w:val="left" w:pos="3182"/>
          <w:tab w:val="left" w:pos="3813"/>
        </w:tabs>
        <w:spacing w:before="76"/>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签发日期：</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日</w:t>
      </w:r>
    </w:p>
    <w:p>
      <w:pPr>
        <w:pStyle w:val="2"/>
        <w:rPr>
          <w:rFonts w:asciiTheme="minorEastAsia" w:hAnsiTheme="minorEastAsia" w:eastAsiaTheme="minorEastAsia" w:cstheme="minorEastAsia"/>
          <w:color w:val="auto"/>
          <w:sz w:val="22"/>
        </w:rPr>
      </w:pPr>
    </w:p>
    <w:p>
      <w:pPr>
        <w:pStyle w:val="2"/>
        <w:rPr>
          <w:rFonts w:asciiTheme="minorEastAsia" w:hAnsiTheme="minorEastAsia" w:eastAsiaTheme="minorEastAsia" w:cstheme="minorEastAsia"/>
          <w:color w:val="auto"/>
          <w:sz w:val="22"/>
        </w:rPr>
      </w:pPr>
    </w:p>
    <w:p>
      <w:pPr>
        <w:pStyle w:val="2"/>
        <w:tabs>
          <w:tab w:val="left" w:pos="5124"/>
        </w:tabs>
        <w:ind w:left="873"/>
        <w:rPr>
          <w:rFonts w:asciiTheme="minorEastAsia" w:hAnsiTheme="minorEastAsia" w:eastAsiaTheme="minorEastAsia" w:cstheme="minorEastAsia"/>
          <w:color w:val="auto"/>
        </w:rPr>
      </w:pPr>
    </w:p>
    <w:p>
      <w:pPr>
        <w:pStyle w:val="2"/>
        <w:tabs>
          <w:tab w:val="left" w:pos="5124"/>
        </w:tabs>
        <w:ind w:left="87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附：代理人工作单位</w:t>
      </w:r>
      <w:r>
        <w:rPr>
          <w:rFonts w:hint="eastAsia" w:asciiTheme="minorEastAsia" w:hAnsiTheme="minorEastAsia" w:eastAsiaTheme="minorEastAsia" w:cstheme="minorEastAsia"/>
          <w:color w:val="auto"/>
          <w:w w:val="95"/>
        </w:rPr>
        <w:t>：</w:t>
      </w:r>
      <w:r>
        <w:rPr>
          <w:rFonts w:hint="eastAsia" w:asciiTheme="minorEastAsia" w:hAnsiTheme="minorEastAsia" w:eastAsiaTheme="minorEastAsia" w:cstheme="minorEastAsia"/>
          <w:color w:val="auto"/>
          <w:u w:val="single"/>
        </w:rPr>
        <w:tab/>
      </w:r>
    </w:p>
    <w:p>
      <w:pPr>
        <w:pStyle w:val="2"/>
        <w:spacing w:before="3"/>
        <w:rPr>
          <w:rFonts w:asciiTheme="minorEastAsia" w:hAnsiTheme="minorEastAsia" w:eastAsiaTheme="minorEastAsia" w:cstheme="minorEastAsia"/>
          <w:color w:val="auto"/>
          <w:sz w:val="15"/>
        </w:rPr>
      </w:pPr>
    </w:p>
    <w:p>
      <w:pPr>
        <w:pStyle w:val="2"/>
        <w:tabs>
          <w:tab w:val="left" w:pos="3598"/>
          <w:tab w:val="left" w:pos="4178"/>
          <w:tab w:val="left" w:pos="5383"/>
        </w:tabs>
        <w:spacing w:before="77"/>
        <w:ind w:left="8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职务：</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w w:val="95"/>
        </w:rPr>
        <w:t>性别：</w:t>
      </w:r>
      <w:r>
        <w:rPr>
          <w:rFonts w:hint="eastAsia" w:asciiTheme="minorEastAsia" w:hAnsiTheme="minorEastAsia" w:eastAsiaTheme="minorEastAsia" w:cstheme="minorEastAsia"/>
          <w:color w:val="auto"/>
          <w:u w:val="single"/>
        </w:rPr>
        <w:tab/>
      </w:r>
    </w:p>
    <w:p>
      <w:pPr>
        <w:pStyle w:val="2"/>
        <w:spacing w:before="7"/>
        <w:rPr>
          <w:rFonts w:asciiTheme="minorEastAsia" w:hAnsiTheme="minorEastAsia" w:eastAsiaTheme="minorEastAsia" w:cstheme="minorEastAsia"/>
          <w:color w:val="auto"/>
          <w:sz w:val="15"/>
        </w:rPr>
      </w:pPr>
    </w:p>
    <w:p>
      <w:pPr>
        <w:pStyle w:val="2"/>
        <w:tabs>
          <w:tab w:val="left" w:pos="5383"/>
        </w:tabs>
        <w:spacing w:before="69"/>
        <w:ind w:left="81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身份证号码：</w:t>
      </w:r>
      <w:r>
        <w:rPr>
          <w:rFonts w:hint="eastAsia" w:asciiTheme="minorEastAsia" w:hAnsiTheme="minorEastAsia" w:eastAsiaTheme="minorEastAsia" w:cstheme="minorEastAsia"/>
          <w:color w:val="auto"/>
          <w:u w:val="single"/>
        </w:rPr>
        <w:tab/>
      </w:r>
    </w:p>
    <w:p>
      <w:pPr>
        <w:pStyle w:val="2"/>
        <w:rPr>
          <w:rFonts w:asciiTheme="minorEastAsia" w:hAnsiTheme="minorEastAsia" w:eastAsiaTheme="minorEastAsia" w:cstheme="minorEastAsia"/>
          <w:color w:val="auto"/>
          <w:sz w:val="20"/>
        </w:rPr>
      </w:pPr>
    </w:p>
    <w:p>
      <w:pPr>
        <w:pStyle w:val="2"/>
        <w:spacing w:before="9"/>
        <w:rPr>
          <w:rFonts w:asciiTheme="minorEastAsia" w:hAnsiTheme="minorEastAsia" w:eastAsiaTheme="minorEastAsia" w:cstheme="minorEastAsia"/>
          <w:color w:val="auto"/>
          <w:sz w:val="25"/>
        </w:rPr>
        <w:sectPr>
          <w:type w:val="continuous"/>
          <w:pgSz w:w="11910" w:h="16840"/>
          <w:pgMar w:top="1580" w:right="820" w:bottom="280" w:left="1020" w:header="720" w:footer="720" w:gutter="0"/>
          <w:cols w:equalWidth="0" w:num="1">
            <w:col w:w="10070"/>
          </w:cols>
        </w:sectPr>
      </w:pPr>
      <w:r>
        <w:rPr>
          <w:rFonts w:asciiTheme="minorEastAsia" w:hAnsiTheme="minorEastAsia" w:eastAsiaTheme="minorEastAsia" w:cstheme="minorEastAsia"/>
          <w:color w:val="auto"/>
          <w:lang w:val="en-US" w:bidi="ar-SA"/>
        </w:rPr>
        <w:pict>
          <v:shape id="Text Box 4" o:spid="_x0000_s1027" o:spt="202" type="#_x0000_t202" style="position:absolute;left:0pt;margin-left:82.05pt;margin-top:17.05pt;height:167.5pt;width:443.05pt;mso-position-horizontal-relative:page;mso-wrap-distance-bottom:0pt;mso-wrap-distance-top:0pt;z-index:-251658240;mso-width-relative:page;mso-height-relative:page;" filled="f" coordsize="21600,21600" o:gfxdata="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A/TfXAAAACwEAAA8AAAAAAAAAAQAgAAAAIgAA&#10;AGRycy9kb3ducmV2LnhtbFBLAQIUABQAAAAIAIdO4kBeSJvxCQIAAAAEAAAOAAAAAAAAAAEAIAAA&#10;ACYBAABkcnMvZTJvRG9jLnhtbFBLBQYAAAAABgAGAFkBAAChBQAAAAA=&#10;">
            <v:path/>
            <v:fill on="f" focussize="0,0"/>
            <v:stroke weight="0.48pt" joinstyle="miter"/>
            <v:imagedata o:title=""/>
            <o:lock v:ext="edit"/>
            <v:textbox inset="0mm,0mm,0mm,0mm">
              <w:txbxContent>
                <w:p>
                  <w:pPr>
                    <w:pStyle w:val="2"/>
                    <w:spacing w:before="11"/>
                    <w:rPr>
                      <w:rFonts w:ascii="Times New Roman"/>
                      <w:sz w:val="16"/>
                    </w:rPr>
                  </w:pPr>
                </w:p>
                <w:p>
                  <w:pPr>
                    <w:pStyle w:val="2"/>
                    <w:ind w:left="103"/>
                  </w:pPr>
                  <w:r>
                    <w:t>粘贴法定代表人及被授权人身份证（复印件，可另页）</w:t>
                  </w:r>
                </w:p>
              </w:txbxContent>
            </v:textbox>
            <w10:wrap type="topAndBottom"/>
          </v:shape>
        </w:pict>
      </w:r>
    </w:p>
    <w:p>
      <w:pPr>
        <w:pStyle w:val="2"/>
        <w:rPr>
          <w:rFonts w:hint="eastAsia" w:asciiTheme="minorEastAsia" w:hAnsiTheme="minorEastAsia" w:eastAsiaTheme="minorEastAsia" w:cstheme="minorEastAsia"/>
          <w:color w:val="auto"/>
          <w:sz w:val="20"/>
          <w:lang w:val="en-US" w:eastAsia="zh-CN"/>
        </w:rPr>
      </w:pPr>
      <w:r>
        <w:rPr>
          <w:rFonts w:hint="eastAsia" w:asciiTheme="minorEastAsia" w:hAnsiTheme="minorEastAsia" w:eastAsiaTheme="minorEastAsia" w:cstheme="minorEastAsia"/>
          <w:color w:val="auto"/>
          <w:sz w:val="20"/>
        </w:rPr>
        <w:t>附件</w:t>
      </w:r>
      <w:r>
        <w:rPr>
          <w:rFonts w:hint="eastAsia" w:asciiTheme="minorEastAsia" w:hAnsiTheme="minorEastAsia" w:eastAsiaTheme="minorEastAsia" w:cstheme="minorEastAsia"/>
          <w:color w:val="auto"/>
          <w:sz w:val="20"/>
          <w:lang w:val="en-US" w:eastAsia="zh-CN"/>
        </w:rPr>
        <w:t>五</w:t>
      </w:r>
    </w:p>
    <w:p>
      <w:pPr>
        <w:pStyle w:val="2"/>
        <w:rPr>
          <w:rFonts w:asciiTheme="minorEastAsia" w:hAnsiTheme="minorEastAsia" w:eastAsiaTheme="minorEastAsia" w:cstheme="minorEastAsia"/>
          <w:color w:val="auto"/>
          <w:sz w:val="20"/>
        </w:rPr>
      </w:pPr>
    </w:p>
    <w:p>
      <w:pPr>
        <w:pStyle w:val="2"/>
        <w:spacing w:before="1"/>
        <w:rPr>
          <w:rFonts w:asciiTheme="minorEastAsia" w:hAnsiTheme="minorEastAsia" w:eastAsiaTheme="minorEastAsia" w:cstheme="minorEastAsia"/>
          <w:color w:val="auto"/>
          <w:sz w:val="17"/>
        </w:rPr>
      </w:pPr>
    </w:p>
    <w:p>
      <w:pPr>
        <w:widowControl/>
        <w:shd w:val="clear" w:color="auto" w:fill="FFFFFF"/>
        <w:spacing w:line="360" w:lineRule="auto"/>
        <w:jc w:val="center"/>
        <w:rPr>
          <w:rFonts w:hint="eastAsia" w:ascii="宋体" w:hAnsi="宋体" w:cs="宋体"/>
          <w:b/>
          <w:kern w:val="0"/>
          <w:sz w:val="30"/>
          <w:szCs w:val="30"/>
        </w:rPr>
      </w:pPr>
      <w:bookmarkStart w:id="47" w:name="第五章__合同主要条款"/>
      <w:bookmarkEnd w:id="47"/>
      <w:r>
        <w:rPr>
          <w:rFonts w:hint="eastAsia" w:ascii="宋体" w:hAnsi="宋体" w:cs="宋体"/>
          <w:b/>
          <w:kern w:val="0"/>
          <w:sz w:val="30"/>
          <w:szCs w:val="30"/>
        </w:rPr>
        <w:t>参加政府采购活动前3年内在经营活动中没有重大违法记录的声明</w:t>
      </w:r>
    </w:p>
    <w:p>
      <w:pPr>
        <w:snapToGrid w:val="0"/>
        <w:spacing w:line="400" w:lineRule="exact"/>
        <w:outlineLvl w:val="4"/>
        <w:rPr>
          <w:rFonts w:hint="eastAsia" w:ascii="宋体" w:hAnsi="宋体" w:cs="宋体"/>
          <w:b/>
          <w:szCs w:val="21"/>
        </w:rPr>
      </w:pPr>
    </w:p>
    <w:p>
      <w:pPr>
        <w:snapToGrid w:val="0"/>
        <w:spacing w:line="400" w:lineRule="exact"/>
        <w:outlineLvl w:val="4"/>
        <w:rPr>
          <w:rFonts w:hint="eastAsia" w:ascii="宋体" w:hAnsi="宋体" w:cs="宋体"/>
          <w:kern w:val="0"/>
          <w:sz w:val="24"/>
        </w:rPr>
      </w:pPr>
      <w:r>
        <w:rPr>
          <w:rFonts w:hint="eastAsia" w:ascii="宋体" w:hAnsi="宋体" w:cs="宋体"/>
          <w:b/>
          <w:szCs w:val="21"/>
        </w:rPr>
        <w:t>致</w:t>
      </w:r>
      <w:r>
        <w:rPr>
          <w:rFonts w:hint="eastAsia" w:ascii="宋体" w:hAnsi="宋体" w:cs="宋体"/>
          <w:szCs w:val="21"/>
        </w:rPr>
        <w:t>：</w:t>
      </w:r>
      <w:r>
        <w:rPr>
          <w:rFonts w:hint="eastAsia" w:ascii="宋体" w:hAnsi="宋体" w:cs="宋体"/>
        </w:rPr>
        <w:t>华物盛泰工程咨询管理有限公司</w:t>
      </w:r>
    </w:p>
    <w:p>
      <w:pPr>
        <w:snapToGrid w:val="0"/>
        <w:spacing w:line="400" w:lineRule="exact"/>
        <w:ind w:firstLine="420"/>
        <w:outlineLvl w:val="4"/>
        <w:rPr>
          <w:rFonts w:hint="eastAsia" w:ascii="宋体" w:hAnsi="宋体" w:cs="宋体"/>
          <w:szCs w:val="21"/>
        </w:rPr>
      </w:pPr>
      <w:r>
        <w:rPr>
          <w:rFonts w:hint="eastAsia" w:ascii="宋体" w:hAnsi="宋体" w:cs="宋体"/>
        </w:rPr>
        <w:t>我</w:t>
      </w:r>
      <w:r>
        <w:rPr>
          <w:rFonts w:hint="eastAsia" w:ascii="宋体" w:hAnsi="宋体" w:cs="宋体"/>
          <w:u w:val="single"/>
        </w:rPr>
        <w:t xml:space="preserve">     </w:t>
      </w:r>
      <w:r>
        <w:rPr>
          <w:rFonts w:hint="eastAsia" w:ascii="宋体" w:hAnsi="宋体" w:cs="宋体"/>
        </w:rPr>
        <w:t>（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rPr>
          <w:rFonts w:hint="eastAsia" w:ascii="宋体" w:hAnsi="宋体" w:cs="宋体"/>
          <w:szCs w:val="21"/>
        </w:rPr>
      </w:pPr>
    </w:p>
    <w:p>
      <w:pPr>
        <w:spacing w:line="500" w:lineRule="exact"/>
        <w:rPr>
          <w:rFonts w:hint="eastAsia" w:ascii="宋体" w:hAnsi="Courier New"/>
          <w:color w:val="000000"/>
          <w:szCs w:val="20"/>
        </w:rPr>
      </w:pPr>
      <w:r>
        <w:rPr>
          <w:rFonts w:hint="eastAsia" w:ascii="宋体" w:hAnsi="Courier New"/>
          <w:color w:val="000000"/>
          <w:szCs w:val="20"/>
        </w:rPr>
        <w:t xml:space="preserve">供应商（盖单位公章）：                             </w:t>
      </w:r>
    </w:p>
    <w:p>
      <w:pPr>
        <w:spacing w:line="500" w:lineRule="exact"/>
        <w:rPr>
          <w:rFonts w:hint="eastAsia" w:ascii="宋体" w:hAnsi="Courier New"/>
          <w:color w:val="000000"/>
          <w:szCs w:val="20"/>
        </w:rPr>
      </w:pPr>
      <w:r>
        <w:rPr>
          <w:rFonts w:hint="eastAsia" w:ascii="宋体" w:hAnsi="Courier New"/>
          <w:color w:val="000000"/>
          <w:szCs w:val="20"/>
        </w:rPr>
        <w:t xml:space="preserve">法定代表人或其委托代理人（签字或盖章）：   </w:t>
      </w:r>
    </w:p>
    <w:p>
      <w:pPr>
        <w:pStyle w:val="12"/>
        <w:ind w:firstLine="4700" w:firstLineChars="2350"/>
        <w:rPr>
          <w:rFonts w:hint="eastAsia" w:hAnsi="宋体" w:cs="宋体"/>
        </w:rPr>
      </w:pPr>
    </w:p>
    <w:p>
      <w:pPr>
        <w:pStyle w:val="12"/>
        <w:rPr>
          <w:rFonts w:hint="eastAsia" w:hAnsi="宋体" w:cs="宋体"/>
          <w:b/>
          <w:sz w:val="32"/>
        </w:rPr>
      </w:pPr>
      <w:r>
        <w:rPr>
          <w:rFonts w:hint="eastAsia" w:hAnsi="宋体" w:cs="宋体"/>
        </w:rPr>
        <w:t>日      期：</w:t>
      </w:r>
      <w:r>
        <w:rPr>
          <w:rFonts w:hint="eastAsia" w:hAnsi="宋体" w:cs="宋体"/>
          <w:u w:val="single"/>
        </w:rPr>
        <w:t xml:space="preserve">                         </w:t>
      </w:r>
      <w:r>
        <w:rPr>
          <w:rFonts w:hint="eastAsia" w:hAnsi="宋体" w:cs="宋体"/>
        </w:rPr>
        <w:t>.</w:t>
      </w:r>
    </w:p>
    <w:p>
      <w:pPr>
        <w:spacing w:line="500" w:lineRule="exact"/>
        <w:rPr>
          <w:color w:val="000000"/>
          <w:szCs w:val="20"/>
          <w:u w:val="single"/>
        </w:rPr>
      </w:pPr>
    </w:p>
    <w:p>
      <w:pPr>
        <w:spacing w:line="360" w:lineRule="exact"/>
        <w:jc w:val="both"/>
        <w:rPr>
          <w:rFonts w:hint="eastAsia" w:eastAsiaTheme="minorEastAsia"/>
          <w:b/>
          <w:color w:val="000000"/>
          <w:szCs w:val="20"/>
          <w:lang w:val="en-US" w:eastAsia="zh-CN"/>
        </w:rPr>
      </w:pPr>
      <w:r>
        <w:rPr>
          <w:rFonts w:hint="eastAsia" w:ascii="Times New Roman" w:hAnsi="Times New Roman"/>
          <w:b/>
          <w:color w:val="000000"/>
        </w:rPr>
        <w:br w:type="page"/>
      </w: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六</w:t>
      </w:r>
    </w:p>
    <w:p>
      <w:pPr>
        <w:jc w:val="center"/>
        <w:rPr>
          <w:b/>
          <w:color w:val="000000"/>
          <w:sz w:val="30"/>
          <w:szCs w:val="30"/>
        </w:rPr>
      </w:pPr>
      <w:r>
        <w:rPr>
          <w:b/>
          <w:color w:val="000000"/>
          <w:sz w:val="30"/>
          <w:szCs w:val="30"/>
        </w:rPr>
        <w:t>中小企业声明函（格式）</w:t>
      </w:r>
    </w:p>
    <w:p>
      <w:pPr>
        <w:spacing w:line="400" w:lineRule="exact"/>
        <w:rPr>
          <w:rFonts w:ascii="宋体" w:hAnsi="宋体"/>
          <w:color w:val="000000"/>
          <w:spacing w:val="-4"/>
          <w:szCs w:val="21"/>
        </w:rPr>
      </w:pPr>
      <w:r>
        <w:rPr>
          <w:rFonts w:hint="eastAsia" w:ascii="宋体" w:hAnsi="宋体"/>
          <w:color w:val="000000"/>
          <w:spacing w:val="-4"/>
          <w:szCs w:val="21"/>
        </w:rPr>
        <w:t>说明：</w:t>
      </w:r>
    </w:p>
    <w:p>
      <w:pPr>
        <w:spacing w:line="400" w:lineRule="exact"/>
        <w:ind w:firstLine="424" w:firstLineChars="200"/>
        <w:rPr>
          <w:rFonts w:ascii="宋体" w:hAnsi="宋体"/>
          <w:color w:val="000000"/>
          <w:spacing w:val="-4"/>
          <w:szCs w:val="21"/>
        </w:rPr>
      </w:pPr>
      <w:r>
        <w:rPr>
          <w:rFonts w:ascii="宋体" w:hAnsi="宋体"/>
          <w:color w:val="000000"/>
          <w:spacing w:val="-4"/>
          <w:szCs w:val="21"/>
        </w:rPr>
        <w:t>1</w:t>
      </w:r>
      <w:r>
        <w:rPr>
          <w:rFonts w:hint="eastAsia" w:ascii="宋体" w:hAnsi="宋体"/>
          <w:color w:val="000000"/>
          <w:spacing w:val="-4"/>
          <w:szCs w:val="21"/>
        </w:rPr>
        <w:t>、本声明函主要供参加政府采购活动的中小企业填写，非中小企业无需填写。</w:t>
      </w:r>
    </w:p>
    <w:p>
      <w:pPr>
        <w:spacing w:line="400" w:lineRule="exact"/>
        <w:ind w:firstLine="424" w:firstLineChars="200"/>
        <w:rPr>
          <w:rFonts w:ascii="宋体" w:hAnsi="宋体"/>
          <w:color w:val="000000"/>
          <w:spacing w:val="-4"/>
          <w:szCs w:val="21"/>
        </w:rPr>
      </w:pPr>
      <w:r>
        <w:rPr>
          <w:rFonts w:ascii="宋体" w:hAnsi="宋体"/>
          <w:color w:val="000000"/>
          <w:spacing w:val="-4"/>
          <w:szCs w:val="21"/>
        </w:rPr>
        <w:t>2</w:t>
      </w:r>
      <w:r>
        <w:rPr>
          <w:rFonts w:hint="eastAsia" w:ascii="宋体" w:hAnsi="宋体"/>
          <w:color w:val="000000"/>
          <w:spacing w:val="-4"/>
          <w:szCs w:val="21"/>
        </w:rPr>
        <w:t>、小型、微型企业提供中型企业制造的货物的，视同为中型企业。</w:t>
      </w:r>
    </w:p>
    <w:p>
      <w:pPr>
        <w:spacing w:line="400" w:lineRule="exact"/>
        <w:ind w:firstLine="424" w:firstLineChars="200"/>
        <w:rPr>
          <w:rFonts w:ascii="宋体" w:hAnsi="宋体"/>
          <w:color w:val="000000"/>
          <w:spacing w:val="-4"/>
          <w:szCs w:val="21"/>
        </w:rPr>
      </w:pPr>
      <w:r>
        <w:rPr>
          <w:rFonts w:ascii="宋体" w:hAnsi="宋体"/>
          <w:color w:val="000000"/>
          <w:spacing w:val="-4"/>
          <w:szCs w:val="21"/>
        </w:rPr>
        <w:t>3</w:t>
      </w:r>
      <w:r>
        <w:rPr>
          <w:rFonts w:hint="eastAsia" w:ascii="宋体" w:hAnsi="宋体"/>
          <w:color w:val="000000"/>
          <w:spacing w:val="-4"/>
          <w:szCs w:val="21"/>
        </w:rPr>
        <w:t>、供应商按《财政部、司法部关于政府采购支持监狱企业发展有关问题的通知》（财库〔</w:t>
      </w:r>
      <w:r>
        <w:rPr>
          <w:rFonts w:ascii="宋体" w:hAnsi="宋体"/>
          <w:color w:val="000000"/>
          <w:spacing w:val="-4"/>
          <w:szCs w:val="21"/>
        </w:rPr>
        <w:t>2014</w:t>
      </w:r>
      <w:r>
        <w:rPr>
          <w:rFonts w:hint="eastAsia" w:ascii="宋体" w:hAnsi="宋体"/>
          <w:color w:val="000000"/>
          <w:spacing w:val="-4"/>
          <w:szCs w:val="21"/>
        </w:rPr>
        <w:t>〕</w:t>
      </w:r>
      <w:r>
        <w:rPr>
          <w:rFonts w:ascii="宋体" w:hAnsi="宋体"/>
          <w:color w:val="000000"/>
          <w:spacing w:val="-4"/>
          <w:szCs w:val="21"/>
        </w:rPr>
        <w:t>68</w:t>
      </w:r>
      <w:r>
        <w:rPr>
          <w:rFonts w:hint="eastAsia" w:ascii="宋体" w:hAnsi="宋体"/>
          <w:color w:val="000000"/>
          <w:spacing w:val="-4"/>
          <w:szCs w:val="21"/>
        </w:rPr>
        <w:t>号）认定为监狱企业，且提供由省级以上监狱管理局、戒毒管理局（含新疆生产建设兵团）出具的属于监狱企业的证明文件的，视同小型、微型企业。</w:t>
      </w:r>
    </w:p>
    <w:p>
      <w:pPr>
        <w:spacing w:line="400" w:lineRule="exact"/>
        <w:ind w:firstLine="424" w:firstLineChars="200"/>
        <w:rPr>
          <w:rFonts w:ascii="宋体" w:hAnsi="宋体"/>
          <w:color w:val="000000"/>
          <w:spacing w:val="-4"/>
          <w:szCs w:val="21"/>
        </w:rPr>
      </w:pPr>
    </w:p>
    <w:p>
      <w:pPr>
        <w:spacing w:line="400" w:lineRule="exact"/>
        <w:ind w:firstLine="440" w:firstLineChars="200"/>
        <w:rPr>
          <w:rFonts w:ascii="宋体" w:hAnsi="宋体"/>
          <w:color w:val="000000"/>
          <w:szCs w:val="21"/>
        </w:rPr>
      </w:pPr>
      <w:r>
        <w:rPr>
          <w:rFonts w:ascii="宋体" w:hAnsi="宋体"/>
          <w:color w:val="000000"/>
          <w:szCs w:val="21"/>
        </w:rPr>
        <w:t>本公司郑重声明，根据《政府采购促进中小企业发展暂行办法》（财库〔2011〕181号）的规定，本公司为______（请填写：中型、小型、微型）企业。即，本公司同时满足以下条件：</w:t>
      </w:r>
    </w:p>
    <w:p>
      <w:pPr>
        <w:spacing w:line="400" w:lineRule="exact"/>
        <w:ind w:firstLine="440" w:firstLineChars="200"/>
        <w:rPr>
          <w:rFonts w:ascii="宋体" w:hAnsi="宋体"/>
          <w:color w:val="000000"/>
          <w:szCs w:val="21"/>
        </w:rPr>
      </w:pPr>
      <w:r>
        <w:rPr>
          <w:rFonts w:ascii="宋体" w:hAnsi="宋体"/>
          <w:color w:val="000000"/>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40" w:firstLineChars="200"/>
        <w:rPr>
          <w:rFonts w:ascii="宋体" w:hAnsi="宋体"/>
          <w:color w:val="000000"/>
          <w:szCs w:val="21"/>
        </w:rPr>
      </w:pPr>
      <w:r>
        <w:rPr>
          <w:rFonts w:ascii="宋体" w:hAnsi="宋体"/>
          <w:color w:val="00000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00" w:lineRule="exact"/>
        <w:ind w:firstLine="440" w:firstLineChars="200"/>
        <w:rPr>
          <w:rFonts w:ascii="宋体" w:hAnsi="宋体"/>
          <w:color w:val="000000"/>
          <w:szCs w:val="21"/>
        </w:rPr>
      </w:pPr>
      <w:r>
        <w:rPr>
          <w:rFonts w:ascii="宋体" w:hAnsi="宋体"/>
          <w:color w:val="000000"/>
          <w:szCs w:val="21"/>
        </w:rPr>
        <w:t>本公司对上述声明的真实性负责。如有虚假，将依法承担相应责任。</w:t>
      </w:r>
    </w:p>
    <w:p>
      <w:pPr>
        <w:spacing w:line="360" w:lineRule="auto"/>
        <w:ind w:firstLine="440" w:firstLineChars="200"/>
        <w:rPr>
          <w:color w:val="000000"/>
          <w:szCs w:val="21"/>
        </w:rPr>
      </w:pPr>
    </w:p>
    <w:p>
      <w:pPr>
        <w:spacing w:line="360" w:lineRule="auto"/>
        <w:ind w:firstLine="440" w:firstLineChars="200"/>
        <w:rPr>
          <w:color w:val="000000"/>
          <w:szCs w:val="21"/>
        </w:rPr>
      </w:pPr>
    </w:p>
    <w:p>
      <w:pPr>
        <w:spacing w:line="360" w:lineRule="auto"/>
        <w:ind w:firstLine="440" w:firstLineChars="200"/>
        <w:rPr>
          <w:rFonts w:ascii="宋体" w:hAnsi="Courier New"/>
          <w:color w:val="000000"/>
          <w:szCs w:val="20"/>
        </w:rPr>
      </w:pPr>
    </w:p>
    <w:p>
      <w:pPr>
        <w:spacing w:line="600" w:lineRule="exact"/>
        <w:rPr>
          <w:rFonts w:hint="eastAsia"/>
          <w:color w:val="000000"/>
          <w:szCs w:val="20"/>
          <w:u w:val="single"/>
        </w:rPr>
      </w:pPr>
      <w:r>
        <w:rPr>
          <w:rFonts w:hint="eastAsia"/>
          <w:color w:val="000000"/>
          <w:szCs w:val="20"/>
        </w:rPr>
        <w:t>供应商</w:t>
      </w:r>
      <w:r>
        <w:rPr>
          <w:color w:val="000000"/>
          <w:szCs w:val="20"/>
        </w:rPr>
        <w:t>（盖单位公章）：</w:t>
      </w:r>
      <w:r>
        <w:rPr>
          <w:color w:val="000000"/>
          <w:szCs w:val="20"/>
          <w:u w:val="single"/>
        </w:rPr>
        <w:t xml:space="preserve">                                    </w:t>
      </w:r>
    </w:p>
    <w:p>
      <w:pPr>
        <w:spacing w:line="600" w:lineRule="exact"/>
        <w:rPr>
          <w:color w:val="000000"/>
          <w:szCs w:val="20"/>
          <w:u w:val="single"/>
        </w:rPr>
      </w:pPr>
    </w:p>
    <w:p>
      <w:pPr>
        <w:spacing w:line="500" w:lineRule="exact"/>
        <w:rPr>
          <w:color w:val="000000"/>
          <w:szCs w:val="20"/>
          <w:u w:val="single"/>
        </w:rPr>
      </w:pPr>
      <w:r>
        <w:rPr>
          <w:color w:val="000000"/>
          <w:szCs w:val="20"/>
        </w:rPr>
        <w:t>法定代表人或其委托代理人（签字或盖章）：</w:t>
      </w:r>
      <w:r>
        <w:rPr>
          <w:color w:val="000000"/>
          <w:szCs w:val="20"/>
          <w:u w:val="single"/>
        </w:rPr>
        <w:t xml:space="preserve">                  </w:t>
      </w:r>
    </w:p>
    <w:p>
      <w:pPr>
        <w:pStyle w:val="8"/>
        <w:numPr>
          <w:ilvl w:val="5"/>
          <w:numId w:val="0"/>
        </w:numPr>
        <w:rPr>
          <w:color w:val="000000"/>
          <w:szCs w:val="20"/>
          <w:u w:val="single"/>
        </w:rPr>
      </w:pPr>
    </w:p>
    <w:p>
      <w:pPr>
        <w:rPr>
          <w:rFonts w:hint="eastAsia" w:eastAsia="宋体"/>
          <w:u w:val="none"/>
          <w:lang w:val="en-US" w:eastAsia="zh-CN"/>
        </w:rPr>
      </w:pPr>
      <w:r>
        <w:rPr>
          <w:rFonts w:hint="eastAsia"/>
          <w:color w:val="000000"/>
          <w:szCs w:val="20"/>
          <w:u w:val="none"/>
          <w:lang w:val="en-US" w:eastAsia="zh-CN"/>
        </w:rPr>
        <w:t>日期：</w:t>
      </w:r>
    </w:p>
    <w:p>
      <w:pPr>
        <w:spacing w:line="360" w:lineRule="exact"/>
        <w:ind w:firstLine="200"/>
        <w:jc w:val="left"/>
        <w:rPr>
          <w:rFonts w:hint="eastAsia" w:ascii="宋体" w:hAnsi="Courier New"/>
          <w:b/>
          <w:color w:val="000000"/>
          <w:szCs w:val="20"/>
        </w:rPr>
      </w:pPr>
    </w:p>
    <w:p>
      <w:pPr>
        <w:spacing w:line="360" w:lineRule="exact"/>
        <w:ind w:firstLine="200"/>
        <w:jc w:val="left"/>
        <w:rPr>
          <w:rFonts w:hint="eastAsia" w:ascii="宋体" w:hAnsi="Courier New"/>
          <w:b/>
          <w:color w:val="000000"/>
          <w:szCs w:val="20"/>
        </w:rPr>
      </w:pPr>
    </w:p>
    <w:p>
      <w:pPr>
        <w:spacing w:line="360" w:lineRule="exact"/>
        <w:ind w:firstLine="200"/>
        <w:jc w:val="left"/>
        <w:rPr>
          <w:rFonts w:hint="eastAsia" w:ascii="宋体" w:hAnsi="Courier New"/>
          <w:b/>
          <w:color w:val="000000"/>
          <w:szCs w:val="20"/>
        </w:rPr>
      </w:pPr>
    </w:p>
    <w:p>
      <w:pPr>
        <w:spacing w:line="360" w:lineRule="exact"/>
        <w:ind w:firstLine="200"/>
        <w:jc w:val="left"/>
        <w:rPr>
          <w:rFonts w:hint="eastAsia" w:ascii="宋体" w:hAnsi="Courier New" w:eastAsiaTheme="minorEastAsia"/>
          <w:b/>
          <w:color w:val="000000"/>
          <w:szCs w:val="20"/>
          <w:lang w:val="en-US" w:eastAsia="zh-CN"/>
        </w:rPr>
      </w:pPr>
      <w:r>
        <w:rPr>
          <w:rFonts w:ascii="宋体" w:hAnsi="Courier New"/>
          <w:b/>
          <w:color w:val="000000"/>
          <w:szCs w:val="20"/>
        </w:rPr>
        <w:br w:type="page"/>
      </w: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eastAsia="zh-CN"/>
        </w:rPr>
        <w:t>七</w:t>
      </w:r>
    </w:p>
    <w:p>
      <w:pPr>
        <w:spacing w:line="500" w:lineRule="exact"/>
        <w:jc w:val="center"/>
        <w:rPr>
          <w:rFonts w:hint="eastAsia" w:ascii="宋体" w:hAnsi="Courier New"/>
          <w:b/>
          <w:color w:val="000000"/>
          <w:sz w:val="30"/>
          <w:szCs w:val="30"/>
        </w:rPr>
      </w:pPr>
      <w:r>
        <w:rPr>
          <w:rFonts w:hint="eastAsia" w:ascii="宋体" w:hAnsi="Courier New"/>
          <w:b/>
          <w:color w:val="000000"/>
          <w:sz w:val="30"/>
          <w:szCs w:val="30"/>
        </w:rPr>
        <w:t>残疾人福利性单位声明函（格式）</w:t>
      </w:r>
    </w:p>
    <w:p>
      <w:pPr>
        <w:spacing w:line="500" w:lineRule="exact"/>
        <w:rPr>
          <w:rFonts w:ascii="宋体" w:hAnsi="Courier New"/>
          <w:color w:val="000000"/>
          <w:szCs w:val="20"/>
        </w:rPr>
      </w:pPr>
    </w:p>
    <w:p>
      <w:pPr>
        <w:spacing w:line="500" w:lineRule="exact"/>
        <w:ind w:firstLine="550" w:firstLineChars="250"/>
        <w:rPr>
          <w:rFonts w:hint="eastAsia" w:ascii="宋体" w:hAnsi="Courier New"/>
          <w:color w:val="000000"/>
          <w:szCs w:val="20"/>
        </w:rPr>
      </w:pPr>
      <w:r>
        <w:rPr>
          <w:rFonts w:hint="eastAsia" w:ascii="宋体" w:hAnsi="Courier New"/>
          <w:color w:val="000000"/>
          <w:szCs w:val="20"/>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spacing w:line="500" w:lineRule="exact"/>
        <w:ind w:firstLine="440" w:firstLineChars="200"/>
        <w:rPr>
          <w:rFonts w:hint="eastAsia" w:ascii="宋体" w:hAnsi="Courier New"/>
          <w:color w:val="000000"/>
          <w:szCs w:val="20"/>
        </w:rPr>
      </w:pPr>
      <w:r>
        <w:rPr>
          <w:rFonts w:hint="eastAsia" w:ascii="宋体" w:hAnsi="Courier New"/>
          <w:color w:val="000000"/>
          <w:szCs w:val="20"/>
        </w:rPr>
        <w:t>本公司对上述声明的真实性负责。如有虚假，将依法承担相应责任。</w:t>
      </w:r>
    </w:p>
    <w:p>
      <w:pPr>
        <w:spacing w:line="500" w:lineRule="exact"/>
        <w:rPr>
          <w:rFonts w:ascii="宋体" w:hAnsi="Courier New"/>
          <w:color w:val="000000"/>
          <w:szCs w:val="20"/>
        </w:rPr>
      </w:pPr>
    </w:p>
    <w:p>
      <w:pPr>
        <w:spacing w:line="500" w:lineRule="exact"/>
        <w:rPr>
          <w:rFonts w:ascii="宋体" w:hAnsi="Courier New"/>
          <w:color w:val="000000"/>
          <w:szCs w:val="20"/>
        </w:rPr>
      </w:pPr>
    </w:p>
    <w:p>
      <w:pPr>
        <w:spacing w:line="500" w:lineRule="exact"/>
        <w:rPr>
          <w:rFonts w:hint="eastAsia" w:ascii="宋体" w:hAnsi="Courier New"/>
          <w:color w:val="000000"/>
          <w:szCs w:val="20"/>
        </w:rPr>
      </w:pPr>
      <w:r>
        <w:rPr>
          <w:rFonts w:hint="eastAsia" w:ascii="宋体" w:hAnsi="Courier New"/>
          <w:color w:val="000000"/>
          <w:szCs w:val="20"/>
        </w:rPr>
        <w:t xml:space="preserve">供应商（盖单位公章）：                             </w:t>
      </w:r>
    </w:p>
    <w:p>
      <w:pPr>
        <w:spacing w:line="500" w:lineRule="exact"/>
        <w:rPr>
          <w:rFonts w:hint="eastAsia" w:ascii="宋体" w:hAnsi="Courier New"/>
          <w:color w:val="000000"/>
          <w:szCs w:val="20"/>
        </w:rPr>
      </w:pPr>
      <w:r>
        <w:rPr>
          <w:rFonts w:hint="eastAsia" w:ascii="宋体" w:hAnsi="Courier New"/>
          <w:color w:val="000000"/>
          <w:szCs w:val="20"/>
        </w:rPr>
        <w:t xml:space="preserve">法定代表人或其委托代理人（签字或盖章）： </w:t>
      </w:r>
    </w:p>
    <w:p>
      <w:pPr>
        <w:spacing w:line="500" w:lineRule="exact"/>
        <w:rPr>
          <w:rFonts w:hint="eastAsia" w:ascii="宋体" w:hAnsi="Courier New"/>
          <w:color w:val="000000"/>
          <w:szCs w:val="20"/>
        </w:rPr>
      </w:pPr>
      <w:r>
        <w:rPr>
          <w:rFonts w:hint="eastAsia" w:hAnsi="Courier New"/>
          <w:color w:val="000000"/>
          <w:szCs w:val="20"/>
          <w:lang w:val="en-US" w:eastAsia="zh-CN"/>
        </w:rPr>
        <w:t>日期：</w:t>
      </w:r>
      <w:r>
        <w:rPr>
          <w:rFonts w:hint="eastAsia" w:ascii="宋体" w:hAnsi="Courier New"/>
          <w:color w:val="000000"/>
          <w:szCs w:val="20"/>
        </w:rPr>
        <w:t xml:space="preserve">  </w:t>
      </w:r>
    </w:p>
    <w:p>
      <w:pPr>
        <w:spacing w:line="500" w:lineRule="exact"/>
        <w:rPr>
          <w:rFonts w:hint="eastAsia" w:ascii="宋体" w:hAnsi="Courier New"/>
          <w:color w:val="000000"/>
          <w:szCs w:val="20"/>
        </w:rPr>
      </w:pPr>
    </w:p>
    <w:p>
      <w:pPr>
        <w:pStyle w:val="2"/>
        <w:rPr>
          <w:rFonts w:hint="eastAsia" w:asciiTheme="minorEastAsia" w:hAnsiTheme="minorEastAsia" w:eastAsiaTheme="minorEastAsia" w:cstheme="minorEastAsia"/>
          <w:color w:val="auto"/>
        </w:rPr>
      </w:pPr>
      <w:r>
        <w:rPr>
          <w:rFonts w:ascii="宋体" w:hAnsi="Courier New"/>
          <w:color w:val="000000"/>
          <w:szCs w:val="20"/>
        </w:rPr>
        <w:br w:type="page"/>
      </w:r>
      <w:bookmarkStart w:id="48" w:name="_Toc7114"/>
    </w:p>
    <w:p>
      <w:pPr>
        <w:pStyle w:val="3"/>
        <w:tabs>
          <w:tab w:val="left" w:pos="4571"/>
        </w:tabs>
        <w:spacing w:before="50"/>
        <w:ind w:left="3127"/>
        <w:rPr>
          <w:rFonts w:asciiTheme="minorEastAsia" w:hAnsiTheme="minorEastAsia" w:eastAsiaTheme="minorEastAsia" w:cstheme="minorEastAsia"/>
          <w:color w:val="auto"/>
          <w:lang w:val="en-US"/>
        </w:rPr>
        <w:sectPr>
          <w:pgSz w:w="11910" w:h="16840"/>
          <w:pgMar w:top="1360" w:right="820" w:bottom="1420" w:left="1020" w:header="1165" w:footer="1233" w:gutter="0"/>
          <w:cols w:equalWidth="0" w:num="1">
            <w:col w:w="10070"/>
          </w:cols>
        </w:sectPr>
      </w:pPr>
      <w:r>
        <w:rPr>
          <w:rFonts w:hint="eastAsia" w:asciiTheme="minorEastAsia" w:hAnsiTheme="minorEastAsia" w:eastAsiaTheme="minorEastAsia" w:cstheme="minorEastAsia"/>
          <w:color w:val="auto"/>
        </w:rPr>
        <w:t>第五章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合同主要条</w:t>
      </w:r>
      <w:bookmarkEnd w:id="48"/>
    </w:p>
    <w:p>
      <w:pPr>
        <w:jc w:val="center"/>
        <w:rPr>
          <w:b/>
          <w:bCs/>
          <w:color w:val="auto"/>
          <w:sz w:val="32"/>
          <w:szCs w:val="32"/>
        </w:rPr>
      </w:pPr>
      <w:r>
        <w:rPr>
          <w:rFonts w:hint="eastAsia"/>
          <w:color w:val="auto"/>
        </w:rPr>
        <w:br w:type="page"/>
      </w:r>
      <w:r>
        <w:rPr>
          <w:rFonts w:hint="eastAsia"/>
          <w:b/>
          <w:bCs/>
          <w:color w:val="auto"/>
          <w:sz w:val="32"/>
          <w:szCs w:val="32"/>
        </w:rPr>
        <w:t>《广西壮族自治区政府采购合同》（参考）</w:t>
      </w:r>
    </w:p>
    <w:p>
      <w:pPr>
        <w:snapToGrid w:val="0"/>
        <w:spacing w:line="360" w:lineRule="exact"/>
        <w:rPr>
          <w:rFonts w:asciiTheme="minorEastAsia" w:hAnsiTheme="minorEastAsia" w:eastAsiaTheme="minorEastAsia" w:cstheme="minorEastAsia"/>
          <w:color w:val="auto"/>
          <w:sz w:val="21"/>
          <w:szCs w:val="21"/>
        </w:rPr>
      </w:pPr>
    </w:p>
    <w:p>
      <w:pPr>
        <w:snapToGrid w:val="0"/>
        <w:spacing w:line="360" w:lineRule="exact"/>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采购单位（甲方）</w:t>
      </w:r>
      <w:r>
        <w:rPr>
          <w:rFonts w:hint="eastAsia" w:asciiTheme="minorEastAsia" w:hAnsiTheme="minorEastAsia" w:eastAsiaTheme="minorEastAsia" w:cstheme="minorEastAsia"/>
          <w:color w:val="auto"/>
          <w:spacing w:val="-20"/>
          <w:sz w:val="21"/>
          <w:szCs w:val="21"/>
        </w:rPr>
        <w:t>采 购 计 划 号</w:t>
      </w:r>
    </w:p>
    <w:p>
      <w:pPr>
        <w:snapToGrid w:val="0"/>
        <w:spacing w:line="360" w:lineRule="exact"/>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供 应 商（乙方）</w:t>
      </w:r>
      <w:r>
        <w:rPr>
          <w:rFonts w:hint="eastAsia" w:asciiTheme="minorEastAsia" w:hAnsiTheme="minorEastAsia" w:eastAsiaTheme="minorEastAsia" w:cstheme="minorEastAsia"/>
          <w:color w:val="auto"/>
          <w:spacing w:val="-20"/>
          <w:sz w:val="21"/>
          <w:szCs w:val="21"/>
        </w:rPr>
        <w:t>招  标  编  号</w:t>
      </w:r>
    </w:p>
    <w:p>
      <w:pPr>
        <w:snapToGrid w:val="0"/>
        <w:spacing w:line="360" w:lineRule="exact"/>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  订  地  点    签 订 时 间</w:t>
      </w:r>
    </w:p>
    <w:p>
      <w:pPr>
        <w:snapToGrid w:val="0"/>
        <w:spacing w:line="36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根据《中华人民共和国政府采购法》、《中华人民共和国合同法》等法律、法规规定，按照采购文件规定条款和中标（成交）供应商承诺，甲乙双方签订本合同。</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第一条　合同标的</w:t>
      </w:r>
    </w:p>
    <w:p>
      <w:pPr>
        <w:snapToGrid w:val="0"/>
        <w:spacing w:line="360" w:lineRule="exact"/>
        <w:ind w:firstLine="420" w:firstLineChars="200"/>
        <w:rPr>
          <w:color w:val="auto"/>
          <w:sz w:val="21"/>
          <w:szCs w:val="21"/>
        </w:rPr>
      </w:pPr>
      <w:r>
        <w:rPr>
          <w:rFonts w:hint="eastAsia"/>
          <w:color w:val="auto"/>
          <w:sz w:val="21"/>
          <w:szCs w:val="21"/>
        </w:rPr>
        <w:t>1、项目一览表</w:t>
      </w:r>
    </w:p>
    <w:tbl>
      <w:tblPr>
        <w:tblStyle w:val="2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34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ign w:val="center"/>
          </w:tcPr>
          <w:p>
            <w:pPr>
              <w:snapToGrid w:val="0"/>
              <w:spacing w:line="360" w:lineRule="exact"/>
              <w:jc w:val="center"/>
              <w:rPr>
                <w:color w:val="auto"/>
                <w:sz w:val="21"/>
                <w:szCs w:val="21"/>
              </w:rPr>
            </w:pPr>
            <w:r>
              <w:rPr>
                <w:rFonts w:hint="eastAsia"/>
                <w:color w:val="auto"/>
                <w:sz w:val="21"/>
                <w:szCs w:val="21"/>
              </w:rPr>
              <w:t>序号</w:t>
            </w:r>
          </w:p>
        </w:tc>
        <w:tc>
          <w:tcPr>
            <w:tcW w:w="1080" w:type="dxa"/>
            <w:noWrap/>
            <w:vAlign w:val="center"/>
          </w:tcPr>
          <w:p>
            <w:pPr>
              <w:snapToGrid w:val="0"/>
              <w:spacing w:line="360" w:lineRule="exact"/>
              <w:jc w:val="center"/>
              <w:rPr>
                <w:color w:val="auto"/>
                <w:sz w:val="21"/>
                <w:szCs w:val="21"/>
              </w:rPr>
            </w:pPr>
            <w:r>
              <w:rPr>
                <w:rFonts w:hint="eastAsia"/>
                <w:color w:val="auto"/>
                <w:sz w:val="21"/>
                <w:szCs w:val="21"/>
              </w:rPr>
              <w:t>服务内容</w:t>
            </w:r>
          </w:p>
        </w:tc>
        <w:tc>
          <w:tcPr>
            <w:tcW w:w="2340" w:type="dxa"/>
            <w:noWrap/>
            <w:vAlign w:val="center"/>
          </w:tcPr>
          <w:p>
            <w:pPr>
              <w:snapToGrid w:val="0"/>
              <w:spacing w:line="360" w:lineRule="exact"/>
              <w:jc w:val="center"/>
              <w:rPr>
                <w:color w:val="auto"/>
                <w:sz w:val="21"/>
                <w:szCs w:val="21"/>
              </w:rPr>
            </w:pPr>
            <w:r>
              <w:rPr>
                <w:rFonts w:hint="eastAsia"/>
                <w:color w:val="auto"/>
                <w:sz w:val="21"/>
                <w:szCs w:val="21"/>
              </w:rPr>
              <w:t>服务项目要求(或技术参数需求)</w:t>
            </w:r>
          </w:p>
        </w:tc>
        <w:tc>
          <w:tcPr>
            <w:tcW w:w="1260" w:type="dxa"/>
            <w:noWrap/>
            <w:vAlign w:val="center"/>
          </w:tcPr>
          <w:p>
            <w:pPr>
              <w:snapToGrid w:val="0"/>
              <w:spacing w:line="360" w:lineRule="exact"/>
              <w:jc w:val="center"/>
              <w:rPr>
                <w:color w:val="auto"/>
                <w:sz w:val="21"/>
                <w:szCs w:val="21"/>
              </w:rPr>
            </w:pPr>
            <w:r>
              <w:rPr>
                <w:rFonts w:hint="eastAsia"/>
                <w:color w:val="auto"/>
                <w:sz w:val="21"/>
                <w:szCs w:val="21"/>
              </w:rPr>
              <w:t>数  量</w:t>
            </w:r>
          </w:p>
        </w:tc>
        <w:tc>
          <w:tcPr>
            <w:tcW w:w="1260" w:type="dxa"/>
            <w:noWrap/>
            <w:vAlign w:val="center"/>
          </w:tcPr>
          <w:p>
            <w:pPr>
              <w:snapToGrid w:val="0"/>
              <w:spacing w:line="360" w:lineRule="exact"/>
              <w:jc w:val="center"/>
              <w:rPr>
                <w:color w:val="auto"/>
                <w:sz w:val="21"/>
                <w:szCs w:val="21"/>
              </w:rPr>
            </w:pPr>
            <w:r>
              <w:rPr>
                <w:rFonts w:hint="eastAsia"/>
                <w:color w:val="auto"/>
                <w:sz w:val="21"/>
                <w:szCs w:val="21"/>
              </w:rPr>
              <w:t>单位</w:t>
            </w:r>
          </w:p>
        </w:tc>
        <w:tc>
          <w:tcPr>
            <w:tcW w:w="1440" w:type="dxa"/>
            <w:noWrap/>
            <w:vAlign w:val="center"/>
          </w:tcPr>
          <w:p>
            <w:pPr>
              <w:snapToGrid w:val="0"/>
              <w:spacing w:line="360" w:lineRule="exact"/>
              <w:jc w:val="center"/>
              <w:rPr>
                <w:color w:val="auto"/>
                <w:sz w:val="21"/>
                <w:szCs w:val="21"/>
              </w:rPr>
            </w:pPr>
            <w:r>
              <w:rPr>
                <w:rFonts w:hint="eastAsia"/>
                <w:color w:val="auto"/>
                <w:sz w:val="21"/>
                <w:szCs w:val="21"/>
              </w:rPr>
              <w:t>单  价</w:t>
            </w:r>
          </w:p>
          <w:p>
            <w:pPr>
              <w:snapToGrid w:val="0"/>
              <w:spacing w:line="360" w:lineRule="exact"/>
              <w:jc w:val="center"/>
              <w:rPr>
                <w:color w:val="auto"/>
                <w:sz w:val="21"/>
                <w:szCs w:val="21"/>
              </w:rPr>
            </w:pPr>
            <w:r>
              <w:rPr>
                <w:rFonts w:hint="eastAsia"/>
                <w:color w:val="auto"/>
                <w:sz w:val="21"/>
                <w:szCs w:val="21"/>
              </w:rPr>
              <w:t>（元）</w:t>
            </w:r>
          </w:p>
        </w:tc>
        <w:tc>
          <w:tcPr>
            <w:tcW w:w="1260" w:type="dxa"/>
            <w:noWrap/>
            <w:vAlign w:val="center"/>
          </w:tcPr>
          <w:p>
            <w:pPr>
              <w:snapToGrid w:val="0"/>
              <w:spacing w:line="360" w:lineRule="exact"/>
              <w:jc w:val="center"/>
              <w:rPr>
                <w:color w:val="auto"/>
                <w:sz w:val="21"/>
                <w:szCs w:val="21"/>
              </w:rPr>
            </w:pPr>
            <w:r>
              <w:rPr>
                <w:rFonts w:hint="eastAsia"/>
                <w:color w:val="auto"/>
                <w:sz w:val="21"/>
                <w:szCs w:val="21"/>
              </w:rPr>
              <w:t>金  额</w:t>
            </w:r>
          </w:p>
          <w:p>
            <w:pPr>
              <w:snapToGrid w:val="0"/>
              <w:spacing w:line="360" w:lineRule="exact"/>
              <w:jc w:val="center"/>
              <w:rPr>
                <w:color w:val="auto"/>
                <w:sz w:val="21"/>
                <w:szCs w:val="21"/>
              </w:rPr>
            </w:pPr>
            <w:r>
              <w:rPr>
                <w:rFonts w:hint="eastAsia"/>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ign w:val="center"/>
          </w:tcPr>
          <w:p>
            <w:pPr>
              <w:snapToGrid w:val="0"/>
              <w:spacing w:line="360" w:lineRule="exact"/>
              <w:jc w:val="center"/>
              <w:rPr>
                <w:color w:val="auto"/>
                <w:sz w:val="21"/>
                <w:szCs w:val="21"/>
              </w:rPr>
            </w:pPr>
          </w:p>
        </w:tc>
        <w:tc>
          <w:tcPr>
            <w:tcW w:w="1080" w:type="dxa"/>
            <w:noWrap/>
            <w:vAlign w:val="center"/>
          </w:tcPr>
          <w:p>
            <w:pPr>
              <w:snapToGrid w:val="0"/>
              <w:spacing w:line="360" w:lineRule="exact"/>
              <w:jc w:val="center"/>
              <w:rPr>
                <w:color w:val="auto"/>
                <w:sz w:val="21"/>
                <w:szCs w:val="21"/>
              </w:rPr>
            </w:pPr>
          </w:p>
        </w:tc>
        <w:tc>
          <w:tcPr>
            <w:tcW w:w="2340" w:type="dxa"/>
            <w:noWrap/>
            <w:vAlign w:val="center"/>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440" w:type="dxa"/>
            <w:noWrap/>
            <w:vAlign w:val="center"/>
          </w:tcPr>
          <w:p>
            <w:pPr>
              <w:snapToGrid w:val="0"/>
              <w:spacing w:line="360" w:lineRule="exact"/>
              <w:jc w:val="center"/>
              <w:rPr>
                <w:color w:val="auto"/>
                <w:sz w:val="21"/>
                <w:szCs w:val="21"/>
              </w:rPr>
            </w:pPr>
          </w:p>
        </w:tc>
        <w:tc>
          <w:tcPr>
            <w:tcW w:w="1260" w:type="dxa"/>
            <w:noWrap/>
            <w:vAlign w:val="center"/>
          </w:tcPr>
          <w:p>
            <w:pPr>
              <w:snapToGrid w:val="0"/>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ign w:val="center"/>
          </w:tcPr>
          <w:p>
            <w:pPr>
              <w:snapToGrid w:val="0"/>
              <w:spacing w:line="360" w:lineRule="exact"/>
              <w:jc w:val="center"/>
              <w:rPr>
                <w:color w:val="auto"/>
                <w:sz w:val="21"/>
                <w:szCs w:val="21"/>
              </w:rPr>
            </w:pPr>
          </w:p>
        </w:tc>
        <w:tc>
          <w:tcPr>
            <w:tcW w:w="1080" w:type="dxa"/>
            <w:noWrap/>
            <w:vAlign w:val="center"/>
          </w:tcPr>
          <w:p>
            <w:pPr>
              <w:snapToGrid w:val="0"/>
              <w:spacing w:line="360" w:lineRule="exact"/>
              <w:jc w:val="center"/>
              <w:rPr>
                <w:color w:val="auto"/>
                <w:sz w:val="21"/>
                <w:szCs w:val="21"/>
              </w:rPr>
            </w:pPr>
          </w:p>
        </w:tc>
        <w:tc>
          <w:tcPr>
            <w:tcW w:w="2340" w:type="dxa"/>
            <w:noWrap/>
            <w:vAlign w:val="center"/>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440" w:type="dxa"/>
            <w:noWrap/>
            <w:vAlign w:val="center"/>
          </w:tcPr>
          <w:p>
            <w:pPr>
              <w:snapToGrid w:val="0"/>
              <w:spacing w:line="360" w:lineRule="exact"/>
              <w:jc w:val="center"/>
              <w:rPr>
                <w:color w:val="auto"/>
                <w:sz w:val="21"/>
                <w:szCs w:val="21"/>
              </w:rPr>
            </w:pPr>
          </w:p>
        </w:tc>
        <w:tc>
          <w:tcPr>
            <w:tcW w:w="1260" w:type="dxa"/>
            <w:noWrap/>
            <w:vAlign w:val="center"/>
          </w:tcPr>
          <w:p>
            <w:pPr>
              <w:snapToGrid w:val="0"/>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ign w:val="center"/>
          </w:tcPr>
          <w:p>
            <w:pPr>
              <w:snapToGrid w:val="0"/>
              <w:spacing w:line="360" w:lineRule="exact"/>
              <w:jc w:val="center"/>
              <w:rPr>
                <w:color w:val="auto"/>
                <w:sz w:val="21"/>
                <w:szCs w:val="21"/>
              </w:rPr>
            </w:pPr>
          </w:p>
        </w:tc>
        <w:tc>
          <w:tcPr>
            <w:tcW w:w="1080" w:type="dxa"/>
            <w:noWrap/>
            <w:vAlign w:val="center"/>
          </w:tcPr>
          <w:p>
            <w:pPr>
              <w:snapToGrid w:val="0"/>
              <w:spacing w:line="360" w:lineRule="exact"/>
              <w:jc w:val="center"/>
              <w:rPr>
                <w:color w:val="auto"/>
                <w:sz w:val="21"/>
                <w:szCs w:val="21"/>
              </w:rPr>
            </w:pPr>
          </w:p>
        </w:tc>
        <w:tc>
          <w:tcPr>
            <w:tcW w:w="2340" w:type="dxa"/>
            <w:noWrap/>
            <w:vAlign w:val="center"/>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260" w:type="dxa"/>
            <w:noWrap/>
          </w:tcPr>
          <w:p>
            <w:pPr>
              <w:snapToGrid w:val="0"/>
              <w:spacing w:line="360" w:lineRule="exact"/>
              <w:jc w:val="center"/>
              <w:rPr>
                <w:color w:val="auto"/>
                <w:sz w:val="21"/>
                <w:szCs w:val="21"/>
              </w:rPr>
            </w:pPr>
          </w:p>
        </w:tc>
        <w:tc>
          <w:tcPr>
            <w:tcW w:w="1440" w:type="dxa"/>
            <w:noWrap/>
            <w:vAlign w:val="center"/>
          </w:tcPr>
          <w:p>
            <w:pPr>
              <w:snapToGrid w:val="0"/>
              <w:spacing w:line="360" w:lineRule="exact"/>
              <w:jc w:val="center"/>
              <w:rPr>
                <w:color w:val="auto"/>
                <w:sz w:val="21"/>
                <w:szCs w:val="21"/>
              </w:rPr>
            </w:pPr>
          </w:p>
        </w:tc>
        <w:tc>
          <w:tcPr>
            <w:tcW w:w="1260" w:type="dxa"/>
            <w:noWrap/>
            <w:vAlign w:val="center"/>
          </w:tcPr>
          <w:p>
            <w:pPr>
              <w:snapToGrid w:val="0"/>
              <w:spacing w:line="36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noWrap/>
            <w:vAlign w:val="center"/>
          </w:tcPr>
          <w:p>
            <w:pPr>
              <w:snapToGrid w:val="0"/>
              <w:spacing w:line="360" w:lineRule="exact"/>
              <w:rPr>
                <w:color w:val="auto"/>
                <w:sz w:val="21"/>
                <w:szCs w:val="21"/>
              </w:rPr>
            </w:pPr>
            <w:r>
              <w:rPr>
                <w:rFonts w:hint="eastAsia"/>
                <w:color w:val="auto"/>
                <w:sz w:val="21"/>
                <w:szCs w:val="21"/>
              </w:rPr>
              <w:t xml:space="preserve">人民币合计金额（大写）                          （小写）                 </w:t>
            </w:r>
          </w:p>
        </w:tc>
      </w:tr>
    </w:tbl>
    <w:p>
      <w:pPr>
        <w:snapToGrid w:val="0"/>
        <w:spacing w:line="320" w:lineRule="exact"/>
        <w:ind w:right="42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2、合同合计金额为：人民币元整（￥）。</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3、合同合计金额包括完成本项目采购要求、人员要求所产生的全部费用。如</w:t>
      </w:r>
      <w:r>
        <w:rPr>
          <w:rFonts w:hint="eastAsia" w:asciiTheme="minorEastAsia" w:hAnsiTheme="minorEastAsia" w:eastAsiaTheme="minorEastAsia" w:cstheme="minorEastAsia"/>
          <w:color w:val="auto"/>
          <w:sz w:val="21"/>
          <w:szCs w:val="21"/>
          <w:lang w:val="en-US"/>
        </w:rPr>
        <w:t>采购文件</w:t>
      </w:r>
      <w:r>
        <w:rPr>
          <w:rFonts w:hint="eastAsia" w:asciiTheme="minorEastAsia" w:hAnsiTheme="minorEastAsia" w:eastAsiaTheme="minorEastAsia" w:cstheme="minorEastAsia"/>
          <w:color w:val="auto"/>
          <w:sz w:val="21"/>
          <w:szCs w:val="21"/>
        </w:rPr>
        <w:t>对其另有规定的，从其规定。</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第二条　质量保证</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1、乙方所提供的服务必须与</w:t>
      </w:r>
      <w:r>
        <w:rPr>
          <w:rFonts w:hint="eastAsia" w:asciiTheme="minorEastAsia" w:hAnsiTheme="minorEastAsia" w:eastAsiaTheme="minorEastAsia" w:cstheme="minorEastAsia"/>
          <w:color w:val="auto"/>
          <w:sz w:val="21"/>
          <w:szCs w:val="21"/>
          <w:lang w:val="en-US"/>
        </w:rPr>
        <w:t>采购文件、响应文件</w:t>
      </w:r>
      <w:r>
        <w:rPr>
          <w:rFonts w:hint="eastAsia" w:asciiTheme="minorEastAsia" w:hAnsiTheme="minorEastAsia" w:eastAsiaTheme="minorEastAsia" w:cstheme="minorEastAsia"/>
          <w:color w:val="auto"/>
          <w:sz w:val="21"/>
          <w:szCs w:val="21"/>
        </w:rPr>
        <w:t>和承诺相一致。</w:t>
      </w:r>
    </w:p>
    <w:p>
      <w:pPr>
        <w:snapToGrid w:val="0"/>
        <w:spacing w:line="320" w:lineRule="exact"/>
        <w:ind w:firstLine="420" w:firstLineChars="200"/>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2、乙方所提供的服务质量应达到</w:t>
      </w:r>
      <w:r>
        <w:rPr>
          <w:rFonts w:hint="eastAsia" w:asciiTheme="minorEastAsia" w:hAnsiTheme="minorEastAsia" w:eastAsiaTheme="minorEastAsia" w:cstheme="minorEastAsia"/>
          <w:color w:val="auto"/>
          <w:sz w:val="21"/>
          <w:szCs w:val="21"/>
          <w:lang w:val="en-US"/>
        </w:rPr>
        <w:t>采购文件、响应文件</w:t>
      </w:r>
      <w:r>
        <w:rPr>
          <w:rFonts w:hint="eastAsia" w:asciiTheme="minorEastAsia" w:hAnsiTheme="minorEastAsia" w:eastAsiaTheme="minorEastAsia" w:cstheme="minorEastAsia"/>
          <w:color w:val="auto"/>
          <w:sz w:val="21"/>
          <w:szCs w:val="21"/>
        </w:rPr>
        <w:t>要求和承诺的质量要求。</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第三条　权利保证</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乙方应保证所提供的服务不会侵犯任何第三方的专利权、商标权、工业设计权或其他权利。</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乙方应按招标文件规定的时间完成本项目。</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第四条　交付和验收</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rPr>
        <w:t>活动时间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rPr>
        <w:t>详见项目采购需求</w:t>
      </w:r>
      <w:r>
        <w:rPr>
          <w:rFonts w:hint="eastAsia" w:asciiTheme="minorEastAsia" w:hAnsiTheme="minorEastAsia" w:eastAsiaTheme="minorEastAsia" w:cstheme="minorEastAsia"/>
          <w:color w:val="auto"/>
          <w:sz w:val="21"/>
          <w:szCs w:val="21"/>
        </w:rPr>
        <w:t>，地点：</w:t>
      </w:r>
      <w:r>
        <w:rPr>
          <w:rFonts w:hint="eastAsia" w:asciiTheme="minorEastAsia" w:hAnsiTheme="minorEastAsia" w:eastAsiaTheme="minorEastAsia" w:cstheme="minorEastAsia"/>
          <w:color w:val="auto"/>
          <w:sz w:val="21"/>
          <w:szCs w:val="21"/>
          <w:u w:val="single"/>
        </w:rPr>
        <w:t>详见项目采购需求</w:t>
      </w:r>
      <w:r>
        <w:rPr>
          <w:rFonts w:hint="eastAsia" w:asciiTheme="minorEastAsia" w:hAnsiTheme="minorEastAsia" w:eastAsiaTheme="minorEastAsia" w:cstheme="minorEastAsia"/>
          <w:color w:val="auto"/>
          <w:sz w:val="21"/>
          <w:szCs w:val="21"/>
        </w:rPr>
        <w:t>。</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2、乙方提供不符合</w:t>
      </w:r>
      <w:r>
        <w:rPr>
          <w:rFonts w:hint="eastAsia" w:asciiTheme="minorEastAsia" w:hAnsiTheme="minorEastAsia" w:eastAsiaTheme="minorEastAsia" w:cstheme="minorEastAsia"/>
          <w:color w:val="auto"/>
          <w:sz w:val="21"/>
          <w:szCs w:val="21"/>
          <w:lang w:val="en-US"/>
        </w:rPr>
        <w:t>采购文件、响应文件</w:t>
      </w:r>
      <w:r>
        <w:rPr>
          <w:rFonts w:hint="eastAsia" w:asciiTheme="minorEastAsia" w:hAnsiTheme="minorEastAsia" w:eastAsiaTheme="minorEastAsia" w:cstheme="minorEastAsia"/>
          <w:color w:val="auto"/>
          <w:sz w:val="21"/>
          <w:szCs w:val="21"/>
        </w:rPr>
        <w:t>和本合同规定的服务，甲方有权拒绝接受。</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3、甲方应当在乙方完成项目后七个工作日内进行验收，逾期不验收的，乙方可视同验收合格。验收合格后由甲乙双方签署验收单并加盖采购单位公章，甲乙双方各执一份。</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4、甲方对验收有异议的，在验收后五个工作日内以书面形式向乙方提出，乙方应自收到甲方书面异议后</w:t>
      </w:r>
      <w:r>
        <w:rPr>
          <w:rFonts w:hint="eastAsia" w:asciiTheme="minorEastAsia" w:hAnsiTheme="minorEastAsia" w:eastAsiaTheme="minorEastAsia" w:cstheme="minorEastAsia"/>
          <w:color w:val="auto"/>
          <w:sz w:val="21"/>
          <w:szCs w:val="21"/>
          <w:u w:val="single"/>
        </w:rPr>
        <w:t>5</w:t>
      </w:r>
      <w:r>
        <w:rPr>
          <w:rFonts w:hint="eastAsia" w:asciiTheme="minorEastAsia" w:hAnsiTheme="minorEastAsia" w:eastAsiaTheme="minorEastAsia" w:cstheme="minorEastAsia"/>
          <w:color w:val="auto"/>
          <w:sz w:val="21"/>
          <w:szCs w:val="21"/>
        </w:rPr>
        <w:t>日内及时予以解决。</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第五条　付款方式</w:t>
      </w:r>
    </w:p>
    <w:p>
      <w:pPr>
        <w:snapToGrid w:val="0"/>
        <w:spacing w:line="320" w:lineRule="exact"/>
        <w:ind w:firstLine="420" w:firstLineChars="200"/>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color w:val="auto"/>
          <w:sz w:val="21"/>
          <w:szCs w:val="21"/>
        </w:rPr>
        <w:t>资金性质；</w:t>
      </w:r>
      <w:r>
        <w:rPr>
          <w:rFonts w:hint="eastAsia" w:asciiTheme="minorEastAsia" w:hAnsiTheme="minorEastAsia" w:eastAsiaTheme="minorEastAsia" w:cstheme="minorEastAsia"/>
          <w:color w:val="auto"/>
          <w:sz w:val="21"/>
          <w:szCs w:val="21"/>
          <w:u w:val="single"/>
        </w:rPr>
        <w:t>财政性资金</w:t>
      </w:r>
      <w:r>
        <w:rPr>
          <w:rFonts w:hint="eastAsia" w:asciiTheme="minorEastAsia" w:hAnsiTheme="minorEastAsia" w:eastAsiaTheme="minorEastAsia" w:cstheme="minorEastAsia"/>
          <w:color w:val="auto"/>
          <w:sz w:val="21"/>
          <w:szCs w:val="21"/>
        </w:rPr>
        <w:t>。</w:t>
      </w:r>
    </w:p>
    <w:p>
      <w:pPr>
        <w:snapToGrid w:val="0"/>
        <w:spacing w:line="320" w:lineRule="exact"/>
        <w:ind w:right="33"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2、付款方式：。</w:t>
      </w:r>
    </w:p>
    <w:p>
      <w:pPr>
        <w:snapToGrid w:val="0"/>
        <w:spacing w:line="320" w:lineRule="exact"/>
        <w:ind w:firstLine="413" w:firstLineChars="196"/>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第六条　质量保证金或履约保证金</w:t>
      </w:r>
      <w:r>
        <w:rPr>
          <w:rFonts w:hint="eastAsia" w:asciiTheme="minorEastAsia" w:hAnsiTheme="minorEastAsia" w:eastAsiaTheme="minorEastAsia" w:cstheme="minorEastAsia"/>
          <w:b/>
          <w:color w:val="auto"/>
          <w:sz w:val="21"/>
          <w:szCs w:val="21"/>
          <w:lang w:val="en-US" w:eastAsia="zh-CN"/>
        </w:rPr>
        <w:t>:</w:t>
      </w:r>
      <w:r>
        <w:rPr>
          <w:rFonts w:hint="eastAsia" w:asciiTheme="minorEastAsia" w:hAnsiTheme="minorEastAsia" w:eastAsiaTheme="minorEastAsia" w:cstheme="minorEastAsia"/>
          <w:b/>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第七条　税费</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本合同执行中相关的一切税费均由乙方承担。</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第八条  售后服务</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乙方应按</w:t>
      </w:r>
      <w:r>
        <w:rPr>
          <w:rFonts w:hint="eastAsia" w:asciiTheme="minorEastAsia" w:hAnsiTheme="minorEastAsia" w:eastAsiaTheme="minorEastAsia" w:cstheme="minorEastAsia"/>
          <w:color w:val="auto"/>
          <w:sz w:val="21"/>
          <w:szCs w:val="21"/>
          <w:lang w:val="en-US"/>
        </w:rPr>
        <w:t>采购文件</w:t>
      </w:r>
      <w:r>
        <w:rPr>
          <w:rFonts w:hint="eastAsia" w:asciiTheme="minorEastAsia" w:hAnsiTheme="minorEastAsia" w:eastAsiaTheme="minorEastAsia" w:cstheme="minorEastAsia"/>
          <w:color w:val="auto"/>
          <w:sz w:val="21"/>
          <w:szCs w:val="21"/>
        </w:rPr>
        <w:t>规定的内容向甲方提供服务。</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对达不到要求者，根据实际情况，经双方协商，可按以下办法处理：</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⑴贬值处理：由甲乙双方合议定价。</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⑵退款处理：乙方应退还甲方支付的合同款，同时应承担之前提供服务产生的费用。</w:t>
      </w:r>
    </w:p>
    <w:p>
      <w:pPr>
        <w:snapToGrid w:val="0"/>
        <w:spacing w:line="320" w:lineRule="exact"/>
        <w:ind w:firstLine="422" w:firstLineChars="20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第九条　违约责任</w:t>
      </w:r>
    </w:p>
    <w:p>
      <w:pPr>
        <w:snapToGrid w:val="0"/>
        <w:spacing w:line="320" w:lineRule="exact"/>
        <w:ind w:firstLine="539" w:firstLineChars="257"/>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1、乙方所提供的服务质量不合格的，应及时调整，调整不及时的按逾期交货处罚；因质量问题甲方不同意接收的或特殊情况甲方同意接收的，乙方应向甲方支付违约合同额 5%违约金并赔偿甲方经济损失。                                       </w:t>
      </w:r>
    </w:p>
    <w:p>
      <w:pPr>
        <w:snapToGrid w:val="0"/>
        <w:spacing w:line="320" w:lineRule="exact"/>
        <w:ind w:firstLine="472" w:firstLineChars="225"/>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2、乙方提供的服务如侵犯了第三方合法权益而引发的任何纠纷或诉讼，均由乙方负责交涉并承担全部责任。</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3、乙方逾期完成的，每天向甲方偿付违约合同额3‰违约金，但违约金累计不得超过违约合同额</w:t>
      </w:r>
      <w:r>
        <w:rPr>
          <w:rFonts w:hint="eastAsia" w:asciiTheme="minorEastAsia" w:hAnsiTheme="minorEastAsia" w:eastAsiaTheme="minorEastAsia" w:cstheme="minorEastAsia"/>
          <w:color w:val="auto"/>
          <w:sz w:val="21"/>
          <w:szCs w:val="21"/>
          <w:u w:val="single"/>
        </w:rPr>
        <w:t xml:space="preserve"> 5% </w:t>
      </w:r>
      <w:r>
        <w:rPr>
          <w:rFonts w:hint="eastAsia" w:asciiTheme="minorEastAsia" w:hAnsiTheme="minorEastAsia" w:eastAsiaTheme="minorEastAsia" w:cstheme="minorEastAsia"/>
          <w:color w:val="auto"/>
          <w:sz w:val="21"/>
          <w:szCs w:val="21"/>
        </w:rPr>
        <w:t>，超过</w:t>
      </w:r>
      <w:r>
        <w:rPr>
          <w:rFonts w:hint="eastAsia" w:asciiTheme="minorEastAsia" w:hAnsiTheme="minorEastAsia" w:eastAsiaTheme="minorEastAsia" w:cstheme="minorEastAsia"/>
          <w:color w:val="auto"/>
          <w:sz w:val="21"/>
          <w:szCs w:val="21"/>
          <w:u w:val="single"/>
        </w:rPr>
        <w:t>10</w:t>
      </w:r>
      <w:r>
        <w:rPr>
          <w:rFonts w:hint="eastAsia" w:asciiTheme="minorEastAsia" w:hAnsiTheme="minorEastAsia" w:eastAsiaTheme="minorEastAsia" w:cstheme="minorEastAsia"/>
          <w:color w:val="auto"/>
          <w:sz w:val="21"/>
          <w:szCs w:val="21"/>
        </w:rPr>
        <w:t>天甲方有权解除合同，违约方承担因此给对方造成的经济损失。</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4、其它违约行为按违约合同额5%收取违约金并赔偿经济损失。</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第十条  不可抗力事件处理</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1、在合同有效期内，任何一方因不可抗力事件导致不能履行合同，则合同履行期可延长，其延长期与不可抗力影响期相同。</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2、不可抗力事件发生后，应立即通知对方，并寄送有关权威机构出具的证明。</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3、不可抗力事件延续一百二十天以上，双方应通过友好协商，确定是否继续履行合同。</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第十一条  合同争议解决</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因服务质量问题发生争议的，应邀请国家认可的权威机构进行鉴定。服务符合标准的，鉴定费由甲方承担；服务不符合标准的，鉴定费由乙方承担。乙方提供货物的质量保证期按交货验收合格之日起计（期限见《项目采购需求》中的要求）。在保证期内因服务本身发生问题，乙方应负责免费调整。对达不到技术要求者，根据实际情况，经双方协商，可按以下办法处理：</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（1）更换：由乙方承担所发生的全部费用；</w:t>
      </w:r>
    </w:p>
    <w:p>
      <w:pPr>
        <w:snapToGrid w:val="0"/>
        <w:spacing w:line="32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（2）贬值处理：由甲乙双方合议定价；</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（3）退货处理：乙方应退还甲方支付的合同款。</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2、因履行本合同引起的或与本合同有关的争议，甲乙双方应首先通过友好协商解决，如果协商不能解决，任何一方可向甲方所在地有管辖权的人民法院提起诉讼。</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第十二条  合同生效及其它</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1、合同经双方法定代表人或授权代表签字并加盖单位公章后生效。</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2、本合同未尽事宜，遵照《合同法》有关条文执行。</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第十三条  合同的变更、终止与转让</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1、除《中华人民共和国政府采购法》第五十条规定的情形外，本合同一经签订，甲乙双方不得擅自变更、中止或终止。</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2、乙方不得擅自转让其应履行的合同义务。</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3、合同执行中涉及采购资金和采购内容修改或补充的，须经财政部门审批，并签书面补充协议报财政部门备案，方可作为主合同不可分割的一部分。</w:t>
      </w:r>
    </w:p>
    <w:p>
      <w:pPr>
        <w:pStyle w:val="12"/>
        <w:snapToGrid w:val="0"/>
        <w:spacing w:line="320" w:lineRule="exact"/>
        <w:ind w:firstLine="413" w:firstLineChars="196"/>
        <w:rPr>
          <w:rFonts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sz w:val="21"/>
        </w:rPr>
        <w:t>第十四条  签订本合同依据</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1、政府采购</w:t>
      </w:r>
      <w:r>
        <w:rPr>
          <w:rFonts w:hint="eastAsia" w:asciiTheme="minorEastAsia" w:hAnsiTheme="minorEastAsia" w:eastAsiaTheme="minorEastAsia" w:cstheme="minorEastAsia"/>
          <w:color w:val="auto"/>
          <w:sz w:val="21"/>
          <w:lang w:val="en-US"/>
        </w:rPr>
        <w:t>采购文件</w:t>
      </w:r>
      <w:r>
        <w:rPr>
          <w:rFonts w:hint="eastAsia" w:asciiTheme="minorEastAsia" w:hAnsiTheme="minorEastAsia" w:eastAsiaTheme="minorEastAsia" w:cstheme="minorEastAsia"/>
          <w:color w:val="auto"/>
          <w:sz w:val="21"/>
        </w:rPr>
        <w:t>；</w:t>
      </w:r>
    </w:p>
    <w:p>
      <w:pPr>
        <w:pStyle w:val="12"/>
        <w:snapToGrid w:val="0"/>
        <w:spacing w:line="320" w:lineRule="exact"/>
        <w:ind w:firstLine="420" w:firstLineChars="20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2、乙方提供的</w:t>
      </w:r>
      <w:r>
        <w:rPr>
          <w:rFonts w:hint="eastAsia" w:asciiTheme="minorEastAsia" w:hAnsiTheme="minorEastAsia" w:eastAsiaTheme="minorEastAsia" w:cstheme="minorEastAsia"/>
          <w:color w:val="auto"/>
          <w:sz w:val="21"/>
          <w:lang w:val="en-US"/>
        </w:rPr>
        <w:t>响应文件</w:t>
      </w:r>
      <w:r>
        <w:rPr>
          <w:rFonts w:hint="eastAsia" w:asciiTheme="minorEastAsia" w:hAnsiTheme="minorEastAsia" w:eastAsiaTheme="minorEastAsia" w:cstheme="minorEastAsia"/>
          <w:color w:val="auto"/>
          <w:sz w:val="21"/>
        </w:rPr>
        <w:t>文件（或应答</w:t>
      </w:r>
      <w:r>
        <w:rPr>
          <w:rFonts w:hint="eastAsia" w:asciiTheme="minorEastAsia" w:hAnsiTheme="minorEastAsia" w:eastAsiaTheme="minorEastAsia" w:cstheme="minorEastAsia"/>
          <w:color w:val="auto"/>
          <w:sz w:val="21"/>
          <w:lang w:val="en-US"/>
        </w:rPr>
        <w:t>文件</w:t>
      </w:r>
      <w:r>
        <w:rPr>
          <w:rFonts w:hint="eastAsia" w:asciiTheme="minorEastAsia" w:hAnsiTheme="minorEastAsia" w:eastAsiaTheme="minorEastAsia" w:cstheme="minorEastAsia"/>
          <w:color w:val="auto"/>
          <w:sz w:val="21"/>
        </w:rPr>
        <w:t>）；</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3、承诺书；</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4、中标或成交通知书。</w:t>
      </w:r>
    </w:p>
    <w:p>
      <w:pPr>
        <w:snapToGrid w:val="0"/>
        <w:spacing w:line="320" w:lineRule="exact"/>
        <w:ind w:firstLine="422"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第十五条  </w:t>
      </w:r>
      <w:r>
        <w:rPr>
          <w:rFonts w:hint="eastAsia" w:asciiTheme="minorEastAsia" w:hAnsiTheme="minorEastAsia" w:eastAsiaTheme="minorEastAsia" w:cstheme="minorEastAsia"/>
          <w:color w:val="auto"/>
          <w:sz w:val="21"/>
          <w:szCs w:val="21"/>
        </w:rPr>
        <w:t>本合同一式五份，具有同等法律效力，财政部门（政府采购监管部门）、采购代理机构各一份，甲方二份，乙方一份。</w:t>
      </w:r>
    </w:p>
    <w:p>
      <w:pPr>
        <w:snapToGrid w:val="0"/>
        <w:spacing w:line="32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本合同甲乙双方签字盖章后生效，自签订之日起七个工作日内，采购人或采购代理机构应当将合同副本报同级财政部门备案。</w:t>
      </w:r>
    </w:p>
    <w:tbl>
      <w:tblPr>
        <w:tblStyle w:val="2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甲方（章）</w:t>
            </w:r>
          </w:p>
          <w:p>
            <w:pPr>
              <w:snapToGrid w:val="0"/>
              <w:rPr>
                <w:rFonts w:asciiTheme="minorEastAsia" w:hAnsiTheme="minorEastAsia" w:eastAsiaTheme="minorEastAsia" w:cstheme="minorEastAsia"/>
                <w:color w:val="auto"/>
                <w:sz w:val="21"/>
                <w:szCs w:val="21"/>
              </w:rPr>
            </w:pPr>
          </w:p>
          <w:p>
            <w:pPr>
              <w:snapToGrid w:val="0"/>
              <w:ind w:firstLine="945" w:firstLineChars="45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乙方（章）              </w:t>
            </w:r>
          </w:p>
          <w:p>
            <w:pPr>
              <w:snapToGrid w:val="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单位地址：</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4516"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4517" w:type="dxa"/>
            <w:noWrap/>
            <w:vAlign w:val="center"/>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033" w:type="dxa"/>
            <w:gridSpan w:val="2"/>
            <w:noWrap/>
          </w:tcPr>
          <w:p>
            <w:pPr>
              <w:snapToGrid w:val="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经办人：</w:t>
            </w:r>
          </w:p>
          <w:p>
            <w:pPr>
              <w:snapToGrid w:val="0"/>
              <w:ind w:firstLine="630" w:firstLineChars="30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tc>
      </w:tr>
    </w:tbl>
    <w:p>
      <w:pPr>
        <w:snapToGrid w:val="0"/>
        <w:spacing w:line="360" w:lineRule="exact"/>
        <w:ind w:firstLine="420" w:firstLineChars="200"/>
        <w:rPr>
          <w:rFonts w:asciiTheme="minorEastAsia" w:hAnsiTheme="minorEastAsia" w:eastAsiaTheme="minorEastAsia" w:cstheme="minorEastAsia"/>
          <w:color w:val="auto"/>
          <w:sz w:val="21"/>
          <w:szCs w:val="21"/>
        </w:rPr>
      </w:pPr>
    </w:p>
    <w:p>
      <w:pPr>
        <w:snapToGrid w:val="0"/>
        <w:spacing w:line="360" w:lineRule="exact"/>
        <w:ind w:firstLine="420" w:firstLineChars="200"/>
        <w:rPr>
          <w:rFonts w:asciiTheme="minorEastAsia" w:hAnsiTheme="minorEastAsia" w:eastAsiaTheme="minorEastAsia" w:cstheme="minorEastAsia"/>
          <w:color w:val="auto"/>
          <w:sz w:val="21"/>
          <w:szCs w:val="21"/>
        </w:rPr>
      </w:pPr>
    </w:p>
    <w:p>
      <w:pPr>
        <w:pStyle w:val="2"/>
        <w:spacing w:line="321" w:lineRule="auto"/>
        <w:ind w:right="502" w:firstLine="630" w:firstLineChars="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rPr>
          <w:color w:val="auto"/>
        </w:rPr>
      </w:pPr>
    </w:p>
    <w:p>
      <w:pPr>
        <w:pStyle w:val="3"/>
        <w:tabs>
          <w:tab w:val="left" w:pos="1444"/>
        </w:tabs>
        <w:spacing w:before="50"/>
        <w:ind w:right="382"/>
        <w:jc w:val="center"/>
        <w:rPr>
          <w:color w:val="auto"/>
        </w:rPr>
      </w:pPr>
      <w:bookmarkStart w:id="49" w:name="_Toc18918"/>
      <w:r>
        <w:rPr>
          <w:rFonts w:hint="eastAsia"/>
          <w:color w:val="auto"/>
        </w:rPr>
        <w:t>第六章</w:t>
      </w:r>
      <w:r>
        <w:rPr>
          <w:rFonts w:hint="eastAsia"/>
          <w:color w:val="auto"/>
        </w:rPr>
        <w:tab/>
      </w:r>
      <w:r>
        <w:rPr>
          <w:rFonts w:hint="eastAsia"/>
          <w:color w:val="auto"/>
        </w:rPr>
        <w:t>评审方法</w:t>
      </w:r>
      <w:bookmarkEnd w:id="49"/>
    </w:p>
    <w:p>
      <w:pPr>
        <w:rPr>
          <w:color w:val="auto"/>
        </w:rPr>
      </w:pP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（一）评标委员会以招标文件为依据，对投标文件进行评审，对供应商的投标报价、技术文件及商务文件等三部分内容按百分制打分，其中价格分</w:t>
      </w:r>
      <w:r>
        <w:rPr>
          <w:rFonts w:hint="eastAsia" w:ascii="宋体" w:hAnsi="宋体" w:eastAsia="宋体" w:cs="宋体"/>
          <w:color w:val="auto"/>
          <w:sz w:val="21"/>
          <w:szCs w:val="21"/>
          <w:lang w:val="en-US"/>
        </w:rPr>
        <w:t>20</w:t>
      </w:r>
      <w:r>
        <w:rPr>
          <w:rFonts w:hint="eastAsia" w:ascii="宋体" w:hAnsi="宋体" w:eastAsia="宋体" w:cs="宋体"/>
          <w:color w:val="auto"/>
          <w:sz w:val="21"/>
          <w:szCs w:val="21"/>
        </w:rPr>
        <w:t>分，技术分</w:t>
      </w:r>
      <w:r>
        <w:rPr>
          <w:rFonts w:hint="eastAsia" w:ascii="宋体" w:hAnsi="宋体" w:eastAsia="宋体" w:cs="宋体"/>
          <w:color w:val="auto"/>
          <w:sz w:val="21"/>
          <w:szCs w:val="21"/>
          <w:lang w:val="en-US"/>
        </w:rPr>
        <w:t>60</w:t>
      </w:r>
      <w:r>
        <w:rPr>
          <w:rFonts w:hint="eastAsia" w:ascii="宋体" w:hAnsi="宋体" w:eastAsia="宋体" w:cs="宋体"/>
          <w:color w:val="auto"/>
          <w:sz w:val="21"/>
          <w:szCs w:val="21"/>
        </w:rPr>
        <w:t>分，业绩分</w:t>
      </w:r>
      <w:r>
        <w:rPr>
          <w:rFonts w:hint="eastAsia" w:ascii="宋体" w:hAnsi="宋体" w:eastAsia="宋体" w:cs="宋体"/>
          <w:color w:val="auto"/>
          <w:sz w:val="21"/>
          <w:szCs w:val="21"/>
          <w:lang w:val="en-US"/>
        </w:rPr>
        <w:t>20</w:t>
      </w:r>
      <w:r>
        <w:rPr>
          <w:rFonts w:hint="eastAsia" w:ascii="宋体" w:hAnsi="宋体" w:eastAsia="宋体" w:cs="宋体"/>
          <w:color w:val="auto"/>
          <w:sz w:val="21"/>
          <w:szCs w:val="21"/>
        </w:rPr>
        <w:t>分。（评标时，对于带有主观因素的评分，由各评委独立进行评价、打分，不允许讨论。）</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（二）评分细则：（按四舍五入取至小数点后四位）</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1、价格分………………………………………………………………………………………………</w:t>
      </w:r>
      <w:r>
        <w:rPr>
          <w:rFonts w:hint="eastAsia" w:ascii="宋体" w:hAnsi="宋体" w:eastAsia="宋体" w:cs="宋体"/>
          <w:b/>
          <w:color w:val="auto"/>
          <w:sz w:val="21"/>
          <w:szCs w:val="21"/>
          <w:lang w:val="en-US"/>
        </w:rPr>
        <w:t>20</w:t>
      </w:r>
      <w:r>
        <w:rPr>
          <w:rFonts w:hint="eastAsia" w:ascii="宋体" w:hAnsi="宋体" w:eastAsia="宋体" w:cs="宋体"/>
          <w:b/>
          <w:color w:val="auto"/>
          <w:sz w:val="21"/>
          <w:szCs w:val="21"/>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（1）评标价为供应商的投标报价进行政策性扣除后的价格，评标价只是作为评标时使用。最终中标人的中标金额＝投标报价。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2</w:t>
      </w:r>
      <w:r>
        <w:rPr>
          <w:rFonts w:hint="eastAsia" w:ascii="宋体" w:hAnsi="宋体" w:eastAsia="宋体" w:cs="宋体"/>
          <w:bCs/>
          <w:color w:val="auto"/>
          <w:sz w:val="21"/>
          <w:szCs w:val="21"/>
        </w:rPr>
        <w:t>）政策性扣除计算方法。</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供应商被认定为监狱企业或残疾人福利性单位或小型和微型企业且其所投标产品为小型和微型企业产品的，该供应商的投标报价给予</w:t>
      </w:r>
      <w:r>
        <w:rPr>
          <w:rFonts w:hint="eastAsia" w:ascii="宋体" w:hAnsi="宋体" w:eastAsia="宋体" w:cs="宋体"/>
          <w:bCs/>
          <w:color w:val="auto"/>
          <w:sz w:val="21"/>
          <w:szCs w:val="21"/>
          <w:lang w:val="en-US"/>
        </w:rPr>
        <w:t>10</w:t>
      </w:r>
      <w:r>
        <w:rPr>
          <w:rFonts w:hint="eastAsia" w:ascii="宋体" w:hAnsi="宋体" w:eastAsia="宋体" w:cs="宋体"/>
          <w:bCs/>
          <w:color w:val="auto"/>
          <w:sz w:val="21"/>
          <w:szCs w:val="21"/>
        </w:rPr>
        <w:t>%的扣除，扣除后的价格为评标报价，即评标报价=投标报价×（1-</w:t>
      </w:r>
      <w:r>
        <w:rPr>
          <w:rFonts w:hint="eastAsia" w:ascii="宋体" w:hAnsi="宋体" w:eastAsia="宋体" w:cs="宋体"/>
          <w:bCs/>
          <w:color w:val="auto"/>
          <w:sz w:val="21"/>
          <w:szCs w:val="21"/>
          <w:lang w:val="en-US"/>
        </w:rPr>
        <w:t>10</w:t>
      </w:r>
      <w:r>
        <w:rPr>
          <w:rFonts w:hint="eastAsia" w:ascii="宋体" w:hAnsi="宋体" w:eastAsia="宋体" w:cs="宋体"/>
          <w:bCs/>
          <w:color w:val="auto"/>
          <w:sz w:val="21"/>
          <w:szCs w:val="21"/>
        </w:rPr>
        <w:t>%）；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3</w:t>
      </w:r>
      <w:r>
        <w:rPr>
          <w:rFonts w:hint="eastAsia" w:ascii="宋体" w:hAnsi="宋体" w:eastAsia="宋体" w:cs="宋体"/>
          <w:bCs/>
          <w:color w:val="auto"/>
          <w:sz w:val="21"/>
          <w:szCs w:val="21"/>
        </w:rPr>
        <w:t>）以进入综合评分环节的最低的评标报价为基准价，基准价报价得分为</w:t>
      </w:r>
      <w:r>
        <w:rPr>
          <w:rFonts w:hint="eastAsia" w:ascii="宋体" w:hAnsi="宋体" w:eastAsia="宋体" w:cs="宋体"/>
          <w:bCs/>
          <w:color w:val="auto"/>
          <w:sz w:val="21"/>
          <w:szCs w:val="21"/>
          <w:lang w:val="en-US"/>
        </w:rPr>
        <w:t>2</w:t>
      </w:r>
      <w:r>
        <w:rPr>
          <w:rFonts w:hint="eastAsia" w:ascii="宋体" w:hAnsi="宋体" w:eastAsia="宋体" w:cs="宋体"/>
          <w:bCs/>
          <w:color w:val="auto"/>
          <w:sz w:val="21"/>
          <w:szCs w:val="21"/>
        </w:rPr>
        <w:t>0分。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4</w:t>
      </w:r>
      <w:r>
        <w:rPr>
          <w:rFonts w:hint="eastAsia" w:ascii="宋体" w:hAnsi="宋体" w:eastAsia="宋体" w:cs="宋体"/>
          <w:bCs/>
          <w:color w:val="auto"/>
          <w:sz w:val="21"/>
          <w:szCs w:val="21"/>
        </w:rPr>
        <w:t xml:space="preserve">）价格分计算公式：        </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某投标人价格分=基准价/某投标人评标报价金额×</w:t>
      </w:r>
      <w:r>
        <w:rPr>
          <w:rFonts w:hint="eastAsia" w:ascii="宋体" w:hAnsi="宋体" w:eastAsia="宋体" w:cs="宋体"/>
          <w:bCs/>
          <w:color w:val="auto"/>
          <w:sz w:val="21"/>
          <w:szCs w:val="21"/>
          <w:lang w:val="en-US"/>
        </w:rPr>
        <w:t>2</w:t>
      </w:r>
      <w:r>
        <w:rPr>
          <w:rFonts w:hint="eastAsia" w:ascii="宋体" w:hAnsi="宋体" w:eastAsia="宋体" w:cs="宋体"/>
          <w:bCs/>
          <w:color w:val="auto"/>
          <w:sz w:val="21"/>
          <w:szCs w:val="21"/>
        </w:rPr>
        <w:t xml:space="preserve">0分 </w:t>
      </w:r>
    </w:p>
    <w:p>
      <w:pPr>
        <w:pStyle w:val="12"/>
        <w:keepNext w:val="0"/>
        <w:keepLines w:val="0"/>
        <w:pageBreakBefore w:val="0"/>
        <w:widowControl w:val="0"/>
        <w:numPr>
          <w:ilvl w:val="0"/>
          <w:numId w:val="18"/>
        </w:numPr>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技术分……………………………………………………………………………………………</w:t>
      </w:r>
      <w:r>
        <w:rPr>
          <w:rFonts w:hint="eastAsia" w:ascii="宋体" w:hAnsi="宋体" w:eastAsia="宋体" w:cs="宋体"/>
          <w:b/>
          <w:color w:val="auto"/>
          <w:sz w:val="21"/>
          <w:szCs w:val="21"/>
          <w:lang w:val="en-US"/>
        </w:rPr>
        <w:t>60</w:t>
      </w:r>
      <w:r>
        <w:rPr>
          <w:rFonts w:hint="eastAsia" w:ascii="宋体" w:hAnsi="宋体" w:eastAsia="宋体" w:cs="宋体"/>
          <w:b/>
          <w:color w:val="auto"/>
          <w:sz w:val="21"/>
          <w:szCs w:val="21"/>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1</w:t>
      </w:r>
      <w:r>
        <w:rPr>
          <w:rFonts w:hint="eastAsia" w:ascii="宋体" w:hAnsi="宋体" w:eastAsia="宋体" w:cs="宋体"/>
          <w:bCs/>
          <w:color w:val="auto"/>
          <w:sz w:val="21"/>
          <w:szCs w:val="21"/>
        </w:rPr>
        <w:t>）工作安排计划（</w:t>
      </w:r>
      <w:r>
        <w:rPr>
          <w:rFonts w:hint="eastAsia" w:ascii="宋体" w:hAnsi="宋体" w:eastAsia="宋体" w:cs="宋体"/>
          <w:bCs/>
          <w:color w:val="auto"/>
          <w:sz w:val="21"/>
          <w:szCs w:val="21"/>
          <w:lang w:val="en-US"/>
        </w:rPr>
        <w:t>满分</w:t>
      </w:r>
      <w:r>
        <w:rPr>
          <w:rFonts w:hint="eastAsia" w:ascii="宋体" w:hAnsi="宋体" w:eastAsia="宋体" w:cs="宋体"/>
          <w:bCs/>
          <w:color w:val="auto"/>
          <w:sz w:val="21"/>
          <w:szCs w:val="21"/>
          <w:lang w:val="en-US" w:eastAsia="zh-CN"/>
        </w:rPr>
        <w:t>20</w:t>
      </w:r>
      <w:r>
        <w:rPr>
          <w:rFonts w:hint="eastAsia" w:ascii="宋体" w:hAnsi="宋体" w:eastAsia="宋体" w:cs="宋体"/>
          <w:bCs/>
          <w:color w:val="auto"/>
          <w:sz w:val="21"/>
          <w:szCs w:val="21"/>
          <w:lang w:val="en-US"/>
        </w:rPr>
        <w:t>分</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根据投标人提供的工作安排措施进行综合评分：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w:t>
      </w:r>
      <w:r>
        <w:rPr>
          <w:rFonts w:hint="eastAsia" w:ascii="宋体" w:hAnsi="宋体" w:eastAsia="宋体" w:cs="宋体"/>
          <w:bCs/>
          <w:color w:val="auto"/>
          <w:sz w:val="21"/>
          <w:szCs w:val="21"/>
          <w:lang w:val="en-US" w:eastAsia="zh-CN"/>
        </w:rPr>
        <w:t>20</w:t>
      </w:r>
      <w:r>
        <w:rPr>
          <w:rFonts w:hint="eastAsia" w:ascii="宋体" w:hAnsi="宋体" w:eastAsia="宋体" w:cs="宋体"/>
          <w:bCs/>
          <w:color w:val="auto"/>
          <w:sz w:val="21"/>
          <w:szCs w:val="21"/>
        </w:rPr>
        <w:t xml:space="preserve"> 分：工作安排措施完整具体完全满足本项目需求，具有很强的可行性、合理且针对性强；</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良 </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分：工作安排措施完整具体完全满足本项目需求，可行性、合理且针对性较好；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中 </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分：工作安排措施较具体基本满足本项目需求，可行性、合理且针对性一般；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差 </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分：工作安排措施有但不具体，不能满足本项目需求，可行性、合理且针对性差。</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未提供</w:t>
      </w:r>
      <w:r>
        <w:rPr>
          <w:rFonts w:hint="eastAsia" w:ascii="宋体" w:hAnsi="宋体" w:eastAsia="宋体" w:cs="宋体"/>
          <w:bCs/>
          <w:color w:val="auto"/>
          <w:sz w:val="21"/>
          <w:szCs w:val="21"/>
          <w:lang w:val="en-US"/>
        </w:rPr>
        <w:t>相关材料</w:t>
      </w:r>
      <w:r>
        <w:rPr>
          <w:rFonts w:hint="eastAsia" w:ascii="宋体" w:hAnsi="宋体" w:eastAsia="宋体" w:cs="宋体"/>
          <w:sz w:val="21"/>
          <w:szCs w:val="21"/>
          <w:lang w:val="en-US" w:eastAsia="zh-CN"/>
        </w:rPr>
        <w:t>得零分。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rPr>
        <w:t>2</w:t>
      </w:r>
      <w:r>
        <w:rPr>
          <w:rFonts w:hint="eastAsia" w:ascii="宋体" w:hAnsi="宋体" w:eastAsia="宋体" w:cs="宋体"/>
          <w:bCs/>
          <w:color w:val="auto"/>
          <w:sz w:val="21"/>
          <w:szCs w:val="21"/>
        </w:rPr>
        <w:t>）故障排除应急方案（</w:t>
      </w:r>
      <w:r>
        <w:rPr>
          <w:rFonts w:hint="eastAsia" w:ascii="宋体" w:hAnsi="宋体" w:eastAsia="宋体" w:cs="宋体"/>
          <w:bCs/>
          <w:color w:val="auto"/>
          <w:sz w:val="21"/>
          <w:szCs w:val="21"/>
          <w:lang w:val="en-US"/>
        </w:rPr>
        <w:t>满分</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lang w:val="en-US"/>
        </w:rPr>
        <w:t>分</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根据投标人提供的紧急医疗及各种应急措施进行综合评分：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优</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lang w:val="en-US"/>
        </w:rPr>
        <w:t xml:space="preserve"> 分：紧急医疗及各种应急措施完全满足本项目需求，具有很强的可行性、合理且针对性强；</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良 </w:t>
      </w:r>
      <w:r>
        <w:rPr>
          <w:rFonts w:hint="eastAsia" w:ascii="宋体" w:hAnsi="宋体" w:eastAsia="宋体" w:cs="宋体"/>
          <w:bCs/>
          <w:color w:val="auto"/>
          <w:sz w:val="21"/>
          <w:szCs w:val="21"/>
          <w:lang w:val="en-US" w:eastAsia="zh-CN"/>
        </w:rPr>
        <w:t>11</w:t>
      </w:r>
      <w:r>
        <w:rPr>
          <w:rFonts w:hint="eastAsia" w:ascii="宋体" w:hAnsi="宋体" w:eastAsia="宋体" w:cs="宋体"/>
          <w:bCs/>
          <w:color w:val="auto"/>
          <w:sz w:val="21"/>
          <w:szCs w:val="21"/>
          <w:lang w:val="en-US"/>
        </w:rPr>
        <w:t xml:space="preserve"> 分：紧急医疗及各种应急措施完全满足本项目需求，可行性、合理且针对性较好；</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中 </w:t>
      </w: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lang w:val="en-US"/>
        </w:rPr>
        <w:t>分：紧急医疗及各种应急措施基本满足本项目需求，可行性、合理且针对性一般；</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rPr>
        <w:t xml:space="preserve">差 </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lang w:val="en-US"/>
        </w:rPr>
        <w:t xml:space="preserve"> 分：紧急医疗及各种应急措施不能满足本项目需求，可行性、合理且针对性差</w:t>
      </w:r>
      <w:r>
        <w:rPr>
          <w:rFonts w:hint="eastAsia" w:ascii="宋体" w:hAnsi="宋体" w:eastAsia="宋体" w:cs="宋体"/>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rPr>
        <w:t>未提供方案</w:t>
      </w:r>
      <w:r>
        <w:rPr>
          <w:rFonts w:hint="eastAsia" w:ascii="宋体" w:hAnsi="宋体" w:eastAsia="宋体" w:cs="宋体"/>
          <w:bCs/>
          <w:color w:val="auto"/>
          <w:sz w:val="21"/>
          <w:szCs w:val="21"/>
          <w:lang w:val="en-US" w:eastAsia="zh-CN"/>
        </w:rPr>
        <w:t>得零分。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（3）执行团队（满分15分）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优15分：</w:t>
      </w:r>
      <w:r>
        <w:rPr>
          <w:rFonts w:hint="eastAsia" w:ascii="宋体" w:hAnsi="宋体" w:eastAsia="宋体" w:cs="宋体"/>
          <w:bCs/>
          <w:color w:val="auto"/>
          <w:sz w:val="21"/>
          <w:szCs w:val="21"/>
          <w:lang w:val="en-US"/>
        </w:rPr>
        <w:t>有专门的项目实施团队，有专门的的工作人员负责，岗位分工明确；负责团队项目经验丰富，专业能力高；团队人员专业技能强；</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良 </w:t>
      </w:r>
      <w:r>
        <w:rPr>
          <w:rFonts w:hint="eastAsia" w:ascii="宋体" w:hAnsi="宋体" w:eastAsia="宋体" w:cs="宋体"/>
          <w:bCs/>
          <w:color w:val="auto"/>
          <w:sz w:val="21"/>
          <w:szCs w:val="21"/>
          <w:lang w:val="en-US" w:eastAsia="zh-CN"/>
        </w:rPr>
        <w:t>11</w:t>
      </w:r>
      <w:r>
        <w:rPr>
          <w:rFonts w:hint="eastAsia" w:ascii="宋体" w:hAnsi="宋体" w:eastAsia="宋体" w:cs="宋体"/>
          <w:bCs/>
          <w:color w:val="auto"/>
          <w:sz w:val="21"/>
          <w:szCs w:val="21"/>
          <w:lang w:val="en-US"/>
        </w:rPr>
        <w:t xml:space="preserve"> 分：项目团队分工较好；执行团队的项目经验较丰富，专业能力较好；团队人员技能较强；</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中 </w:t>
      </w: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lang w:val="en-US"/>
        </w:rPr>
        <w:t>分：项目团队分工一般；执行团队的项目经验较多，专业能力一般；团队人员技能较专业；</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差 </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lang w:val="en-US"/>
        </w:rPr>
        <w:t xml:space="preserve"> 分：项目团队人员分工较差；执行团队的项目经验较少，专业能力较差；团队人员技能较少。</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未提供相关材料得</w:t>
      </w:r>
      <w:r>
        <w:rPr>
          <w:rFonts w:hint="eastAsia" w:ascii="宋体" w:hAnsi="宋体" w:eastAsia="宋体" w:cs="宋体"/>
          <w:bCs/>
          <w:color w:val="auto"/>
          <w:sz w:val="21"/>
          <w:szCs w:val="21"/>
          <w:lang w:val="en-US" w:eastAsia="zh-CN"/>
        </w:rPr>
        <w:t>零</w:t>
      </w:r>
      <w:r>
        <w:rPr>
          <w:rFonts w:hint="eastAsia" w:ascii="宋体" w:hAnsi="宋体" w:eastAsia="宋体" w:cs="宋体"/>
          <w:bCs/>
          <w:color w:val="auto"/>
          <w:sz w:val="21"/>
          <w:szCs w:val="21"/>
          <w:lang w:val="en-US"/>
        </w:rPr>
        <w:t>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w:t>
      </w:r>
      <w:r>
        <w:rPr>
          <w:rFonts w:hint="eastAsia" w:cs="宋体"/>
          <w:bCs/>
          <w:color w:val="auto"/>
          <w:sz w:val="21"/>
          <w:szCs w:val="21"/>
          <w:lang w:val="en-US" w:eastAsia="zh-CN"/>
        </w:rPr>
        <w:t>4</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val="en-US"/>
        </w:rPr>
        <w:t>质量保证</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lang w:val="en-US"/>
        </w:rPr>
        <w:t>服务承诺（</w:t>
      </w:r>
      <w:r>
        <w:rPr>
          <w:rFonts w:hint="eastAsia" w:cs="宋体"/>
          <w:bCs/>
          <w:color w:val="auto"/>
          <w:sz w:val="21"/>
          <w:szCs w:val="21"/>
          <w:lang w:val="en-US" w:eastAsia="zh-CN"/>
        </w:rPr>
        <w:t>满分10分</w:t>
      </w:r>
      <w:r>
        <w:rPr>
          <w:rFonts w:hint="eastAsia" w:ascii="宋体" w:hAnsi="宋体" w:eastAsia="宋体" w:cs="宋体"/>
          <w:bCs/>
          <w:color w:val="auto"/>
          <w:sz w:val="21"/>
          <w:szCs w:val="21"/>
          <w:lang w:val="en-US"/>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优10分：</w:t>
      </w:r>
      <w:r>
        <w:rPr>
          <w:rFonts w:hint="eastAsia" w:ascii="宋体" w:hAnsi="宋体" w:eastAsia="宋体" w:cs="宋体"/>
          <w:bCs/>
          <w:color w:val="auto"/>
          <w:sz w:val="21"/>
          <w:szCs w:val="21"/>
          <w:lang w:val="en-US"/>
        </w:rPr>
        <w:t>质量保证措施承诺详细、完善，安排详细具体，内容完整、齐全、可行，响应程度高； 服务承诺全面、合理，预见性及可操作性强，针对性强，服务工作思路全面，且考虑到项目实际情况</w:t>
      </w:r>
      <w:r>
        <w:rPr>
          <w:rFonts w:hint="eastAsia" w:ascii="宋体" w:hAnsi="宋体" w:eastAsia="宋体" w:cs="宋体"/>
          <w:bCs/>
          <w:color w:val="auto"/>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良 </w:t>
      </w:r>
      <w:r>
        <w:rPr>
          <w:rFonts w:hint="eastAsia" w:cs="宋体"/>
          <w:bCs/>
          <w:color w:val="auto"/>
          <w:sz w:val="21"/>
          <w:szCs w:val="21"/>
          <w:lang w:val="en-US" w:eastAsia="zh-CN"/>
        </w:rPr>
        <w:t>6</w:t>
      </w:r>
      <w:r>
        <w:rPr>
          <w:rFonts w:hint="eastAsia" w:ascii="宋体" w:hAnsi="宋体" w:eastAsia="宋体" w:cs="宋体"/>
          <w:bCs/>
          <w:color w:val="auto"/>
          <w:sz w:val="21"/>
          <w:szCs w:val="21"/>
          <w:lang w:val="en-US"/>
        </w:rPr>
        <w:t xml:space="preserve">分：质量保证措施承诺较完善，安排较具体，内容较完整、可行，响应程度良好；服务承诺较完整、有一定针对性，有具体的服务流程说明，服务工作思路清晰合理； </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 xml:space="preserve">差 </w:t>
      </w:r>
      <w:r>
        <w:rPr>
          <w:rFonts w:hint="eastAsia" w:cs="宋体"/>
          <w:bCs/>
          <w:color w:val="auto"/>
          <w:sz w:val="21"/>
          <w:szCs w:val="21"/>
          <w:lang w:val="en-US" w:eastAsia="zh-CN"/>
        </w:rPr>
        <w:t>3</w:t>
      </w:r>
      <w:r>
        <w:rPr>
          <w:rFonts w:hint="eastAsia" w:ascii="宋体" w:hAnsi="宋体" w:eastAsia="宋体" w:cs="宋体"/>
          <w:bCs/>
          <w:color w:val="auto"/>
          <w:sz w:val="21"/>
          <w:szCs w:val="21"/>
          <w:lang w:val="en-US"/>
        </w:rPr>
        <w:t>分：质量保证措施承诺不完善，安排不具体，响应时间不及时或较慢；服务承诺简单、 有基本的服务流程，服务工作思路基本合理。</w:t>
      </w:r>
    </w:p>
    <w:p>
      <w:pPr>
        <w:pStyle w:val="2"/>
        <w:ind w:firstLine="420" w:firstLineChars="200"/>
        <w:rPr>
          <w:rFonts w:hint="eastAsia"/>
          <w:lang w:val="en-US"/>
        </w:rPr>
      </w:pPr>
      <w:r>
        <w:rPr>
          <w:rFonts w:hint="eastAsia" w:ascii="宋体" w:hAnsi="宋体" w:eastAsia="宋体" w:cs="宋体"/>
          <w:bCs/>
          <w:color w:val="auto"/>
          <w:sz w:val="21"/>
          <w:szCs w:val="21"/>
          <w:lang w:val="en-US"/>
        </w:rPr>
        <w:t>未提供相关材料得</w:t>
      </w:r>
      <w:r>
        <w:rPr>
          <w:rFonts w:hint="eastAsia" w:ascii="宋体" w:hAnsi="宋体" w:eastAsia="宋体" w:cs="宋体"/>
          <w:bCs/>
          <w:color w:val="auto"/>
          <w:sz w:val="21"/>
          <w:szCs w:val="21"/>
          <w:lang w:val="en-US" w:eastAsia="zh-CN"/>
        </w:rPr>
        <w:t>零</w:t>
      </w:r>
      <w:r>
        <w:rPr>
          <w:rFonts w:hint="eastAsia" w:ascii="宋体" w:hAnsi="宋体" w:eastAsia="宋体" w:cs="宋体"/>
          <w:bCs/>
          <w:color w:val="auto"/>
          <w:sz w:val="21"/>
          <w:szCs w:val="21"/>
          <w:lang w:val="en-US"/>
        </w:rPr>
        <w:t>分。</w:t>
      </w:r>
    </w:p>
    <w:p>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lang w:val="en-US"/>
        </w:rPr>
      </w:pPr>
      <w:r>
        <w:rPr>
          <w:rFonts w:hint="eastAsia" w:ascii="宋体" w:hAnsi="宋体" w:eastAsia="宋体" w:cs="宋体"/>
          <w:b/>
          <w:color w:val="auto"/>
          <w:sz w:val="21"/>
          <w:szCs w:val="21"/>
          <w:lang w:val="en-US"/>
        </w:rPr>
        <w:t>3、业绩分……………………………………………………………………………………………20分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供应商需提供成功的案例，提供一个符合要求的合同得4 分，不超过 20 分。</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rPr>
        <w:t>（注：供应商需要提供能够证明上述业绩真实性的合同复印件，合同复印件中必须至少包括合同的甲乙双方、合同详细标的和双方签章及生效时间；供应商应在不涉及商业秘密的前提下尽可能提供详细的合同复印件内容）</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color w:val="auto"/>
          <w:sz w:val="21"/>
          <w:szCs w:val="21"/>
          <w:lang w:val="en-US"/>
        </w:rPr>
      </w:pPr>
      <w:r>
        <w:rPr>
          <w:rFonts w:hint="eastAsia" w:ascii="宋体" w:hAnsi="宋体" w:eastAsia="宋体" w:cs="宋体"/>
          <w:b/>
          <w:color w:val="auto"/>
          <w:sz w:val="21"/>
          <w:szCs w:val="21"/>
          <w:lang w:val="en-US"/>
        </w:rPr>
        <w:t xml:space="preserve">4、总得分 = 1 + 2 + 3 </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rPr>
        <w:t>5、</w:t>
      </w:r>
      <w:r>
        <w:rPr>
          <w:rFonts w:hint="eastAsia" w:ascii="宋体" w:hAnsi="宋体" w:eastAsia="宋体" w:cs="宋体"/>
          <w:b/>
          <w:bCs/>
          <w:color w:val="auto"/>
          <w:sz w:val="21"/>
          <w:szCs w:val="21"/>
        </w:rPr>
        <w:t>成交候选人推荐原则</w:t>
      </w:r>
    </w:p>
    <w:p>
      <w:pPr>
        <w:pStyle w:val="12"/>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竞争性磋商响应文件在质量和服</w:t>
      </w:r>
      <w:r>
        <w:rPr>
          <w:rFonts w:hint="eastAsia" w:ascii="宋体" w:hAnsi="宋体" w:eastAsia="宋体" w:cs="宋体"/>
          <w:bCs/>
          <w:color w:val="auto"/>
          <w:sz w:val="21"/>
          <w:szCs w:val="21"/>
        </w:rPr>
        <w:t>务均能满足竞争性磋商文件实质性响应要求时，磋商小组将根据得分由高到低排列次序（得分相同时，以最后报价由低到高顺序排列；得分相同且最后报价相同的，按技术指标优劣顺序排列）并推荐成交候选人。采购单位应当确定磋商小组推荐排名第一的成交候选</w:t>
      </w:r>
      <w:r>
        <w:rPr>
          <w:rFonts w:hint="eastAsia" w:ascii="宋体" w:hAnsi="宋体" w:eastAsia="宋体" w:cs="宋体"/>
          <w:color w:val="auto"/>
          <w:sz w:val="21"/>
          <w:szCs w:val="21"/>
        </w:rPr>
        <w:t>人</w:t>
      </w:r>
      <w:r>
        <w:rPr>
          <w:rFonts w:hint="eastAsia" w:ascii="宋体" w:hAnsi="宋体" w:eastAsia="宋体" w:cs="宋体"/>
          <w:bCs/>
          <w:color w:val="auto"/>
          <w:sz w:val="21"/>
          <w:szCs w:val="21"/>
        </w:rPr>
        <w:t>为成交</w:t>
      </w:r>
      <w:r>
        <w:rPr>
          <w:rFonts w:hint="eastAsia" w:ascii="宋体" w:hAnsi="宋体" w:eastAsia="宋体" w:cs="宋体"/>
          <w:color w:val="auto"/>
          <w:sz w:val="21"/>
          <w:szCs w:val="21"/>
        </w:rPr>
        <w:t>人</w:t>
      </w:r>
      <w:r>
        <w:rPr>
          <w:rFonts w:hint="eastAsia" w:ascii="宋体" w:hAnsi="宋体" w:eastAsia="宋体" w:cs="宋体"/>
          <w:bCs/>
          <w:color w:val="auto"/>
          <w:sz w:val="21"/>
          <w:szCs w:val="21"/>
        </w:rPr>
        <w:t>。排名第一的成交候选</w:t>
      </w:r>
      <w:r>
        <w:rPr>
          <w:rFonts w:hint="eastAsia" w:ascii="宋体" w:hAnsi="宋体" w:eastAsia="宋体" w:cs="宋体"/>
          <w:color w:val="auto"/>
          <w:sz w:val="21"/>
          <w:szCs w:val="21"/>
        </w:rPr>
        <w:t>人</w:t>
      </w:r>
      <w:r>
        <w:rPr>
          <w:rFonts w:hint="eastAsia" w:ascii="宋体" w:hAnsi="宋体" w:eastAsia="宋体" w:cs="宋体"/>
          <w:bCs/>
          <w:color w:val="auto"/>
          <w:sz w:val="21"/>
          <w:szCs w:val="21"/>
        </w:rPr>
        <w:t>放弃成交、因不可抗力提出不能履行协议的，采购单位可以确定排名第二的成交候选</w:t>
      </w:r>
      <w:r>
        <w:rPr>
          <w:rFonts w:hint="eastAsia" w:ascii="宋体" w:hAnsi="宋体" w:eastAsia="宋体" w:cs="宋体"/>
          <w:color w:val="auto"/>
          <w:sz w:val="21"/>
          <w:szCs w:val="21"/>
        </w:rPr>
        <w:t>人</w:t>
      </w:r>
      <w:r>
        <w:rPr>
          <w:rFonts w:hint="eastAsia" w:ascii="宋体" w:hAnsi="宋体" w:eastAsia="宋体" w:cs="宋体"/>
          <w:bCs/>
          <w:color w:val="auto"/>
          <w:sz w:val="21"/>
          <w:szCs w:val="21"/>
        </w:rPr>
        <w:t>为成交人。</w:t>
      </w:r>
    </w:p>
    <w:p>
      <w:pPr>
        <w:pStyle w:val="6"/>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rPr>
      </w:pPr>
    </w:p>
    <w:p>
      <w:pPr>
        <w:keepNext w:val="0"/>
        <w:keepLines w:val="0"/>
        <w:pageBreakBefore w:val="0"/>
        <w:widowControl w:val="0"/>
        <w:tabs>
          <w:tab w:val="left" w:pos="1060"/>
        </w:tabs>
        <w:kinsoku/>
        <w:wordWrap/>
        <w:overflowPunct/>
        <w:topLinePunct w:val="0"/>
        <w:autoSpaceDE w:val="0"/>
        <w:autoSpaceDN w:val="0"/>
        <w:bidi w:val="0"/>
        <w:adjustRightInd/>
        <w:snapToGrid/>
        <w:spacing w:before="2" w:line="400" w:lineRule="exact"/>
        <w:ind w:right="499" w:firstLine="422" w:firstLineChars="200"/>
        <w:jc w:val="both"/>
        <w:textAlignment w:val="auto"/>
        <w:rPr>
          <w:rFonts w:hint="eastAsia" w:ascii="宋体" w:hAnsi="宋体" w:eastAsia="宋体" w:cs="宋体"/>
          <w:b/>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rPr>
          <w:rFonts w:asciiTheme="minorEastAsia" w:hAnsiTheme="minorEastAsia" w:eastAsiaTheme="minorEastAsia" w:cstheme="minorEastAsia"/>
          <w:color w:val="auto"/>
          <w:sz w:val="21"/>
          <w:szCs w:val="21"/>
        </w:rPr>
      </w:pPr>
    </w:p>
    <w:p>
      <w:pPr>
        <w:tabs>
          <w:tab w:val="left" w:pos="6112"/>
        </w:tabs>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b/>
      </w:r>
    </w:p>
    <w:sectPr>
      <w:headerReference r:id="rId9" w:type="default"/>
      <w:footerReference r:id="rId10" w:type="default"/>
      <w:type w:val="continuous"/>
      <w:pgSz w:w="11910" w:h="16840"/>
      <w:pgMar w:top="1582" w:right="822" w:bottom="1474" w:left="1021" w:header="720" w:footer="720" w:gutter="0"/>
      <w:cols w:equalWidth="0" w:num="1">
        <w:col w:w="100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Text Box 2" o:spid="_x0000_s2053" o:spt="202" type="#_x0000_t202" style="position:absolute;left:0pt;margin-left:293.4pt;margin-top:769.25pt;height:11pt;width:8.5pt;mso-position-horizontal-relative:page;mso-position-vertical-relative:page;z-index:-251659264;mso-width-relative:page;mso-height-relative:page;" filled="f" stroked="f" coordsize="21600,21600" o:gfxdata="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pSCnZAAAADQEA&#10;AA8AAAAAAAAAAQAgAAAAIgAAAGRycy9kb3ducmV2LnhtbFBLAQIUABQAAAAIAIdO4kA20TwN4AEA&#10;ALUDAAAOAAAAAAAAAAEAIAAAACgBAABkcnMvZTJvRG9jLnhtbFBLBQYAAAAABgAGAFkBAAB6BQAA&#10;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_x0000_s2052" o:spid="_x0000_s2052" o:spt="202" type="#_x0000_t202" style="position:absolute;left:0pt;margin-left:291.15pt;margin-top:769.25pt;height:11pt;width:13.1pt;mso-position-horizontal-relative:page;mso-position-vertical-relative:page;z-index:-251658240;mso-width-relative:page;mso-height-relative:page;" filled="f" stroked="f" coordsize="21600,21600" o:gfxdata="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4/179oAAAAN&#10;AQAADwAAAAAAAAABACAAAAAiAAAAZHJzL2Rvd25yZXYueG1sUEsBAhQAFAAAAAgAh07iQAhdEC7h&#10;AQAAtQMAAA4AAAAAAAAAAQAgAAAAKQEAAGRycy9lMm9Eb2MueG1sUEsFBgAAAAAGAAYAWQEAAHwF&#10;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Text Box 3" o:spid="_x0000_s2051" o:spt="202" type="#_x0000_t202" style="position:absolute;left:0pt;margin-left:291.15pt;margin-top:769.25pt;height:11pt;width:13.1pt;mso-position-horizontal-relative:page;mso-position-vertical-relative:page;z-index:-251660288;mso-width-relative:page;mso-height-relative:page;" filled="f" stroked="f" coordsize="21600,21600" o:gfxdata="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4/179oAAAAN&#10;AQAADwAAAAAAAAABACAAAAAiAAAAZHJzL2Rvd25yZXYueG1sUEsBAhQAFAAAAAgAh07iQJQAkBrh&#10;AQAAtQMAAA4AAAAAAAAAAQAgAAAAKQEAAGRycy9lMm9Eb2MueG1sUEsFBgAAAAAGAAYAWQEAAHwF&#10;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_x0000_s2050" o:spid="_x0000_s2050" o:spt="202" type="#_x0000_t202" style="position:absolute;left:0pt;margin-left:291.15pt;margin-top:769.25pt;height:11pt;width:13.1pt;mso-position-horizontal-relative:page;mso-position-vertical-relative:page;z-index:-251658240;mso-width-relative:page;mso-height-relative:page;" filled="f" stroked="f" coordsize="21600,21600" o:gfxdata="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4/179oAAAAN&#10;AQAADwAAAAAAAAABACAAAAAiAAAAZHJzL2Rvd25yZXYueG1sUEsBAhQAFAAAAAgAh07iQFVy4Kjh&#10;AQAAtQMAAA4AAAAAAAAAAQAgAAAAKQEAAGRycy9lMm9Eb2MueG1sUEsFBgAAAAAGAAYAWQEAAHwF&#10;AAAAAA==&#10;">
          <v:path/>
          <v:fill on="f" focussize="0,0"/>
          <v:stroke on="f" joinstyle="miter"/>
          <v:imagedata o:title=""/>
          <o:lock v:ext="edit"/>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21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w:pict>
        <v:shape id="Text Box 6" o:spid="_x0000_s2049" o:spt="202" type="#_x0000_t202" style="position:absolute;left:0pt;margin-left:289.6pt;margin-top:792.1pt;height:15.3pt;width:16pt;mso-position-horizontal-relative:page;mso-position-vertical-relative:page;z-index:-251657216;mso-width-relative:page;mso-height-relative:page;" filled="f" stroked="f" coordsize="21600,21600" o:gfxdata="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HTaG2gAAAA0B&#10;AAAPAAAAAAAAAAEAIAAAACIAAABkcnMvZG93bnJldi54bWxQSwECFAAUAAAACACHTuJAxgUL++AB&#10;AAC1AwAADgAAAAAAAAABACAAAAApAQAAZHJzL2Uyb0RvYy54bWxQSwUGAAAAAAYABgBZAQAAewUA&#10;AAAA&#10;">
          <v:path/>
          <v:fill on="f" focussize="0,0"/>
          <v:stroke on="f" joinstyle="miter"/>
          <v:imagedata o:title=""/>
          <o:lock v:ext="edit"/>
          <v:textbox inset="0mm,0mm,0mm,0mm">
            <w:txbxContent>
              <w:p>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sz w:val="24"/>
                  </w:rP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94BD6"/>
    <w:multiLevelType w:val="multilevel"/>
    <w:tmpl w:val="8B294BD6"/>
    <w:lvl w:ilvl="0" w:tentative="0">
      <w:start w:val="6"/>
      <w:numFmt w:val="decimal"/>
      <w:lvlText w:val="%1"/>
      <w:lvlJc w:val="left"/>
      <w:pPr>
        <w:ind w:left="398" w:hanging="365"/>
      </w:pPr>
      <w:rPr>
        <w:rFonts w:hint="default"/>
        <w:lang w:val="zh-CN" w:eastAsia="zh-CN" w:bidi="zh-CN"/>
      </w:rPr>
    </w:lvl>
    <w:lvl w:ilvl="1" w:tentative="0">
      <w:start w:val="7"/>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1"/>
      <w:numFmt w:val="decimal"/>
      <w:suff w:val="space"/>
      <w:lvlText w:val="%1.%2.%3"/>
      <w:lvlJc w:val="left"/>
      <w:pPr>
        <w:ind w:left="0" w:firstLine="0"/>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56" w:hanging="682"/>
      </w:pPr>
      <w:rPr>
        <w:rFonts w:hint="default"/>
        <w:lang w:val="zh-CN" w:eastAsia="zh-CN" w:bidi="zh-CN"/>
      </w:rPr>
    </w:lvl>
    <w:lvl w:ilvl="4" w:tentative="0">
      <w:start w:val="0"/>
      <w:numFmt w:val="bullet"/>
      <w:lvlText w:val="•"/>
      <w:lvlJc w:val="left"/>
      <w:pPr>
        <w:ind w:left="4315" w:hanging="682"/>
      </w:pPr>
      <w:rPr>
        <w:rFonts w:hint="default"/>
        <w:lang w:val="zh-CN" w:eastAsia="zh-CN" w:bidi="zh-CN"/>
      </w:rPr>
    </w:lvl>
    <w:lvl w:ilvl="5" w:tentative="0">
      <w:start w:val="0"/>
      <w:numFmt w:val="bullet"/>
      <w:lvlText w:val="•"/>
      <w:lvlJc w:val="left"/>
      <w:pPr>
        <w:ind w:left="5273" w:hanging="682"/>
      </w:pPr>
      <w:rPr>
        <w:rFonts w:hint="default"/>
        <w:lang w:val="zh-CN" w:eastAsia="zh-CN" w:bidi="zh-CN"/>
      </w:rPr>
    </w:lvl>
    <w:lvl w:ilvl="6" w:tentative="0">
      <w:start w:val="0"/>
      <w:numFmt w:val="bullet"/>
      <w:lvlText w:val="•"/>
      <w:lvlJc w:val="left"/>
      <w:pPr>
        <w:ind w:left="6232" w:hanging="682"/>
      </w:pPr>
      <w:rPr>
        <w:rFonts w:hint="default"/>
        <w:lang w:val="zh-CN" w:eastAsia="zh-CN" w:bidi="zh-CN"/>
      </w:rPr>
    </w:lvl>
    <w:lvl w:ilvl="7" w:tentative="0">
      <w:start w:val="0"/>
      <w:numFmt w:val="bullet"/>
      <w:lvlText w:val="•"/>
      <w:lvlJc w:val="left"/>
      <w:pPr>
        <w:ind w:left="7190" w:hanging="682"/>
      </w:pPr>
      <w:rPr>
        <w:rFonts w:hint="default"/>
        <w:lang w:val="zh-CN" w:eastAsia="zh-CN" w:bidi="zh-CN"/>
      </w:rPr>
    </w:lvl>
    <w:lvl w:ilvl="8" w:tentative="0">
      <w:start w:val="0"/>
      <w:numFmt w:val="bullet"/>
      <w:lvlText w:val="•"/>
      <w:lvlJc w:val="left"/>
      <w:pPr>
        <w:ind w:left="8149" w:hanging="682"/>
      </w:pPr>
      <w:rPr>
        <w:rFonts w:hint="default"/>
        <w:lang w:val="zh-CN" w:eastAsia="zh-CN" w:bidi="zh-CN"/>
      </w:rPr>
    </w:lvl>
  </w:abstractNum>
  <w:abstractNum w:abstractNumId="1">
    <w:nsid w:val="92AC1568"/>
    <w:multiLevelType w:val="singleLevel"/>
    <w:tmpl w:val="92AC1568"/>
    <w:lvl w:ilvl="0" w:tentative="0">
      <w:start w:val="1"/>
      <w:numFmt w:val="decimal"/>
      <w:suff w:val="nothing"/>
      <w:lvlText w:val="（%1）"/>
      <w:lvlJc w:val="left"/>
    </w:lvl>
  </w:abstractNum>
  <w:abstractNum w:abstractNumId="2">
    <w:nsid w:val="B1DF6DEC"/>
    <w:multiLevelType w:val="multilevel"/>
    <w:tmpl w:val="B1DF6DEC"/>
    <w:lvl w:ilvl="0" w:tentative="0">
      <w:start w:val="15"/>
      <w:numFmt w:val="decimal"/>
      <w:lvlText w:val="%1"/>
      <w:lvlJc w:val="left"/>
      <w:pPr>
        <w:ind w:left="1226" w:hanging="471"/>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89" w:hanging="471"/>
      </w:pPr>
      <w:rPr>
        <w:rFonts w:hint="default"/>
        <w:lang w:val="zh-CN" w:eastAsia="zh-CN" w:bidi="zh-CN"/>
      </w:rPr>
    </w:lvl>
    <w:lvl w:ilvl="3" w:tentative="0">
      <w:start w:val="0"/>
      <w:numFmt w:val="bullet"/>
      <w:lvlText w:val="•"/>
      <w:lvlJc w:val="left"/>
      <w:pPr>
        <w:ind w:left="3873" w:hanging="471"/>
      </w:pPr>
      <w:rPr>
        <w:rFonts w:hint="default"/>
        <w:lang w:val="zh-CN" w:eastAsia="zh-CN" w:bidi="zh-CN"/>
      </w:rPr>
    </w:lvl>
    <w:lvl w:ilvl="4" w:tentative="0">
      <w:start w:val="0"/>
      <w:numFmt w:val="bullet"/>
      <w:lvlText w:val="•"/>
      <w:lvlJc w:val="left"/>
      <w:pPr>
        <w:ind w:left="4758" w:hanging="471"/>
      </w:pPr>
      <w:rPr>
        <w:rFonts w:hint="default"/>
        <w:lang w:val="zh-CN" w:eastAsia="zh-CN" w:bidi="zh-CN"/>
      </w:rPr>
    </w:lvl>
    <w:lvl w:ilvl="5" w:tentative="0">
      <w:start w:val="0"/>
      <w:numFmt w:val="bullet"/>
      <w:lvlText w:val="•"/>
      <w:lvlJc w:val="left"/>
      <w:pPr>
        <w:ind w:left="5643" w:hanging="471"/>
      </w:pPr>
      <w:rPr>
        <w:rFonts w:hint="default"/>
        <w:lang w:val="zh-CN" w:eastAsia="zh-CN" w:bidi="zh-CN"/>
      </w:rPr>
    </w:lvl>
    <w:lvl w:ilvl="6" w:tentative="0">
      <w:start w:val="0"/>
      <w:numFmt w:val="bullet"/>
      <w:lvlText w:val="•"/>
      <w:lvlJc w:val="left"/>
      <w:pPr>
        <w:ind w:left="6527" w:hanging="471"/>
      </w:pPr>
      <w:rPr>
        <w:rFonts w:hint="default"/>
        <w:lang w:val="zh-CN" w:eastAsia="zh-CN" w:bidi="zh-CN"/>
      </w:rPr>
    </w:lvl>
    <w:lvl w:ilvl="7" w:tentative="0">
      <w:start w:val="0"/>
      <w:numFmt w:val="bullet"/>
      <w:lvlText w:val="•"/>
      <w:lvlJc w:val="left"/>
      <w:pPr>
        <w:ind w:left="7412" w:hanging="471"/>
      </w:pPr>
      <w:rPr>
        <w:rFonts w:hint="default"/>
        <w:lang w:val="zh-CN" w:eastAsia="zh-CN" w:bidi="zh-CN"/>
      </w:rPr>
    </w:lvl>
    <w:lvl w:ilvl="8" w:tentative="0">
      <w:start w:val="0"/>
      <w:numFmt w:val="bullet"/>
      <w:lvlText w:val="•"/>
      <w:lvlJc w:val="left"/>
      <w:pPr>
        <w:ind w:left="8296" w:hanging="471"/>
      </w:pPr>
      <w:rPr>
        <w:rFonts w:hint="default"/>
        <w:lang w:val="zh-CN" w:eastAsia="zh-CN" w:bidi="zh-CN"/>
      </w:rPr>
    </w:lvl>
  </w:abstractNum>
  <w:abstractNum w:abstractNumId="3">
    <w:nsid w:val="B2D117B5"/>
    <w:multiLevelType w:val="multilevel"/>
    <w:tmpl w:val="B2D117B5"/>
    <w:lvl w:ilvl="0" w:tentative="0">
      <w:start w:val="1"/>
      <w:numFmt w:val="decimal"/>
      <w:suff w:val="space"/>
      <w:lvlText w:val="（%1）"/>
      <w:lvlJc w:val="left"/>
      <w:pPr>
        <w:ind w:left="0" w:firstLine="0"/>
        <w:jc w:val="righ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8" w:hanging="527"/>
      </w:pPr>
      <w:rPr>
        <w:rFonts w:hint="default"/>
        <w:lang w:val="zh-CN" w:eastAsia="zh-CN" w:bidi="zh-CN"/>
      </w:rPr>
    </w:lvl>
    <w:lvl w:ilvl="2" w:tentative="0">
      <w:start w:val="0"/>
      <w:numFmt w:val="bullet"/>
      <w:lvlText w:val="•"/>
      <w:lvlJc w:val="left"/>
      <w:pPr>
        <w:ind w:left="3037" w:hanging="527"/>
      </w:pPr>
      <w:rPr>
        <w:rFonts w:hint="default"/>
        <w:lang w:val="zh-CN" w:eastAsia="zh-CN" w:bidi="zh-CN"/>
      </w:rPr>
    </w:lvl>
    <w:lvl w:ilvl="3" w:tentative="0">
      <w:start w:val="0"/>
      <w:numFmt w:val="bullet"/>
      <w:lvlText w:val="•"/>
      <w:lvlJc w:val="left"/>
      <w:pPr>
        <w:ind w:left="3915" w:hanging="527"/>
      </w:pPr>
      <w:rPr>
        <w:rFonts w:hint="default"/>
        <w:lang w:val="zh-CN" w:eastAsia="zh-CN" w:bidi="zh-CN"/>
      </w:rPr>
    </w:lvl>
    <w:lvl w:ilvl="4" w:tentative="0">
      <w:start w:val="0"/>
      <w:numFmt w:val="bullet"/>
      <w:lvlText w:val="•"/>
      <w:lvlJc w:val="left"/>
      <w:pPr>
        <w:ind w:left="4794" w:hanging="527"/>
      </w:pPr>
      <w:rPr>
        <w:rFonts w:hint="default"/>
        <w:lang w:val="zh-CN" w:eastAsia="zh-CN" w:bidi="zh-CN"/>
      </w:rPr>
    </w:lvl>
    <w:lvl w:ilvl="5" w:tentative="0">
      <w:start w:val="0"/>
      <w:numFmt w:val="bullet"/>
      <w:lvlText w:val="•"/>
      <w:lvlJc w:val="left"/>
      <w:pPr>
        <w:ind w:left="5673" w:hanging="527"/>
      </w:pPr>
      <w:rPr>
        <w:rFonts w:hint="default"/>
        <w:lang w:val="zh-CN" w:eastAsia="zh-CN" w:bidi="zh-CN"/>
      </w:rPr>
    </w:lvl>
    <w:lvl w:ilvl="6" w:tentative="0">
      <w:start w:val="0"/>
      <w:numFmt w:val="bullet"/>
      <w:lvlText w:val="•"/>
      <w:lvlJc w:val="left"/>
      <w:pPr>
        <w:ind w:left="6551" w:hanging="527"/>
      </w:pPr>
      <w:rPr>
        <w:rFonts w:hint="default"/>
        <w:lang w:val="zh-CN" w:eastAsia="zh-CN" w:bidi="zh-CN"/>
      </w:rPr>
    </w:lvl>
    <w:lvl w:ilvl="7" w:tentative="0">
      <w:start w:val="0"/>
      <w:numFmt w:val="bullet"/>
      <w:lvlText w:val="•"/>
      <w:lvlJc w:val="left"/>
      <w:pPr>
        <w:ind w:left="7430" w:hanging="527"/>
      </w:pPr>
      <w:rPr>
        <w:rFonts w:hint="default"/>
        <w:lang w:val="zh-CN" w:eastAsia="zh-CN" w:bidi="zh-CN"/>
      </w:rPr>
    </w:lvl>
    <w:lvl w:ilvl="8" w:tentative="0">
      <w:start w:val="0"/>
      <w:numFmt w:val="bullet"/>
      <w:lvlText w:val="•"/>
      <w:lvlJc w:val="left"/>
      <w:pPr>
        <w:ind w:left="8308" w:hanging="527"/>
      </w:pPr>
      <w:rPr>
        <w:rFonts w:hint="default"/>
        <w:lang w:val="zh-CN" w:eastAsia="zh-CN" w:bidi="zh-CN"/>
      </w:rPr>
    </w:lvl>
  </w:abstractNum>
  <w:abstractNum w:abstractNumId="4">
    <w:nsid w:val="D67738E4"/>
    <w:multiLevelType w:val="singleLevel"/>
    <w:tmpl w:val="D67738E4"/>
    <w:lvl w:ilvl="0" w:tentative="0">
      <w:start w:val="8"/>
      <w:numFmt w:val="chineseCounting"/>
      <w:suff w:val="nothing"/>
      <w:lvlText w:val="%1、"/>
      <w:lvlJc w:val="left"/>
      <w:rPr>
        <w:rFonts w:hint="eastAsia"/>
      </w:rPr>
    </w:lvl>
  </w:abstractNum>
  <w:abstractNum w:abstractNumId="5">
    <w:nsid w:val="E8DB6E19"/>
    <w:multiLevelType w:val="multilevel"/>
    <w:tmpl w:val="E8DB6E19"/>
    <w:lvl w:ilvl="0" w:tentative="0">
      <w:start w:val="13"/>
      <w:numFmt w:val="decimal"/>
      <w:lvlText w:val="%1"/>
      <w:lvlJc w:val="left"/>
      <w:pPr>
        <w:ind w:left="1228" w:hanging="473"/>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89" w:hanging="473"/>
      </w:pPr>
      <w:rPr>
        <w:rFonts w:hint="default"/>
        <w:lang w:val="zh-CN" w:eastAsia="zh-CN" w:bidi="zh-CN"/>
      </w:rPr>
    </w:lvl>
    <w:lvl w:ilvl="3" w:tentative="0">
      <w:start w:val="0"/>
      <w:numFmt w:val="bullet"/>
      <w:lvlText w:val="•"/>
      <w:lvlJc w:val="left"/>
      <w:pPr>
        <w:ind w:left="3873" w:hanging="473"/>
      </w:pPr>
      <w:rPr>
        <w:rFonts w:hint="default"/>
        <w:lang w:val="zh-CN" w:eastAsia="zh-CN" w:bidi="zh-CN"/>
      </w:rPr>
    </w:lvl>
    <w:lvl w:ilvl="4" w:tentative="0">
      <w:start w:val="0"/>
      <w:numFmt w:val="bullet"/>
      <w:lvlText w:val="•"/>
      <w:lvlJc w:val="left"/>
      <w:pPr>
        <w:ind w:left="4758" w:hanging="473"/>
      </w:pPr>
      <w:rPr>
        <w:rFonts w:hint="default"/>
        <w:lang w:val="zh-CN" w:eastAsia="zh-CN" w:bidi="zh-CN"/>
      </w:rPr>
    </w:lvl>
    <w:lvl w:ilvl="5" w:tentative="0">
      <w:start w:val="0"/>
      <w:numFmt w:val="bullet"/>
      <w:lvlText w:val="•"/>
      <w:lvlJc w:val="left"/>
      <w:pPr>
        <w:ind w:left="5643" w:hanging="473"/>
      </w:pPr>
      <w:rPr>
        <w:rFonts w:hint="default"/>
        <w:lang w:val="zh-CN" w:eastAsia="zh-CN" w:bidi="zh-CN"/>
      </w:rPr>
    </w:lvl>
    <w:lvl w:ilvl="6" w:tentative="0">
      <w:start w:val="0"/>
      <w:numFmt w:val="bullet"/>
      <w:lvlText w:val="•"/>
      <w:lvlJc w:val="left"/>
      <w:pPr>
        <w:ind w:left="6527" w:hanging="473"/>
      </w:pPr>
      <w:rPr>
        <w:rFonts w:hint="default"/>
        <w:lang w:val="zh-CN" w:eastAsia="zh-CN" w:bidi="zh-CN"/>
      </w:rPr>
    </w:lvl>
    <w:lvl w:ilvl="7" w:tentative="0">
      <w:start w:val="0"/>
      <w:numFmt w:val="bullet"/>
      <w:lvlText w:val="•"/>
      <w:lvlJc w:val="left"/>
      <w:pPr>
        <w:ind w:left="7412" w:hanging="473"/>
      </w:pPr>
      <w:rPr>
        <w:rFonts w:hint="default"/>
        <w:lang w:val="zh-CN" w:eastAsia="zh-CN" w:bidi="zh-CN"/>
      </w:rPr>
    </w:lvl>
    <w:lvl w:ilvl="8" w:tentative="0">
      <w:start w:val="0"/>
      <w:numFmt w:val="bullet"/>
      <w:lvlText w:val="•"/>
      <w:lvlJc w:val="left"/>
      <w:pPr>
        <w:ind w:left="8296" w:hanging="473"/>
      </w:pPr>
      <w:rPr>
        <w:rFonts w:hint="default"/>
        <w:lang w:val="zh-CN" w:eastAsia="zh-CN" w:bidi="zh-CN"/>
      </w:rPr>
    </w:lvl>
  </w:abstractNum>
  <w:abstractNum w:abstractNumId="6">
    <w:nsid w:val="ED03EFB9"/>
    <w:multiLevelType w:val="multilevel"/>
    <w:tmpl w:val="ED03EFB9"/>
    <w:lvl w:ilvl="0" w:tentative="0">
      <w:start w:val="2"/>
      <w:numFmt w:val="decimal"/>
      <w:lvlText w:val="%1"/>
      <w:lvlJc w:val="left"/>
      <w:pPr>
        <w:ind w:left="1178" w:hanging="420"/>
      </w:pPr>
      <w:rPr>
        <w:rFonts w:hint="default"/>
        <w:lang w:val="zh-CN" w:eastAsia="zh-CN" w:bidi="zh-CN"/>
      </w:rPr>
    </w:lvl>
    <w:lvl w:ilvl="1" w:tentative="0">
      <w:start w:val="4"/>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57" w:hanging="420"/>
      </w:pPr>
      <w:rPr>
        <w:rFonts w:hint="default"/>
        <w:lang w:val="zh-CN" w:eastAsia="zh-CN" w:bidi="zh-CN"/>
      </w:rPr>
    </w:lvl>
    <w:lvl w:ilvl="3" w:tentative="0">
      <w:start w:val="0"/>
      <w:numFmt w:val="bullet"/>
      <w:lvlText w:val="•"/>
      <w:lvlJc w:val="left"/>
      <w:pPr>
        <w:ind w:left="3845" w:hanging="420"/>
      </w:pPr>
      <w:rPr>
        <w:rFonts w:hint="default"/>
        <w:lang w:val="zh-CN" w:eastAsia="zh-CN" w:bidi="zh-CN"/>
      </w:rPr>
    </w:lvl>
    <w:lvl w:ilvl="4" w:tentative="0">
      <w:start w:val="0"/>
      <w:numFmt w:val="bullet"/>
      <w:lvlText w:val="•"/>
      <w:lvlJc w:val="left"/>
      <w:pPr>
        <w:ind w:left="4734" w:hanging="420"/>
      </w:pPr>
      <w:rPr>
        <w:rFonts w:hint="default"/>
        <w:lang w:val="zh-CN" w:eastAsia="zh-CN" w:bidi="zh-CN"/>
      </w:rPr>
    </w:lvl>
    <w:lvl w:ilvl="5" w:tentative="0">
      <w:start w:val="0"/>
      <w:numFmt w:val="bullet"/>
      <w:lvlText w:val="•"/>
      <w:lvlJc w:val="left"/>
      <w:pPr>
        <w:ind w:left="5623" w:hanging="420"/>
      </w:pPr>
      <w:rPr>
        <w:rFonts w:hint="default"/>
        <w:lang w:val="zh-CN" w:eastAsia="zh-CN" w:bidi="zh-CN"/>
      </w:rPr>
    </w:lvl>
    <w:lvl w:ilvl="6" w:tentative="0">
      <w:start w:val="0"/>
      <w:numFmt w:val="bullet"/>
      <w:lvlText w:val="•"/>
      <w:lvlJc w:val="left"/>
      <w:pPr>
        <w:ind w:left="6511" w:hanging="420"/>
      </w:pPr>
      <w:rPr>
        <w:rFonts w:hint="default"/>
        <w:lang w:val="zh-CN" w:eastAsia="zh-CN" w:bidi="zh-CN"/>
      </w:rPr>
    </w:lvl>
    <w:lvl w:ilvl="7" w:tentative="0">
      <w:start w:val="0"/>
      <w:numFmt w:val="bullet"/>
      <w:lvlText w:val="•"/>
      <w:lvlJc w:val="left"/>
      <w:pPr>
        <w:ind w:left="7400" w:hanging="420"/>
      </w:pPr>
      <w:rPr>
        <w:rFonts w:hint="default"/>
        <w:lang w:val="zh-CN" w:eastAsia="zh-CN" w:bidi="zh-CN"/>
      </w:rPr>
    </w:lvl>
    <w:lvl w:ilvl="8" w:tentative="0">
      <w:start w:val="0"/>
      <w:numFmt w:val="bullet"/>
      <w:lvlText w:val="•"/>
      <w:lvlJc w:val="left"/>
      <w:pPr>
        <w:ind w:left="8288" w:hanging="420"/>
      </w:pPr>
      <w:rPr>
        <w:rFonts w:hint="default"/>
        <w:lang w:val="zh-CN" w:eastAsia="zh-CN" w:bidi="zh-CN"/>
      </w:rPr>
    </w:lvl>
  </w:abstractNum>
  <w:abstractNum w:abstractNumId="7">
    <w:nsid w:val="F8CB82A0"/>
    <w:multiLevelType w:val="singleLevel"/>
    <w:tmpl w:val="F8CB82A0"/>
    <w:lvl w:ilvl="0" w:tentative="0">
      <w:start w:val="2"/>
      <w:numFmt w:val="decimal"/>
      <w:suff w:val="nothing"/>
      <w:lvlText w:val="%1、"/>
      <w:lvlJc w:val="left"/>
    </w:lvl>
  </w:abstractNum>
  <w:abstractNum w:abstractNumId="8">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pStyle w:val="8"/>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6BDE5F3"/>
    <w:multiLevelType w:val="multilevel"/>
    <w:tmpl w:val="06BDE5F3"/>
    <w:lvl w:ilvl="0" w:tentative="0">
      <w:start w:val="1"/>
      <w:numFmt w:val="decimal"/>
      <w:suff w:val="space"/>
      <w:lvlText w:val="%1."/>
      <w:lvlJc w:val="left"/>
      <w:pPr>
        <w:ind w:left="0" w:firstLine="0"/>
      </w:pPr>
      <w:rPr>
        <w:rFonts w:hint="default" w:ascii="宋体" w:hAnsi="宋体" w:eastAsia="宋体" w:cs="宋体"/>
        <w:spacing w:val="-1"/>
        <w:w w:val="99"/>
        <w:sz w:val="19"/>
        <w:szCs w:val="19"/>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1"/>
      <w:numFmt w:val="decimal"/>
      <w:suff w:val="space"/>
      <w:lvlText w:val="%1.%2.%3"/>
      <w:lvlJc w:val="left"/>
      <w:pPr>
        <w:ind w:left="0" w:firstLine="0"/>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120" w:hanging="632"/>
      </w:pPr>
      <w:rPr>
        <w:rFonts w:hint="default"/>
        <w:lang w:val="zh-CN" w:eastAsia="zh-CN" w:bidi="zh-CN"/>
      </w:rPr>
    </w:lvl>
    <w:lvl w:ilvl="4" w:tentative="0">
      <w:start w:val="0"/>
      <w:numFmt w:val="bullet"/>
      <w:lvlText w:val="•"/>
      <w:lvlJc w:val="left"/>
      <w:pPr>
        <w:ind w:left="1180" w:hanging="632"/>
      </w:pPr>
      <w:rPr>
        <w:rFonts w:hint="default"/>
        <w:lang w:val="zh-CN" w:eastAsia="zh-CN" w:bidi="zh-CN"/>
      </w:rPr>
    </w:lvl>
    <w:lvl w:ilvl="5" w:tentative="0">
      <w:start w:val="0"/>
      <w:numFmt w:val="bullet"/>
      <w:lvlText w:val="•"/>
      <w:lvlJc w:val="left"/>
      <w:pPr>
        <w:ind w:left="1340" w:hanging="632"/>
      </w:pPr>
      <w:rPr>
        <w:rFonts w:hint="default"/>
        <w:lang w:val="zh-CN" w:eastAsia="zh-CN" w:bidi="zh-CN"/>
      </w:rPr>
    </w:lvl>
    <w:lvl w:ilvl="6" w:tentative="0">
      <w:start w:val="0"/>
      <w:numFmt w:val="bullet"/>
      <w:lvlText w:val="•"/>
      <w:lvlJc w:val="left"/>
      <w:pPr>
        <w:ind w:left="3085" w:hanging="632"/>
      </w:pPr>
      <w:rPr>
        <w:rFonts w:hint="default"/>
        <w:lang w:val="zh-CN" w:eastAsia="zh-CN" w:bidi="zh-CN"/>
      </w:rPr>
    </w:lvl>
    <w:lvl w:ilvl="7" w:tentative="0">
      <w:start w:val="0"/>
      <w:numFmt w:val="bullet"/>
      <w:lvlText w:val="•"/>
      <w:lvlJc w:val="left"/>
      <w:pPr>
        <w:ind w:left="4830" w:hanging="632"/>
      </w:pPr>
      <w:rPr>
        <w:rFonts w:hint="default"/>
        <w:lang w:val="zh-CN" w:eastAsia="zh-CN" w:bidi="zh-CN"/>
      </w:rPr>
    </w:lvl>
    <w:lvl w:ilvl="8" w:tentative="0">
      <w:start w:val="0"/>
      <w:numFmt w:val="bullet"/>
      <w:lvlText w:val="•"/>
      <w:lvlJc w:val="left"/>
      <w:pPr>
        <w:ind w:left="6575" w:hanging="632"/>
      </w:pPr>
      <w:rPr>
        <w:rFonts w:hint="default"/>
        <w:lang w:val="zh-CN" w:eastAsia="zh-CN" w:bidi="zh-CN"/>
      </w:rPr>
    </w:lvl>
  </w:abstractNum>
  <w:abstractNum w:abstractNumId="10">
    <w:nsid w:val="089F840B"/>
    <w:multiLevelType w:val="multilevel"/>
    <w:tmpl w:val="089F840B"/>
    <w:lvl w:ilvl="0" w:tentative="0">
      <w:start w:val="8"/>
      <w:numFmt w:val="decimal"/>
      <w:lvlText w:val="%1"/>
      <w:lvlJc w:val="left"/>
      <w:pPr>
        <w:ind w:left="398" w:hanging="524"/>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333" w:hanging="524"/>
      </w:pPr>
      <w:rPr>
        <w:rFonts w:hint="default"/>
        <w:lang w:val="zh-CN" w:eastAsia="zh-CN" w:bidi="zh-CN"/>
      </w:rPr>
    </w:lvl>
    <w:lvl w:ilvl="3" w:tentative="0">
      <w:start w:val="0"/>
      <w:numFmt w:val="bullet"/>
      <w:lvlText w:val="•"/>
      <w:lvlJc w:val="left"/>
      <w:pPr>
        <w:ind w:left="3299" w:hanging="524"/>
      </w:pPr>
      <w:rPr>
        <w:rFonts w:hint="default"/>
        <w:lang w:val="zh-CN" w:eastAsia="zh-CN" w:bidi="zh-CN"/>
      </w:rPr>
    </w:lvl>
    <w:lvl w:ilvl="4" w:tentative="0">
      <w:start w:val="0"/>
      <w:numFmt w:val="bullet"/>
      <w:lvlText w:val="•"/>
      <w:lvlJc w:val="left"/>
      <w:pPr>
        <w:ind w:left="4266" w:hanging="524"/>
      </w:pPr>
      <w:rPr>
        <w:rFonts w:hint="default"/>
        <w:lang w:val="zh-CN" w:eastAsia="zh-CN" w:bidi="zh-CN"/>
      </w:rPr>
    </w:lvl>
    <w:lvl w:ilvl="5" w:tentative="0">
      <w:start w:val="0"/>
      <w:numFmt w:val="bullet"/>
      <w:lvlText w:val="•"/>
      <w:lvlJc w:val="left"/>
      <w:pPr>
        <w:ind w:left="5233" w:hanging="524"/>
      </w:pPr>
      <w:rPr>
        <w:rFonts w:hint="default"/>
        <w:lang w:val="zh-CN" w:eastAsia="zh-CN" w:bidi="zh-CN"/>
      </w:rPr>
    </w:lvl>
    <w:lvl w:ilvl="6" w:tentative="0">
      <w:start w:val="0"/>
      <w:numFmt w:val="bullet"/>
      <w:lvlText w:val="•"/>
      <w:lvlJc w:val="left"/>
      <w:pPr>
        <w:ind w:left="6199" w:hanging="524"/>
      </w:pPr>
      <w:rPr>
        <w:rFonts w:hint="default"/>
        <w:lang w:val="zh-CN" w:eastAsia="zh-CN" w:bidi="zh-CN"/>
      </w:rPr>
    </w:lvl>
    <w:lvl w:ilvl="7" w:tentative="0">
      <w:start w:val="0"/>
      <w:numFmt w:val="bullet"/>
      <w:lvlText w:val="•"/>
      <w:lvlJc w:val="left"/>
      <w:pPr>
        <w:ind w:left="7166" w:hanging="524"/>
      </w:pPr>
      <w:rPr>
        <w:rFonts w:hint="default"/>
        <w:lang w:val="zh-CN" w:eastAsia="zh-CN" w:bidi="zh-CN"/>
      </w:rPr>
    </w:lvl>
    <w:lvl w:ilvl="8" w:tentative="0">
      <w:start w:val="0"/>
      <w:numFmt w:val="bullet"/>
      <w:lvlText w:val="•"/>
      <w:lvlJc w:val="left"/>
      <w:pPr>
        <w:ind w:left="8132" w:hanging="524"/>
      </w:pPr>
      <w:rPr>
        <w:rFonts w:hint="default"/>
        <w:lang w:val="zh-CN" w:eastAsia="zh-CN" w:bidi="zh-CN"/>
      </w:rPr>
    </w:lvl>
  </w:abstractNum>
  <w:abstractNum w:abstractNumId="11">
    <w:nsid w:val="17B16C04"/>
    <w:multiLevelType w:val="multilevel"/>
    <w:tmpl w:val="17B16C04"/>
    <w:lvl w:ilvl="0" w:tentative="0">
      <w:start w:val="12"/>
      <w:numFmt w:val="decimal"/>
      <w:lvlText w:val="%1"/>
      <w:lvlJc w:val="left"/>
      <w:pPr>
        <w:ind w:left="1279" w:hanging="524"/>
      </w:pPr>
      <w:rPr>
        <w:rFonts w:hint="default"/>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1"/>
      <w:numFmt w:val="decimal"/>
      <w:suff w:val="space"/>
      <w:lvlText w:val="%1.%2.%3"/>
      <w:lvlJc w:val="left"/>
      <w:pPr>
        <w:ind w:left="0" w:firstLine="0"/>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2" w:hanging="735"/>
      </w:pPr>
      <w:rPr>
        <w:rFonts w:hint="default"/>
        <w:lang w:val="zh-CN" w:eastAsia="zh-CN" w:bidi="zh-CN"/>
      </w:rPr>
    </w:lvl>
    <w:lvl w:ilvl="4" w:tentative="0">
      <w:start w:val="0"/>
      <w:numFmt w:val="bullet"/>
      <w:lvlText w:val="•"/>
      <w:lvlJc w:val="left"/>
      <w:pPr>
        <w:ind w:left="4208" w:hanging="735"/>
      </w:pPr>
      <w:rPr>
        <w:rFonts w:hint="default"/>
        <w:lang w:val="zh-CN" w:eastAsia="zh-CN" w:bidi="zh-CN"/>
      </w:rPr>
    </w:lvl>
    <w:lvl w:ilvl="5" w:tentative="0">
      <w:start w:val="0"/>
      <w:numFmt w:val="bullet"/>
      <w:lvlText w:val="•"/>
      <w:lvlJc w:val="left"/>
      <w:pPr>
        <w:ind w:left="5184" w:hanging="735"/>
      </w:pPr>
      <w:rPr>
        <w:rFonts w:hint="default"/>
        <w:lang w:val="zh-CN" w:eastAsia="zh-CN" w:bidi="zh-CN"/>
      </w:rPr>
    </w:lvl>
    <w:lvl w:ilvl="6" w:tentative="0">
      <w:start w:val="0"/>
      <w:numFmt w:val="bullet"/>
      <w:lvlText w:val="•"/>
      <w:lvlJc w:val="left"/>
      <w:pPr>
        <w:ind w:left="6161" w:hanging="735"/>
      </w:pPr>
      <w:rPr>
        <w:rFonts w:hint="default"/>
        <w:lang w:val="zh-CN" w:eastAsia="zh-CN" w:bidi="zh-CN"/>
      </w:rPr>
    </w:lvl>
    <w:lvl w:ilvl="7" w:tentative="0">
      <w:start w:val="0"/>
      <w:numFmt w:val="bullet"/>
      <w:lvlText w:val="•"/>
      <w:lvlJc w:val="left"/>
      <w:pPr>
        <w:ind w:left="7137" w:hanging="735"/>
      </w:pPr>
      <w:rPr>
        <w:rFonts w:hint="default"/>
        <w:lang w:val="zh-CN" w:eastAsia="zh-CN" w:bidi="zh-CN"/>
      </w:rPr>
    </w:lvl>
    <w:lvl w:ilvl="8" w:tentative="0">
      <w:start w:val="0"/>
      <w:numFmt w:val="bullet"/>
      <w:lvlText w:val="•"/>
      <w:lvlJc w:val="left"/>
      <w:pPr>
        <w:ind w:left="8113" w:hanging="735"/>
      </w:pPr>
      <w:rPr>
        <w:rFonts w:hint="default"/>
        <w:lang w:val="zh-CN" w:eastAsia="zh-CN" w:bidi="zh-CN"/>
      </w:rPr>
    </w:lvl>
  </w:abstractNum>
  <w:abstractNum w:abstractNumId="12">
    <w:nsid w:val="28BA1AF1"/>
    <w:multiLevelType w:val="singleLevel"/>
    <w:tmpl w:val="28BA1AF1"/>
    <w:lvl w:ilvl="0" w:tentative="0">
      <w:start w:val="5"/>
      <w:numFmt w:val="chineseCounting"/>
      <w:suff w:val="nothing"/>
      <w:lvlText w:val="%1、"/>
      <w:lvlJc w:val="left"/>
      <w:pPr>
        <w:ind w:left="388" w:firstLine="0"/>
      </w:pPr>
      <w:rPr>
        <w:rFonts w:hint="eastAsia"/>
      </w:rPr>
    </w:lvl>
  </w:abstractNum>
  <w:abstractNum w:abstractNumId="13">
    <w:nsid w:val="52F96E65"/>
    <w:multiLevelType w:val="multilevel"/>
    <w:tmpl w:val="52F96E65"/>
    <w:lvl w:ilvl="0" w:tentative="0">
      <w:start w:val="1"/>
      <w:numFmt w:val="decimal"/>
      <w:suff w:val="space"/>
      <w:lvlText w:val="（%1）"/>
      <w:lvlJc w:val="left"/>
      <w:pPr>
        <w:ind w:left="0" w:firstLine="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8" w:hanging="527"/>
      </w:pPr>
      <w:rPr>
        <w:rFonts w:hint="default"/>
        <w:lang w:val="zh-CN" w:eastAsia="zh-CN" w:bidi="zh-CN"/>
      </w:rPr>
    </w:lvl>
    <w:lvl w:ilvl="2" w:tentative="0">
      <w:start w:val="0"/>
      <w:numFmt w:val="bullet"/>
      <w:lvlText w:val="•"/>
      <w:lvlJc w:val="left"/>
      <w:pPr>
        <w:ind w:left="3037" w:hanging="527"/>
      </w:pPr>
      <w:rPr>
        <w:rFonts w:hint="default"/>
        <w:lang w:val="zh-CN" w:eastAsia="zh-CN" w:bidi="zh-CN"/>
      </w:rPr>
    </w:lvl>
    <w:lvl w:ilvl="3" w:tentative="0">
      <w:start w:val="0"/>
      <w:numFmt w:val="bullet"/>
      <w:lvlText w:val="•"/>
      <w:lvlJc w:val="left"/>
      <w:pPr>
        <w:ind w:left="3915" w:hanging="527"/>
      </w:pPr>
      <w:rPr>
        <w:rFonts w:hint="default"/>
        <w:lang w:val="zh-CN" w:eastAsia="zh-CN" w:bidi="zh-CN"/>
      </w:rPr>
    </w:lvl>
    <w:lvl w:ilvl="4" w:tentative="0">
      <w:start w:val="0"/>
      <w:numFmt w:val="bullet"/>
      <w:lvlText w:val="•"/>
      <w:lvlJc w:val="left"/>
      <w:pPr>
        <w:ind w:left="4794" w:hanging="527"/>
      </w:pPr>
      <w:rPr>
        <w:rFonts w:hint="default"/>
        <w:lang w:val="zh-CN" w:eastAsia="zh-CN" w:bidi="zh-CN"/>
      </w:rPr>
    </w:lvl>
    <w:lvl w:ilvl="5" w:tentative="0">
      <w:start w:val="0"/>
      <w:numFmt w:val="bullet"/>
      <w:lvlText w:val="•"/>
      <w:lvlJc w:val="left"/>
      <w:pPr>
        <w:ind w:left="5673" w:hanging="527"/>
      </w:pPr>
      <w:rPr>
        <w:rFonts w:hint="default"/>
        <w:lang w:val="zh-CN" w:eastAsia="zh-CN" w:bidi="zh-CN"/>
      </w:rPr>
    </w:lvl>
    <w:lvl w:ilvl="6" w:tentative="0">
      <w:start w:val="0"/>
      <w:numFmt w:val="bullet"/>
      <w:lvlText w:val="•"/>
      <w:lvlJc w:val="left"/>
      <w:pPr>
        <w:ind w:left="6551" w:hanging="527"/>
      </w:pPr>
      <w:rPr>
        <w:rFonts w:hint="default"/>
        <w:lang w:val="zh-CN" w:eastAsia="zh-CN" w:bidi="zh-CN"/>
      </w:rPr>
    </w:lvl>
    <w:lvl w:ilvl="7" w:tentative="0">
      <w:start w:val="0"/>
      <w:numFmt w:val="bullet"/>
      <w:lvlText w:val="•"/>
      <w:lvlJc w:val="left"/>
      <w:pPr>
        <w:ind w:left="7430" w:hanging="527"/>
      </w:pPr>
      <w:rPr>
        <w:rFonts w:hint="default"/>
        <w:lang w:val="zh-CN" w:eastAsia="zh-CN" w:bidi="zh-CN"/>
      </w:rPr>
    </w:lvl>
    <w:lvl w:ilvl="8" w:tentative="0">
      <w:start w:val="0"/>
      <w:numFmt w:val="bullet"/>
      <w:lvlText w:val="•"/>
      <w:lvlJc w:val="left"/>
      <w:pPr>
        <w:ind w:left="8308" w:hanging="527"/>
      </w:pPr>
      <w:rPr>
        <w:rFonts w:hint="default"/>
        <w:lang w:val="zh-CN" w:eastAsia="zh-CN" w:bidi="zh-CN"/>
      </w:rPr>
    </w:lvl>
  </w:abstractNum>
  <w:abstractNum w:abstractNumId="14">
    <w:nsid w:val="576838E3"/>
    <w:multiLevelType w:val="multilevel"/>
    <w:tmpl w:val="576838E3"/>
    <w:lvl w:ilvl="0" w:tentative="0">
      <w:start w:val="9"/>
      <w:numFmt w:val="decimal"/>
      <w:suff w:val="space"/>
      <w:lvlText w:val="%1."/>
      <w:lvlJc w:val="left"/>
      <w:pPr>
        <w:ind w:left="0" w:firstLine="0"/>
      </w:pPr>
      <w:rPr>
        <w:rFonts w:hint="default" w:ascii="宋体" w:hAnsi="宋体" w:eastAsia="宋体" w:cs="宋体"/>
        <w:spacing w:val="-2"/>
        <w:w w:val="99"/>
        <w:sz w:val="19"/>
        <w:szCs w:val="19"/>
        <w:lang w:val="zh-CN" w:eastAsia="zh-CN" w:bidi="zh-CN"/>
      </w:rPr>
    </w:lvl>
    <w:lvl w:ilvl="1" w:tentative="0">
      <w:start w:val="1"/>
      <w:numFmt w:val="decimal"/>
      <w:suff w:val="space"/>
      <w:lvlText w:val="%1.%2"/>
      <w:lvlJc w:val="left"/>
      <w:pPr>
        <w:ind w:left="0" w:firstLine="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280" w:hanging="365"/>
      </w:pPr>
      <w:rPr>
        <w:rFonts w:hint="default"/>
        <w:lang w:val="zh-CN" w:eastAsia="zh-CN" w:bidi="zh-CN"/>
      </w:rPr>
    </w:lvl>
    <w:lvl w:ilvl="3" w:tentative="0">
      <w:start w:val="0"/>
      <w:numFmt w:val="bullet"/>
      <w:lvlText w:val="•"/>
      <w:lvlJc w:val="left"/>
      <w:pPr>
        <w:ind w:left="2378" w:hanging="365"/>
      </w:pPr>
      <w:rPr>
        <w:rFonts w:hint="default"/>
        <w:lang w:val="zh-CN" w:eastAsia="zh-CN" w:bidi="zh-CN"/>
      </w:rPr>
    </w:lvl>
    <w:lvl w:ilvl="4" w:tentative="0">
      <w:start w:val="0"/>
      <w:numFmt w:val="bullet"/>
      <w:lvlText w:val="•"/>
      <w:lvlJc w:val="left"/>
      <w:pPr>
        <w:ind w:left="3476" w:hanging="365"/>
      </w:pPr>
      <w:rPr>
        <w:rFonts w:hint="default"/>
        <w:lang w:val="zh-CN" w:eastAsia="zh-CN" w:bidi="zh-CN"/>
      </w:rPr>
    </w:lvl>
    <w:lvl w:ilvl="5" w:tentative="0">
      <w:start w:val="0"/>
      <w:numFmt w:val="bullet"/>
      <w:lvlText w:val="•"/>
      <w:lvlJc w:val="left"/>
      <w:pPr>
        <w:ind w:left="4574" w:hanging="365"/>
      </w:pPr>
      <w:rPr>
        <w:rFonts w:hint="default"/>
        <w:lang w:val="zh-CN" w:eastAsia="zh-CN" w:bidi="zh-CN"/>
      </w:rPr>
    </w:lvl>
    <w:lvl w:ilvl="6" w:tentative="0">
      <w:start w:val="0"/>
      <w:numFmt w:val="bullet"/>
      <w:lvlText w:val="•"/>
      <w:lvlJc w:val="left"/>
      <w:pPr>
        <w:ind w:left="5673" w:hanging="365"/>
      </w:pPr>
      <w:rPr>
        <w:rFonts w:hint="default"/>
        <w:lang w:val="zh-CN" w:eastAsia="zh-CN" w:bidi="zh-CN"/>
      </w:rPr>
    </w:lvl>
    <w:lvl w:ilvl="7" w:tentative="0">
      <w:start w:val="0"/>
      <w:numFmt w:val="bullet"/>
      <w:lvlText w:val="•"/>
      <w:lvlJc w:val="left"/>
      <w:pPr>
        <w:ind w:left="6771" w:hanging="365"/>
      </w:pPr>
      <w:rPr>
        <w:rFonts w:hint="default"/>
        <w:lang w:val="zh-CN" w:eastAsia="zh-CN" w:bidi="zh-CN"/>
      </w:rPr>
    </w:lvl>
    <w:lvl w:ilvl="8" w:tentative="0">
      <w:start w:val="0"/>
      <w:numFmt w:val="bullet"/>
      <w:lvlText w:val="•"/>
      <w:lvlJc w:val="left"/>
      <w:pPr>
        <w:ind w:left="7869" w:hanging="365"/>
      </w:pPr>
      <w:rPr>
        <w:rFonts w:hint="default"/>
        <w:lang w:val="zh-CN" w:eastAsia="zh-CN" w:bidi="zh-CN"/>
      </w:rPr>
    </w:lvl>
  </w:abstractNum>
  <w:abstractNum w:abstractNumId="15">
    <w:nsid w:val="5CD1F9DD"/>
    <w:multiLevelType w:val="multilevel"/>
    <w:tmpl w:val="5CD1F9DD"/>
    <w:lvl w:ilvl="0" w:tentative="0">
      <w:start w:val="12"/>
      <w:numFmt w:val="decimal"/>
      <w:lvlText w:val="%1"/>
      <w:lvlJc w:val="left"/>
      <w:pPr>
        <w:ind w:left="1226" w:hanging="471"/>
      </w:pPr>
      <w:rPr>
        <w:rFonts w:hint="default"/>
        <w:lang w:val="zh-CN" w:eastAsia="zh-CN" w:bidi="zh-CN"/>
      </w:rPr>
    </w:lvl>
    <w:lvl w:ilvl="1" w:tentative="0">
      <w:start w:val="7"/>
      <w:numFmt w:val="decimal"/>
      <w:suff w:val="space"/>
      <w:lvlText w:val="%1.%2"/>
      <w:lvlJc w:val="left"/>
      <w:pPr>
        <w:ind w:left="0" w:firstLine="0"/>
      </w:pPr>
      <w:rPr>
        <w:rFonts w:hint="default" w:ascii="宋体" w:hAnsi="宋体" w:eastAsia="宋体" w:cs="宋体"/>
        <w:spacing w:val="-2"/>
        <w:w w:val="99"/>
        <w:sz w:val="21"/>
        <w:szCs w:val="21"/>
        <w:lang w:val="zh-CN" w:eastAsia="zh-CN" w:bidi="zh-CN"/>
      </w:rPr>
    </w:lvl>
    <w:lvl w:ilvl="2" w:tentative="0">
      <w:start w:val="0"/>
      <w:numFmt w:val="bullet"/>
      <w:lvlText w:val="•"/>
      <w:lvlJc w:val="left"/>
      <w:pPr>
        <w:ind w:left="2989" w:hanging="471"/>
      </w:pPr>
      <w:rPr>
        <w:rFonts w:hint="default"/>
        <w:lang w:val="zh-CN" w:eastAsia="zh-CN" w:bidi="zh-CN"/>
      </w:rPr>
    </w:lvl>
    <w:lvl w:ilvl="3" w:tentative="0">
      <w:start w:val="0"/>
      <w:numFmt w:val="bullet"/>
      <w:lvlText w:val="•"/>
      <w:lvlJc w:val="left"/>
      <w:pPr>
        <w:ind w:left="3873" w:hanging="471"/>
      </w:pPr>
      <w:rPr>
        <w:rFonts w:hint="default"/>
        <w:lang w:val="zh-CN" w:eastAsia="zh-CN" w:bidi="zh-CN"/>
      </w:rPr>
    </w:lvl>
    <w:lvl w:ilvl="4" w:tentative="0">
      <w:start w:val="0"/>
      <w:numFmt w:val="bullet"/>
      <w:lvlText w:val="•"/>
      <w:lvlJc w:val="left"/>
      <w:pPr>
        <w:ind w:left="4758" w:hanging="471"/>
      </w:pPr>
      <w:rPr>
        <w:rFonts w:hint="default"/>
        <w:lang w:val="zh-CN" w:eastAsia="zh-CN" w:bidi="zh-CN"/>
      </w:rPr>
    </w:lvl>
    <w:lvl w:ilvl="5" w:tentative="0">
      <w:start w:val="0"/>
      <w:numFmt w:val="bullet"/>
      <w:lvlText w:val="•"/>
      <w:lvlJc w:val="left"/>
      <w:pPr>
        <w:ind w:left="5643" w:hanging="471"/>
      </w:pPr>
      <w:rPr>
        <w:rFonts w:hint="default"/>
        <w:lang w:val="zh-CN" w:eastAsia="zh-CN" w:bidi="zh-CN"/>
      </w:rPr>
    </w:lvl>
    <w:lvl w:ilvl="6" w:tentative="0">
      <w:start w:val="0"/>
      <w:numFmt w:val="bullet"/>
      <w:lvlText w:val="•"/>
      <w:lvlJc w:val="left"/>
      <w:pPr>
        <w:ind w:left="6527" w:hanging="471"/>
      </w:pPr>
      <w:rPr>
        <w:rFonts w:hint="default"/>
        <w:lang w:val="zh-CN" w:eastAsia="zh-CN" w:bidi="zh-CN"/>
      </w:rPr>
    </w:lvl>
    <w:lvl w:ilvl="7" w:tentative="0">
      <w:start w:val="0"/>
      <w:numFmt w:val="bullet"/>
      <w:lvlText w:val="•"/>
      <w:lvlJc w:val="left"/>
      <w:pPr>
        <w:ind w:left="7412" w:hanging="471"/>
      </w:pPr>
      <w:rPr>
        <w:rFonts w:hint="default"/>
        <w:lang w:val="zh-CN" w:eastAsia="zh-CN" w:bidi="zh-CN"/>
      </w:rPr>
    </w:lvl>
    <w:lvl w:ilvl="8" w:tentative="0">
      <w:start w:val="0"/>
      <w:numFmt w:val="bullet"/>
      <w:lvlText w:val="•"/>
      <w:lvlJc w:val="left"/>
      <w:pPr>
        <w:ind w:left="8296" w:hanging="471"/>
      </w:pPr>
      <w:rPr>
        <w:rFonts w:hint="default"/>
        <w:lang w:val="zh-CN" w:eastAsia="zh-CN" w:bidi="zh-CN"/>
      </w:rPr>
    </w:lvl>
  </w:abstractNum>
  <w:abstractNum w:abstractNumId="16">
    <w:nsid w:val="6714DD2F"/>
    <w:multiLevelType w:val="multilevel"/>
    <w:tmpl w:val="6714DD2F"/>
    <w:lvl w:ilvl="0" w:tentative="0">
      <w:start w:val="1"/>
      <w:numFmt w:val="decimal"/>
      <w:suff w:val="space"/>
      <w:lvlText w:val="（%1）"/>
      <w:lvlJc w:val="left"/>
      <w:pPr>
        <w:ind w:left="0" w:firstLine="0"/>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58" w:hanging="525"/>
      </w:pPr>
      <w:rPr>
        <w:rFonts w:hint="default"/>
        <w:lang w:val="zh-CN" w:eastAsia="zh-CN" w:bidi="zh-CN"/>
      </w:rPr>
    </w:lvl>
    <w:lvl w:ilvl="2" w:tentative="0">
      <w:start w:val="0"/>
      <w:numFmt w:val="bullet"/>
      <w:lvlText w:val="•"/>
      <w:lvlJc w:val="left"/>
      <w:pPr>
        <w:ind w:left="3037" w:hanging="525"/>
      </w:pPr>
      <w:rPr>
        <w:rFonts w:hint="default"/>
        <w:lang w:val="zh-CN" w:eastAsia="zh-CN" w:bidi="zh-CN"/>
      </w:rPr>
    </w:lvl>
    <w:lvl w:ilvl="3" w:tentative="0">
      <w:start w:val="0"/>
      <w:numFmt w:val="bullet"/>
      <w:lvlText w:val="•"/>
      <w:lvlJc w:val="left"/>
      <w:pPr>
        <w:ind w:left="3915" w:hanging="525"/>
      </w:pPr>
      <w:rPr>
        <w:rFonts w:hint="default"/>
        <w:lang w:val="zh-CN" w:eastAsia="zh-CN" w:bidi="zh-CN"/>
      </w:rPr>
    </w:lvl>
    <w:lvl w:ilvl="4" w:tentative="0">
      <w:start w:val="0"/>
      <w:numFmt w:val="bullet"/>
      <w:lvlText w:val="•"/>
      <w:lvlJc w:val="left"/>
      <w:pPr>
        <w:ind w:left="4794" w:hanging="525"/>
      </w:pPr>
      <w:rPr>
        <w:rFonts w:hint="default"/>
        <w:lang w:val="zh-CN" w:eastAsia="zh-CN" w:bidi="zh-CN"/>
      </w:rPr>
    </w:lvl>
    <w:lvl w:ilvl="5" w:tentative="0">
      <w:start w:val="0"/>
      <w:numFmt w:val="bullet"/>
      <w:lvlText w:val="•"/>
      <w:lvlJc w:val="left"/>
      <w:pPr>
        <w:ind w:left="5673" w:hanging="525"/>
      </w:pPr>
      <w:rPr>
        <w:rFonts w:hint="default"/>
        <w:lang w:val="zh-CN" w:eastAsia="zh-CN" w:bidi="zh-CN"/>
      </w:rPr>
    </w:lvl>
    <w:lvl w:ilvl="6" w:tentative="0">
      <w:start w:val="0"/>
      <w:numFmt w:val="bullet"/>
      <w:lvlText w:val="•"/>
      <w:lvlJc w:val="left"/>
      <w:pPr>
        <w:ind w:left="6551" w:hanging="525"/>
      </w:pPr>
      <w:rPr>
        <w:rFonts w:hint="default"/>
        <w:lang w:val="zh-CN" w:eastAsia="zh-CN" w:bidi="zh-CN"/>
      </w:rPr>
    </w:lvl>
    <w:lvl w:ilvl="7" w:tentative="0">
      <w:start w:val="0"/>
      <w:numFmt w:val="bullet"/>
      <w:lvlText w:val="•"/>
      <w:lvlJc w:val="left"/>
      <w:pPr>
        <w:ind w:left="7430" w:hanging="525"/>
      </w:pPr>
      <w:rPr>
        <w:rFonts w:hint="default"/>
        <w:lang w:val="zh-CN" w:eastAsia="zh-CN" w:bidi="zh-CN"/>
      </w:rPr>
    </w:lvl>
    <w:lvl w:ilvl="8" w:tentative="0">
      <w:start w:val="0"/>
      <w:numFmt w:val="bullet"/>
      <w:lvlText w:val="•"/>
      <w:lvlJc w:val="left"/>
      <w:pPr>
        <w:ind w:left="8308" w:hanging="525"/>
      </w:pPr>
      <w:rPr>
        <w:rFonts w:hint="default"/>
        <w:lang w:val="zh-CN" w:eastAsia="zh-CN" w:bidi="zh-CN"/>
      </w:rPr>
    </w:lvl>
  </w:abstractNum>
  <w:abstractNum w:abstractNumId="17">
    <w:nsid w:val="7C246926"/>
    <w:multiLevelType w:val="multilevel"/>
    <w:tmpl w:val="7C246926"/>
    <w:lvl w:ilvl="0" w:tentative="0">
      <w:start w:val="1"/>
      <w:numFmt w:val="decimal"/>
      <w:lvlText w:val="%1."/>
      <w:lvlJc w:val="left"/>
      <w:pPr>
        <w:ind w:left="1089" w:hanging="212"/>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78" w:hanging="212"/>
      </w:pPr>
      <w:rPr>
        <w:rFonts w:hint="default"/>
        <w:lang w:val="zh-CN" w:eastAsia="zh-CN" w:bidi="zh-CN"/>
      </w:rPr>
    </w:lvl>
    <w:lvl w:ilvl="2" w:tentative="0">
      <w:start w:val="0"/>
      <w:numFmt w:val="bullet"/>
      <w:lvlText w:val="•"/>
      <w:lvlJc w:val="left"/>
      <w:pPr>
        <w:ind w:left="2877" w:hanging="212"/>
      </w:pPr>
      <w:rPr>
        <w:rFonts w:hint="default"/>
        <w:lang w:val="zh-CN" w:eastAsia="zh-CN" w:bidi="zh-CN"/>
      </w:rPr>
    </w:lvl>
    <w:lvl w:ilvl="3" w:tentative="0">
      <w:start w:val="0"/>
      <w:numFmt w:val="bullet"/>
      <w:lvlText w:val="•"/>
      <w:lvlJc w:val="left"/>
      <w:pPr>
        <w:ind w:left="3775" w:hanging="212"/>
      </w:pPr>
      <w:rPr>
        <w:rFonts w:hint="default"/>
        <w:lang w:val="zh-CN" w:eastAsia="zh-CN" w:bidi="zh-CN"/>
      </w:rPr>
    </w:lvl>
    <w:lvl w:ilvl="4" w:tentative="0">
      <w:start w:val="0"/>
      <w:numFmt w:val="bullet"/>
      <w:lvlText w:val="•"/>
      <w:lvlJc w:val="left"/>
      <w:pPr>
        <w:ind w:left="4674"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71" w:hanging="212"/>
      </w:pPr>
      <w:rPr>
        <w:rFonts w:hint="default"/>
        <w:lang w:val="zh-CN" w:eastAsia="zh-CN" w:bidi="zh-CN"/>
      </w:rPr>
    </w:lvl>
    <w:lvl w:ilvl="7" w:tentative="0">
      <w:start w:val="0"/>
      <w:numFmt w:val="bullet"/>
      <w:lvlText w:val="•"/>
      <w:lvlJc w:val="left"/>
      <w:pPr>
        <w:ind w:left="7370" w:hanging="212"/>
      </w:pPr>
      <w:rPr>
        <w:rFonts w:hint="default"/>
        <w:lang w:val="zh-CN" w:eastAsia="zh-CN" w:bidi="zh-CN"/>
      </w:rPr>
    </w:lvl>
    <w:lvl w:ilvl="8" w:tentative="0">
      <w:start w:val="0"/>
      <w:numFmt w:val="bullet"/>
      <w:lvlText w:val="•"/>
      <w:lvlJc w:val="left"/>
      <w:pPr>
        <w:ind w:left="8268" w:hanging="212"/>
      </w:pPr>
      <w:rPr>
        <w:rFonts w:hint="default"/>
        <w:lang w:val="zh-CN" w:eastAsia="zh-CN" w:bidi="zh-CN"/>
      </w:rPr>
    </w:lvl>
  </w:abstractNum>
  <w:num w:numId="1">
    <w:abstractNumId w:val="8"/>
  </w:num>
  <w:num w:numId="2">
    <w:abstractNumId w:val="4"/>
  </w:num>
  <w:num w:numId="3">
    <w:abstractNumId w:val="9"/>
  </w:num>
  <w:num w:numId="4">
    <w:abstractNumId w:val="6"/>
  </w:num>
  <w:num w:numId="5">
    <w:abstractNumId w:val="13"/>
  </w:num>
  <w:num w:numId="6">
    <w:abstractNumId w:val="3"/>
  </w:num>
  <w:num w:numId="7">
    <w:abstractNumId w:val="0"/>
  </w:num>
  <w:num w:numId="8">
    <w:abstractNumId w:val="10"/>
  </w:num>
  <w:num w:numId="9">
    <w:abstractNumId w:val="14"/>
  </w:num>
  <w:num w:numId="10">
    <w:abstractNumId w:val="16"/>
  </w:num>
  <w:num w:numId="11">
    <w:abstractNumId w:val="11"/>
  </w:num>
  <w:num w:numId="12">
    <w:abstractNumId w:val="15"/>
  </w:num>
  <w:num w:numId="13">
    <w:abstractNumId w:val="5"/>
  </w:num>
  <w:num w:numId="14">
    <w:abstractNumId w:val="2"/>
  </w:num>
  <w:num w:numId="15">
    <w:abstractNumId w:val="12"/>
  </w:num>
  <w:num w:numId="16">
    <w:abstractNumId w:val="17"/>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463A"/>
    <w:rsid w:val="0004109D"/>
    <w:rsid w:val="00044DE3"/>
    <w:rsid w:val="0005033E"/>
    <w:rsid w:val="00050916"/>
    <w:rsid w:val="00063696"/>
    <w:rsid w:val="0007074F"/>
    <w:rsid w:val="00085178"/>
    <w:rsid w:val="0008667D"/>
    <w:rsid w:val="00091C73"/>
    <w:rsid w:val="000C2C14"/>
    <w:rsid w:val="000C5F59"/>
    <w:rsid w:val="000D4A4E"/>
    <w:rsid w:val="000E3C5E"/>
    <w:rsid w:val="000E77CA"/>
    <w:rsid w:val="000F6833"/>
    <w:rsid w:val="00132E67"/>
    <w:rsid w:val="001336A3"/>
    <w:rsid w:val="00135257"/>
    <w:rsid w:val="00141CDD"/>
    <w:rsid w:val="00167779"/>
    <w:rsid w:val="00172A27"/>
    <w:rsid w:val="00174FD3"/>
    <w:rsid w:val="00176374"/>
    <w:rsid w:val="00182C7B"/>
    <w:rsid w:val="0018634E"/>
    <w:rsid w:val="0018636A"/>
    <w:rsid w:val="00196CBC"/>
    <w:rsid w:val="00197781"/>
    <w:rsid w:val="001B0960"/>
    <w:rsid w:val="001C3968"/>
    <w:rsid w:val="001F2676"/>
    <w:rsid w:val="001F43BF"/>
    <w:rsid w:val="001F73BF"/>
    <w:rsid w:val="002102A9"/>
    <w:rsid w:val="002313AE"/>
    <w:rsid w:val="0024149F"/>
    <w:rsid w:val="00252E06"/>
    <w:rsid w:val="00282CD9"/>
    <w:rsid w:val="00287B32"/>
    <w:rsid w:val="00296B53"/>
    <w:rsid w:val="002A1E1F"/>
    <w:rsid w:val="002A68A7"/>
    <w:rsid w:val="002B3C63"/>
    <w:rsid w:val="002D565F"/>
    <w:rsid w:val="002E51E7"/>
    <w:rsid w:val="002F22D9"/>
    <w:rsid w:val="00307BF4"/>
    <w:rsid w:val="003101D0"/>
    <w:rsid w:val="00311064"/>
    <w:rsid w:val="00314832"/>
    <w:rsid w:val="00336B86"/>
    <w:rsid w:val="00341B8D"/>
    <w:rsid w:val="0035409D"/>
    <w:rsid w:val="00362A58"/>
    <w:rsid w:val="0036305A"/>
    <w:rsid w:val="00371603"/>
    <w:rsid w:val="00377D5A"/>
    <w:rsid w:val="003858AB"/>
    <w:rsid w:val="00387BB9"/>
    <w:rsid w:val="003A11CE"/>
    <w:rsid w:val="003B1AC4"/>
    <w:rsid w:val="003B27E8"/>
    <w:rsid w:val="003C6B1C"/>
    <w:rsid w:val="003F2A29"/>
    <w:rsid w:val="003F639B"/>
    <w:rsid w:val="0041565D"/>
    <w:rsid w:val="00426141"/>
    <w:rsid w:val="00442877"/>
    <w:rsid w:val="00463009"/>
    <w:rsid w:val="004732FC"/>
    <w:rsid w:val="00475CAB"/>
    <w:rsid w:val="004831A7"/>
    <w:rsid w:val="0049485A"/>
    <w:rsid w:val="004A0A49"/>
    <w:rsid w:val="004C1404"/>
    <w:rsid w:val="004C3805"/>
    <w:rsid w:val="004E1654"/>
    <w:rsid w:val="004E1F80"/>
    <w:rsid w:val="004F61A7"/>
    <w:rsid w:val="004F7653"/>
    <w:rsid w:val="00550441"/>
    <w:rsid w:val="00555739"/>
    <w:rsid w:val="00561CAD"/>
    <w:rsid w:val="00564694"/>
    <w:rsid w:val="00570AB4"/>
    <w:rsid w:val="005A71E1"/>
    <w:rsid w:val="005D307C"/>
    <w:rsid w:val="005E4BA9"/>
    <w:rsid w:val="005E73B1"/>
    <w:rsid w:val="005F29D8"/>
    <w:rsid w:val="00632298"/>
    <w:rsid w:val="0063483F"/>
    <w:rsid w:val="00654E36"/>
    <w:rsid w:val="00660007"/>
    <w:rsid w:val="006860AE"/>
    <w:rsid w:val="006A359E"/>
    <w:rsid w:val="006B5C4A"/>
    <w:rsid w:val="00723734"/>
    <w:rsid w:val="007363A5"/>
    <w:rsid w:val="007472BA"/>
    <w:rsid w:val="00752FB7"/>
    <w:rsid w:val="00753078"/>
    <w:rsid w:val="007669B5"/>
    <w:rsid w:val="00775ADF"/>
    <w:rsid w:val="0079618A"/>
    <w:rsid w:val="007B3547"/>
    <w:rsid w:val="007C0D5E"/>
    <w:rsid w:val="007C78D4"/>
    <w:rsid w:val="007E0818"/>
    <w:rsid w:val="00807044"/>
    <w:rsid w:val="0081132A"/>
    <w:rsid w:val="0082232C"/>
    <w:rsid w:val="00837DAA"/>
    <w:rsid w:val="0084514C"/>
    <w:rsid w:val="00865B90"/>
    <w:rsid w:val="00897398"/>
    <w:rsid w:val="008A6DC0"/>
    <w:rsid w:val="008D565E"/>
    <w:rsid w:val="008F501E"/>
    <w:rsid w:val="0091336A"/>
    <w:rsid w:val="009209AD"/>
    <w:rsid w:val="00930620"/>
    <w:rsid w:val="00935DFC"/>
    <w:rsid w:val="0094275C"/>
    <w:rsid w:val="00951490"/>
    <w:rsid w:val="0096169B"/>
    <w:rsid w:val="009858CE"/>
    <w:rsid w:val="009867F6"/>
    <w:rsid w:val="00987CAD"/>
    <w:rsid w:val="009A5323"/>
    <w:rsid w:val="009B0A10"/>
    <w:rsid w:val="009B3C52"/>
    <w:rsid w:val="009C03B5"/>
    <w:rsid w:val="009D5D34"/>
    <w:rsid w:val="009D7F2D"/>
    <w:rsid w:val="009E4055"/>
    <w:rsid w:val="009E6CE9"/>
    <w:rsid w:val="009F1DF6"/>
    <w:rsid w:val="009F514E"/>
    <w:rsid w:val="00A01AF2"/>
    <w:rsid w:val="00A07A19"/>
    <w:rsid w:val="00A16780"/>
    <w:rsid w:val="00A27FD7"/>
    <w:rsid w:val="00A37D31"/>
    <w:rsid w:val="00A47326"/>
    <w:rsid w:val="00A52978"/>
    <w:rsid w:val="00A736F2"/>
    <w:rsid w:val="00A765D3"/>
    <w:rsid w:val="00A77534"/>
    <w:rsid w:val="00A85970"/>
    <w:rsid w:val="00A900B0"/>
    <w:rsid w:val="00A9498A"/>
    <w:rsid w:val="00AA2532"/>
    <w:rsid w:val="00AC460C"/>
    <w:rsid w:val="00AD3132"/>
    <w:rsid w:val="00AD3304"/>
    <w:rsid w:val="00AD5BF6"/>
    <w:rsid w:val="00AF4700"/>
    <w:rsid w:val="00B21D44"/>
    <w:rsid w:val="00B43DEA"/>
    <w:rsid w:val="00B451A1"/>
    <w:rsid w:val="00B5127E"/>
    <w:rsid w:val="00B5423D"/>
    <w:rsid w:val="00B81A8B"/>
    <w:rsid w:val="00B820FC"/>
    <w:rsid w:val="00B84C5D"/>
    <w:rsid w:val="00BC06E9"/>
    <w:rsid w:val="00BC734B"/>
    <w:rsid w:val="00BF024A"/>
    <w:rsid w:val="00BF6542"/>
    <w:rsid w:val="00C346D2"/>
    <w:rsid w:val="00C400E9"/>
    <w:rsid w:val="00C44A03"/>
    <w:rsid w:val="00C73DFA"/>
    <w:rsid w:val="00C75354"/>
    <w:rsid w:val="00C90892"/>
    <w:rsid w:val="00C92FBB"/>
    <w:rsid w:val="00C94CF3"/>
    <w:rsid w:val="00CA30F8"/>
    <w:rsid w:val="00CB0D3C"/>
    <w:rsid w:val="00CB1DD2"/>
    <w:rsid w:val="00CC3780"/>
    <w:rsid w:val="00CC5E25"/>
    <w:rsid w:val="00CD4A4B"/>
    <w:rsid w:val="00CD59AB"/>
    <w:rsid w:val="00CD6789"/>
    <w:rsid w:val="00CE76F1"/>
    <w:rsid w:val="00CF35D2"/>
    <w:rsid w:val="00CF6904"/>
    <w:rsid w:val="00D034C0"/>
    <w:rsid w:val="00D33917"/>
    <w:rsid w:val="00D42560"/>
    <w:rsid w:val="00D5421D"/>
    <w:rsid w:val="00D546BB"/>
    <w:rsid w:val="00D603BD"/>
    <w:rsid w:val="00D71D39"/>
    <w:rsid w:val="00D72D20"/>
    <w:rsid w:val="00D7342B"/>
    <w:rsid w:val="00D80DCD"/>
    <w:rsid w:val="00DA2772"/>
    <w:rsid w:val="00DA291E"/>
    <w:rsid w:val="00DA5CFB"/>
    <w:rsid w:val="00DB7985"/>
    <w:rsid w:val="00DB7F1F"/>
    <w:rsid w:val="00DC1873"/>
    <w:rsid w:val="00DD1FB5"/>
    <w:rsid w:val="00DF5910"/>
    <w:rsid w:val="00E00122"/>
    <w:rsid w:val="00E03944"/>
    <w:rsid w:val="00E1200D"/>
    <w:rsid w:val="00E15E6F"/>
    <w:rsid w:val="00E219A8"/>
    <w:rsid w:val="00E4662B"/>
    <w:rsid w:val="00E472E9"/>
    <w:rsid w:val="00E512BC"/>
    <w:rsid w:val="00E6102C"/>
    <w:rsid w:val="00E61294"/>
    <w:rsid w:val="00E77C15"/>
    <w:rsid w:val="00E82A74"/>
    <w:rsid w:val="00E92718"/>
    <w:rsid w:val="00E95650"/>
    <w:rsid w:val="00E96223"/>
    <w:rsid w:val="00EB7A52"/>
    <w:rsid w:val="00EC160C"/>
    <w:rsid w:val="00EC7736"/>
    <w:rsid w:val="00EE5FFE"/>
    <w:rsid w:val="00EF670C"/>
    <w:rsid w:val="00EF7F20"/>
    <w:rsid w:val="00F00F86"/>
    <w:rsid w:val="00F00F9C"/>
    <w:rsid w:val="00F01790"/>
    <w:rsid w:val="00F024C9"/>
    <w:rsid w:val="00F03C4A"/>
    <w:rsid w:val="00F10B04"/>
    <w:rsid w:val="00F22EA7"/>
    <w:rsid w:val="00F32D63"/>
    <w:rsid w:val="00F43E05"/>
    <w:rsid w:val="00F472AD"/>
    <w:rsid w:val="00F751C6"/>
    <w:rsid w:val="00F90614"/>
    <w:rsid w:val="00F94BA3"/>
    <w:rsid w:val="00F965F6"/>
    <w:rsid w:val="00FB72ED"/>
    <w:rsid w:val="00FB7936"/>
    <w:rsid w:val="00FC48C4"/>
    <w:rsid w:val="00FC6C67"/>
    <w:rsid w:val="00FE5DE0"/>
    <w:rsid w:val="00FF4F66"/>
    <w:rsid w:val="01062E2B"/>
    <w:rsid w:val="012517FE"/>
    <w:rsid w:val="0187435E"/>
    <w:rsid w:val="01A409AF"/>
    <w:rsid w:val="03B27B24"/>
    <w:rsid w:val="03D95F38"/>
    <w:rsid w:val="04367252"/>
    <w:rsid w:val="05BE786C"/>
    <w:rsid w:val="05C632D9"/>
    <w:rsid w:val="06003CCE"/>
    <w:rsid w:val="0615590E"/>
    <w:rsid w:val="06310E4D"/>
    <w:rsid w:val="066A5826"/>
    <w:rsid w:val="06BA76E5"/>
    <w:rsid w:val="06CC3F32"/>
    <w:rsid w:val="06F7003B"/>
    <w:rsid w:val="07556E8A"/>
    <w:rsid w:val="07863041"/>
    <w:rsid w:val="08667B25"/>
    <w:rsid w:val="088B30BF"/>
    <w:rsid w:val="08DF320A"/>
    <w:rsid w:val="093E1C56"/>
    <w:rsid w:val="09822D7B"/>
    <w:rsid w:val="09863D29"/>
    <w:rsid w:val="09CB73D0"/>
    <w:rsid w:val="0AAC7A9E"/>
    <w:rsid w:val="0B474A52"/>
    <w:rsid w:val="0BE74158"/>
    <w:rsid w:val="0C824D13"/>
    <w:rsid w:val="0CCB3F73"/>
    <w:rsid w:val="0CE06E72"/>
    <w:rsid w:val="0D392A04"/>
    <w:rsid w:val="0D3D52BD"/>
    <w:rsid w:val="0D47082E"/>
    <w:rsid w:val="0DC77D41"/>
    <w:rsid w:val="0DD34AFE"/>
    <w:rsid w:val="0DF2041B"/>
    <w:rsid w:val="0E1E0F90"/>
    <w:rsid w:val="0FDF6446"/>
    <w:rsid w:val="113D76FF"/>
    <w:rsid w:val="12540866"/>
    <w:rsid w:val="12FC0D06"/>
    <w:rsid w:val="13BA436C"/>
    <w:rsid w:val="13D5088B"/>
    <w:rsid w:val="14046A4C"/>
    <w:rsid w:val="142C700E"/>
    <w:rsid w:val="150D3B3E"/>
    <w:rsid w:val="152712EF"/>
    <w:rsid w:val="15C176EB"/>
    <w:rsid w:val="15C22CC9"/>
    <w:rsid w:val="162B4E78"/>
    <w:rsid w:val="16471298"/>
    <w:rsid w:val="166269B5"/>
    <w:rsid w:val="166B068C"/>
    <w:rsid w:val="168C34B3"/>
    <w:rsid w:val="16A5277A"/>
    <w:rsid w:val="16B2400F"/>
    <w:rsid w:val="16BF01DC"/>
    <w:rsid w:val="176B3257"/>
    <w:rsid w:val="17DE3C37"/>
    <w:rsid w:val="17F824AA"/>
    <w:rsid w:val="182A7A12"/>
    <w:rsid w:val="19414367"/>
    <w:rsid w:val="1985498C"/>
    <w:rsid w:val="19B6011F"/>
    <w:rsid w:val="19C71B90"/>
    <w:rsid w:val="19CC49F4"/>
    <w:rsid w:val="1A5B0F89"/>
    <w:rsid w:val="1A7469F2"/>
    <w:rsid w:val="1A994B70"/>
    <w:rsid w:val="1AA16CC6"/>
    <w:rsid w:val="1AEC2703"/>
    <w:rsid w:val="1AF115ED"/>
    <w:rsid w:val="1B155EAF"/>
    <w:rsid w:val="1B707A24"/>
    <w:rsid w:val="1BBD6643"/>
    <w:rsid w:val="1CC177C3"/>
    <w:rsid w:val="1CD84DBB"/>
    <w:rsid w:val="1D1C3FBB"/>
    <w:rsid w:val="1D8E17CF"/>
    <w:rsid w:val="1DED457B"/>
    <w:rsid w:val="1EAD12FC"/>
    <w:rsid w:val="1F5255F9"/>
    <w:rsid w:val="1F543024"/>
    <w:rsid w:val="208B19A5"/>
    <w:rsid w:val="209E4F15"/>
    <w:rsid w:val="217F2905"/>
    <w:rsid w:val="2192338D"/>
    <w:rsid w:val="21D27810"/>
    <w:rsid w:val="22401454"/>
    <w:rsid w:val="22BE3DEE"/>
    <w:rsid w:val="232A1E35"/>
    <w:rsid w:val="23370864"/>
    <w:rsid w:val="239B684F"/>
    <w:rsid w:val="23C2496E"/>
    <w:rsid w:val="23D34DED"/>
    <w:rsid w:val="24282B6A"/>
    <w:rsid w:val="24695A41"/>
    <w:rsid w:val="24F14F11"/>
    <w:rsid w:val="251936FB"/>
    <w:rsid w:val="2547085C"/>
    <w:rsid w:val="2591122C"/>
    <w:rsid w:val="25995D62"/>
    <w:rsid w:val="25B7311E"/>
    <w:rsid w:val="2680607A"/>
    <w:rsid w:val="26E92BF4"/>
    <w:rsid w:val="270C044F"/>
    <w:rsid w:val="272653B2"/>
    <w:rsid w:val="276F0768"/>
    <w:rsid w:val="27C13440"/>
    <w:rsid w:val="2811129B"/>
    <w:rsid w:val="285B2E85"/>
    <w:rsid w:val="28AB7AE7"/>
    <w:rsid w:val="28E96926"/>
    <w:rsid w:val="290C2B9F"/>
    <w:rsid w:val="2941258A"/>
    <w:rsid w:val="29B6164B"/>
    <w:rsid w:val="2A202568"/>
    <w:rsid w:val="2A2A31FB"/>
    <w:rsid w:val="2A4173DE"/>
    <w:rsid w:val="2A797435"/>
    <w:rsid w:val="2A892112"/>
    <w:rsid w:val="2AC27623"/>
    <w:rsid w:val="2B333B0B"/>
    <w:rsid w:val="2BB3097B"/>
    <w:rsid w:val="2C2E3CE6"/>
    <w:rsid w:val="2C580386"/>
    <w:rsid w:val="2C614287"/>
    <w:rsid w:val="2D213D40"/>
    <w:rsid w:val="2D455604"/>
    <w:rsid w:val="2D5928A5"/>
    <w:rsid w:val="2D993182"/>
    <w:rsid w:val="2DAC691C"/>
    <w:rsid w:val="2E433503"/>
    <w:rsid w:val="2ECA6C12"/>
    <w:rsid w:val="2ED40CB3"/>
    <w:rsid w:val="2EE660D3"/>
    <w:rsid w:val="2F3864EB"/>
    <w:rsid w:val="2FB92DAD"/>
    <w:rsid w:val="3072449C"/>
    <w:rsid w:val="311A41DA"/>
    <w:rsid w:val="31FD52EF"/>
    <w:rsid w:val="324A6323"/>
    <w:rsid w:val="328848C4"/>
    <w:rsid w:val="32C82950"/>
    <w:rsid w:val="33CF6C49"/>
    <w:rsid w:val="34A01E1C"/>
    <w:rsid w:val="34C25213"/>
    <w:rsid w:val="34F5132A"/>
    <w:rsid w:val="351738D1"/>
    <w:rsid w:val="35B55EAA"/>
    <w:rsid w:val="35BC5BE5"/>
    <w:rsid w:val="35FE0CB0"/>
    <w:rsid w:val="363216FE"/>
    <w:rsid w:val="36CA4452"/>
    <w:rsid w:val="37782B92"/>
    <w:rsid w:val="37CC1269"/>
    <w:rsid w:val="37EA3ED9"/>
    <w:rsid w:val="37F00D90"/>
    <w:rsid w:val="38366478"/>
    <w:rsid w:val="384F5489"/>
    <w:rsid w:val="393A5CA5"/>
    <w:rsid w:val="393C07BA"/>
    <w:rsid w:val="39691C6F"/>
    <w:rsid w:val="397D2A6D"/>
    <w:rsid w:val="39AE4312"/>
    <w:rsid w:val="3A113734"/>
    <w:rsid w:val="3A2B326B"/>
    <w:rsid w:val="3A4442C2"/>
    <w:rsid w:val="3A77739C"/>
    <w:rsid w:val="3AA3116C"/>
    <w:rsid w:val="3AC668AF"/>
    <w:rsid w:val="3AFE0370"/>
    <w:rsid w:val="3B012911"/>
    <w:rsid w:val="3BD116D4"/>
    <w:rsid w:val="3C0C3254"/>
    <w:rsid w:val="3CC00B41"/>
    <w:rsid w:val="3CCC47F0"/>
    <w:rsid w:val="3CE47178"/>
    <w:rsid w:val="3D1103C1"/>
    <w:rsid w:val="3DAA56D0"/>
    <w:rsid w:val="3DC83D06"/>
    <w:rsid w:val="3E7C2CB0"/>
    <w:rsid w:val="3F7F1208"/>
    <w:rsid w:val="40004E3C"/>
    <w:rsid w:val="404B7F90"/>
    <w:rsid w:val="404E6ADB"/>
    <w:rsid w:val="408F792A"/>
    <w:rsid w:val="40E047FE"/>
    <w:rsid w:val="41161910"/>
    <w:rsid w:val="41163D9F"/>
    <w:rsid w:val="421967FA"/>
    <w:rsid w:val="423964D5"/>
    <w:rsid w:val="42A42AB7"/>
    <w:rsid w:val="42A96D45"/>
    <w:rsid w:val="438A333E"/>
    <w:rsid w:val="43A64F4F"/>
    <w:rsid w:val="446914D6"/>
    <w:rsid w:val="449A2250"/>
    <w:rsid w:val="44D10013"/>
    <w:rsid w:val="457A5ADA"/>
    <w:rsid w:val="46384C7E"/>
    <w:rsid w:val="466A6E10"/>
    <w:rsid w:val="47011A26"/>
    <w:rsid w:val="47F1238C"/>
    <w:rsid w:val="48276319"/>
    <w:rsid w:val="48295402"/>
    <w:rsid w:val="49DC3B8D"/>
    <w:rsid w:val="49F118E3"/>
    <w:rsid w:val="4A5739C2"/>
    <w:rsid w:val="4A8052BD"/>
    <w:rsid w:val="4BC02FC8"/>
    <w:rsid w:val="4C6D2559"/>
    <w:rsid w:val="4C7A17AC"/>
    <w:rsid w:val="4CBF461A"/>
    <w:rsid w:val="4D0F5B4F"/>
    <w:rsid w:val="4D241C27"/>
    <w:rsid w:val="4E727339"/>
    <w:rsid w:val="4E7C096E"/>
    <w:rsid w:val="4E9C4E24"/>
    <w:rsid w:val="4EB21F5F"/>
    <w:rsid w:val="4F9F3FEF"/>
    <w:rsid w:val="4FCE1A5D"/>
    <w:rsid w:val="4FE35E21"/>
    <w:rsid w:val="500171A4"/>
    <w:rsid w:val="502563F3"/>
    <w:rsid w:val="505E54CE"/>
    <w:rsid w:val="506A7B68"/>
    <w:rsid w:val="50ED1D64"/>
    <w:rsid w:val="51B009A1"/>
    <w:rsid w:val="51BF6C27"/>
    <w:rsid w:val="53277A6E"/>
    <w:rsid w:val="53A42006"/>
    <w:rsid w:val="54C17AFF"/>
    <w:rsid w:val="55240CCB"/>
    <w:rsid w:val="552B60D9"/>
    <w:rsid w:val="55323F41"/>
    <w:rsid w:val="558C5891"/>
    <w:rsid w:val="55E14643"/>
    <w:rsid w:val="567E3C35"/>
    <w:rsid w:val="56C35B25"/>
    <w:rsid w:val="57720F6B"/>
    <w:rsid w:val="588F44A6"/>
    <w:rsid w:val="58E82912"/>
    <w:rsid w:val="58F1463C"/>
    <w:rsid w:val="59FE081C"/>
    <w:rsid w:val="5A2450C1"/>
    <w:rsid w:val="5A5F35F9"/>
    <w:rsid w:val="5AAA078D"/>
    <w:rsid w:val="5AEB4184"/>
    <w:rsid w:val="5AF0528B"/>
    <w:rsid w:val="5B2757D8"/>
    <w:rsid w:val="5B5021CF"/>
    <w:rsid w:val="5B71593D"/>
    <w:rsid w:val="5BB34422"/>
    <w:rsid w:val="5BE86D67"/>
    <w:rsid w:val="5C97070A"/>
    <w:rsid w:val="5D361A08"/>
    <w:rsid w:val="5E647EFB"/>
    <w:rsid w:val="5E8472BB"/>
    <w:rsid w:val="5EE52264"/>
    <w:rsid w:val="5F3E09CB"/>
    <w:rsid w:val="5F6B0BD2"/>
    <w:rsid w:val="5F8C55F7"/>
    <w:rsid w:val="60233744"/>
    <w:rsid w:val="60347742"/>
    <w:rsid w:val="60E762A8"/>
    <w:rsid w:val="60F956D1"/>
    <w:rsid w:val="612F681B"/>
    <w:rsid w:val="61301121"/>
    <w:rsid w:val="61482603"/>
    <w:rsid w:val="62961D61"/>
    <w:rsid w:val="62C76417"/>
    <w:rsid w:val="62EC6463"/>
    <w:rsid w:val="63000B5A"/>
    <w:rsid w:val="63574FCC"/>
    <w:rsid w:val="63803107"/>
    <w:rsid w:val="63D960D3"/>
    <w:rsid w:val="64FA454E"/>
    <w:rsid w:val="652538D6"/>
    <w:rsid w:val="65396121"/>
    <w:rsid w:val="662C766D"/>
    <w:rsid w:val="6630566A"/>
    <w:rsid w:val="667D5BAA"/>
    <w:rsid w:val="675554E4"/>
    <w:rsid w:val="67D75250"/>
    <w:rsid w:val="683C14EC"/>
    <w:rsid w:val="693A23AF"/>
    <w:rsid w:val="698A740A"/>
    <w:rsid w:val="6A8263D5"/>
    <w:rsid w:val="6AEA40C1"/>
    <w:rsid w:val="6B332863"/>
    <w:rsid w:val="6B980798"/>
    <w:rsid w:val="6CA24F2C"/>
    <w:rsid w:val="6D51271D"/>
    <w:rsid w:val="6F8F0416"/>
    <w:rsid w:val="6FE74839"/>
    <w:rsid w:val="6FF25F59"/>
    <w:rsid w:val="70B73DC7"/>
    <w:rsid w:val="70BD6200"/>
    <w:rsid w:val="72047A7D"/>
    <w:rsid w:val="72726301"/>
    <w:rsid w:val="72B65817"/>
    <w:rsid w:val="72E522B2"/>
    <w:rsid w:val="736D0EB5"/>
    <w:rsid w:val="73AA4C0C"/>
    <w:rsid w:val="73C07BAD"/>
    <w:rsid w:val="73DD7289"/>
    <w:rsid w:val="74786A79"/>
    <w:rsid w:val="74C25CDD"/>
    <w:rsid w:val="752F5AD6"/>
    <w:rsid w:val="755A0B83"/>
    <w:rsid w:val="756E3CA6"/>
    <w:rsid w:val="76395ABF"/>
    <w:rsid w:val="765252BD"/>
    <w:rsid w:val="767631E8"/>
    <w:rsid w:val="76C053AB"/>
    <w:rsid w:val="77561042"/>
    <w:rsid w:val="77723116"/>
    <w:rsid w:val="77BA48DD"/>
    <w:rsid w:val="77D422A9"/>
    <w:rsid w:val="77D61F8F"/>
    <w:rsid w:val="78151DA6"/>
    <w:rsid w:val="78AA7E2A"/>
    <w:rsid w:val="790A1F97"/>
    <w:rsid w:val="79C94095"/>
    <w:rsid w:val="7A63316C"/>
    <w:rsid w:val="7AD608BA"/>
    <w:rsid w:val="7AD83921"/>
    <w:rsid w:val="7AED51D4"/>
    <w:rsid w:val="7B064B6A"/>
    <w:rsid w:val="7B295253"/>
    <w:rsid w:val="7B38120C"/>
    <w:rsid w:val="7BA57BF0"/>
    <w:rsid w:val="7C09056E"/>
    <w:rsid w:val="7C516A1D"/>
    <w:rsid w:val="7C9D4578"/>
    <w:rsid w:val="7D2A72A9"/>
    <w:rsid w:val="7D9159AD"/>
    <w:rsid w:val="7DC659FF"/>
    <w:rsid w:val="7E03580C"/>
    <w:rsid w:val="7E0A0634"/>
    <w:rsid w:val="7E346E0B"/>
    <w:rsid w:val="7E905A43"/>
    <w:rsid w:val="7E9B6362"/>
    <w:rsid w:val="7EA41082"/>
    <w:rsid w:val="7EC35FDD"/>
    <w:rsid w:val="7EF33995"/>
    <w:rsid w:val="7FFD1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outlineLvl w:val="0"/>
    </w:pPr>
    <w:rPr>
      <w:b/>
      <w:bCs/>
      <w:sz w:val="36"/>
      <w:szCs w:val="36"/>
    </w:rPr>
  </w:style>
  <w:style w:type="paragraph" w:styleId="4">
    <w:name w:val="heading 2"/>
    <w:basedOn w:val="1"/>
    <w:next w:val="1"/>
    <w:qFormat/>
    <w:uiPriority w:val="1"/>
    <w:pPr>
      <w:spacing w:before="44"/>
      <w:ind w:left="705" w:right="905"/>
      <w:jc w:val="center"/>
      <w:outlineLvl w:val="1"/>
    </w:pPr>
    <w:rPr>
      <w:b/>
      <w:bCs/>
      <w:sz w:val="32"/>
      <w:szCs w:val="32"/>
    </w:rPr>
  </w:style>
  <w:style w:type="paragraph" w:styleId="5">
    <w:name w:val="heading 3"/>
    <w:basedOn w:val="1"/>
    <w:next w:val="1"/>
    <w:qFormat/>
    <w:uiPriority w:val="1"/>
    <w:pPr>
      <w:ind w:left="112"/>
      <w:outlineLvl w:val="2"/>
    </w:pPr>
    <w:rPr>
      <w:b/>
      <w:bCs/>
      <w:sz w:val="30"/>
      <w:szCs w:val="30"/>
    </w:rPr>
  </w:style>
  <w:style w:type="paragraph" w:styleId="6">
    <w:name w:val="heading 4"/>
    <w:basedOn w:val="1"/>
    <w:next w:val="1"/>
    <w:qFormat/>
    <w:uiPriority w:val="1"/>
    <w:pPr>
      <w:spacing w:before="61"/>
      <w:ind w:left="398"/>
      <w:outlineLvl w:val="3"/>
    </w:pPr>
    <w:rPr>
      <w:rFonts w:ascii="仿宋" w:hAnsi="仿宋" w:eastAsia="仿宋" w:cs="仿宋"/>
      <w:sz w:val="28"/>
      <w:szCs w:val="28"/>
    </w:rPr>
  </w:style>
  <w:style w:type="paragraph" w:styleId="7">
    <w:name w:val="heading 5"/>
    <w:basedOn w:val="1"/>
    <w:next w:val="1"/>
    <w:qFormat/>
    <w:uiPriority w:val="1"/>
    <w:pPr>
      <w:ind w:left="532"/>
      <w:outlineLvl w:val="4"/>
    </w:pPr>
    <w:rPr>
      <w:b/>
      <w:bCs/>
      <w:sz w:val="21"/>
      <w:szCs w:val="21"/>
    </w:rPr>
  </w:style>
  <w:style w:type="paragraph" w:styleId="8">
    <w:name w:val="heading 6"/>
    <w:basedOn w:val="1"/>
    <w:next w:val="1"/>
    <w:qFormat/>
    <w:uiPriority w:val="0"/>
    <w:pPr>
      <w:keepNext/>
      <w:keepLines/>
      <w:numPr>
        <w:ilvl w:val="5"/>
        <w:numId w:val="1"/>
      </w:numPr>
      <w:spacing w:line="319" w:lineRule="auto"/>
      <w:outlineLvl w:val="5"/>
    </w:pPr>
    <w:rPr>
      <w:rFonts w:ascii="Arial" w:hAnsi="Arial" w:eastAsia="黑体"/>
      <w:b/>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9">
    <w:name w:val="toa heading"/>
    <w:basedOn w:val="1"/>
    <w:next w:val="1"/>
    <w:unhideWhenUsed/>
    <w:qFormat/>
    <w:uiPriority w:val="99"/>
    <w:pPr>
      <w:spacing w:before="120"/>
    </w:pPr>
    <w:rPr>
      <w:rFonts w:ascii="Cambria" w:hAnsi="Cambria" w:cs="Times New Roman"/>
      <w:sz w:val="24"/>
      <w:szCs w:val="24"/>
    </w:rPr>
  </w:style>
  <w:style w:type="paragraph" w:styleId="10">
    <w:name w:val="annotation text"/>
    <w:basedOn w:val="1"/>
    <w:link w:val="43"/>
    <w:semiHidden/>
    <w:unhideWhenUsed/>
    <w:qFormat/>
    <w:uiPriority w:val="0"/>
  </w:style>
  <w:style w:type="paragraph" w:styleId="11">
    <w:name w:val="Body Text Indent"/>
    <w:basedOn w:val="1"/>
    <w:link w:val="45"/>
    <w:semiHidden/>
    <w:unhideWhenUsed/>
    <w:qFormat/>
    <w:uiPriority w:val="0"/>
    <w:pPr>
      <w:spacing w:after="120"/>
      <w:ind w:left="420" w:leftChars="200"/>
    </w:pPr>
  </w:style>
  <w:style w:type="paragraph" w:styleId="12">
    <w:name w:val="Plain Text"/>
    <w:basedOn w:val="1"/>
    <w:next w:val="6"/>
    <w:qFormat/>
    <w:uiPriority w:val="0"/>
    <w:rPr>
      <w:rFonts w:hAnsi="Courier New"/>
      <w:sz w:val="20"/>
      <w:szCs w:val="21"/>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494"/>
      <w:ind w:left="211"/>
    </w:pPr>
    <w:rPr>
      <w:b/>
      <w:bCs/>
      <w:sz w:val="28"/>
      <w:szCs w:val="28"/>
    </w:rPr>
  </w:style>
  <w:style w:type="paragraph" w:styleId="17">
    <w:name w:val="toc 6"/>
    <w:basedOn w:val="1"/>
    <w:next w:val="1"/>
    <w:unhideWhenUsed/>
    <w:qFormat/>
    <w:uiPriority w:val="39"/>
    <w:pPr>
      <w:ind w:left="141" w:leftChars="67"/>
    </w:pPr>
    <w:rPr>
      <w:rFonts w:ascii="Times New Roman" w:hAnsi="Times New Roman" w:eastAsia="仿宋_GB2312"/>
      <w:sz w:val="32"/>
      <w:szCs w:val="32"/>
    </w:rPr>
  </w:style>
  <w:style w:type="paragraph" w:styleId="18">
    <w:name w:val="toc 2"/>
    <w:basedOn w:val="1"/>
    <w:next w:val="1"/>
    <w:qFormat/>
    <w:uiPriority w:val="1"/>
    <w:pPr>
      <w:spacing w:before="290"/>
      <w:ind w:left="254"/>
    </w:pPr>
    <w:rPr>
      <w:b/>
      <w:bCs/>
      <w:sz w:val="28"/>
      <w:szCs w:val="28"/>
    </w:rPr>
  </w:style>
  <w:style w:type="paragraph" w:styleId="19">
    <w:name w:val="Normal (Web)"/>
    <w:basedOn w:val="1"/>
    <w:semiHidden/>
    <w:unhideWhenUsed/>
    <w:qFormat/>
    <w:uiPriority w:val="0"/>
    <w:pPr>
      <w:spacing w:beforeAutospacing="1" w:afterAutospacing="1"/>
    </w:pPr>
    <w:rPr>
      <w:rFonts w:cs="Times New Roman"/>
      <w:sz w:val="24"/>
      <w:lang w:val="en-US" w:bidi="ar-SA"/>
    </w:rPr>
  </w:style>
  <w:style w:type="paragraph" w:styleId="20">
    <w:name w:val="Body Text First Indent 2"/>
    <w:basedOn w:val="1"/>
    <w:qFormat/>
    <w:uiPriority w:val="0"/>
    <w:pPr>
      <w:ind w:firstLine="420" w:firstLineChars="200"/>
    </w:pPr>
    <w:rPr>
      <w:rFonts w:ascii="Times New Roman" w:hAnsi="Times New Roman"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semiHidden/>
    <w:unhideWhenUsed/>
    <w:qFormat/>
    <w:uiPriority w:val="0"/>
    <w:rPr>
      <w:color w:val="333333"/>
      <w:u w:val="none"/>
    </w:rPr>
  </w:style>
  <w:style w:type="character" w:styleId="27">
    <w:name w:val="Emphasis"/>
    <w:basedOn w:val="23"/>
    <w:qFormat/>
    <w:uiPriority w:val="0"/>
  </w:style>
  <w:style w:type="character" w:styleId="28">
    <w:name w:val="HTML Definition"/>
    <w:basedOn w:val="23"/>
    <w:semiHidden/>
    <w:unhideWhenUsed/>
    <w:qFormat/>
    <w:uiPriority w:val="0"/>
  </w:style>
  <w:style w:type="character" w:styleId="29">
    <w:name w:val="HTML Acronym"/>
    <w:basedOn w:val="23"/>
    <w:semiHidden/>
    <w:unhideWhenUsed/>
    <w:qFormat/>
    <w:uiPriority w:val="0"/>
  </w:style>
  <w:style w:type="character" w:styleId="30">
    <w:name w:val="HTML Variable"/>
    <w:basedOn w:val="23"/>
    <w:semiHidden/>
    <w:unhideWhenUsed/>
    <w:qFormat/>
    <w:uiPriority w:val="0"/>
  </w:style>
  <w:style w:type="character" w:styleId="31">
    <w:name w:val="Hyperlink"/>
    <w:basedOn w:val="23"/>
    <w:semiHidden/>
    <w:unhideWhenUsed/>
    <w:qFormat/>
    <w:uiPriority w:val="0"/>
    <w:rPr>
      <w:color w:val="333333"/>
      <w:u w:val="none"/>
    </w:rPr>
  </w:style>
  <w:style w:type="character" w:styleId="32">
    <w:name w:val="HTML Code"/>
    <w:basedOn w:val="23"/>
    <w:semiHidden/>
    <w:unhideWhenUsed/>
    <w:qFormat/>
    <w:uiPriority w:val="0"/>
    <w:rPr>
      <w:rFonts w:ascii="Courier New" w:hAnsi="Courier New"/>
      <w:color w:val="505050"/>
      <w:sz w:val="24"/>
      <w:szCs w:val="24"/>
    </w:rPr>
  </w:style>
  <w:style w:type="character" w:styleId="33">
    <w:name w:val="annotation reference"/>
    <w:basedOn w:val="23"/>
    <w:semiHidden/>
    <w:unhideWhenUsed/>
    <w:qFormat/>
    <w:uiPriority w:val="0"/>
    <w:rPr>
      <w:sz w:val="21"/>
      <w:szCs w:val="21"/>
    </w:rPr>
  </w:style>
  <w:style w:type="character" w:styleId="34">
    <w:name w:val="HTML Cite"/>
    <w:basedOn w:val="23"/>
    <w:semiHidden/>
    <w:unhideWhenUsed/>
    <w:qFormat/>
    <w:uiPriority w:val="0"/>
  </w:style>
  <w:style w:type="character" w:styleId="35">
    <w:name w:val="HTML Keyboard"/>
    <w:basedOn w:val="23"/>
    <w:semiHidden/>
    <w:unhideWhenUsed/>
    <w:qFormat/>
    <w:uiPriority w:val="0"/>
    <w:rPr>
      <w:rFonts w:hint="default" w:ascii="Consolas" w:hAnsi="Consolas" w:eastAsia="Consolas" w:cs="Consolas"/>
      <w:sz w:val="21"/>
      <w:szCs w:val="21"/>
    </w:rPr>
  </w:style>
  <w:style w:type="character" w:styleId="36">
    <w:name w:val="HTML Sample"/>
    <w:basedOn w:val="23"/>
    <w:semiHidden/>
    <w:unhideWhenUsed/>
    <w:qFormat/>
    <w:uiPriority w:val="0"/>
    <w:rPr>
      <w:rFonts w:hint="default" w:ascii="Consolas" w:hAnsi="Consolas" w:eastAsia="Consolas" w:cs="Consolas"/>
      <w:sz w:val="21"/>
      <w:szCs w:val="21"/>
    </w:rPr>
  </w:style>
  <w:style w:type="paragraph" w:customStyle="1" w:styleId="37">
    <w:name w:val="Heading2"/>
    <w:basedOn w:val="1"/>
    <w:next w:val="1"/>
    <w:qFormat/>
    <w:uiPriority w:val="0"/>
    <w:pPr>
      <w:keepNext/>
      <w:keepLines/>
      <w:spacing w:before="360" w:after="260" w:line="360" w:lineRule="auto"/>
      <w:jc w:val="center"/>
      <w:textAlignment w:val="baseline"/>
    </w:pPr>
    <w:rPr>
      <w:rFonts w:ascii="Arial" w:hAnsi="Arial" w:eastAsia="黑体"/>
      <w:b/>
      <w:spacing w:val="24"/>
      <w:sz w:val="24"/>
      <w:szCs w:val="20"/>
      <w:lang w:val="en-US" w:bidi="ar-SA"/>
    </w:rPr>
  </w:style>
  <w:style w:type="table" w:customStyle="1" w:styleId="38">
    <w:name w:val="Table Normal"/>
    <w:semiHidden/>
    <w:unhideWhenUsed/>
    <w:qFormat/>
    <w:uiPriority w:val="2"/>
    <w:tblPr>
      <w:tblCellMar>
        <w:top w:w="0" w:type="dxa"/>
        <w:left w:w="0" w:type="dxa"/>
        <w:bottom w:w="0" w:type="dxa"/>
        <w:right w:w="0" w:type="dxa"/>
      </w:tblCellMar>
    </w:tblPr>
  </w:style>
  <w:style w:type="paragraph" w:styleId="39">
    <w:name w:val="List Paragraph"/>
    <w:basedOn w:val="1"/>
    <w:link w:val="44"/>
    <w:qFormat/>
    <w:uiPriority w:val="34"/>
    <w:pPr>
      <w:spacing w:before="170"/>
      <w:ind w:left="398" w:firstLine="358"/>
    </w:pPr>
  </w:style>
  <w:style w:type="paragraph" w:customStyle="1" w:styleId="40">
    <w:name w:val="Table Paragraph"/>
    <w:basedOn w:val="1"/>
    <w:qFormat/>
    <w:uiPriority w:val="1"/>
  </w:style>
  <w:style w:type="character" w:customStyle="1" w:styleId="41">
    <w:name w:val="批注框文本 Char"/>
    <w:basedOn w:val="23"/>
    <w:link w:val="13"/>
    <w:qFormat/>
    <w:uiPriority w:val="0"/>
    <w:rPr>
      <w:rFonts w:ascii="宋体" w:hAnsi="宋体" w:eastAsia="宋体" w:cs="宋体"/>
      <w:sz w:val="18"/>
      <w:szCs w:val="18"/>
      <w:lang w:val="zh-CN" w:bidi="zh-CN"/>
    </w:rPr>
  </w:style>
  <w:style w:type="paragraph" w:styleId="42">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43">
    <w:name w:val="批注文字 Char"/>
    <w:basedOn w:val="23"/>
    <w:link w:val="10"/>
    <w:semiHidden/>
    <w:qFormat/>
    <w:uiPriority w:val="0"/>
    <w:rPr>
      <w:rFonts w:ascii="宋体" w:hAnsi="宋体" w:cs="宋体"/>
      <w:sz w:val="22"/>
      <w:szCs w:val="22"/>
      <w:lang w:val="zh-CN" w:bidi="zh-CN"/>
    </w:rPr>
  </w:style>
  <w:style w:type="character" w:customStyle="1" w:styleId="44">
    <w:name w:val="列出段落 Char"/>
    <w:link w:val="39"/>
    <w:qFormat/>
    <w:uiPriority w:val="34"/>
    <w:rPr>
      <w:rFonts w:ascii="宋体" w:hAnsi="宋体" w:cs="宋体"/>
      <w:sz w:val="22"/>
      <w:szCs w:val="22"/>
      <w:lang w:val="zh-CN" w:bidi="zh-CN"/>
    </w:rPr>
  </w:style>
  <w:style w:type="character" w:customStyle="1" w:styleId="45">
    <w:name w:val="正文文本缩进 Char"/>
    <w:basedOn w:val="23"/>
    <w:link w:val="11"/>
    <w:semiHidden/>
    <w:qFormat/>
    <w:uiPriority w:val="0"/>
    <w:rPr>
      <w:rFonts w:ascii="宋体" w:hAnsi="宋体" w:cs="宋体"/>
      <w:sz w:val="22"/>
      <w:szCs w:val="22"/>
      <w:lang w:val="zh-CN" w:bidi="zh-CN"/>
    </w:rPr>
  </w:style>
  <w:style w:type="character" w:customStyle="1" w:styleId="46">
    <w:name w:val="标题 2 Char Char Char Char Char Char Char Char Char Char Char Char Char Char Char Char Char Char Char Char Char"/>
    <w:basedOn w:val="23"/>
    <w:qFormat/>
    <w:uiPriority w:val="0"/>
  </w:style>
  <w:style w:type="character" w:customStyle="1" w:styleId="47">
    <w:name w:val="fontstyle01"/>
    <w:qFormat/>
    <w:uiPriority w:val="0"/>
    <w:rPr>
      <w:rFonts w:hint="eastAsia" w:ascii="宋体" w:hAnsi="宋体" w:eastAsia="宋体"/>
      <w:color w:val="000000"/>
      <w:sz w:val="24"/>
      <w:szCs w:val="24"/>
    </w:rPr>
  </w:style>
  <w:style w:type="paragraph" w:customStyle="1" w:styleId="48">
    <w:name w:val="正文Land"/>
    <w:basedOn w:val="1"/>
    <w:qFormat/>
    <w:uiPriority w:val="0"/>
    <w:pPr>
      <w:spacing w:beforeLines="20" w:line="360" w:lineRule="auto"/>
      <w:ind w:firstLine="200" w:firstLineChars="200"/>
    </w:pPr>
    <w:rPr>
      <w:sz w:val="24"/>
    </w:rPr>
  </w:style>
  <w:style w:type="character" w:customStyle="1" w:styleId="49">
    <w:name w:val="bsharetext"/>
    <w:basedOn w:val="23"/>
    <w:qFormat/>
    <w:uiPriority w:val="0"/>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temp"/>
    <w:basedOn w:val="23"/>
    <w:qFormat/>
    <w:uiPriority w:val="0"/>
  </w:style>
  <w:style w:type="character" w:customStyle="1" w:styleId="53">
    <w:name w:val="temp1"/>
    <w:basedOn w:val="23"/>
    <w:qFormat/>
    <w:uiPriority w:val="0"/>
  </w:style>
  <w:style w:type="character" w:customStyle="1" w:styleId="54">
    <w:name w:val="temp2"/>
    <w:basedOn w:val="23"/>
    <w:qFormat/>
    <w:uiPriority w:val="0"/>
  </w:style>
  <w:style w:type="character" w:customStyle="1" w:styleId="55">
    <w:name w:val="all-fit-info"/>
    <w:basedOn w:val="23"/>
    <w:qFormat/>
    <w:uiPriority w:val="0"/>
    <w:rPr>
      <w:color w:val="939393"/>
    </w:rPr>
  </w:style>
  <w:style w:type="character" w:customStyle="1" w:styleId="56">
    <w:name w:val="all-fit-info1"/>
    <w:basedOn w:val="23"/>
    <w:qFormat/>
    <w:uiPriority w:val="0"/>
    <w:rPr>
      <w:color w:val="939393"/>
    </w:rPr>
  </w:style>
  <w:style w:type="character" w:customStyle="1" w:styleId="57">
    <w:name w:val="all-fit-info2"/>
    <w:basedOn w:val="23"/>
    <w:qFormat/>
    <w:uiPriority w:val="0"/>
    <w:rPr>
      <w:color w:val="939393"/>
    </w:rPr>
  </w:style>
  <w:style w:type="character" w:customStyle="1" w:styleId="58">
    <w:name w:val="last-child"/>
    <w:basedOn w:val="23"/>
    <w:qFormat/>
    <w:uiPriority w:val="0"/>
  </w:style>
  <w:style w:type="character" w:customStyle="1" w:styleId="59">
    <w:name w:val="last-child1"/>
    <w:basedOn w:val="23"/>
    <w:qFormat/>
    <w:uiPriority w:val="0"/>
  </w:style>
  <w:style w:type="character" w:customStyle="1" w:styleId="60">
    <w:name w:val="last-child2"/>
    <w:basedOn w:val="23"/>
    <w:qFormat/>
    <w:uiPriority w:val="0"/>
  </w:style>
  <w:style w:type="character" w:customStyle="1" w:styleId="61">
    <w:name w:val="last-child3"/>
    <w:basedOn w:val="23"/>
    <w:qFormat/>
    <w:uiPriority w:val="0"/>
  </w:style>
  <w:style w:type="character" w:customStyle="1" w:styleId="62">
    <w:name w:val="ant-tree-switcher"/>
    <w:basedOn w:val="23"/>
    <w:qFormat/>
    <w:uiPriority w:val="0"/>
  </w:style>
  <w:style w:type="character" w:customStyle="1" w:styleId="63">
    <w:name w:val="current"/>
    <w:basedOn w:val="23"/>
    <w:qFormat/>
    <w:uiPriority w:val="0"/>
    <w:rPr>
      <w:color w:val="00C1DE"/>
    </w:rPr>
  </w:style>
  <w:style w:type="character" w:customStyle="1" w:styleId="64">
    <w:name w:val="current1"/>
    <w:basedOn w:val="23"/>
    <w:qFormat/>
    <w:uiPriority w:val="0"/>
    <w:rPr>
      <w:color w:val="00C1DE"/>
    </w:rPr>
  </w:style>
  <w:style w:type="character" w:customStyle="1" w:styleId="65">
    <w:name w:val="content8"/>
    <w:basedOn w:val="23"/>
    <w:qFormat/>
    <w:uiPriority w:val="0"/>
  </w:style>
  <w:style w:type="character" w:customStyle="1" w:styleId="66">
    <w:name w:val="change-camera-place"/>
    <w:basedOn w:val="23"/>
    <w:qFormat/>
    <w:uiPriority w:val="0"/>
    <w:rPr>
      <w:color w:val="3177FD"/>
    </w:rPr>
  </w:style>
  <w:style w:type="character" w:customStyle="1" w:styleId="67">
    <w:name w:val="ant-tree-iconele"/>
    <w:basedOn w:val="23"/>
    <w:qFormat/>
    <w:uiPriority w:val="0"/>
  </w:style>
  <w:style w:type="character" w:customStyle="1" w:styleId="68">
    <w:name w:val="ant-select-tree-checkbox"/>
    <w:basedOn w:val="23"/>
    <w:qFormat/>
    <w:uiPriority w:val="0"/>
  </w:style>
  <w:style w:type="character" w:customStyle="1" w:styleId="69">
    <w:name w:val="ant-tree-checkbox"/>
    <w:basedOn w:val="23"/>
    <w:qFormat/>
    <w:uiPriority w:val="0"/>
  </w:style>
  <w:style w:type="character" w:customStyle="1" w:styleId="70">
    <w:name w:val="ant-tree-icon_loading"/>
    <w:basedOn w:val="23"/>
    <w:qFormat/>
    <w:uiPriority w:val="0"/>
    <w:rPr>
      <w:shd w:val="clear" w:color="auto" w:fill="FFFFFF"/>
    </w:rPr>
  </w:style>
  <w:style w:type="character" w:customStyle="1" w:styleId="71">
    <w:name w:val="ant-badge-status-dot"/>
    <w:basedOn w:val="23"/>
    <w:qFormat/>
    <w:uiPriority w:val="0"/>
    <w:rPr>
      <w:color w:val="FFFFFF"/>
      <w:shd w:val="clear" w:color="auto" w:fill="FFFFFF"/>
    </w:rPr>
  </w:style>
  <w:style w:type="character" w:customStyle="1" w:styleId="72">
    <w:name w:val="ant-select-tree-iconele"/>
    <w:basedOn w:val="23"/>
    <w:qFormat/>
    <w:uiPriority w:val="0"/>
  </w:style>
  <w:style w:type="character" w:customStyle="1" w:styleId="73">
    <w:name w:val="ant-radio+*"/>
    <w:basedOn w:val="23"/>
    <w:qFormat/>
    <w:uiPriority w:val="0"/>
  </w:style>
  <w:style w:type="character" w:customStyle="1" w:styleId="74">
    <w:name w:val="label"/>
    <w:basedOn w:val="23"/>
    <w:qFormat/>
    <w:uiPriority w:val="0"/>
  </w:style>
  <w:style w:type="character" w:customStyle="1" w:styleId="75">
    <w:name w:val="ant-select-tree-switcher"/>
    <w:basedOn w:val="23"/>
    <w:qFormat/>
    <w:uiPriority w:val="0"/>
  </w:style>
  <w:style w:type="character" w:customStyle="1" w:styleId="76">
    <w:name w:val="info-content"/>
    <w:basedOn w:val="23"/>
    <w:qFormat/>
    <w:uiPriority w:val="0"/>
    <w:rPr>
      <w:color w:val="808080"/>
    </w:rPr>
  </w:style>
  <w:style w:type="character" w:customStyle="1" w:styleId="77">
    <w:name w:val="last-of-type"/>
    <w:basedOn w:val="23"/>
    <w:qFormat/>
    <w:uiPriority w:val="0"/>
    <w:rPr>
      <w:color w:val="FF4A44"/>
      <w:sz w:val="27"/>
      <w:szCs w:val="27"/>
    </w:rPr>
  </w:style>
  <w:style w:type="character" w:customStyle="1" w:styleId="78">
    <w:name w:val="tag-type"/>
    <w:basedOn w:val="23"/>
    <w:qFormat/>
    <w:uiPriority w:val="0"/>
    <w:rPr>
      <w:color w:val="FFFFFF"/>
      <w:sz w:val="18"/>
      <w:szCs w:val="18"/>
      <w:shd w:val="clear" w:color="auto" w:fill="317FFD"/>
    </w:rPr>
  </w:style>
  <w:style w:type="character" w:customStyle="1" w:styleId="79">
    <w:name w:val="tag-type1"/>
    <w:basedOn w:val="23"/>
    <w:qFormat/>
    <w:uiPriority w:val="0"/>
    <w:rPr>
      <w:color w:val="FFFFFF"/>
      <w:sz w:val="18"/>
      <w:szCs w:val="18"/>
      <w:shd w:val="clear" w:color="auto" w:fill="317FFD"/>
    </w:rPr>
  </w:style>
  <w:style w:type="character" w:customStyle="1" w:styleId="80">
    <w:name w:val="first-child9"/>
    <w:basedOn w:val="23"/>
    <w:qFormat/>
    <w:uiPriority w:val="0"/>
  </w:style>
  <w:style w:type="character" w:customStyle="1" w:styleId="81">
    <w:name w:val="info-label"/>
    <w:basedOn w:val="23"/>
    <w:qFormat/>
    <w:uiPriority w:val="0"/>
    <w:rPr>
      <w:b/>
    </w:rPr>
  </w:style>
  <w:style w:type="character" w:customStyle="1" w:styleId="82">
    <w:name w:val="ant-badge-status-dot2"/>
    <w:basedOn w:val="23"/>
    <w:qFormat/>
    <w:uiPriority w:val="0"/>
    <w:rPr>
      <w:shd w:val="clear" w:color="auto" w:fill="FFFFFF"/>
    </w:rPr>
  </w:style>
  <w:style w:type="character" w:customStyle="1" w:styleId="83">
    <w:name w:val="last-child6"/>
    <w:basedOn w:val="23"/>
    <w:qFormat/>
    <w:uiPriority w:val="0"/>
  </w:style>
  <w:style w:type="character" w:customStyle="1" w:styleId="84">
    <w:name w:val="last-child7"/>
    <w:basedOn w:val="23"/>
    <w:qFormat/>
    <w:uiPriority w:val="0"/>
  </w:style>
  <w:style w:type="character" w:customStyle="1" w:styleId="85">
    <w:name w:val="last-child8"/>
    <w:basedOn w:val="23"/>
    <w:qFormat/>
    <w:uiPriority w:val="0"/>
  </w:style>
  <w:style w:type="character" w:customStyle="1" w:styleId="86">
    <w:name w:val="last-child9"/>
    <w:basedOn w:val="23"/>
    <w:qFormat/>
    <w:uiPriority w:val="0"/>
  </w:style>
  <w:style w:type="character" w:customStyle="1" w:styleId="87">
    <w:name w:val="ant-select-tree-checkbox2"/>
    <w:basedOn w:val="23"/>
    <w:qFormat/>
    <w:uiPriority w:val="0"/>
  </w:style>
  <w:style w:type="character" w:customStyle="1" w:styleId="88">
    <w:name w:val="label2"/>
    <w:basedOn w:val="23"/>
    <w:qFormat/>
    <w:uiPriority w:val="0"/>
  </w:style>
  <w:style w:type="character" w:customStyle="1" w:styleId="89">
    <w:name w:val="content10"/>
    <w:basedOn w:val="23"/>
    <w:qFormat/>
    <w:uiPriority w:val="0"/>
  </w:style>
  <w:style w:type="character" w:customStyle="1" w:styleId="90">
    <w:name w:val="temp6"/>
    <w:basedOn w:val="23"/>
    <w:qFormat/>
    <w:uiPriority w:val="0"/>
  </w:style>
  <w:style w:type="character" w:customStyle="1" w:styleId="91">
    <w:name w:val="temp7"/>
    <w:basedOn w:val="23"/>
    <w:qFormat/>
    <w:uiPriority w:val="0"/>
  </w:style>
  <w:style w:type="character" w:customStyle="1" w:styleId="92">
    <w:name w:val="temp8"/>
    <w:basedOn w:val="23"/>
    <w:qFormat/>
    <w:uiPriority w:val="0"/>
  </w:style>
  <w:style w:type="character" w:customStyle="1" w:styleId="93">
    <w:name w:val="first-child4"/>
    <w:basedOn w:val="23"/>
    <w:qFormat/>
    <w:uiPriority w:val="0"/>
  </w:style>
  <w:style w:type="character" w:customStyle="1" w:styleId="94">
    <w:name w:val="font21"/>
    <w:basedOn w:val="23"/>
    <w:qFormat/>
    <w:uiPriority w:val="0"/>
    <w:rPr>
      <w:rFonts w:hint="eastAsia" w:ascii="微软雅黑" w:hAnsi="微软雅黑" w:eastAsia="微软雅黑" w:cs="微软雅黑"/>
      <w:color w:val="000000"/>
      <w:sz w:val="20"/>
      <w:szCs w:val="20"/>
      <w:u w:val="none"/>
    </w:rPr>
  </w:style>
  <w:style w:type="character" w:customStyle="1" w:styleId="95">
    <w:name w:val="font01"/>
    <w:basedOn w:val="23"/>
    <w:qFormat/>
    <w:uiPriority w:val="0"/>
    <w:rPr>
      <w:rFonts w:hint="eastAsia" w:ascii="微软雅黑" w:hAnsi="微软雅黑" w:eastAsia="微软雅黑" w:cs="微软雅黑"/>
      <w:color w:val="FF0000"/>
      <w:sz w:val="20"/>
      <w:szCs w:val="20"/>
      <w:u w:val="none"/>
    </w:rPr>
  </w:style>
  <w:style w:type="character" w:customStyle="1" w:styleId="96">
    <w:name w:val="wz"/>
    <w:basedOn w:val="23"/>
    <w:qFormat/>
    <w:uiPriority w:val="0"/>
    <w:rPr>
      <w:vanish/>
      <w:color w:val="808080"/>
    </w:rPr>
  </w:style>
  <w:style w:type="character" w:customStyle="1" w:styleId="97">
    <w:name w:val="hao1"/>
    <w:basedOn w:val="2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CD65F-A0F1-4C2D-9DF6-55CA81D930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2758</Words>
  <Characters>15725</Characters>
  <Lines>131</Lines>
  <Paragraphs>36</Paragraphs>
  <TotalTime>8</TotalTime>
  <ScaleCrop>false</ScaleCrop>
  <LinksUpToDate>false</LinksUpToDate>
  <CharactersWithSpaces>18447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2019-06-11T04:15:00Z</dcterms:created>
  <dc:creator>LZH</dc:creator>
  <cp:lastModifiedBy>淡了</cp:lastModifiedBy>
  <cp:lastPrinted>2019-06-20T09:31:00Z</cp:lastPrinted>
  <dcterms:modified xsi:type="dcterms:W3CDTF">2020-12-14T07:29:44Z</dcterms:modified>
  <dc:title>广西科文招标有限公司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WPS Office</vt:lpwstr>
  </property>
  <property fmtid="{D5CDD505-2E9C-101B-9397-08002B2CF9AE}" pid="4" name="LastSaved">
    <vt:filetime>2018-04-16T00:00:00Z</vt:filetime>
  </property>
  <property fmtid="{D5CDD505-2E9C-101B-9397-08002B2CF9AE}" pid="5" name="KSOProductBuildVer">
    <vt:lpwstr>2052-11.1.0.10132</vt:lpwstr>
  </property>
</Properties>
</file>