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宋体" w:eastAsia="方正小标宋简体"/>
          <w:color w:val="000000"/>
          <w:sz w:val="52"/>
          <w:szCs w:val="52"/>
        </w:rPr>
      </w:pPr>
    </w:p>
    <w:p>
      <w:pPr>
        <w:spacing w:line="360" w:lineRule="auto"/>
        <w:jc w:val="center"/>
        <w:rPr>
          <w:rFonts w:hint="eastAsia" w:ascii="宋体" w:hAnsi="宋体" w:eastAsia="宋体" w:cs="宋体"/>
          <w:b/>
          <w:bCs/>
          <w:color w:val="000000"/>
          <w:sz w:val="48"/>
          <w:szCs w:val="48"/>
          <w:lang w:val="en-US" w:eastAsia="zh-CN"/>
        </w:rPr>
      </w:pPr>
      <w:r>
        <w:rPr>
          <w:rFonts w:hint="eastAsia" w:ascii="宋体" w:hAnsi="宋体" w:eastAsia="宋体" w:cs="宋体"/>
          <w:b/>
          <w:bCs/>
          <w:color w:val="000000"/>
          <w:sz w:val="48"/>
          <w:szCs w:val="48"/>
          <w:lang w:val="en-US" w:eastAsia="zh-CN"/>
        </w:rPr>
        <w:t>广西建设工程机电设备招标中心有限公司</w:t>
      </w:r>
    </w:p>
    <w:p>
      <w:pPr>
        <w:spacing w:before="120" w:beforeLines="50" w:line="360" w:lineRule="auto"/>
        <w:jc w:val="center"/>
        <w:rPr>
          <w:rFonts w:hint="eastAsia" w:ascii="宋体" w:hAnsi="宋体"/>
          <w:color w:val="000000"/>
          <w:sz w:val="52"/>
          <w:szCs w:val="52"/>
        </w:rPr>
      </w:pPr>
    </w:p>
    <w:p>
      <w:pPr>
        <w:spacing w:before="120" w:beforeLines="50" w:line="360" w:lineRule="auto"/>
        <w:jc w:val="center"/>
        <w:rPr>
          <w:rFonts w:ascii="宋体" w:hAnsi="宋体"/>
          <w:color w:val="000000"/>
          <w:sz w:val="52"/>
          <w:szCs w:val="52"/>
        </w:rPr>
      </w:pPr>
      <w:r>
        <w:rPr>
          <w:rFonts w:hint="eastAsia" w:ascii="宋体" w:hAnsi="宋体"/>
          <w:color w:val="000000"/>
          <w:sz w:val="52"/>
          <w:szCs w:val="52"/>
        </w:rPr>
        <w:t>政府采购公开招标文件</w:t>
      </w:r>
    </w:p>
    <w:p>
      <w:pPr>
        <w:spacing w:before="120" w:beforeLines="50" w:line="360" w:lineRule="auto"/>
        <w:jc w:val="center"/>
        <w:rPr>
          <w:rFonts w:hint="eastAsia" w:ascii="宋体" w:hAnsi="宋体"/>
          <w:color w:val="000000"/>
          <w:sz w:val="52"/>
          <w:szCs w:val="52"/>
        </w:rPr>
      </w:pPr>
      <w:r>
        <w:rPr>
          <w:rFonts w:hint="eastAsia" w:ascii="宋体" w:hAnsi="宋体"/>
          <w:color w:val="000000"/>
          <w:sz w:val="52"/>
          <w:szCs w:val="52"/>
        </w:rPr>
        <w:t>（货物类）</w:t>
      </w:r>
    </w:p>
    <w:p>
      <w:pPr>
        <w:snapToGrid w:val="0"/>
        <w:spacing w:before="120" w:beforeLines="50" w:line="360" w:lineRule="auto"/>
        <w:jc w:val="center"/>
        <w:rPr>
          <w:rFonts w:hint="eastAsia" w:ascii="华文新魏" w:hAnsi="宋体" w:eastAsia="华文新魏"/>
          <w:color w:val="000000"/>
          <w:sz w:val="120"/>
          <w:szCs w:val="120"/>
        </w:rPr>
      </w:pPr>
      <w:r>
        <w:rPr>
          <w:rFonts w:hint="eastAsia" w:ascii="华文新魏" w:hAnsi="宋体" w:eastAsia="华文新魏"/>
          <w:color w:val="000000"/>
          <w:sz w:val="120"/>
          <w:szCs w:val="120"/>
        </w:rPr>
        <w:t>招 标 文 件</w:t>
      </w:r>
    </w:p>
    <w:p>
      <w:pPr>
        <w:snapToGrid w:val="0"/>
        <w:spacing w:before="120" w:beforeLines="50" w:line="360" w:lineRule="auto"/>
        <w:jc w:val="center"/>
        <w:rPr>
          <w:rFonts w:hint="eastAsia" w:ascii="仿宋_GB2312" w:hAnsi="宋体" w:eastAsia="仿宋_GB2312"/>
          <w:b/>
          <w:color w:val="000000"/>
          <w:sz w:val="48"/>
          <w:szCs w:val="48"/>
        </w:rPr>
      </w:pPr>
      <w:r>
        <w:rPr>
          <w:rFonts w:hint="eastAsia" w:ascii="仿宋_GB2312" w:hAnsi="宋体" w:eastAsia="仿宋_GB2312"/>
          <w:b/>
          <w:color w:val="000000"/>
          <w:sz w:val="48"/>
          <w:szCs w:val="48"/>
        </w:rPr>
        <w:t>（全流程电子化采购）</w:t>
      </w:r>
    </w:p>
    <w:p>
      <w:pPr>
        <w:snapToGrid w:val="0"/>
        <w:spacing w:line="360" w:lineRule="auto"/>
        <w:rPr>
          <w:rFonts w:hint="eastAsia" w:ascii="仿宋_GB2312" w:hAnsi="宋体" w:eastAsia="仿宋_GB2312"/>
          <w:color w:val="000000"/>
          <w:sz w:val="30"/>
          <w:szCs w:val="72"/>
        </w:rPr>
      </w:pPr>
    </w:p>
    <w:p>
      <w:pPr>
        <w:pStyle w:val="15"/>
        <w:snapToGrid w:val="0"/>
        <w:spacing w:line="360" w:lineRule="auto"/>
        <w:ind w:firstLine="1193" w:firstLineChars="396"/>
        <w:rPr>
          <w:rFonts w:hint="eastAsia" w:ascii="宋体" w:hAnsi="宋体" w:eastAsia="宋体" w:cs="宋体"/>
          <w:b/>
          <w:bCs/>
          <w:color w:val="000000"/>
          <w:sz w:val="30"/>
          <w:szCs w:val="30"/>
        </w:rPr>
      </w:pPr>
      <w:r>
        <w:rPr>
          <w:rFonts w:hint="eastAsia" w:ascii="宋体" w:hAnsi="宋体" w:eastAsia="宋体" w:cs="宋体"/>
          <w:b/>
          <w:bCs/>
          <w:color w:val="000000"/>
          <w:sz w:val="30"/>
          <w:szCs w:val="30"/>
        </w:rPr>
        <w:t>项目</w:t>
      </w:r>
      <w:r>
        <w:rPr>
          <w:rFonts w:hint="eastAsia" w:ascii="宋体" w:hAnsi="宋体" w:eastAsia="宋体" w:cs="宋体"/>
          <w:b/>
          <w:bCs/>
          <w:color w:val="000000"/>
          <w:w w:val="95"/>
          <w:sz w:val="30"/>
          <w:szCs w:val="30"/>
        </w:rPr>
        <w:t>名称</w:t>
      </w:r>
      <w:r>
        <w:rPr>
          <w:rFonts w:hint="eastAsia" w:ascii="宋体" w:hAnsi="宋体" w:eastAsia="宋体" w:cs="宋体"/>
          <w:b/>
          <w:bCs/>
          <w:color w:val="000000"/>
          <w:sz w:val="30"/>
          <w:szCs w:val="30"/>
        </w:rPr>
        <w:t>：残疾人辅助器具采购</w:t>
      </w:r>
    </w:p>
    <w:p>
      <w:pPr>
        <w:snapToGrid w:val="0"/>
        <w:spacing w:line="360" w:lineRule="auto"/>
        <w:ind w:firstLine="1145" w:firstLineChars="400"/>
        <w:rPr>
          <w:rFonts w:hint="eastAsia" w:ascii="宋体" w:hAnsi="宋体" w:eastAsia="宋体" w:cs="宋体"/>
          <w:color w:val="000000"/>
          <w:sz w:val="30"/>
          <w:szCs w:val="72"/>
        </w:rPr>
      </w:pPr>
      <w:r>
        <w:rPr>
          <w:rFonts w:hint="eastAsia" w:ascii="宋体" w:hAnsi="宋体" w:eastAsia="宋体" w:cs="宋体"/>
          <w:b/>
          <w:bCs/>
          <w:color w:val="000000"/>
          <w:w w:val="95"/>
          <w:sz w:val="30"/>
          <w:szCs w:val="30"/>
        </w:rPr>
        <w:t>项目</w:t>
      </w:r>
      <w:r>
        <w:rPr>
          <w:rFonts w:hint="eastAsia" w:ascii="宋体" w:hAnsi="宋体" w:eastAsia="宋体" w:cs="宋体"/>
          <w:b/>
          <w:bCs/>
          <w:color w:val="000000"/>
          <w:sz w:val="30"/>
          <w:szCs w:val="30"/>
        </w:rPr>
        <w:t>编号</w:t>
      </w:r>
      <w:r>
        <w:rPr>
          <w:rFonts w:hint="eastAsia" w:ascii="宋体" w:hAnsi="宋体" w:eastAsia="宋体" w:cs="宋体"/>
          <w:b/>
          <w:bCs/>
          <w:color w:val="000000"/>
          <w:w w:val="95"/>
          <w:sz w:val="30"/>
          <w:szCs w:val="30"/>
        </w:rPr>
        <w:t>：GXZC2022-G1-000193-JGJD</w:t>
      </w:r>
    </w:p>
    <w:p>
      <w:pPr>
        <w:pStyle w:val="15"/>
        <w:snapToGrid w:val="0"/>
        <w:spacing w:line="360" w:lineRule="auto"/>
        <w:ind w:firstLine="1125" w:firstLineChars="393"/>
        <w:rPr>
          <w:rFonts w:hint="eastAsia" w:ascii="宋体" w:hAnsi="宋体" w:eastAsia="宋体" w:cs="宋体"/>
          <w:b/>
          <w:bCs/>
          <w:color w:val="000000"/>
          <w:w w:val="95"/>
          <w:sz w:val="30"/>
          <w:szCs w:val="30"/>
        </w:rPr>
      </w:pPr>
      <w:r>
        <w:rPr>
          <w:rFonts w:hint="eastAsia" w:ascii="宋体" w:hAnsi="宋体" w:eastAsia="宋体" w:cs="宋体"/>
          <w:b/>
          <w:bCs/>
          <w:color w:val="000000"/>
          <w:w w:val="95"/>
          <w:sz w:val="30"/>
          <w:szCs w:val="30"/>
        </w:rPr>
        <w:t>采 购 人：广西壮族自治区残疾人联合会</w:t>
      </w:r>
    </w:p>
    <w:p>
      <w:pPr>
        <w:pStyle w:val="15"/>
        <w:snapToGrid w:val="0"/>
        <w:spacing w:line="360" w:lineRule="auto"/>
        <w:ind w:firstLine="1125" w:firstLineChars="393"/>
        <w:rPr>
          <w:rFonts w:hint="eastAsia" w:ascii="宋体" w:hAnsi="宋体" w:eastAsia="宋体" w:cs="宋体"/>
          <w:b/>
          <w:bCs/>
          <w:color w:val="000000"/>
          <w:w w:val="95"/>
          <w:sz w:val="30"/>
          <w:szCs w:val="30"/>
        </w:rPr>
      </w:pPr>
      <w:r>
        <w:rPr>
          <w:rFonts w:hint="eastAsia" w:ascii="宋体" w:hAnsi="宋体" w:eastAsia="宋体" w:cs="宋体"/>
          <w:b/>
          <w:bCs/>
          <w:color w:val="000000"/>
          <w:w w:val="95"/>
          <w:sz w:val="30"/>
          <w:szCs w:val="30"/>
        </w:rPr>
        <w:t>采购代理机构：</w:t>
      </w:r>
      <w:r>
        <w:rPr>
          <w:rFonts w:hint="eastAsia" w:ascii="宋体" w:hAnsi="宋体" w:eastAsia="宋体" w:cs="宋体"/>
          <w:b/>
          <w:bCs/>
          <w:w w:val="95"/>
          <w:sz w:val="30"/>
          <w:szCs w:val="30"/>
        </w:rPr>
        <w:t>广西建设工程机电设备招标中心有限公司</w:t>
      </w:r>
    </w:p>
    <w:p>
      <w:pPr>
        <w:pStyle w:val="15"/>
        <w:snapToGrid w:val="0"/>
        <w:spacing w:line="360" w:lineRule="auto"/>
        <w:ind w:firstLine="1125" w:firstLineChars="393"/>
        <w:rPr>
          <w:rFonts w:hint="eastAsia" w:ascii="宋体" w:hAnsi="宋体" w:eastAsia="宋体" w:cs="宋体"/>
          <w:b/>
          <w:bCs/>
          <w:color w:val="000000"/>
          <w:w w:val="95"/>
          <w:sz w:val="30"/>
          <w:szCs w:val="30"/>
        </w:rPr>
      </w:pPr>
      <w:r>
        <w:rPr>
          <w:rFonts w:hint="eastAsia" w:ascii="宋体" w:hAnsi="宋体" w:eastAsia="宋体" w:cs="宋体"/>
          <w:b/>
          <w:bCs/>
          <w:color w:val="000000"/>
          <w:w w:val="95"/>
          <w:sz w:val="30"/>
          <w:szCs w:val="30"/>
          <w:lang w:eastAsia="zh-CN"/>
        </w:rPr>
        <w:t xml:space="preserve">             </w:t>
      </w:r>
    </w:p>
    <w:p>
      <w:pPr>
        <w:pStyle w:val="15"/>
        <w:snapToGrid w:val="0"/>
        <w:spacing w:line="360" w:lineRule="auto"/>
        <w:ind w:firstLine="1125" w:firstLineChars="393"/>
        <w:rPr>
          <w:rFonts w:hint="eastAsia" w:ascii="宋体" w:hAnsi="宋体" w:eastAsia="宋体" w:cs="宋体"/>
          <w:b/>
          <w:bCs/>
          <w:color w:val="000000"/>
          <w:w w:val="95"/>
          <w:sz w:val="30"/>
          <w:szCs w:val="30"/>
        </w:rPr>
      </w:pPr>
    </w:p>
    <w:p>
      <w:pPr>
        <w:pStyle w:val="15"/>
        <w:snapToGrid w:val="0"/>
        <w:spacing w:line="360" w:lineRule="auto"/>
        <w:jc w:val="center"/>
        <w:rPr>
          <w:rFonts w:hint="eastAsia" w:ascii="宋体" w:hAnsi="宋体" w:eastAsia="宋体" w:cs="宋体"/>
          <w:b/>
          <w:bCs/>
          <w:color w:val="000000"/>
          <w:w w:val="95"/>
          <w:sz w:val="30"/>
          <w:szCs w:val="30"/>
        </w:rPr>
      </w:pPr>
      <w:r>
        <w:rPr>
          <w:rFonts w:hint="eastAsia" w:ascii="宋体" w:hAnsi="宋体" w:eastAsia="宋体" w:cs="宋体"/>
          <w:b/>
          <w:bCs/>
          <w:color w:val="000000"/>
          <w:w w:val="95"/>
          <w:sz w:val="30"/>
          <w:szCs w:val="30"/>
        </w:rPr>
        <w:t>202</w:t>
      </w:r>
      <w:r>
        <w:rPr>
          <w:rFonts w:hint="eastAsia" w:ascii="宋体" w:hAnsi="宋体" w:eastAsia="宋体" w:cs="宋体"/>
          <w:b/>
          <w:bCs/>
          <w:color w:val="000000"/>
          <w:w w:val="95"/>
          <w:sz w:val="30"/>
          <w:szCs w:val="30"/>
          <w:lang w:eastAsia="zh-CN"/>
        </w:rPr>
        <w:t>2</w:t>
      </w:r>
      <w:r>
        <w:rPr>
          <w:rFonts w:hint="eastAsia" w:ascii="宋体" w:hAnsi="宋体" w:eastAsia="宋体" w:cs="宋体"/>
          <w:b/>
          <w:bCs/>
          <w:color w:val="000000"/>
          <w:w w:val="95"/>
          <w:sz w:val="30"/>
          <w:szCs w:val="30"/>
        </w:rPr>
        <w:t>年</w:t>
      </w:r>
      <w:r>
        <w:rPr>
          <w:rFonts w:hint="eastAsia" w:hAnsi="宋体" w:cs="宋体"/>
          <w:b/>
          <w:bCs/>
          <w:color w:val="000000"/>
          <w:w w:val="95"/>
          <w:sz w:val="30"/>
          <w:szCs w:val="30"/>
          <w:lang w:val="en-US" w:eastAsia="zh-CN"/>
        </w:rPr>
        <w:t>2</w:t>
      </w:r>
      <w:r>
        <w:rPr>
          <w:rFonts w:hint="eastAsia" w:ascii="宋体" w:hAnsi="宋体" w:eastAsia="宋体" w:cs="宋体"/>
          <w:b/>
          <w:bCs/>
          <w:color w:val="000000"/>
          <w:w w:val="95"/>
          <w:sz w:val="30"/>
          <w:szCs w:val="30"/>
        </w:rPr>
        <w:t>月</w:t>
      </w:r>
      <w:r>
        <w:rPr>
          <w:rFonts w:hint="eastAsia" w:hAnsi="宋体" w:cs="宋体"/>
          <w:b/>
          <w:bCs/>
          <w:color w:val="000000"/>
          <w:w w:val="95"/>
          <w:sz w:val="30"/>
          <w:szCs w:val="30"/>
          <w:lang w:val="en-US" w:eastAsia="zh-CN"/>
        </w:rPr>
        <w:t>25</w:t>
      </w:r>
      <w:r>
        <w:rPr>
          <w:rFonts w:hint="eastAsia" w:ascii="宋体" w:hAnsi="宋体" w:eastAsia="宋体" w:cs="宋体"/>
          <w:b/>
          <w:bCs/>
          <w:color w:val="000000"/>
          <w:w w:val="95"/>
          <w:sz w:val="30"/>
          <w:szCs w:val="30"/>
        </w:rPr>
        <w:t>日</w:t>
      </w:r>
    </w:p>
    <w:p>
      <w:pPr>
        <w:pStyle w:val="15"/>
        <w:snapToGrid w:val="0"/>
        <w:spacing w:line="360" w:lineRule="auto"/>
        <w:ind w:firstLine="841" w:firstLineChars="294"/>
        <w:rPr>
          <w:rFonts w:hint="eastAsia" w:ascii="仿宋_GB2312" w:hAnsi="宋体" w:eastAsia="仿宋_GB2312"/>
          <w:b/>
          <w:bCs/>
          <w:color w:val="000000"/>
          <w:w w:val="95"/>
          <w:sz w:val="30"/>
          <w:szCs w:val="30"/>
        </w:rPr>
      </w:pPr>
    </w:p>
    <w:p>
      <w:pPr>
        <w:pStyle w:val="15"/>
        <w:snapToGrid w:val="0"/>
        <w:spacing w:line="360" w:lineRule="auto"/>
        <w:ind w:firstLine="841" w:firstLineChars="294"/>
        <w:rPr>
          <w:rFonts w:hint="eastAsia" w:ascii="仿宋_GB2312" w:hAnsi="宋体" w:eastAsia="仿宋_GB2312"/>
          <w:b/>
          <w:bCs/>
          <w:color w:val="000000"/>
          <w:w w:val="95"/>
          <w:sz w:val="30"/>
          <w:szCs w:val="30"/>
        </w:rPr>
      </w:pPr>
    </w:p>
    <w:p>
      <w:pPr>
        <w:pStyle w:val="15"/>
        <w:snapToGrid w:val="0"/>
        <w:spacing w:line="360" w:lineRule="auto"/>
        <w:ind w:firstLine="588" w:firstLineChars="294"/>
        <w:rPr>
          <w:rFonts w:hint="eastAsia" w:ascii="仿宋_GB2312" w:eastAsia="仿宋_GB2312"/>
          <w:color w:val="000000"/>
          <w:szCs w:val="20"/>
        </w:rPr>
      </w:pPr>
    </w:p>
    <w:p>
      <w:pPr>
        <w:pStyle w:val="15"/>
        <w:spacing w:before="120" w:after="120" w:line="360" w:lineRule="auto"/>
        <w:jc w:val="center"/>
        <w:rPr>
          <w:rFonts w:hint="eastAsia" w:ascii="仿宋_GB2312" w:hAnsi="宋体" w:eastAsia="仿宋_GB2312"/>
          <w:color w:val="000000"/>
        </w:rPr>
      </w:pPr>
    </w:p>
    <w:p>
      <w:pPr>
        <w:spacing w:line="360" w:lineRule="auto"/>
        <w:jc w:val="center"/>
        <w:rPr>
          <w:rFonts w:hint="eastAsia" w:ascii="宋体" w:hAnsi="宋体"/>
          <w:b/>
          <w:color w:val="000000"/>
          <w:sz w:val="44"/>
          <w:szCs w:val="44"/>
        </w:rPr>
      </w:pPr>
      <w:r>
        <w:rPr>
          <w:rFonts w:hint="eastAsia" w:ascii="宋体" w:hAnsi="宋体"/>
          <w:b/>
          <w:color w:val="000000"/>
          <w:sz w:val="44"/>
          <w:szCs w:val="44"/>
        </w:rPr>
        <w:t>目  录</w:t>
      </w:r>
    </w:p>
    <w:p>
      <w:pPr>
        <w:pStyle w:val="18"/>
        <w:rPr>
          <w:rFonts w:ascii="Calibri" w:hAnsi="Calibri"/>
          <w:b w:val="0"/>
          <w:bCs w:val="0"/>
          <w:caps w:val="0"/>
          <w:color w:val="000000"/>
          <w:sz w:val="21"/>
          <w:szCs w:val="22"/>
          <w:lang w:val="en-US" w:eastAsia="zh-CN"/>
        </w:rPr>
      </w:pPr>
      <w:r>
        <w:rPr>
          <w:rFonts w:ascii="仿宋_GB2312" w:eastAsia="仿宋_GB2312"/>
          <w:b w:val="0"/>
          <w:color w:val="000000"/>
        </w:rPr>
        <w:fldChar w:fldCharType="begin"/>
      </w:r>
      <w:r>
        <w:rPr>
          <w:rFonts w:ascii="仿宋_GB2312" w:eastAsia="仿宋_GB2312"/>
          <w:b w:val="0"/>
          <w:color w:val="000000"/>
        </w:rPr>
        <w:instrText xml:space="preserve"> </w:instrText>
      </w:r>
      <w:r>
        <w:rPr>
          <w:rFonts w:hint="eastAsia" w:ascii="仿宋_GB2312" w:eastAsia="仿宋_GB2312"/>
          <w:b w:val="0"/>
          <w:color w:val="000000"/>
        </w:rPr>
        <w:instrText xml:space="preserve">TOC \o "1-2" \h \z \u</w:instrText>
      </w:r>
      <w:r>
        <w:rPr>
          <w:rFonts w:ascii="仿宋_GB2312" w:eastAsia="仿宋_GB2312"/>
          <w:b w:val="0"/>
          <w:color w:val="000000"/>
        </w:rPr>
        <w:instrText xml:space="preserve"> </w:instrText>
      </w:r>
      <w:r>
        <w:rPr>
          <w:rFonts w:ascii="仿宋_GB2312" w:eastAsia="仿宋_GB2312"/>
          <w:b w:val="0"/>
          <w:color w:val="000000"/>
        </w:rPr>
        <w:fldChar w:fldCharType="separate"/>
      </w:r>
      <w:r>
        <w:rPr>
          <w:color w:val="000000"/>
        </w:rPr>
        <w:fldChar w:fldCharType="begin"/>
      </w:r>
      <w:r>
        <w:rPr>
          <w:rStyle w:val="22"/>
          <w:color w:val="000000"/>
        </w:rPr>
        <w:instrText xml:space="preserve"> </w:instrText>
      </w:r>
      <w:r>
        <w:rPr>
          <w:color w:val="000000"/>
        </w:rPr>
        <w:instrText xml:space="preserve">HYPERLINK \l "_Toc74320800"</w:instrText>
      </w:r>
      <w:r>
        <w:rPr>
          <w:rStyle w:val="22"/>
          <w:color w:val="000000"/>
        </w:rPr>
        <w:instrText xml:space="preserve"> </w:instrText>
      </w:r>
      <w:r>
        <w:rPr>
          <w:color w:val="000000"/>
        </w:rPr>
        <w:fldChar w:fldCharType="separate"/>
      </w:r>
      <w:r>
        <w:rPr>
          <w:rStyle w:val="22"/>
          <w:rFonts w:hint="eastAsia"/>
          <w:color w:val="000000"/>
        </w:rPr>
        <w:t>第一章</w:t>
      </w:r>
      <w:r>
        <w:rPr>
          <w:rStyle w:val="22"/>
          <w:color w:val="000000"/>
        </w:rPr>
        <w:t xml:space="preserve"> </w:t>
      </w:r>
      <w:r>
        <w:rPr>
          <w:rStyle w:val="22"/>
          <w:rFonts w:hint="eastAsia"/>
          <w:color w:val="000000"/>
          <w:lang w:val="en-US" w:eastAsia="zh-CN"/>
        </w:rPr>
        <w:t xml:space="preserve"> </w:t>
      </w:r>
      <w:r>
        <w:rPr>
          <w:rStyle w:val="22"/>
          <w:rFonts w:hint="eastAsia"/>
          <w:color w:val="000000"/>
        </w:rPr>
        <w:t>招标公告</w:t>
      </w:r>
      <w:r>
        <w:rPr>
          <w:color w:val="000000"/>
        </w:rPr>
        <w:tab/>
      </w:r>
      <w:r>
        <w:rPr>
          <w:color w:val="000000"/>
        </w:rPr>
        <w:fldChar w:fldCharType="begin"/>
      </w:r>
      <w:r>
        <w:rPr>
          <w:color w:val="000000"/>
        </w:rPr>
        <w:instrText xml:space="preserve"> PAGEREF _Toc74320800 \h </w:instrText>
      </w:r>
      <w:r>
        <w:rPr>
          <w:color w:val="000000"/>
        </w:rPr>
        <w:fldChar w:fldCharType="separate"/>
      </w:r>
      <w:r>
        <w:rPr>
          <w:color w:val="000000"/>
        </w:rPr>
        <w:t>2</w:t>
      </w:r>
      <w:r>
        <w:rPr>
          <w:color w:val="000000"/>
        </w:rPr>
        <w:fldChar w:fldCharType="end"/>
      </w:r>
      <w:r>
        <w:rPr>
          <w:color w:val="000000"/>
        </w:rPr>
        <w:fldChar w:fldCharType="end"/>
      </w:r>
    </w:p>
    <w:p>
      <w:pPr>
        <w:pStyle w:val="18"/>
        <w:ind w:firstLine="241"/>
        <w:rPr>
          <w:rFonts w:ascii="Calibri" w:hAnsi="Calibri"/>
          <w:b w:val="0"/>
          <w:bCs w:val="0"/>
          <w:caps w:val="0"/>
          <w:color w:val="000000"/>
          <w:sz w:val="21"/>
          <w:szCs w:val="22"/>
          <w:lang w:val="en-US" w:eastAsia="zh-CN"/>
        </w:rPr>
      </w:pPr>
      <w:r>
        <w:rPr>
          <w:color w:val="000000"/>
        </w:rPr>
        <w:fldChar w:fldCharType="begin"/>
      </w:r>
      <w:r>
        <w:rPr>
          <w:rStyle w:val="22"/>
          <w:color w:val="000000"/>
        </w:rPr>
        <w:instrText xml:space="preserve"> </w:instrText>
      </w:r>
      <w:r>
        <w:rPr>
          <w:color w:val="000000"/>
        </w:rPr>
        <w:instrText xml:space="preserve">HYPERLINK \l "_Toc74320801"</w:instrText>
      </w:r>
      <w:r>
        <w:rPr>
          <w:rStyle w:val="22"/>
          <w:color w:val="000000"/>
        </w:rPr>
        <w:instrText xml:space="preserve"> </w:instrText>
      </w:r>
      <w:r>
        <w:rPr>
          <w:color w:val="000000"/>
        </w:rPr>
        <w:fldChar w:fldCharType="separate"/>
      </w:r>
      <w:r>
        <w:rPr>
          <w:rStyle w:val="22"/>
          <w:rFonts w:hint="eastAsia"/>
          <w:color w:val="000000"/>
        </w:rPr>
        <w:t>第二章</w:t>
      </w:r>
      <w:r>
        <w:rPr>
          <w:rStyle w:val="22"/>
          <w:color w:val="000000"/>
        </w:rPr>
        <w:t xml:space="preserve">  </w:t>
      </w:r>
      <w:r>
        <w:rPr>
          <w:rStyle w:val="22"/>
          <w:rFonts w:hint="eastAsia"/>
          <w:color w:val="000000"/>
        </w:rPr>
        <w:t>采购需求</w:t>
      </w:r>
      <w:bookmarkStart w:id="0" w:name="_Hlt89854608"/>
      <w:r>
        <w:rPr>
          <w:color w:val="000000"/>
        </w:rPr>
        <w:tab/>
      </w:r>
      <w:bookmarkEnd w:id="0"/>
      <w:r>
        <w:rPr>
          <w:color w:val="000000"/>
        </w:rPr>
        <w:fldChar w:fldCharType="begin"/>
      </w:r>
      <w:r>
        <w:rPr>
          <w:color w:val="000000"/>
        </w:rPr>
        <w:instrText xml:space="preserve"> PAGEREF _Toc74320801 \h </w:instrText>
      </w:r>
      <w:r>
        <w:rPr>
          <w:color w:val="000000"/>
        </w:rPr>
        <w:fldChar w:fldCharType="separate"/>
      </w:r>
      <w:r>
        <w:rPr>
          <w:color w:val="000000"/>
        </w:rPr>
        <w:t>5</w:t>
      </w:r>
      <w:r>
        <w:rPr>
          <w:color w:val="000000"/>
        </w:rPr>
        <w:fldChar w:fldCharType="end"/>
      </w:r>
      <w:r>
        <w:rPr>
          <w:color w:val="000000"/>
        </w:rPr>
        <w:fldChar w:fldCharType="end"/>
      </w:r>
    </w:p>
    <w:p>
      <w:pPr>
        <w:pStyle w:val="18"/>
        <w:ind w:firstLine="241"/>
        <w:rPr>
          <w:rFonts w:ascii="Calibri" w:hAnsi="Calibri"/>
          <w:b w:val="0"/>
          <w:bCs w:val="0"/>
          <w:caps w:val="0"/>
          <w:color w:val="000000"/>
          <w:sz w:val="21"/>
          <w:szCs w:val="22"/>
          <w:lang w:val="en-US" w:eastAsia="zh-CN"/>
        </w:rPr>
      </w:pPr>
      <w:r>
        <w:rPr>
          <w:color w:val="000000"/>
        </w:rPr>
        <w:fldChar w:fldCharType="begin"/>
      </w:r>
      <w:r>
        <w:rPr>
          <w:rStyle w:val="22"/>
          <w:color w:val="000000"/>
        </w:rPr>
        <w:instrText xml:space="preserve"> </w:instrText>
      </w:r>
      <w:r>
        <w:rPr>
          <w:color w:val="000000"/>
        </w:rPr>
        <w:instrText xml:space="preserve">HYPERLINK \l "_Toc74320802"</w:instrText>
      </w:r>
      <w:r>
        <w:rPr>
          <w:rStyle w:val="22"/>
          <w:color w:val="000000"/>
        </w:rPr>
        <w:instrText xml:space="preserve"> </w:instrText>
      </w:r>
      <w:r>
        <w:rPr>
          <w:color w:val="000000"/>
        </w:rPr>
        <w:fldChar w:fldCharType="separate"/>
      </w:r>
      <w:r>
        <w:rPr>
          <w:rStyle w:val="22"/>
          <w:rFonts w:hint="eastAsia"/>
          <w:color w:val="000000"/>
        </w:rPr>
        <w:t>第三章</w:t>
      </w:r>
      <w:r>
        <w:rPr>
          <w:rStyle w:val="22"/>
          <w:color w:val="000000"/>
        </w:rPr>
        <w:t xml:space="preserve">  </w:t>
      </w:r>
      <w:r>
        <w:rPr>
          <w:rStyle w:val="22"/>
          <w:rFonts w:hint="eastAsia"/>
          <w:color w:val="000000"/>
        </w:rPr>
        <w:t>投标人</w:t>
      </w:r>
      <w:bookmarkStart w:id="1" w:name="_Hlt89854620"/>
      <w:r>
        <w:rPr>
          <w:rStyle w:val="22"/>
          <w:rFonts w:hint="eastAsia"/>
          <w:color w:val="000000"/>
        </w:rPr>
        <w:t>须</w:t>
      </w:r>
      <w:bookmarkEnd w:id="1"/>
      <w:bookmarkStart w:id="2" w:name="_Hlt79572744"/>
      <w:bookmarkStart w:id="3" w:name="_Hlt79572745"/>
      <w:r>
        <w:rPr>
          <w:rStyle w:val="22"/>
          <w:rFonts w:hint="eastAsia"/>
          <w:color w:val="000000"/>
        </w:rPr>
        <w:t>知</w:t>
      </w:r>
      <w:bookmarkEnd w:id="2"/>
      <w:bookmarkEnd w:id="3"/>
      <w:r>
        <w:rPr>
          <w:color w:val="000000"/>
        </w:rPr>
        <w:tab/>
      </w:r>
      <w:r>
        <w:rPr>
          <w:color w:val="000000"/>
        </w:rPr>
        <w:fldChar w:fldCharType="begin"/>
      </w:r>
      <w:r>
        <w:rPr>
          <w:color w:val="000000"/>
        </w:rPr>
        <w:instrText xml:space="preserve"> PAGEREF _Toc74320802 \h </w:instrText>
      </w:r>
      <w:r>
        <w:rPr>
          <w:color w:val="000000"/>
        </w:rPr>
        <w:fldChar w:fldCharType="separate"/>
      </w:r>
      <w:r>
        <w:rPr>
          <w:color w:val="000000"/>
        </w:rPr>
        <w:t>75</w:t>
      </w:r>
      <w:r>
        <w:rPr>
          <w:color w:val="000000"/>
        </w:rPr>
        <w:fldChar w:fldCharType="end"/>
      </w:r>
      <w:r>
        <w:rPr>
          <w:color w:val="000000"/>
        </w:rPr>
        <w:fldChar w:fldCharType="end"/>
      </w:r>
    </w:p>
    <w:p>
      <w:pPr>
        <w:pStyle w:val="18"/>
        <w:ind w:firstLine="241"/>
        <w:rPr>
          <w:rFonts w:ascii="Calibri" w:hAnsi="Calibri"/>
          <w:b w:val="0"/>
          <w:bCs w:val="0"/>
          <w:caps w:val="0"/>
          <w:color w:val="000000"/>
          <w:sz w:val="21"/>
          <w:szCs w:val="22"/>
          <w:lang w:val="en-US" w:eastAsia="zh-CN"/>
        </w:rPr>
      </w:pPr>
      <w:r>
        <w:rPr>
          <w:color w:val="000000"/>
        </w:rPr>
        <w:fldChar w:fldCharType="begin"/>
      </w:r>
      <w:r>
        <w:rPr>
          <w:rStyle w:val="22"/>
          <w:color w:val="000000"/>
        </w:rPr>
        <w:instrText xml:space="preserve"> </w:instrText>
      </w:r>
      <w:r>
        <w:rPr>
          <w:color w:val="000000"/>
        </w:rPr>
        <w:instrText xml:space="preserve">HYPERLINK \l "_Toc74320803"</w:instrText>
      </w:r>
      <w:r>
        <w:rPr>
          <w:rStyle w:val="22"/>
          <w:color w:val="000000"/>
        </w:rPr>
        <w:instrText xml:space="preserve"> </w:instrText>
      </w:r>
      <w:r>
        <w:rPr>
          <w:color w:val="000000"/>
        </w:rPr>
        <w:fldChar w:fldCharType="separate"/>
      </w:r>
      <w:r>
        <w:rPr>
          <w:rStyle w:val="22"/>
          <w:rFonts w:hint="eastAsia"/>
          <w:color w:val="000000"/>
        </w:rPr>
        <w:t>第四章</w:t>
      </w:r>
      <w:r>
        <w:rPr>
          <w:rStyle w:val="22"/>
          <w:color w:val="000000"/>
        </w:rPr>
        <w:t xml:space="preserve">  </w:t>
      </w:r>
      <w:r>
        <w:rPr>
          <w:rStyle w:val="22"/>
          <w:rFonts w:hint="eastAsia"/>
          <w:color w:val="000000"/>
        </w:rPr>
        <w:t>评标方</w:t>
      </w:r>
      <w:bookmarkStart w:id="4" w:name="_Hlt82186274"/>
      <w:bookmarkStart w:id="5" w:name="_Hlt82186273"/>
      <w:r>
        <w:rPr>
          <w:rStyle w:val="22"/>
          <w:rFonts w:hint="eastAsia"/>
          <w:color w:val="000000"/>
        </w:rPr>
        <w:t>法</w:t>
      </w:r>
      <w:bookmarkEnd w:id="4"/>
      <w:bookmarkEnd w:id="5"/>
      <w:r>
        <w:rPr>
          <w:rStyle w:val="22"/>
          <w:rFonts w:hint="eastAsia"/>
          <w:color w:val="000000"/>
        </w:rPr>
        <w:t>及评标标准</w:t>
      </w:r>
      <w:r>
        <w:rPr>
          <w:color w:val="000000"/>
        </w:rPr>
        <w:tab/>
      </w:r>
      <w:r>
        <w:rPr>
          <w:color w:val="000000"/>
        </w:rPr>
        <w:fldChar w:fldCharType="begin"/>
      </w:r>
      <w:r>
        <w:rPr>
          <w:color w:val="000000"/>
        </w:rPr>
        <w:instrText xml:space="preserve"> PAGEREF _Toc74320803 \h </w:instrText>
      </w:r>
      <w:r>
        <w:rPr>
          <w:color w:val="000000"/>
        </w:rPr>
        <w:fldChar w:fldCharType="separate"/>
      </w:r>
      <w:r>
        <w:rPr>
          <w:color w:val="000000"/>
        </w:rPr>
        <w:t>96</w:t>
      </w:r>
      <w:r>
        <w:rPr>
          <w:color w:val="000000"/>
        </w:rPr>
        <w:fldChar w:fldCharType="end"/>
      </w:r>
      <w:r>
        <w:rPr>
          <w:color w:val="000000"/>
        </w:rPr>
        <w:fldChar w:fldCharType="end"/>
      </w:r>
    </w:p>
    <w:p>
      <w:pPr>
        <w:pStyle w:val="18"/>
        <w:ind w:firstLine="241"/>
        <w:rPr>
          <w:rFonts w:ascii="Calibri" w:hAnsi="Calibri"/>
          <w:b w:val="0"/>
          <w:bCs w:val="0"/>
          <w:caps w:val="0"/>
          <w:color w:val="000000"/>
          <w:sz w:val="21"/>
          <w:szCs w:val="22"/>
          <w:lang w:val="en-US" w:eastAsia="zh-CN"/>
        </w:rPr>
      </w:pPr>
      <w:r>
        <w:rPr>
          <w:color w:val="000000"/>
        </w:rPr>
        <w:fldChar w:fldCharType="begin"/>
      </w:r>
      <w:r>
        <w:rPr>
          <w:rStyle w:val="22"/>
          <w:color w:val="000000"/>
        </w:rPr>
        <w:instrText xml:space="preserve"> </w:instrText>
      </w:r>
      <w:r>
        <w:rPr>
          <w:color w:val="000000"/>
        </w:rPr>
        <w:instrText xml:space="preserve">HYPERLINK \l "_Toc74320804"</w:instrText>
      </w:r>
      <w:r>
        <w:rPr>
          <w:rStyle w:val="22"/>
          <w:color w:val="000000"/>
        </w:rPr>
        <w:instrText xml:space="preserve"> </w:instrText>
      </w:r>
      <w:r>
        <w:rPr>
          <w:color w:val="000000"/>
        </w:rPr>
        <w:fldChar w:fldCharType="separate"/>
      </w:r>
      <w:r>
        <w:rPr>
          <w:rStyle w:val="22"/>
          <w:rFonts w:hint="eastAsia"/>
          <w:color w:val="000000"/>
        </w:rPr>
        <w:t>第五章</w:t>
      </w:r>
      <w:r>
        <w:rPr>
          <w:rStyle w:val="22"/>
          <w:color w:val="000000"/>
        </w:rPr>
        <w:t xml:space="preserve">  </w:t>
      </w:r>
      <w:r>
        <w:rPr>
          <w:rStyle w:val="22"/>
          <w:rFonts w:hint="eastAsia"/>
          <w:color w:val="000000"/>
        </w:rPr>
        <w:t>拟签订的合同文本</w:t>
      </w:r>
      <w:r>
        <w:rPr>
          <w:color w:val="000000"/>
        </w:rPr>
        <w:tab/>
      </w:r>
      <w:r>
        <w:rPr>
          <w:color w:val="000000"/>
        </w:rPr>
        <w:fldChar w:fldCharType="begin"/>
      </w:r>
      <w:r>
        <w:rPr>
          <w:color w:val="000000"/>
        </w:rPr>
        <w:instrText xml:space="preserve"> PAGEREF _Toc74320804 \h </w:instrText>
      </w:r>
      <w:r>
        <w:rPr>
          <w:color w:val="000000"/>
        </w:rPr>
        <w:fldChar w:fldCharType="separate"/>
      </w:r>
      <w:r>
        <w:rPr>
          <w:color w:val="000000"/>
        </w:rPr>
        <w:t>111</w:t>
      </w:r>
      <w:r>
        <w:rPr>
          <w:color w:val="000000"/>
        </w:rPr>
        <w:fldChar w:fldCharType="end"/>
      </w:r>
      <w:r>
        <w:rPr>
          <w:color w:val="000000"/>
        </w:rPr>
        <w:fldChar w:fldCharType="end"/>
      </w:r>
    </w:p>
    <w:p>
      <w:pPr>
        <w:pStyle w:val="18"/>
        <w:ind w:firstLine="241"/>
        <w:rPr>
          <w:rFonts w:ascii="Calibri" w:hAnsi="Calibri"/>
          <w:b w:val="0"/>
          <w:bCs w:val="0"/>
          <w:caps w:val="0"/>
          <w:color w:val="000000"/>
          <w:sz w:val="21"/>
          <w:szCs w:val="22"/>
          <w:lang w:val="en-US" w:eastAsia="zh-CN"/>
        </w:rPr>
      </w:pPr>
      <w:r>
        <w:rPr>
          <w:color w:val="000000"/>
        </w:rPr>
        <w:fldChar w:fldCharType="begin"/>
      </w:r>
      <w:r>
        <w:rPr>
          <w:rStyle w:val="22"/>
          <w:color w:val="000000"/>
        </w:rPr>
        <w:instrText xml:space="preserve"> </w:instrText>
      </w:r>
      <w:r>
        <w:rPr>
          <w:color w:val="000000"/>
        </w:rPr>
        <w:instrText xml:space="preserve">HYPERLINK \l "_Toc74320805"</w:instrText>
      </w:r>
      <w:r>
        <w:rPr>
          <w:rStyle w:val="22"/>
          <w:color w:val="000000"/>
        </w:rPr>
        <w:instrText xml:space="preserve"> </w:instrText>
      </w:r>
      <w:r>
        <w:rPr>
          <w:color w:val="000000"/>
        </w:rPr>
        <w:fldChar w:fldCharType="separate"/>
      </w:r>
      <w:r>
        <w:rPr>
          <w:rStyle w:val="22"/>
          <w:rFonts w:hint="eastAsia"/>
          <w:color w:val="000000"/>
        </w:rPr>
        <w:t>第六章　投标文件格式</w:t>
      </w:r>
      <w:r>
        <w:rPr>
          <w:color w:val="000000"/>
        </w:rPr>
        <w:tab/>
      </w:r>
      <w:r>
        <w:rPr>
          <w:color w:val="000000"/>
        </w:rPr>
        <w:fldChar w:fldCharType="begin"/>
      </w:r>
      <w:r>
        <w:rPr>
          <w:color w:val="000000"/>
        </w:rPr>
        <w:instrText xml:space="preserve"> PAGEREF _Toc74320805 \h </w:instrText>
      </w:r>
      <w:r>
        <w:rPr>
          <w:color w:val="000000"/>
        </w:rPr>
        <w:fldChar w:fldCharType="separate"/>
      </w:r>
      <w:r>
        <w:rPr>
          <w:color w:val="000000"/>
        </w:rPr>
        <w:t>117</w:t>
      </w:r>
      <w:r>
        <w:rPr>
          <w:color w:val="000000"/>
        </w:rPr>
        <w:fldChar w:fldCharType="end"/>
      </w:r>
      <w:r>
        <w:rPr>
          <w:color w:val="000000"/>
        </w:rPr>
        <w:fldChar w:fldCharType="end"/>
      </w:r>
    </w:p>
    <w:p>
      <w:pPr>
        <w:spacing w:before="120" w:beforeLines="50" w:line="480" w:lineRule="exact"/>
        <w:rPr>
          <w:rFonts w:hint="eastAsia" w:ascii="仿宋_GB2312" w:hAnsi="宋体" w:eastAsia="仿宋_GB2312"/>
          <w:color w:val="000000"/>
          <w:sz w:val="24"/>
        </w:rPr>
      </w:pPr>
      <w:r>
        <w:rPr>
          <w:rFonts w:ascii="仿宋_GB2312" w:hAnsi="宋体" w:eastAsia="仿宋_GB2312"/>
          <w:b/>
          <w:color w:val="000000"/>
          <w:sz w:val="24"/>
        </w:rPr>
        <w:fldChar w:fldCharType="end"/>
      </w:r>
    </w:p>
    <w:p>
      <w:pPr>
        <w:spacing w:before="120" w:beforeLines="50" w:line="480" w:lineRule="exact"/>
        <w:rPr>
          <w:rFonts w:hint="eastAsia" w:ascii="仿宋_GB2312" w:hAnsi="宋体" w:eastAsia="仿宋_GB2312"/>
          <w:color w:val="000000"/>
          <w:sz w:val="30"/>
        </w:rPr>
      </w:pPr>
    </w:p>
    <w:p>
      <w:pPr>
        <w:rPr>
          <w:rFonts w:hint="eastAsia"/>
          <w:color w:val="000000"/>
        </w:rPr>
      </w:pPr>
    </w:p>
    <w:p>
      <w:pPr>
        <w:spacing w:before="120" w:beforeLines="50" w:line="480" w:lineRule="exact"/>
        <w:rPr>
          <w:rFonts w:hint="eastAsia" w:ascii="仿宋_GB2312" w:hAnsi="宋体" w:eastAsia="仿宋_GB2312"/>
          <w:color w:val="000000"/>
          <w:sz w:val="30"/>
        </w:rPr>
      </w:pPr>
    </w:p>
    <w:p>
      <w:pPr>
        <w:spacing w:before="120" w:beforeLines="50" w:line="480" w:lineRule="exact"/>
        <w:rPr>
          <w:rFonts w:hint="eastAsia" w:ascii="仿宋_GB2312" w:hAnsi="宋体" w:eastAsia="仿宋_GB2312"/>
          <w:color w:val="000000"/>
          <w:sz w:val="30"/>
        </w:rPr>
      </w:pPr>
    </w:p>
    <w:p>
      <w:pPr>
        <w:pStyle w:val="13"/>
        <w:rPr>
          <w:rFonts w:hint="eastAsia" w:ascii="宋体" w:hAnsi="宋体" w:cs="宋体"/>
          <w:b/>
          <w:bCs/>
          <w:color w:val="000000"/>
        </w:rPr>
      </w:pPr>
      <w:bookmarkStart w:id="6" w:name="_Toc254970630"/>
      <w:bookmarkStart w:id="7" w:name="_Toc254970489"/>
    </w:p>
    <w:p>
      <w:pPr>
        <w:pStyle w:val="5"/>
        <w:keepNext w:val="0"/>
        <w:keepLines w:val="0"/>
        <w:tabs>
          <w:tab w:val="left" w:pos="0"/>
          <w:tab w:val="left" w:pos="3165"/>
          <w:tab w:val="center" w:pos="4153"/>
        </w:tabs>
        <w:autoSpaceDE w:val="0"/>
        <w:autoSpaceDN w:val="0"/>
        <w:adjustRightInd w:val="0"/>
        <w:spacing w:before="0" w:after="0" w:line="360" w:lineRule="auto"/>
        <w:jc w:val="center"/>
        <w:rPr>
          <w:rFonts w:hint="eastAsia"/>
          <w:color w:val="000000"/>
        </w:rPr>
      </w:pPr>
      <w:r>
        <w:rPr>
          <w:rFonts w:ascii="宋体" w:hAnsi="宋体" w:cs="宋体"/>
          <w:b w:val="0"/>
          <w:bCs w:val="0"/>
          <w:color w:val="000000"/>
        </w:rPr>
        <w:br w:type="page"/>
      </w:r>
      <w:bookmarkStart w:id="8" w:name="_Toc74320800"/>
      <w:r>
        <w:rPr>
          <w:rFonts w:hint="eastAsia"/>
          <w:color w:val="000000"/>
        </w:rPr>
        <w:t>第一章</w:t>
      </w:r>
      <w:bookmarkEnd w:id="6"/>
      <w:bookmarkEnd w:id="7"/>
      <w:bookmarkStart w:id="9" w:name="_Toc35393789"/>
      <w:bookmarkStart w:id="10" w:name="_Toc28359001"/>
      <w:r>
        <w:rPr>
          <w:rFonts w:hint="eastAsia"/>
          <w:color w:val="000000"/>
        </w:rPr>
        <w:t xml:space="preserve"> 招标公告</w:t>
      </w:r>
      <w:bookmarkEnd w:id="8"/>
      <w:bookmarkEnd w:id="9"/>
      <w:bookmarkEnd w:id="10"/>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color w:val="auto"/>
          <w:szCs w:val="21"/>
        </w:rPr>
      </w:pPr>
      <w:r>
        <w:rPr>
          <w:rFonts w:hint="eastAsia" w:ascii="宋体" w:hAnsi="宋体"/>
          <w:color w:val="auto"/>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color w:val="auto"/>
          <w:szCs w:val="21"/>
        </w:rPr>
      </w:pPr>
      <w:r>
        <w:rPr>
          <w:rFonts w:hint="eastAsia" w:ascii="宋体" w:hAnsi="宋体"/>
          <w:color w:val="auto"/>
          <w:szCs w:val="21"/>
          <w:u w:val="single"/>
        </w:rPr>
        <w:t>残疾人辅助器具采购</w:t>
      </w:r>
      <w:r>
        <w:rPr>
          <w:rFonts w:hint="eastAsia" w:ascii="宋体" w:hAnsi="宋体"/>
          <w:color w:val="auto"/>
          <w:szCs w:val="21"/>
        </w:rPr>
        <w:t>招标项目的潜在投标人应在“政采云”平台（https://www.zcygov.cn）获取（下载）招标文件，并于</w:t>
      </w:r>
      <w:r>
        <w:rPr>
          <w:rFonts w:ascii="宋体" w:hAnsi="宋体"/>
          <w:color w:val="auto"/>
          <w:szCs w:val="21"/>
          <w:u w:val="single"/>
        </w:rPr>
        <w:t>202</w:t>
      </w:r>
      <w:r>
        <w:rPr>
          <w:rFonts w:hint="eastAsia" w:ascii="宋体" w:hAnsi="宋体"/>
          <w:color w:val="auto"/>
          <w:szCs w:val="21"/>
          <w:u w:val="single"/>
        </w:rPr>
        <w:t>2</w:t>
      </w:r>
      <w:r>
        <w:rPr>
          <w:rFonts w:hint="eastAsia" w:ascii="宋体" w:hAnsi="宋体"/>
          <w:bCs/>
          <w:color w:val="auto"/>
          <w:szCs w:val="21"/>
          <w:u w:val="single"/>
        </w:rPr>
        <w:t>年</w:t>
      </w:r>
      <w:r>
        <w:rPr>
          <w:rFonts w:hint="eastAsia" w:ascii="宋体" w:hAnsi="宋体"/>
          <w:bCs/>
          <w:color w:val="auto"/>
          <w:szCs w:val="21"/>
          <w:u w:val="single"/>
          <w:lang w:val="en-US" w:eastAsia="zh-CN"/>
        </w:rPr>
        <w:t>3</w:t>
      </w:r>
      <w:r>
        <w:rPr>
          <w:rFonts w:hint="eastAsia" w:ascii="宋体" w:hAnsi="宋体"/>
          <w:bCs/>
          <w:color w:val="auto"/>
          <w:szCs w:val="21"/>
          <w:u w:val="single"/>
        </w:rPr>
        <w:t>月</w:t>
      </w:r>
      <w:r>
        <w:rPr>
          <w:rFonts w:hint="eastAsia" w:ascii="宋体" w:hAnsi="宋体"/>
          <w:bCs/>
          <w:color w:val="auto"/>
          <w:szCs w:val="21"/>
          <w:u w:val="single"/>
          <w:lang w:val="en-US" w:eastAsia="zh-CN"/>
        </w:rPr>
        <w:t>18</w:t>
      </w:r>
      <w:r>
        <w:rPr>
          <w:rFonts w:hint="eastAsia" w:ascii="宋体" w:hAnsi="宋体"/>
          <w:bCs/>
          <w:color w:val="auto"/>
          <w:szCs w:val="21"/>
          <w:u w:val="single"/>
        </w:rPr>
        <w:t>日</w:t>
      </w:r>
      <w:r>
        <w:rPr>
          <w:rFonts w:hint="eastAsia" w:ascii="宋体" w:hAnsi="宋体"/>
          <w:bCs/>
          <w:color w:val="auto"/>
          <w:szCs w:val="21"/>
          <w:u w:val="single"/>
          <w:lang w:val="en-US" w:eastAsia="zh-CN"/>
        </w:rPr>
        <w:t>9</w:t>
      </w:r>
      <w:r>
        <w:rPr>
          <w:rFonts w:hint="eastAsia" w:ascii="宋体" w:hAnsi="宋体"/>
          <w:bCs/>
          <w:color w:val="auto"/>
          <w:szCs w:val="21"/>
          <w:u w:val="single"/>
        </w:rPr>
        <w:t>时</w:t>
      </w:r>
      <w:r>
        <w:rPr>
          <w:rFonts w:hint="eastAsia" w:ascii="宋体" w:hAnsi="宋体"/>
          <w:bCs/>
          <w:color w:val="auto"/>
          <w:szCs w:val="21"/>
          <w:u w:val="single"/>
          <w:lang w:val="en-US" w:eastAsia="zh-CN"/>
        </w:rPr>
        <w:t>30</w:t>
      </w:r>
      <w:r>
        <w:rPr>
          <w:rFonts w:hint="eastAsia" w:ascii="宋体" w:hAnsi="宋体"/>
          <w:bCs/>
          <w:color w:val="auto"/>
          <w:szCs w:val="21"/>
          <w:u w:val="single"/>
        </w:rPr>
        <w:t>分（</w:t>
      </w:r>
      <w:r>
        <w:rPr>
          <w:rFonts w:hint="eastAsia" w:ascii="宋体" w:hAnsi="宋体"/>
          <w:bCs/>
          <w:color w:val="auto"/>
          <w:szCs w:val="21"/>
        </w:rPr>
        <w:t>北京时间）前按要求递交（上传）投标</w:t>
      </w:r>
      <w:r>
        <w:rPr>
          <w:rFonts w:ascii="宋体" w:hAnsi="宋体"/>
          <w:bCs/>
          <w:color w:val="auto"/>
          <w:szCs w:val="21"/>
        </w:rPr>
        <w:t>文件</w:t>
      </w:r>
      <w:r>
        <w:rPr>
          <w:rFonts w:hint="eastAsia" w:ascii="宋体" w:hAnsi="宋体"/>
          <w:color w:val="auto"/>
          <w:szCs w:val="21"/>
        </w:rPr>
        <w:t>。</w:t>
      </w:r>
    </w:p>
    <w:p>
      <w:pPr>
        <w:spacing w:line="360" w:lineRule="auto"/>
        <w:rPr>
          <w:rFonts w:ascii="黑体" w:hAnsi="黑体" w:eastAsia="黑体"/>
          <w:b/>
          <w:bCs/>
          <w:color w:val="auto"/>
          <w:sz w:val="24"/>
        </w:rPr>
      </w:pPr>
      <w:bookmarkStart w:id="11" w:name="_Toc28359079"/>
      <w:bookmarkStart w:id="12" w:name="_Toc28359002"/>
      <w:bookmarkStart w:id="13" w:name="_Toc35393790"/>
      <w:bookmarkStart w:id="14" w:name="_Toc35393621"/>
      <w:bookmarkStart w:id="15" w:name="_Hlk24379207"/>
      <w:r>
        <w:rPr>
          <w:rFonts w:hint="eastAsia" w:ascii="黑体" w:hAnsi="黑体" w:eastAsia="黑体"/>
          <w:b/>
          <w:bCs/>
          <w:color w:val="auto"/>
          <w:sz w:val="24"/>
        </w:rPr>
        <w:t>一、项目基本情况</w:t>
      </w:r>
      <w:bookmarkEnd w:id="11"/>
      <w:bookmarkEnd w:id="12"/>
      <w:bookmarkEnd w:id="13"/>
      <w:bookmarkEnd w:id="14"/>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项目编号：GXZC2022-G1-000193-JGJD(采购计划文号：广西政采[2022]194号)</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项目名称：残疾人辅助器具采购</w:t>
      </w:r>
    </w:p>
    <w:bookmarkEnd w:id="15"/>
    <w:p>
      <w:pPr>
        <w:spacing w:line="360" w:lineRule="auto"/>
        <w:ind w:firstLine="420" w:firstLineChars="200"/>
        <w:rPr>
          <w:rFonts w:hint="eastAsia" w:ascii="宋体" w:hAnsi="宋体" w:eastAsia="宋体"/>
          <w:color w:val="auto"/>
          <w:szCs w:val="21"/>
          <w:highlight w:val="none"/>
          <w:u w:val="single"/>
          <w:lang w:val="en-US" w:eastAsia="zh-CN"/>
        </w:rPr>
      </w:pPr>
      <w:r>
        <w:rPr>
          <w:rFonts w:hint="eastAsia" w:ascii="宋体" w:hAnsi="宋体"/>
          <w:color w:val="auto"/>
          <w:szCs w:val="21"/>
          <w:highlight w:val="none"/>
        </w:rPr>
        <w:t>预算金额：</w:t>
      </w:r>
      <w:r>
        <w:rPr>
          <w:rFonts w:hint="eastAsia" w:ascii="宋体" w:hAnsi="宋体"/>
          <w:color w:val="auto"/>
          <w:szCs w:val="21"/>
          <w:highlight w:val="none"/>
          <w:lang w:val="en-US" w:eastAsia="zh-CN"/>
        </w:rPr>
        <w:t>2500万</w:t>
      </w:r>
    </w:p>
    <w:p>
      <w:pPr>
        <w:spacing w:line="360" w:lineRule="exact"/>
        <w:ind w:firstLine="420" w:firstLineChars="200"/>
        <w:rPr>
          <w:rFonts w:ascii="宋体" w:hAnsi="宋体"/>
          <w:color w:val="auto"/>
          <w:szCs w:val="21"/>
        </w:rPr>
      </w:pPr>
      <w:r>
        <w:rPr>
          <w:rFonts w:hint="eastAsia" w:ascii="宋体" w:hAnsi="宋体"/>
          <w:color w:val="auto"/>
          <w:szCs w:val="21"/>
        </w:rPr>
        <w:t>采购需求：</w:t>
      </w:r>
      <w:r>
        <w:rPr>
          <w:rFonts w:ascii="宋体" w:hAnsi="宋体"/>
          <w:color w:val="auto"/>
          <w:szCs w:val="21"/>
        </w:rPr>
        <w:t xml:space="preserve"> </w:t>
      </w:r>
    </w:p>
    <w:tbl>
      <w:tblPr>
        <w:tblStyle w:val="24"/>
        <w:tblW w:w="10312" w:type="dxa"/>
        <w:tblInd w:w="-16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
        <w:gridCol w:w="1110"/>
        <w:gridCol w:w="862"/>
        <w:gridCol w:w="73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1" w:hRule="atLeast"/>
        </w:trPr>
        <w:tc>
          <w:tcPr>
            <w:tcW w:w="10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Cs w:val="21"/>
              </w:rPr>
            </w:pPr>
            <w:r>
              <w:rPr>
                <w:rFonts w:hint="eastAsia" w:ascii="宋体" w:hAnsi="宋体"/>
                <w:color w:val="auto"/>
                <w:szCs w:val="21"/>
              </w:rPr>
              <w:t>分标</w:t>
            </w:r>
          </w:p>
        </w:tc>
        <w:tc>
          <w:tcPr>
            <w:tcW w:w="11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Cs w:val="21"/>
              </w:rPr>
            </w:pPr>
            <w:r>
              <w:rPr>
                <w:rFonts w:hint="eastAsia" w:ascii="宋体" w:hAnsi="宋体"/>
                <w:color w:val="auto"/>
                <w:szCs w:val="21"/>
              </w:rPr>
              <w:t>采购内容</w:t>
            </w:r>
          </w:p>
        </w:tc>
        <w:tc>
          <w:tcPr>
            <w:tcW w:w="86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Cs w:val="21"/>
              </w:rPr>
            </w:pPr>
            <w:r>
              <w:rPr>
                <w:rFonts w:hint="eastAsia" w:ascii="宋体" w:hAnsi="宋体"/>
                <w:color w:val="auto"/>
                <w:szCs w:val="21"/>
              </w:rPr>
              <w:t>数量及单位</w:t>
            </w:r>
          </w:p>
        </w:tc>
        <w:tc>
          <w:tcPr>
            <w:tcW w:w="73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Cs w:val="21"/>
              </w:rPr>
            </w:pPr>
            <w:r>
              <w:rPr>
                <w:rFonts w:hint="eastAsia" w:ascii="宋体" w:hAnsi="宋体"/>
                <w:color w:val="auto"/>
                <w:szCs w:val="21"/>
              </w:rPr>
              <w:t>简要技术需求或服务要求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r>
              <w:rPr>
                <w:rFonts w:hint="eastAsia" w:ascii="宋体" w:hAnsi="宋体" w:cs="宋体"/>
                <w:bCs/>
                <w:color w:val="auto"/>
                <w:szCs w:val="21"/>
              </w:rPr>
              <w:t>A分标</w:t>
            </w:r>
          </w:p>
        </w:tc>
        <w:tc>
          <w:tcPr>
            <w:tcW w:w="11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olor w:val="auto"/>
                <w:szCs w:val="21"/>
                <w:lang w:val="en-US" w:eastAsia="zh-CN"/>
              </w:rPr>
            </w:pPr>
            <w:r>
              <w:rPr>
                <w:rFonts w:hint="eastAsia" w:ascii="宋体" w:hAnsi="宋体" w:cs="宋体"/>
                <w:color w:val="auto"/>
                <w:szCs w:val="21"/>
              </w:rPr>
              <w:t>助行器类</w:t>
            </w:r>
            <w:r>
              <w:rPr>
                <w:rFonts w:hint="eastAsia" w:ascii="宋体" w:hAnsi="宋体" w:cs="宋体"/>
                <w:color w:val="auto"/>
                <w:szCs w:val="21"/>
                <w:lang w:eastAsia="zh-CN"/>
              </w:rPr>
              <w:t>、</w:t>
            </w:r>
            <w:r>
              <w:rPr>
                <w:rFonts w:hint="eastAsia" w:ascii="宋体" w:hAnsi="宋体" w:cs="宋体"/>
                <w:color w:val="auto"/>
                <w:szCs w:val="21"/>
                <w:lang w:val="en-US" w:eastAsia="zh-CN"/>
              </w:rPr>
              <w:t>生活自理类</w:t>
            </w:r>
          </w:p>
        </w:tc>
        <w:tc>
          <w:tcPr>
            <w:tcW w:w="86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Cs w:val="21"/>
              </w:rPr>
            </w:pPr>
            <w:r>
              <w:rPr>
                <w:rFonts w:hint="eastAsia" w:ascii="宋体" w:hAnsi="宋体"/>
                <w:color w:val="auto"/>
                <w:szCs w:val="21"/>
              </w:rPr>
              <w:t>1项</w:t>
            </w:r>
          </w:p>
        </w:tc>
        <w:tc>
          <w:tcPr>
            <w:tcW w:w="73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宋体"/>
                <w:color w:val="auto"/>
                <w:szCs w:val="21"/>
              </w:rPr>
            </w:pPr>
            <w:r>
              <w:rPr>
                <w:rFonts w:hint="eastAsia" w:ascii="宋体" w:hAnsi="宋体" w:cs="宋体"/>
                <w:color w:val="auto"/>
                <w:szCs w:val="21"/>
              </w:rPr>
              <w:t>助行器</w:t>
            </w:r>
            <w:r>
              <w:rPr>
                <w:rFonts w:hint="eastAsia" w:ascii="宋体" w:hAnsi="宋体" w:cs="宋体"/>
                <w:color w:val="auto"/>
                <w:szCs w:val="21"/>
                <w:lang w:eastAsia="zh-CN"/>
              </w:rPr>
              <w:t>、</w:t>
            </w:r>
            <w:r>
              <w:rPr>
                <w:rFonts w:hint="eastAsia" w:ascii="宋体" w:hAnsi="宋体" w:cs="宋体"/>
                <w:color w:val="auto"/>
                <w:szCs w:val="21"/>
                <w:lang w:val="en-US" w:eastAsia="zh-CN"/>
              </w:rPr>
              <w:t>生活自理类52</w:t>
            </w:r>
            <w:r>
              <w:rPr>
                <w:rFonts w:hint="eastAsia" w:ascii="宋体" w:hAnsi="宋体" w:cs="宋体"/>
                <w:color w:val="auto"/>
                <w:szCs w:val="21"/>
              </w:rPr>
              <w:t>个品种等成品辅具，包括但不限于使用指导、运输、配送、跟踪回访和质保服务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r>
              <w:rPr>
                <w:rFonts w:hint="eastAsia" w:ascii="宋体" w:hAnsi="宋体" w:cs="宋体"/>
                <w:bCs/>
                <w:color w:val="auto"/>
                <w:szCs w:val="21"/>
              </w:rPr>
              <w:t>B分标</w:t>
            </w:r>
          </w:p>
        </w:tc>
        <w:tc>
          <w:tcPr>
            <w:tcW w:w="11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Cs w:val="21"/>
              </w:rPr>
            </w:pPr>
            <w:r>
              <w:rPr>
                <w:rFonts w:hint="eastAsia" w:ascii="宋体" w:hAnsi="宋体" w:cs="宋体"/>
                <w:color w:val="auto"/>
                <w:szCs w:val="21"/>
              </w:rPr>
              <w:t>轮椅代步车类</w:t>
            </w:r>
          </w:p>
        </w:tc>
        <w:tc>
          <w:tcPr>
            <w:tcW w:w="86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Cs w:val="21"/>
              </w:rPr>
            </w:pPr>
            <w:r>
              <w:rPr>
                <w:rFonts w:hint="eastAsia" w:ascii="宋体" w:hAnsi="宋体"/>
                <w:color w:val="auto"/>
                <w:szCs w:val="21"/>
              </w:rPr>
              <w:t>1项</w:t>
            </w:r>
          </w:p>
        </w:tc>
        <w:tc>
          <w:tcPr>
            <w:tcW w:w="73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宋体"/>
                <w:color w:val="auto"/>
                <w:szCs w:val="21"/>
              </w:rPr>
            </w:pPr>
            <w:r>
              <w:rPr>
                <w:rFonts w:hint="eastAsia" w:ascii="宋体" w:hAnsi="宋体" w:cs="宋体"/>
                <w:color w:val="auto"/>
                <w:szCs w:val="21"/>
              </w:rPr>
              <w:t>轮椅代步车类</w:t>
            </w:r>
            <w:r>
              <w:rPr>
                <w:rFonts w:hint="eastAsia" w:ascii="宋体" w:hAnsi="宋体" w:cs="宋体"/>
                <w:color w:val="auto"/>
                <w:szCs w:val="21"/>
                <w:lang w:val="en-US" w:eastAsia="zh-CN"/>
              </w:rPr>
              <w:t>20</w:t>
            </w:r>
            <w:r>
              <w:rPr>
                <w:rFonts w:hint="eastAsia" w:ascii="宋体" w:hAnsi="宋体" w:cs="宋体"/>
                <w:color w:val="auto"/>
                <w:szCs w:val="21"/>
              </w:rPr>
              <w:t>个品种等成品辅具，包括但不限于使用指导、运输、配送、跟踪回访和质保服务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bCs/>
                <w:color w:val="auto"/>
                <w:szCs w:val="21"/>
              </w:rPr>
            </w:pPr>
            <w:r>
              <w:rPr>
                <w:rFonts w:hint="eastAsia" w:ascii="宋体" w:hAnsi="宋体" w:cs="宋体"/>
                <w:bCs/>
                <w:color w:val="auto"/>
                <w:szCs w:val="21"/>
                <w:lang w:val="en-US" w:eastAsia="zh-CN"/>
              </w:rPr>
              <w:t>C</w:t>
            </w:r>
            <w:r>
              <w:rPr>
                <w:rFonts w:hint="eastAsia" w:ascii="宋体" w:hAnsi="宋体" w:cs="宋体"/>
                <w:bCs/>
                <w:color w:val="auto"/>
                <w:szCs w:val="21"/>
              </w:rPr>
              <w:t>分标</w:t>
            </w:r>
          </w:p>
        </w:tc>
        <w:tc>
          <w:tcPr>
            <w:tcW w:w="11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auto"/>
                <w:szCs w:val="21"/>
              </w:rPr>
            </w:pPr>
            <w:r>
              <w:rPr>
                <w:rFonts w:hint="eastAsia" w:ascii="宋体" w:hAnsi="宋体" w:cs="宋体"/>
                <w:color w:val="auto"/>
                <w:szCs w:val="21"/>
              </w:rPr>
              <w:t>生活护理类</w:t>
            </w:r>
          </w:p>
        </w:tc>
        <w:tc>
          <w:tcPr>
            <w:tcW w:w="86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olor w:val="auto"/>
                <w:szCs w:val="21"/>
              </w:rPr>
            </w:pPr>
            <w:r>
              <w:rPr>
                <w:rFonts w:hint="eastAsia" w:ascii="宋体" w:hAnsi="宋体"/>
                <w:color w:val="auto"/>
                <w:szCs w:val="21"/>
              </w:rPr>
              <w:t>1项</w:t>
            </w:r>
          </w:p>
        </w:tc>
        <w:tc>
          <w:tcPr>
            <w:tcW w:w="73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宋体" w:hAnsi="宋体" w:cs="宋体"/>
                <w:color w:val="auto"/>
                <w:szCs w:val="21"/>
              </w:rPr>
            </w:pPr>
            <w:r>
              <w:rPr>
                <w:rFonts w:hint="eastAsia" w:ascii="宋体" w:hAnsi="宋体" w:cs="宋体"/>
                <w:color w:val="auto"/>
                <w:szCs w:val="21"/>
              </w:rPr>
              <w:t>生活护理类17个品种等成品辅具，包括但不限于使用指导、运输、配送、跟踪回访和质保服务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trPr>
        <w:tc>
          <w:tcPr>
            <w:tcW w:w="10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r>
              <w:rPr>
                <w:rFonts w:hint="eastAsia" w:ascii="宋体" w:hAnsi="宋体" w:cs="宋体"/>
                <w:bCs/>
                <w:color w:val="auto"/>
                <w:szCs w:val="21"/>
                <w:lang w:val="en-US" w:eastAsia="zh-CN"/>
              </w:rPr>
              <w:t>D</w:t>
            </w:r>
            <w:r>
              <w:rPr>
                <w:rFonts w:hint="eastAsia" w:ascii="宋体" w:hAnsi="宋体" w:cs="宋体"/>
                <w:bCs/>
                <w:color w:val="auto"/>
                <w:szCs w:val="21"/>
              </w:rPr>
              <w:t>分标</w:t>
            </w:r>
          </w:p>
        </w:tc>
        <w:tc>
          <w:tcPr>
            <w:tcW w:w="11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Cs w:val="21"/>
              </w:rPr>
            </w:pPr>
            <w:r>
              <w:rPr>
                <w:rFonts w:hint="eastAsia" w:ascii="宋体" w:hAnsi="宋体" w:cs="宋体"/>
                <w:color w:val="auto"/>
                <w:szCs w:val="21"/>
              </w:rPr>
              <w:t>助视和导盲信息类</w:t>
            </w:r>
          </w:p>
        </w:tc>
        <w:tc>
          <w:tcPr>
            <w:tcW w:w="86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Cs w:val="21"/>
              </w:rPr>
            </w:pPr>
            <w:r>
              <w:rPr>
                <w:rFonts w:hint="eastAsia" w:ascii="宋体" w:hAnsi="宋体"/>
                <w:color w:val="auto"/>
                <w:szCs w:val="21"/>
              </w:rPr>
              <w:t>1项</w:t>
            </w:r>
          </w:p>
        </w:tc>
        <w:tc>
          <w:tcPr>
            <w:tcW w:w="73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宋体"/>
                <w:color w:val="auto"/>
                <w:szCs w:val="21"/>
              </w:rPr>
            </w:pPr>
            <w:r>
              <w:rPr>
                <w:rFonts w:hint="eastAsia" w:ascii="宋体" w:hAnsi="宋体" w:cs="宋体"/>
                <w:color w:val="auto"/>
                <w:szCs w:val="21"/>
              </w:rPr>
              <w:t>助视和导盲信息类</w:t>
            </w:r>
            <w:r>
              <w:rPr>
                <w:rFonts w:hint="eastAsia" w:ascii="宋体" w:hAnsi="宋体" w:cs="宋体"/>
                <w:color w:val="auto"/>
                <w:szCs w:val="21"/>
                <w:lang w:val="en-US" w:eastAsia="zh-CN"/>
              </w:rPr>
              <w:t>47</w:t>
            </w:r>
            <w:r>
              <w:rPr>
                <w:rFonts w:hint="eastAsia" w:ascii="宋体" w:hAnsi="宋体" w:cs="宋体"/>
                <w:color w:val="auto"/>
                <w:szCs w:val="21"/>
              </w:rPr>
              <w:t>个品种等成品辅具，包括但不限于使用指导、运输、配送、跟踪回访和质保服务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r>
              <w:rPr>
                <w:rFonts w:hint="eastAsia" w:ascii="宋体" w:hAnsi="宋体" w:cs="宋体"/>
                <w:bCs/>
                <w:color w:val="auto"/>
                <w:szCs w:val="21"/>
                <w:lang w:val="en-US" w:eastAsia="zh-CN"/>
              </w:rPr>
              <w:t>E</w:t>
            </w:r>
            <w:r>
              <w:rPr>
                <w:rFonts w:hint="eastAsia" w:ascii="宋体" w:hAnsi="宋体" w:cs="宋体"/>
                <w:bCs/>
                <w:color w:val="auto"/>
                <w:szCs w:val="21"/>
              </w:rPr>
              <w:t>分标</w:t>
            </w:r>
          </w:p>
        </w:tc>
        <w:tc>
          <w:tcPr>
            <w:tcW w:w="11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Cs w:val="21"/>
              </w:rPr>
            </w:pPr>
            <w:r>
              <w:rPr>
                <w:rFonts w:hint="eastAsia" w:ascii="宋体" w:hAnsi="宋体" w:cs="宋体"/>
                <w:color w:val="auto"/>
                <w:szCs w:val="21"/>
              </w:rPr>
              <w:t>假肢矫形器类</w:t>
            </w:r>
          </w:p>
        </w:tc>
        <w:tc>
          <w:tcPr>
            <w:tcW w:w="86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Cs w:val="21"/>
              </w:rPr>
            </w:pPr>
            <w:r>
              <w:rPr>
                <w:rFonts w:hint="eastAsia" w:ascii="宋体" w:hAnsi="宋体"/>
                <w:color w:val="auto"/>
                <w:szCs w:val="21"/>
              </w:rPr>
              <w:t>1项</w:t>
            </w:r>
          </w:p>
        </w:tc>
        <w:tc>
          <w:tcPr>
            <w:tcW w:w="73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宋体"/>
                <w:color w:val="auto"/>
                <w:szCs w:val="21"/>
              </w:rPr>
            </w:pPr>
            <w:r>
              <w:rPr>
                <w:rFonts w:hint="eastAsia" w:ascii="宋体" w:hAnsi="宋体" w:cs="宋体"/>
                <w:color w:val="auto"/>
                <w:szCs w:val="21"/>
              </w:rPr>
              <w:t>假肢矫形器类40个品种等成品辅具，包括但不限于筛查评估、原材料、取模、制作、装配调试、患者及一名陪护人员往返交通以及适应性训练期间的食宿、跟踪回访和质保服务。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25" w:hRule="atLeast"/>
        </w:trPr>
        <w:tc>
          <w:tcPr>
            <w:tcW w:w="10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r>
              <w:rPr>
                <w:rFonts w:hint="eastAsia" w:ascii="宋体" w:hAnsi="宋体" w:cs="宋体"/>
                <w:bCs/>
                <w:color w:val="auto"/>
                <w:szCs w:val="21"/>
                <w:lang w:val="en-US" w:eastAsia="zh-CN"/>
              </w:rPr>
              <w:t>F</w:t>
            </w:r>
            <w:r>
              <w:rPr>
                <w:rFonts w:hint="eastAsia" w:ascii="宋体" w:hAnsi="宋体" w:cs="宋体"/>
                <w:bCs/>
                <w:color w:val="auto"/>
                <w:szCs w:val="21"/>
              </w:rPr>
              <w:t>分标</w:t>
            </w:r>
          </w:p>
        </w:tc>
        <w:tc>
          <w:tcPr>
            <w:tcW w:w="11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Cs w:val="21"/>
              </w:rPr>
            </w:pPr>
            <w:r>
              <w:rPr>
                <w:rFonts w:hint="eastAsia" w:ascii="宋体" w:hAnsi="宋体" w:cs="宋体"/>
                <w:color w:val="auto"/>
                <w:szCs w:val="21"/>
              </w:rPr>
              <w:t>助听器类</w:t>
            </w:r>
          </w:p>
        </w:tc>
        <w:tc>
          <w:tcPr>
            <w:tcW w:w="86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Cs w:val="21"/>
              </w:rPr>
            </w:pPr>
            <w:r>
              <w:rPr>
                <w:rFonts w:hint="eastAsia" w:ascii="宋体" w:hAnsi="宋体"/>
                <w:color w:val="auto"/>
                <w:szCs w:val="21"/>
              </w:rPr>
              <w:t>1项</w:t>
            </w:r>
          </w:p>
        </w:tc>
        <w:tc>
          <w:tcPr>
            <w:tcW w:w="7320" w:type="dxa"/>
            <w:tcBorders>
              <w:top w:val="single" w:color="auto" w:sz="4" w:space="0"/>
              <w:left w:val="single" w:color="auto" w:sz="4" w:space="0"/>
              <w:bottom w:val="single" w:color="auto" w:sz="4" w:space="0"/>
              <w:right w:val="single" w:color="auto" w:sz="4" w:space="0"/>
            </w:tcBorders>
            <w:vAlign w:val="center"/>
          </w:tcPr>
          <w:p>
            <w:pPr>
              <w:pStyle w:val="3"/>
              <w:ind w:left="0" w:leftChars="0" w:firstLine="0" w:firstLineChars="0"/>
              <w:rPr>
                <w:rFonts w:ascii="宋体" w:hAnsi="宋体" w:eastAsia="宋体" w:cs="宋体"/>
                <w:color w:val="auto"/>
                <w:sz w:val="21"/>
                <w:szCs w:val="21"/>
              </w:rPr>
            </w:pPr>
            <w:r>
              <w:rPr>
                <w:rFonts w:hint="eastAsia" w:ascii="宋体" w:hAnsi="宋体" w:eastAsia="宋体" w:cs="宋体"/>
                <w:color w:val="auto"/>
                <w:sz w:val="21"/>
                <w:szCs w:val="21"/>
              </w:rPr>
              <w:t>助听器类</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个品种等成品辅具，包含但不限筛查评估、成品助听器、检测、耳模制作、试带调试、使用指导、零配件（干燥盒1个、30粒/台专用电池）、跟踪回访和质保服务。</w:t>
            </w:r>
          </w:p>
        </w:tc>
      </w:tr>
    </w:tbl>
    <w:p>
      <w:pPr>
        <w:spacing w:line="360" w:lineRule="exact"/>
        <w:ind w:firstLine="420" w:firstLineChars="200"/>
        <w:rPr>
          <w:rFonts w:hint="eastAsia" w:ascii="宋体" w:hAnsi="宋体"/>
          <w:color w:val="auto"/>
          <w:szCs w:val="21"/>
        </w:rPr>
      </w:pPr>
    </w:p>
    <w:p>
      <w:pPr>
        <w:spacing w:line="360" w:lineRule="auto"/>
        <w:ind w:firstLine="420" w:firstLineChars="200"/>
        <w:rPr>
          <w:rFonts w:hint="eastAsia" w:ascii="宋体" w:hAnsi="宋体"/>
          <w:color w:val="auto"/>
          <w:szCs w:val="21"/>
        </w:rPr>
      </w:pPr>
      <w:r>
        <w:rPr>
          <w:rFonts w:hint="eastAsia" w:ascii="宋体" w:hAnsi="宋体"/>
          <w:color w:val="auto"/>
          <w:szCs w:val="21"/>
        </w:rPr>
        <w:t>合同履行期限：详见采购需求</w:t>
      </w:r>
    </w:p>
    <w:p>
      <w:pPr>
        <w:spacing w:line="360" w:lineRule="auto"/>
        <w:ind w:firstLine="420" w:firstLineChars="200"/>
        <w:rPr>
          <w:rFonts w:ascii="宋体" w:hAnsi="宋体"/>
          <w:color w:val="auto"/>
          <w:szCs w:val="21"/>
        </w:rPr>
      </w:pPr>
      <w:r>
        <w:rPr>
          <w:rFonts w:hint="eastAsia" w:ascii="宋体" w:hAnsi="宋体"/>
          <w:color w:val="auto"/>
          <w:szCs w:val="21"/>
        </w:rPr>
        <w:t>本项目不接受联合体投标。</w:t>
      </w:r>
    </w:p>
    <w:p>
      <w:pPr>
        <w:spacing w:line="360" w:lineRule="auto"/>
        <w:rPr>
          <w:rFonts w:ascii="黑体" w:hAnsi="黑体" w:eastAsia="黑体"/>
          <w:b/>
          <w:bCs/>
          <w:color w:val="auto"/>
          <w:sz w:val="24"/>
        </w:rPr>
      </w:pPr>
      <w:bookmarkStart w:id="16" w:name="_Toc35393791"/>
      <w:bookmarkStart w:id="17" w:name="_Toc28359003"/>
      <w:bookmarkStart w:id="18" w:name="_Toc28359080"/>
      <w:bookmarkStart w:id="19" w:name="_Toc35393622"/>
      <w:r>
        <w:rPr>
          <w:rFonts w:hint="eastAsia" w:ascii="黑体" w:hAnsi="黑体" w:eastAsia="黑体"/>
          <w:b/>
          <w:bCs/>
          <w:color w:val="auto"/>
          <w:sz w:val="24"/>
        </w:rPr>
        <w:t>二、申请人的资格要求：</w:t>
      </w:r>
      <w:bookmarkEnd w:id="16"/>
      <w:bookmarkEnd w:id="17"/>
      <w:bookmarkEnd w:id="18"/>
      <w:bookmarkEnd w:id="19"/>
    </w:p>
    <w:p>
      <w:pPr>
        <w:spacing w:line="360" w:lineRule="auto"/>
        <w:ind w:firstLine="420" w:firstLineChars="200"/>
        <w:rPr>
          <w:rFonts w:ascii="宋体" w:hAnsi="宋体"/>
          <w:color w:val="auto"/>
          <w:szCs w:val="21"/>
        </w:rPr>
      </w:pPr>
      <w:bookmarkStart w:id="20" w:name="_Hlk51746371"/>
      <w:r>
        <w:rPr>
          <w:rFonts w:hint="eastAsia" w:ascii="宋体" w:hAnsi="宋体"/>
          <w:color w:val="auto"/>
          <w:szCs w:val="21"/>
        </w:rPr>
        <w:t>1.满足《中华人民共和国政府采购法》第二十二条规定；</w:t>
      </w:r>
    </w:p>
    <w:p>
      <w:pPr>
        <w:spacing w:line="360" w:lineRule="auto"/>
        <w:ind w:firstLine="420" w:firstLineChars="200"/>
        <w:rPr>
          <w:rFonts w:ascii="宋体" w:hAnsi="宋体"/>
          <w:color w:val="auto"/>
          <w:szCs w:val="21"/>
        </w:rPr>
      </w:pPr>
      <w:bookmarkStart w:id="21" w:name="_Toc28359004"/>
      <w:bookmarkStart w:id="22" w:name="_Toc28359081"/>
      <w:r>
        <w:rPr>
          <w:rFonts w:ascii="宋体" w:hAnsi="宋体"/>
          <w:color w:val="auto"/>
          <w:szCs w:val="21"/>
        </w:rPr>
        <w:t>2</w:t>
      </w:r>
      <w:r>
        <w:rPr>
          <w:rFonts w:hint="eastAsia" w:ascii="宋体" w:hAnsi="宋体"/>
          <w:color w:val="auto"/>
          <w:szCs w:val="21"/>
        </w:rPr>
        <w:t>.落实政府采购政策需满足的资格要求：无；</w:t>
      </w:r>
    </w:p>
    <w:p>
      <w:pPr>
        <w:spacing w:line="360" w:lineRule="auto"/>
        <w:ind w:firstLine="420" w:firstLineChars="200"/>
        <w:rPr>
          <w:rFonts w:hint="default" w:ascii="宋体" w:hAnsi="宋体" w:eastAsia="宋体"/>
          <w:color w:val="auto"/>
          <w:szCs w:val="21"/>
          <w:lang w:val="en-US" w:eastAsia="zh-CN"/>
        </w:rPr>
      </w:pPr>
      <w:r>
        <w:rPr>
          <w:rFonts w:hint="eastAsia" w:ascii="宋体" w:hAnsi="宋体"/>
          <w:color w:val="auto"/>
          <w:szCs w:val="21"/>
        </w:rPr>
        <w:t>3.本项目的特定资格要求：</w:t>
      </w:r>
      <w:r>
        <w:rPr>
          <w:rFonts w:hint="eastAsia"/>
          <w:color w:val="auto"/>
        </w:rPr>
        <w:t>A、B</w:t>
      </w:r>
      <w:r>
        <w:rPr>
          <w:rFonts w:hint="eastAsia"/>
          <w:color w:val="auto"/>
          <w:lang w:eastAsia="zh-CN"/>
        </w:rPr>
        <w:t>、</w:t>
      </w:r>
      <w:r>
        <w:rPr>
          <w:rFonts w:hint="eastAsia"/>
          <w:color w:val="auto"/>
          <w:lang w:val="en-US" w:eastAsia="zh-CN"/>
        </w:rPr>
        <w:t>F</w:t>
      </w:r>
      <w:r>
        <w:rPr>
          <w:rFonts w:hint="eastAsia"/>
          <w:color w:val="auto"/>
        </w:rPr>
        <w:t>分标</w:t>
      </w:r>
      <w:r>
        <w:rPr>
          <w:rFonts w:hint="eastAsia"/>
          <w:color w:val="auto"/>
          <w:lang w:eastAsia="zh-CN"/>
        </w:rPr>
        <w:t>：</w:t>
      </w:r>
      <w:r>
        <w:rPr>
          <w:rFonts w:hint="eastAsia" w:ascii="宋体" w:hAnsi="宋体"/>
          <w:color w:val="auto"/>
          <w:szCs w:val="21"/>
        </w:rPr>
        <w:t>具有国家主管部门颁发的有效的《医疗器械生产企业许可证》和《医疗器械生产备案表》。</w:t>
      </w:r>
      <w:r>
        <w:rPr>
          <w:rFonts w:hint="eastAsia"/>
          <w:color w:val="auto"/>
        </w:rPr>
        <w:t>投标人须为所投产品的原生产厂商（注：原厂商系指产品生产制造厂家，不具备产品商标和定价权的OEM代加工厂不是原厂商）</w:t>
      </w:r>
      <w:r>
        <w:rPr>
          <w:rFonts w:hint="eastAsia"/>
          <w:color w:val="auto"/>
          <w:lang w:eastAsia="zh-CN"/>
        </w:rPr>
        <w:t>。</w:t>
      </w:r>
      <w:r>
        <w:rPr>
          <w:rFonts w:hint="eastAsia"/>
          <w:color w:val="auto"/>
          <w:lang w:val="en-US" w:eastAsia="zh-CN"/>
        </w:rPr>
        <w:t>C、D分标：</w:t>
      </w:r>
      <w:r>
        <w:rPr>
          <w:rFonts w:hint="eastAsia" w:ascii="宋体" w:hAnsi="宋体"/>
          <w:color w:val="auto"/>
          <w:szCs w:val="21"/>
        </w:rPr>
        <w:t>具有国家主管部门颁发的有效的《医疗器械经营许可证》或第二类医疗器械经营备案凭证或《医疗器械生产许可证》或《医疗器械生产企业许可证》</w:t>
      </w:r>
      <w:r>
        <w:rPr>
          <w:rFonts w:hint="eastAsia" w:ascii="宋体" w:hAnsi="宋体"/>
          <w:color w:val="auto"/>
          <w:szCs w:val="21"/>
          <w:lang w:eastAsia="zh-CN"/>
        </w:rPr>
        <w:t>，</w:t>
      </w:r>
      <w:r>
        <w:rPr>
          <w:rFonts w:hint="eastAsia" w:ascii="宋体" w:hAnsi="宋体"/>
          <w:color w:val="auto"/>
          <w:szCs w:val="21"/>
        </w:rPr>
        <w:t>投标人必须具有不低于50%的自主产品</w:t>
      </w:r>
      <w:r>
        <w:rPr>
          <w:rFonts w:hint="eastAsia" w:ascii="宋体" w:hAnsi="宋体"/>
          <w:color w:val="auto"/>
          <w:szCs w:val="21"/>
          <w:lang w:eastAsia="zh-CN"/>
        </w:rPr>
        <w:t>。</w:t>
      </w:r>
      <w:r>
        <w:rPr>
          <w:rFonts w:hint="eastAsia" w:ascii="宋体" w:hAnsi="宋体"/>
          <w:color w:val="auto"/>
          <w:szCs w:val="21"/>
          <w:lang w:val="en-US" w:eastAsia="zh-CN"/>
        </w:rPr>
        <w:t>E分标：</w:t>
      </w:r>
      <w:r>
        <w:rPr>
          <w:rFonts w:hint="eastAsia" w:ascii="宋体" w:hAnsi="宋体"/>
          <w:color w:val="auto"/>
          <w:szCs w:val="21"/>
        </w:rPr>
        <w:t>矫形器类须具有国家主管部门颁发的有效的一类医疗器械生产许可证和一类医疗器械经营备案凭证，假肢类须为配件生产企业，且具有国家主管部门颁发的有效的二类医疗器械经营许可证,</w:t>
      </w:r>
      <w:r>
        <w:rPr>
          <w:rFonts w:hint="eastAsia"/>
          <w:color w:val="auto"/>
        </w:rPr>
        <w:t>投标人须为所投产品的原生产厂商（注：原厂商系指产品生产制造厂家，不具备产品商标和定价权的OEM代加工厂不是原厂商）</w:t>
      </w:r>
      <w:r>
        <w:rPr>
          <w:rFonts w:hint="eastAsia"/>
          <w:color w:val="auto"/>
          <w:lang w:eastAsia="zh-CN"/>
        </w:rPr>
        <w:t>。</w:t>
      </w:r>
    </w:p>
    <w:bookmarkEnd w:id="20"/>
    <w:p>
      <w:pPr>
        <w:spacing w:line="360" w:lineRule="auto"/>
        <w:rPr>
          <w:rFonts w:ascii="黑体" w:hAnsi="黑体" w:eastAsia="黑体"/>
          <w:b/>
          <w:bCs/>
          <w:color w:val="auto"/>
          <w:sz w:val="24"/>
        </w:rPr>
      </w:pPr>
      <w:bookmarkStart w:id="23" w:name="_Toc35393792"/>
      <w:bookmarkStart w:id="24" w:name="_Toc35393623"/>
      <w:r>
        <w:rPr>
          <w:rFonts w:hint="eastAsia" w:ascii="黑体" w:hAnsi="黑体" w:eastAsia="黑体"/>
          <w:b/>
          <w:bCs/>
          <w:color w:val="auto"/>
          <w:sz w:val="24"/>
        </w:rPr>
        <w:t>三、获取招标文件</w:t>
      </w:r>
      <w:bookmarkEnd w:id="21"/>
      <w:bookmarkEnd w:id="22"/>
      <w:bookmarkEnd w:id="23"/>
      <w:bookmarkEnd w:id="24"/>
    </w:p>
    <w:p>
      <w:pPr>
        <w:spacing w:line="360" w:lineRule="auto"/>
        <w:ind w:firstLine="426"/>
        <w:rPr>
          <w:rFonts w:hint="eastAsia" w:ascii="宋体" w:hAnsi="宋体" w:cs="宋体"/>
          <w:bCs/>
          <w:color w:val="auto"/>
          <w:kern w:val="0"/>
          <w:szCs w:val="21"/>
        </w:rPr>
      </w:pPr>
      <w:r>
        <w:rPr>
          <w:rFonts w:hint="eastAsia" w:ascii="宋体" w:hAnsi="宋体" w:cs="宋体"/>
          <w:bCs/>
          <w:color w:val="auto"/>
          <w:kern w:val="0"/>
          <w:szCs w:val="21"/>
        </w:rPr>
        <w:t>时间：2022年</w:t>
      </w:r>
      <w:r>
        <w:rPr>
          <w:rFonts w:hint="eastAsia" w:ascii="宋体" w:hAnsi="宋体" w:cs="宋体"/>
          <w:bCs/>
          <w:color w:val="auto"/>
          <w:kern w:val="0"/>
          <w:szCs w:val="21"/>
          <w:lang w:val="en-US" w:eastAsia="zh-CN"/>
        </w:rPr>
        <w:t>2</w:t>
      </w:r>
      <w:r>
        <w:rPr>
          <w:rFonts w:hint="eastAsia" w:ascii="宋体" w:hAnsi="宋体" w:cs="宋体"/>
          <w:bCs/>
          <w:color w:val="auto"/>
          <w:kern w:val="0"/>
          <w:szCs w:val="21"/>
        </w:rPr>
        <w:t>月</w:t>
      </w:r>
      <w:r>
        <w:rPr>
          <w:rFonts w:hint="eastAsia" w:ascii="宋体" w:hAnsi="宋体" w:cs="宋体"/>
          <w:bCs/>
          <w:color w:val="auto"/>
          <w:kern w:val="0"/>
          <w:szCs w:val="21"/>
          <w:lang w:val="en-US" w:eastAsia="zh-CN"/>
        </w:rPr>
        <w:t>25</w:t>
      </w:r>
      <w:r>
        <w:rPr>
          <w:rFonts w:hint="eastAsia" w:ascii="宋体" w:hAnsi="宋体" w:cs="宋体"/>
          <w:bCs/>
          <w:color w:val="auto"/>
          <w:kern w:val="0"/>
          <w:szCs w:val="21"/>
        </w:rPr>
        <w:t>日至2022年</w:t>
      </w:r>
      <w:r>
        <w:rPr>
          <w:rFonts w:hint="eastAsia" w:ascii="宋体" w:hAnsi="宋体" w:cs="宋体"/>
          <w:bCs/>
          <w:color w:val="auto"/>
          <w:kern w:val="0"/>
          <w:szCs w:val="21"/>
          <w:lang w:val="en-US" w:eastAsia="zh-CN"/>
        </w:rPr>
        <w:t>3</w:t>
      </w:r>
      <w:r>
        <w:rPr>
          <w:rFonts w:hint="eastAsia" w:ascii="宋体" w:hAnsi="宋体" w:cs="宋体"/>
          <w:bCs/>
          <w:color w:val="auto"/>
          <w:kern w:val="0"/>
          <w:szCs w:val="21"/>
        </w:rPr>
        <w:t>月</w:t>
      </w:r>
      <w:r>
        <w:rPr>
          <w:rFonts w:hint="eastAsia" w:ascii="宋体" w:hAnsi="宋体" w:cs="宋体"/>
          <w:bCs/>
          <w:color w:val="auto"/>
          <w:kern w:val="0"/>
          <w:szCs w:val="21"/>
          <w:lang w:val="en-US" w:eastAsia="zh-CN"/>
        </w:rPr>
        <w:t>4</w:t>
      </w:r>
      <w:r>
        <w:rPr>
          <w:rFonts w:hint="eastAsia" w:ascii="宋体" w:hAnsi="宋体" w:cs="宋体"/>
          <w:bCs/>
          <w:color w:val="auto"/>
          <w:kern w:val="0"/>
          <w:szCs w:val="21"/>
        </w:rPr>
        <w:t>日 ，每天上午08:00至12:00，下午15:00至18:00（北京时间，法定节假日除外）</w:t>
      </w:r>
    </w:p>
    <w:p>
      <w:pPr>
        <w:spacing w:line="360" w:lineRule="auto"/>
        <w:ind w:firstLine="426"/>
        <w:rPr>
          <w:rFonts w:hint="eastAsia" w:ascii="宋体" w:hAnsi="宋体" w:cs="宋体"/>
          <w:bCs/>
          <w:color w:val="auto"/>
          <w:kern w:val="0"/>
          <w:szCs w:val="21"/>
        </w:rPr>
      </w:pPr>
      <w:r>
        <w:rPr>
          <w:rFonts w:hint="eastAsia" w:ascii="宋体" w:hAnsi="宋体" w:cs="宋体"/>
          <w:bCs/>
          <w:color w:val="auto"/>
          <w:kern w:val="0"/>
          <w:szCs w:val="21"/>
        </w:rPr>
        <w:t>地点：“政采云”平台（https://www.zcygov.cn）</w:t>
      </w:r>
    </w:p>
    <w:p>
      <w:pPr>
        <w:spacing w:line="380" w:lineRule="exact"/>
        <w:ind w:firstLine="426"/>
        <w:rPr>
          <w:rFonts w:hint="eastAsia"/>
          <w:color w:val="auto"/>
          <w:highlight w:val="yellow"/>
        </w:rPr>
      </w:pPr>
      <w:r>
        <w:rPr>
          <w:rFonts w:hint="eastAsia" w:ascii="宋体" w:hAnsi="宋体" w:cs="宋体"/>
          <w:bCs/>
          <w:color w:val="auto"/>
          <w:kern w:val="0"/>
          <w:szCs w:val="21"/>
        </w:rPr>
        <w:t>方式：网上下载。本项目不提供纸质文件，潜在供应商需使用账号登录或者使用CA登录“政采云”平台（https：//www.zcygov.cn）-进入“项目采购”应用，点击申请获取招标文件，按系统操作获取招标文件（或在“政采云电子投标客户端-获取采购文件”跳转到政采云系统获取）。电子投标文件制作需要基于“政采云”平台获取的招标文件编制，通过其他方式获取招标文件的，将有可能导致供应商无法在政采云平台编制及上传投标文件。</w:t>
      </w:r>
    </w:p>
    <w:p>
      <w:pPr>
        <w:spacing w:line="380" w:lineRule="exact"/>
        <w:rPr>
          <w:rFonts w:ascii="黑体" w:hAnsi="黑体" w:eastAsia="黑体"/>
          <w:b/>
          <w:bCs/>
          <w:color w:val="auto"/>
          <w:sz w:val="24"/>
        </w:rPr>
      </w:pPr>
      <w:bookmarkStart w:id="25" w:name="_Toc28359005"/>
      <w:bookmarkStart w:id="26" w:name="_Toc28359082"/>
      <w:bookmarkStart w:id="27" w:name="_Toc35393793"/>
      <w:bookmarkStart w:id="28" w:name="_Toc35393624"/>
      <w:r>
        <w:rPr>
          <w:rFonts w:hint="eastAsia" w:ascii="黑体" w:hAnsi="黑体" w:eastAsia="黑体"/>
          <w:b/>
          <w:bCs/>
          <w:color w:val="auto"/>
          <w:sz w:val="24"/>
        </w:rPr>
        <w:t>四、提交投标文件</w:t>
      </w:r>
      <w:bookmarkEnd w:id="25"/>
      <w:bookmarkEnd w:id="26"/>
      <w:r>
        <w:rPr>
          <w:rFonts w:hint="eastAsia" w:ascii="黑体" w:hAnsi="黑体" w:eastAsia="黑体"/>
          <w:b/>
          <w:bCs/>
          <w:color w:val="auto"/>
          <w:sz w:val="24"/>
        </w:rPr>
        <w:t>截止时间、开标时间和地点</w:t>
      </w:r>
      <w:bookmarkEnd w:id="27"/>
      <w:bookmarkEnd w:id="28"/>
    </w:p>
    <w:p>
      <w:pPr>
        <w:spacing w:line="360" w:lineRule="auto"/>
        <w:ind w:firstLine="426"/>
        <w:rPr>
          <w:rFonts w:hint="eastAsia" w:ascii="宋体" w:hAnsi="宋体" w:eastAsia="宋体" w:cs="宋体"/>
          <w:bCs/>
          <w:color w:val="auto"/>
          <w:kern w:val="0"/>
          <w:szCs w:val="21"/>
        </w:rPr>
      </w:pPr>
      <w:bookmarkStart w:id="29" w:name="_Toc28359084"/>
      <w:bookmarkStart w:id="30" w:name="_Toc28359007"/>
      <w:bookmarkStart w:id="31" w:name="_Toc35393794"/>
      <w:bookmarkStart w:id="32" w:name="_Toc35393625"/>
      <w:r>
        <w:rPr>
          <w:rFonts w:hint="eastAsia" w:ascii="宋体" w:hAnsi="宋体" w:eastAsia="宋体" w:cs="宋体"/>
          <w:bCs/>
          <w:color w:val="auto"/>
          <w:kern w:val="0"/>
          <w:szCs w:val="21"/>
        </w:rPr>
        <w:t>时间：2022年</w:t>
      </w:r>
      <w:r>
        <w:rPr>
          <w:rFonts w:hint="eastAsia" w:ascii="宋体" w:hAnsi="宋体" w:cs="宋体"/>
          <w:bCs/>
          <w:color w:val="auto"/>
          <w:kern w:val="0"/>
          <w:szCs w:val="21"/>
          <w:lang w:val="en-US" w:eastAsia="zh-CN"/>
        </w:rPr>
        <w:t>3</w:t>
      </w:r>
      <w:r>
        <w:rPr>
          <w:rFonts w:hint="eastAsia" w:ascii="宋体" w:hAnsi="宋体" w:eastAsia="宋体" w:cs="宋体"/>
          <w:bCs/>
          <w:color w:val="auto"/>
          <w:kern w:val="0"/>
          <w:szCs w:val="21"/>
        </w:rPr>
        <w:t>月</w:t>
      </w:r>
      <w:r>
        <w:rPr>
          <w:rFonts w:hint="eastAsia" w:ascii="宋体" w:hAnsi="宋体" w:cs="宋体"/>
          <w:bCs/>
          <w:color w:val="auto"/>
          <w:kern w:val="0"/>
          <w:szCs w:val="21"/>
          <w:lang w:val="en-US" w:eastAsia="zh-CN"/>
        </w:rPr>
        <w:t>18</w:t>
      </w:r>
      <w:r>
        <w:rPr>
          <w:rFonts w:hint="eastAsia" w:ascii="宋体" w:hAnsi="宋体" w:eastAsia="宋体" w:cs="宋体"/>
          <w:bCs/>
          <w:color w:val="auto"/>
          <w:kern w:val="0"/>
          <w:szCs w:val="21"/>
        </w:rPr>
        <w:t xml:space="preserve"> 日</w:t>
      </w:r>
      <w:r>
        <w:rPr>
          <w:rFonts w:hint="eastAsia" w:ascii="宋体" w:hAnsi="宋体" w:cs="宋体"/>
          <w:bCs/>
          <w:color w:val="auto"/>
          <w:kern w:val="0"/>
          <w:szCs w:val="21"/>
          <w:lang w:val="en-US" w:eastAsia="zh-CN"/>
        </w:rPr>
        <w:t>9</w:t>
      </w:r>
      <w:r>
        <w:rPr>
          <w:rFonts w:hint="eastAsia" w:ascii="宋体" w:hAnsi="宋体" w:eastAsia="宋体" w:cs="宋体"/>
          <w:bCs/>
          <w:color w:val="auto"/>
          <w:kern w:val="0"/>
          <w:szCs w:val="21"/>
        </w:rPr>
        <w:t>时</w:t>
      </w:r>
      <w:r>
        <w:rPr>
          <w:rFonts w:hint="eastAsia" w:ascii="宋体" w:hAnsi="宋体" w:cs="宋体"/>
          <w:bCs/>
          <w:color w:val="auto"/>
          <w:kern w:val="0"/>
          <w:szCs w:val="21"/>
          <w:lang w:val="en-US" w:eastAsia="zh-CN"/>
        </w:rPr>
        <w:t>30</w:t>
      </w:r>
      <w:r>
        <w:rPr>
          <w:rFonts w:hint="eastAsia" w:ascii="宋体" w:hAnsi="宋体" w:eastAsia="宋体" w:cs="宋体"/>
          <w:bCs/>
          <w:color w:val="auto"/>
          <w:kern w:val="0"/>
          <w:szCs w:val="21"/>
        </w:rPr>
        <w:t xml:space="preserve"> 分（北京时间）</w:t>
      </w:r>
    </w:p>
    <w:p>
      <w:pPr>
        <w:spacing w:line="360" w:lineRule="auto"/>
        <w:ind w:firstLine="426"/>
        <w:rPr>
          <w:rFonts w:hint="eastAsia" w:ascii="宋体" w:hAnsi="宋体" w:eastAsia="宋体" w:cs="宋体"/>
          <w:bCs/>
          <w:color w:val="auto"/>
          <w:kern w:val="0"/>
          <w:szCs w:val="21"/>
        </w:rPr>
      </w:pPr>
      <w:r>
        <w:rPr>
          <w:rFonts w:hint="eastAsia" w:ascii="宋体" w:hAnsi="宋体" w:eastAsia="宋体" w:cs="宋体"/>
          <w:bCs/>
          <w:color w:val="auto"/>
          <w:kern w:val="0"/>
          <w:szCs w:val="21"/>
        </w:rPr>
        <w:t>投标地点：“政采云”平台（https://www.zcygov.cn）</w:t>
      </w:r>
      <w:r>
        <w:rPr>
          <w:rFonts w:hint="eastAsia" w:ascii="宋体" w:hAnsi="宋体" w:eastAsia="宋体" w:cs="宋体"/>
          <w:bCs/>
          <w:color w:val="auto"/>
          <w:kern w:val="0"/>
          <w:szCs w:val="21"/>
          <w:lang w:eastAsia="zh-CN"/>
        </w:rPr>
        <w:t>（</w:t>
      </w:r>
      <w:r>
        <w:rPr>
          <w:rFonts w:hint="eastAsia" w:ascii="宋体" w:hAnsi="宋体" w:eastAsia="宋体" w:cs="宋体"/>
          <w:bCs/>
          <w:color w:val="auto"/>
          <w:kern w:val="0"/>
          <w:szCs w:val="21"/>
          <w:lang w:val="en-US" w:eastAsia="zh-CN"/>
        </w:rPr>
        <w:t>本项目为全流程电子化项目，没有现场递交投标文件及现场开标环节，通过“政 采云”平台（http：//www.zcygov.cn）实行在线电子投标，供应商应先安装“政采云投标客户 端”（请自行前往“政采云”平台进行下载），并按照本项目招标文件和“政采云”平台的要求 使用 CA 认证编制、加密投标文件后在投标截止时间前上传至 “政采云”平台，供应商在“政采 云”平台提交电子版投标文件时，请填写参加远程开标活动经办人联系方式，如在开评标过程中 有电子询标，应在规定的时间内对电子询标函进行澄清回复。</w:t>
      </w:r>
    </w:p>
    <w:p>
      <w:pPr>
        <w:spacing w:line="380" w:lineRule="exact"/>
        <w:ind w:firstLine="420" w:firstLineChars="200"/>
        <w:rPr>
          <w:rFonts w:hint="eastAsia" w:ascii="宋体" w:hAnsi="宋体"/>
          <w:color w:val="auto"/>
          <w:szCs w:val="21"/>
        </w:rPr>
      </w:pPr>
      <w:r>
        <w:rPr>
          <w:rFonts w:hint="eastAsia" w:ascii="宋体" w:hAnsi="宋体"/>
          <w:color w:val="auto"/>
          <w:szCs w:val="21"/>
        </w:rPr>
        <w:t>开标地点：广西建设工程机电设备招标中心有限公司（南宁市青秀区金湖北路 52-1 号东方曼哈顿三楼广西国资招投标中心开标室，具体以开标大屏幕安排为准。）(本</w:t>
      </w:r>
      <w:r>
        <w:rPr>
          <w:rFonts w:ascii="宋体" w:hAnsi="宋体"/>
          <w:color w:val="auto"/>
          <w:szCs w:val="21"/>
        </w:rPr>
        <w:t>项目为线上电子</w:t>
      </w:r>
      <w:r>
        <w:rPr>
          <w:rFonts w:hint="eastAsia" w:ascii="宋体" w:hAnsi="宋体"/>
          <w:color w:val="auto"/>
          <w:szCs w:val="21"/>
        </w:rPr>
        <w:t>招标</w:t>
      </w:r>
      <w:r>
        <w:rPr>
          <w:rFonts w:ascii="宋体" w:hAnsi="宋体"/>
          <w:color w:val="auto"/>
          <w:szCs w:val="21"/>
        </w:rPr>
        <w:t>项目</w:t>
      </w:r>
      <w:r>
        <w:rPr>
          <w:rFonts w:hint="eastAsia" w:ascii="宋体" w:hAnsi="宋体"/>
          <w:color w:val="auto"/>
          <w:szCs w:val="21"/>
        </w:rPr>
        <w:t>,</w:t>
      </w:r>
      <w:r>
        <w:rPr>
          <w:rFonts w:ascii="宋体" w:hAnsi="宋体"/>
          <w:color w:val="auto"/>
          <w:szCs w:val="21"/>
        </w:rPr>
        <w:t>有意向</w:t>
      </w:r>
      <w:r>
        <w:rPr>
          <w:rFonts w:hint="eastAsia" w:ascii="宋体" w:hAnsi="宋体"/>
          <w:color w:val="auto"/>
          <w:szCs w:val="21"/>
        </w:rPr>
        <w:t>参与本</w:t>
      </w:r>
      <w:r>
        <w:rPr>
          <w:rFonts w:ascii="宋体" w:hAnsi="宋体"/>
          <w:color w:val="auto"/>
          <w:szCs w:val="21"/>
        </w:rPr>
        <w:t>项目的</w:t>
      </w:r>
      <w:r>
        <w:rPr>
          <w:rFonts w:hint="eastAsia" w:ascii="宋体" w:hAnsi="宋体"/>
          <w:color w:val="auto"/>
          <w:szCs w:val="21"/>
        </w:rPr>
        <w:t>供应商</w:t>
      </w:r>
      <w:r>
        <w:rPr>
          <w:rFonts w:ascii="宋体" w:hAnsi="宋体"/>
          <w:color w:val="auto"/>
          <w:szCs w:val="21"/>
        </w:rPr>
        <w:t>应</w:t>
      </w:r>
      <w:r>
        <w:rPr>
          <w:rFonts w:hint="eastAsia" w:ascii="宋体" w:hAnsi="宋体"/>
          <w:color w:val="auto"/>
          <w:szCs w:val="21"/>
        </w:rPr>
        <w:t>做好</w:t>
      </w:r>
      <w:r>
        <w:rPr>
          <w:rFonts w:ascii="宋体" w:hAnsi="宋体"/>
          <w:color w:val="auto"/>
          <w:szCs w:val="21"/>
        </w:rPr>
        <w:t>参与</w:t>
      </w:r>
      <w:r>
        <w:rPr>
          <w:rFonts w:hint="eastAsia" w:ascii="宋体" w:hAnsi="宋体"/>
          <w:color w:val="auto"/>
          <w:szCs w:val="21"/>
        </w:rPr>
        <w:t>全流程电子招投标交易</w:t>
      </w:r>
      <w:r>
        <w:rPr>
          <w:rFonts w:ascii="宋体" w:hAnsi="宋体"/>
          <w:color w:val="auto"/>
          <w:szCs w:val="21"/>
        </w:rPr>
        <w:t>的充分</w:t>
      </w:r>
      <w:r>
        <w:rPr>
          <w:rFonts w:hint="eastAsia" w:ascii="宋体" w:hAnsi="宋体"/>
          <w:color w:val="auto"/>
          <w:szCs w:val="21"/>
        </w:rPr>
        <w:t>准备)</w:t>
      </w:r>
    </w:p>
    <w:p>
      <w:pPr>
        <w:spacing w:line="380" w:lineRule="exact"/>
        <w:rPr>
          <w:rFonts w:ascii="黑体" w:hAnsi="黑体" w:eastAsia="黑体"/>
          <w:b/>
          <w:bCs/>
          <w:color w:val="auto"/>
          <w:sz w:val="24"/>
        </w:rPr>
      </w:pPr>
      <w:r>
        <w:rPr>
          <w:rFonts w:hint="eastAsia" w:ascii="黑体" w:hAnsi="黑体" w:eastAsia="黑体"/>
          <w:b/>
          <w:bCs/>
          <w:color w:val="auto"/>
          <w:sz w:val="24"/>
        </w:rPr>
        <w:t>五、公告期限</w:t>
      </w:r>
      <w:bookmarkEnd w:id="29"/>
      <w:bookmarkEnd w:id="30"/>
      <w:bookmarkEnd w:id="31"/>
      <w:bookmarkEnd w:id="32"/>
    </w:p>
    <w:p>
      <w:pPr>
        <w:spacing w:line="380" w:lineRule="exact"/>
        <w:ind w:firstLine="420" w:firstLineChars="200"/>
        <w:rPr>
          <w:rFonts w:ascii="宋体" w:hAnsi="宋体" w:cs="宋体"/>
          <w:color w:val="auto"/>
          <w:kern w:val="0"/>
          <w:szCs w:val="21"/>
        </w:rPr>
      </w:pPr>
      <w:r>
        <w:rPr>
          <w:rFonts w:hint="eastAsia" w:ascii="宋体" w:hAnsi="宋体" w:cs="宋体"/>
          <w:color w:val="auto"/>
          <w:kern w:val="0"/>
          <w:szCs w:val="21"/>
        </w:rPr>
        <w:t>自本公告发布之日起5个工作日。</w:t>
      </w:r>
    </w:p>
    <w:p>
      <w:pPr>
        <w:spacing w:line="380" w:lineRule="exact"/>
        <w:rPr>
          <w:rFonts w:ascii="黑体" w:hAnsi="黑体" w:eastAsia="黑体"/>
          <w:b/>
          <w:bCs/>
          <w:color w:val="auto"/>
          <w:sz w:val="24"/>
        </w:rPr>
      </w:pPr>
      <w:bookmarkStart w:id="33" w:name="_Toc35393626"/>
      <w:bookmarkStart w:id="34" w:name="_Toc35393795"/>
      <w:r>
        <w:rPr>
          <w:rFonts w:hint="eastAsia" w:ascii="黑体" w:hAnsi="黑体" w:eastAsia="黑体"/>
          <w:b/>
          <w:bCs/>
          <w:color w:val="auto"/>
          <w:sz w:val="24"/>
        </w:rPr>
        <w:t>六、其他补充事宜</w:t>
      </w:r>
      <w:bookmarkEnd w:id="33"/>
      <w:bookmarkEnd w:id="34"/>
    </w:p>
    <w:p>
      <w:pPr>
        <w:snapToGrid w:val="0"/>
        <w:spacing w:line="400" w:lineRule="exact"/>
        <w:ind w:firstLine="472" w:firstLineChars="225"/>
        <w:jc w:val="left"/>
        <w:rPr>
          <w:rFonts w:ascii="宋体" w:hAnsi="宋体"/>
          <w:color w:val="auto"/>
          <w:szCs w:val="21"/>
        </w:rPr>
      </w:pPr>
      <w:bookmarkStart w:id="35" w:name="_Hlk37429674"/>
      <w:r>
        <w:rPr>
          <w:rFonts w:hint="eastAsia" w:ascii="宋体" w:hAnsi="宋体"/>
          <w:color w:val="auto"/>
          <w:szCs w:val="21"/>
        </w:rPr>
        <w:t>1.投标保证金</w:t>
      </w:r>
    </w:p>
    <w:p>
      <w:pPr>
        <w:snapToGrid w:val="0"/>
        <w:spacing w:line="400" w:lineRule="exact"/>
        <w:ind w:firstLine="472" w:firstLineChars="225"/>
        <w:jc w:val="left"/>
        <w:rPr>
          <w:rFonts w:ascii="宋体" w:hAnsi="宋体"/>
          <w:color w:val="auto"/>
          <w:szCs w:val="21"/>
        </w:rPr>
      </w:pPr>
      <w:r>
        <w:rPr>
          <w:rFonts w:hint="eastAsia" w:ascii="宋体" w:hAnsi="宋体"/>
          <w:color w:val="auto"/>
          <w:szCs w:val="21"/>
        </w:rPr>
        <w:t>（1）金额（人民币）：每分标：贰万元整,不得少于规定金额交纳，否则投标无效。</w:t>
      </w:r>
    </w:p>
    <w:p>
      <w:pPr>
        <w:snapToGrid w:val="0"/>
        <w:spacing w:line="400" w:lineRule="exact"/>
        <w:ind w:firstLine="472" w:firstLineChars="225"/>
        <w:jc w:val="left"/>
        <w:rPr>
          <w:rFonts w:ascii="宋体" w:hAnsi="宋体"/>
          <w:color w:val="auto"/>
          <w:szCs w:val="21"/>
        </w:rPr>
      </w:pPr>
      <w:r>
        <w:rPr>
          <w:rFonts w:hint="eastAsia" w:ascii="宋体" w:hAnsi="宋体"/>
          <w:color w:val="auto"/>
          <w:szCs w:val="21"/>
        </w:rPr>
        <w:t>（2）投标保证金的交纳方式：银行转账、支票、汇票、本票或者银行、保险机构出具的保函，禁止采用现钞方式。采用银行转账方式的，在投标截止时间前按分标交至采购代理机构指定账户并且到账【</w:t>
      </w:r>
      <w:r>
        <w:rPr>
          <w:rFonts w:hint="eastAsia" w:ascii="宋体" w:hAnsi="宋体" w:cs="宋体"/>
          <w:color w:val="auto"/>
          <w:kern w:val="0"/>
          <w:szCs w:val="21"/>
        </w:rPr>
        <w:t>开户银行：</w:t>
      </w:r>
      <w:r>
        <w:rPr>
          <w:rFonts w:hint="eastAsia" w:ascii="宋体" w:hAnsi="宋体" w:cs="宋体"/>
          <w:color w:val="auto"/>
          <w:kern w:val="0"/>
          <w:szCs w:val="21"/>
          <w:u w:val="single"/>
        </w:rPr>
        <w:t xml:space="preserve"> 招商银行南宁分行营业部 </w:t>
      </w:r>
      <w:r>
        <w:rPr>
          <w:rFonts w:hint="eastAsia" w:ascii="宋体" w:hAnsi="宋体" w:cs="宋体"/>
          <w:color w:val="auto"/>
          <w:kern w:val="0"/>
          <w:szCs w:val="21"/>
        </w:rPr>
        <w:t>，开户名称：</w:t>
      </w:r>
      <w:r>
        <w:rPr>
          <w:rFonts w:hint="eastAsia" w:ascii="宋体" w:hAnsi="宋体" w:cs="宋体"/>
          <w:color w:val="auto"/>
          <w:kern w:val="0"/>
          <w:szCs w:val="21"/>
          <w:u w:val="single"/>
        </w:rPr>
        <w:t xml:space="preserve"> 广西建设工程机电设备招标中心有限公司</w:t>
      </w:r>
      <w:r>
        <w:rPr>
          <w:rFonts w:hint="eastAsia" w:ascii="宋体" w:hAnsi="宋体" w:cs="宋体"/>
          <w:color w:val="auto"/>
          <w:kern w:val="0"/>
          <w:szCs w:val="21"/>
        </w:rPr>
        <w:t>，银行账号：</w:t>
      </w:r>
      <w:r>
        <w:rPr>
          <w:rFonts w:hint="eastAsia" w:ascii="宋体" w:hAnsi="宋体" w:cs="宋体"/>
          <w:color w:val="auto"/>
          <w:kern w:val="0"/>
          <w:szCs w:val="21"/>
          <w:u w:val="single"/>
        </w:rPr>
        <w:t xml:space="preserve">  7719 0142 3310 201 </w:t>
      </w:r>
      <w:r>
        <w:rPr>
          <w:rFonts w:hint="eastAsia" w:ascii="宋体" w:hAnsi="宋体"/>
          <w:color w:val="auto"/>
          <w:szCs w:val="21"/>
        </w:rPr>
        <w:t>】，采用支票、汇票、本票或者保函等方式的，在投标截止时间前，投标人应当递交单独密封的支票、汇票、本票或者保函原件。否则视为无效投标保证金。</w:t>
      </w:r>
    </w:p>
    <w:p>
      <w:pPr>
        <w:snapToGrid w:val="0"/>
        <w:spacing w:line="400" w:lineRule="exact"/>
        <w:ind w:firstLine="420" w:firstLineChars="200"/>
        <w:jc w:val="left"/>
        <w:rPr>
          <w:rFonts w:ascii="宋体" w:hAnsi="宋体" w:cs="Arial"/>
          <w:color w:val="auto"/>
          <w:szCs w:val="21"/>
        </w:rPr>
      </w:pPr>
      <w:r>
        <w:rPr>
          <w:rFonts w:hint="eastAsia" w:ascii="宋体" w:hAnsi="宋体"/>
          <w:color w:val="auto"/>
          <w:szCs w:val="21"/>
        </w:rPr>
        <w:t>2.</w:t>
      </w:r>
      <w:r>
        <w:rPr>
          <w:rFonts w:hint="eastAsia" w:ascii="宋体" w:hAnsi="宋体" w:cs="Arial"/>
          <w:color w:val="auto"/>
          <w:szCs w:val="21"/>
        </w:rPr>
        <w:t xml:space="preserve"> 网上查询地址：www.ccgp.gov.cn（中国政府采购网），www.zfcg.gxzf.gov.cn（广西壮族自治区政府采购网）</w:t>
      </w:r>
      <w:r>
        <w:rPr>
          <w:rFonts w:hint="eastAsia" w:ascii="宋体" w:hAnsi="宋体" w:cs="Arial"/>
          <w:color w:val="auto"/>
          <w:szCs w:val="21"/>
          <w:lang w:eastAsia="zh-CN"/>
        </w:rPr>
        <w:t>，www.guangxibid.com.cn（广西招标网）</w:t>
      </w:r>
      <w:r>
        <w:rPr>
          <w:rFonts w:hint="eastAsia" w:ascii="宋体" w:hAnsi="宋体" w:cs="Arial"/>
          <w:color w:val="auto"/>
          <w:szCs w:val="21"/>
        </w:rPr>
        <w:t>。</w:t>
      </w:r>
    </w:p>
    <w:p>
      <w:pPr>
        <w:spacing w:line="400" w:lineRule="exact"/>
        <w:ind w:left="495"/>
        <w:jc w:val="left"/>
        <w:rPr>
          <w:rFonts w:ascii="宋体" w:hAnsi="宋体"/>
          <w:color w:val="auto"/>
          <w:szCs w:val="21"/>
        </w:rPr>
      </w:pPr>
      <w:r>
        <w:rPr>
          <w:rFonts w:hint="eastAsia" w:ascii="宋体" w:hAnsi="宋体"/>
          <w:color w:val="auto"/>
          <w:szCs w:val="21"/>
        </w:rPr>
        <w:t>3. 本项目需要落实的政府采购政策：</w:t>
      </w:r>
    </w:p>
    <w:p>
      <w:pPr>
        <w:spacing w:line="400" w:lineRule="exact"/>
        <w:ind w:left="495"/>
        <w:jc w:val="left"/>
        <w:rPr>
          <w:rFonts w:ascii="宋体" w:hAnsi="宋体"/>
          <w:color w:val="auto"/>
          <w:szCs w:val="21"/>
        </w:rPr>
      </w:pPr>
      <w:r>
        <w:rPr>
          <w:rFonts w:hint="eastAsia" w:ascii="宋体" w:hAnsi="宋体"/>
          <w:color w:val="auto"/>
          <w:szCs w:val="21"/>
        </w:rPr>
        <w:t>1）政府采购促进中小企业发展。</w:t>
      </w:r>
    </w:p>
    <w:p>
      <w:pPr>
        <w:spacing w:line="400" w:lineRule="exact"/>
        <w:ind w:left="495"/>
        <w:jc w:val="left"/>
        <w:rPr>
          <w:rFonts w:ascii="宋体" w:hAnsi="宋体"/>
          <w:color w:val="auto"/>
          <w:szCs w:val="21"/>
        </w:rPr>
      </w:pPr>
      <w:r>
        <w:rPr>
          <w:rFonts w:hint="eastAsia" w:ascii="宋体" w:hAnsi="宋体"/>
          <w:color w:val="auto"/>
          <w:szCs w:val="21"/>
        </w:rPr>
        <w:t>2）政府采购支持采用本国产品的政策。</w:t>
      </w:r>
    </w:p>
    <w:p>
      <w:pPr>
        <w:spacing w:line="400" w:lineRule="exact"/>
        <w:ind w:left="495"/>
        <w:jc w:val="left"/>
        <w:rPr>
          <w:rFonts w:ascii="宋体" w:hAnsi="宋体"/>
          <w:color w:val="auto"/>
          <w:szCs w:val="21"/>
        </w:rPr>
      </w:pPr>
      <w:r>
        <w:rPr>
          <w:rFonts w:hint="eastAsia" w:ascii="宋体" w:hAnsi="宋体"/>
          <w:color w:val="auto"/>
          <w:szCs w:val="21"/>
        </w:rPr>
        <w:t>3）强制采购节能产品；优先采购节能产品、环境标志产品。</w:t>
      </w:r>
    </w:p>
    <w:p>
      <w:pPr>
        <w:spacing w:line="400" w:lineRule="exact"/>
        <w:ind w:left="495"/>
        <w:jc w:val="left"/>
        <w:rPr>
          <w:rFonts w:ascii="宋体" w:hAnsi="宋体"/>
          <w:color w:val="auto"/>
          <w:szCs w:val="21"/>
        </w:rPr>
      </w:pPr>
      <w:r>
        <w:rPr>
          <w:rFonts w:hint="eastAsia" w:ascii="宋体" w:hAnsi="宋体"/>
          <w:color w:val="auto"/>
          <w:szCs w:val="21"/>
        </w:rPr>
        <w:t>4）政府采购促进残疾人就业政策。</w:t>
      </w:r>
    </w:p>
    <w:p>
      <w:pPr>
        <w:spacing w:line="400" w:lineRule="exact"/>
        <w:ind w:left="495"/>
        <w:jc w:val="left"/>
        <w:rPr>
          <w:rFonts w:ascii="宋体" w:hAnsi="宋体"/>
          <w:color w:val="auto"/>
          <w:szCs w:val="21"/>
        </w:rPr>
      </w:pPr>
      <w:r>
        <w:rPr>
          <w:rFonts w:hint="eastAsia" w:ascii="宋体" w:hAnsi="宋体"/>
          <w:color w:val="auto"/>
          <w:szCs w:val="21"/>
        </w:rPr>
        <w:t>5）政府采购支持监狱企业发展。</w:t>
      </w:r>
    </w:p>
    <w:p>
      <w:pPr>
        <w:spacing w:after="120" w:line="380" w:lineRule="exact"/>
        <w:ind w:firstLine="525" w:firstLineChars="250"/>
        <w:jc w:val="left"/>
        <w:rPr>
          <w:rFonts w:hint="eastAsia" w:ascii="宋体" w:hAnsi="宋体"/>
          <w:color w:val="auto"/>
          <w:szCs w:val="21"/>
        </w:rPr>
      </w:pPr>
      <w:r>
        <w:rPr>
          <w:rFonts w:hint="eastAsia" w:ascii="宋体" w:hAnsi="宋体" w:cs="宋体"/>
          <w:color w:val="auto"/>
          <w:szCs w:val="21"/>
          <w:lang w:val="en-US" w:eastAsia="zh-CN"/>
        </w:rPr>
        <w:t>4</w:t>
      </w:r>
      <w:r>
        <w:rPr>
          <w:rFonts w:ascii="宋体" w:hAnsi="宋体" w:cs="宋体"/>
          <w:color w:val="auto"/>
          <w:szCs w:val="21"/>
        </w:rPr>
        <w:t>.</w:t>
      </w:r>
      <w:bookmarkEnd w:id="35"/>
      <w:bookmarkStart w:id="36" w:name="_Toc28359008"/>
      <w:bookmarkStart w:id="37" w:name="_Toc28359085"/>
      <w:bookmarkStart w:id="38" w:name="_Toc35393796"/>
      <w:bookmarkStart w:id="39" w:name="_Toc35393627"/>
      <w:r>
        <w:rPr>
          <w:rFonts w:hint="eastAsia" w:ascii="宋体" w:hAnsi="宋体" w:cs="宋体"/>
          <w:color w:val="auto"/>
          <w:kern w:val="0"/>
          <w:szCs w:val="21"/>
        </w:rPr>
        <w:t>投标人</w:t>
      </w:r>
      <w:r>
        <w:rPr>
          <w:rFonts w:hint="eastAsia" w:ascii="宋体" w:hAnsi="宋体"/>
          <w:color w:val="auto"/>
          <w:szCs w:val="21"/>
        </w:rPr>
        <w:t>投标注意事项</w:t>
      </w:r>
    </w:p>
    <w:p>
      <w:pPr>
        <w:widowControl/>
        <w:spacing w:line="380" w:lineRule="exact"/>
        <w:ind w:firstLine="420" w:firstLineChars="200"/>
        <w:jc w:val="left"/>
        <w:rPr>
          <w:rFonts w:hint="eastAsia" w:ascii="宋体" w:hAnsi="宋体"/>
          <w:color w:val="auto"/>
          <w:szCs w:val="21"/>
        </w:rPr>
      </w:pPr>
      <w:r>
        <w:rPr>
          <w:rFonts w:hint="eastAsia" w:ascii="宋体" w:hAnsi="宋体"/>
          <w:color w:val="auto"/>
          <w:szCs w:val="21"/>
        </w:rPr>
        <w:t>（1）本项目为全流程电子化采购项目，通过“政采云”平台（https：/</w:t>
      </w:r>
      <w:r>
        <w:rPr>
          <w:rFonts w:ascii="宋体" w:hAnsi="宋体"/>
          <w:color w:val="auto"/>
          <w:szCs w:val="21"/>
        </w:rPr>
        <w:t>/www.zcygov.cn</w:t>
      </w:r>
      <w:r>
        <w:rPr>
          <w:rFonts w:hint="eastAsia" w:ascii="宋体" w:hAnsi="宋体"/>
          <w:color w:val="auto"/>
          <w:szCs w:val="21"/>
        </w:rPr>
        <w:t>）实行在线电子投标，投标人应先安装“政采云电子投标客户端”（请自行前往“政采云”平台进行下载），并按照本项目招标文件和“政采云”平台的要求编制、加密后在投标截止时间前通过网络上传至 “政采云”平台，</w:t>
      </w:r>
      <w:r>
        <w:rPr>
          <w:rFonts w:hint="eastAsia" w:ascii="宋体" w:hAnsi="宋体"/>
          <w:b/>
          <w:color w:val="auto"/>
          <w:szCs w:val="21"/>
        </w:rPr>
        <w:t>投标人在“政采云”平台提交电子投标文件时，请填写参加远程开标活动经办人联系方式。</w:t>
      </w:r>
      <w:r>
        <w:rPr>
          <w:rFonts w:hint="eastAsia" w:ascii="宋体" w:hAnsi="宋体"/>
          <w:color w:val="auto"/>
          <w:szCs w:val="21"/>
        </w:rPr>
        <w:t>投标人登录“政采云”平台，依次进入“服务中心-项目采购-操作流程-电子招投标-</w:t>
      </w:r>
      <w:r>
        <w:rPr>
          <w:color w:val="auto"/>
        </w:rPr>
        <w:t>政府采购项目电子交易管理操作指南-供应商</w:t>
      </w:r>
      <w:r>
        <w:rPr>
          <w:rFonts w:hint="eastAsia" w:ascii="宋体" w:hAnsi="宋体"/>
          <w:color w:val="auto"/>
          <w:szCs w:val="21"/>
        </w:rPr>
        <w:t>”查看电子投标具体操作流程。</w:t>
      </w:r>
    </w:p>
    <w:p>
      <w:pPr>
        <w:widowControl/>
        <w:spacing w:line="380" w:lineRule="exact"/>
        <w:ind w:firstLine="420" w:firstLineChars="200"/>
        <w:jc w:val="left"/>
        <w:rPr>
          <w:rFonts w:ascii="宋体" w:hAnsi="宋体"/>
          <w:color w:val="auto"/>
          <w:szCs w:val="21"/>
        </w:rPr>
      </w:pPr>
      <w:r>
        <w:rPr>
          <w:rFonts w:hint="eastAsia" w:ascii="宋体" w:hAnsi="宋体"/>
          <w:color w:val="auto"/>
          <w:szCs w:val="21"/>
        </w:rPr>
        <w:t>（2）未进行网上注册并办理数字证书（CA认证）的投标人将无法参与本项目政府采购活动，投标人应当在投标截止时间前，完成电子交易平台上的CA数字证书办理及投标文件的提交（投标人可登录“广西政府采购网”，依次进入“办事服务-下载专区”或者登陆</w:t>
      </w:r>
      <w:r>
        <w:rPr>
          <w:rFonts w:hint="eastAsia" w:ascii="宋体" w:hAnsi="宋体" w:cs="宋体"/>
          <w:color w:val="auto"/>
          <w:kern w:val="0"/>
          <w:szCs w:val="21"/>
        </w:rPr>
        <w:t>“政采云”平台，</w:t>
      </w:r>
      <w:r>
        <w:rPr>
          <w:rFonts w:hint="eastAsia" w:ascii="宋体" w:hAnsi="宋体"/>
          <w:color w:val="auto"/>
          <w:szCs w:val="21"/>
        </w:rPr>
        <w:t>依次进入“服务中心-入驻与配置”中查看CA数字证书办理操作流程。</w:t>
      </w:r>
      <w:r>
        <w:rPr>
          <w:rFonts w:hint="eastAsia" w:ascii="宋体" w:hAnsi="宋体" w:cs="宋体"/>
          <w:bCs/>
          <w:color w:val="auto"/>
          <w:kern w:val="0"/>
          <w:szCs w:val="21"/>
        </w:rPr>
        <w:t>如在操作过程中遇到问题或者需要技术支持，请致电政采云客服热线：400-881-7190</w:t>
      </w:r>
      <w:r>
        <w:rPr>
          <w:rFonts w:hint="eastAsia" w:ascii="宋体" w:hAnsi="宋体"/>
          <w:color w:val="auto"/>
          <w:szCs w:val="21"/>
        </w:rPr>
        <w:t>）。</w:t>
      </w:r>
    </w:p>
    <w:p>
      <w:pPr>
        <w:snapToGrid w:val="0"/>
        <w:spacing w:line="38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（3）CA证书在线解密：投标人投标时，需凭制作投标文件时用来加密的有效数字证书（CA认证）登录“政采云”平台电子开标大厅现场按规定时间对加密的投标文件进行解密，否则后果自负。</w:t>
      </w:r>
    </w:p>
    <w:p>
      <w:pPr>
        <w:widowControl/>
        <w:spacing w:line="380" w:lineRule="exact"/>
        <w:ind w:firstLine="420" w:firstLineChars="200"/>
        <w:jc w:val="left"/>
        <w:rPr>
          <w:rFonts w:ascii="宋体" w:hAnsi="宋体"/>
          <w:bCs/>
          <w:color w:val="auto"/>
          <w:szCs w:val="21"/>
        </w:rPr>
      </w:pPr>
      <w:r>
        <w:rPr>
          <w:rFonts w:hint="eastAsia" w:ascii="宋体" w:hAnsi="宋体"/>
          <w:color w:val="auto"/>
          <w:szCs w:val="21"/>
        </w:rPr>
        <w:t>注：1）为确保网上操作合法、有效和安全，请投标人确保在电子投标过程中能够对相关数据电文进行加密和使用电子签章，妥善保管C</w:t>
      </w:r>
      <w:r>
        <w:rPr>
          <w:rFonts w:ascii="宋体" w:hAnsi="宋体"/>
          <w:color w:val="auto"/>
          <w:szCs w:val="21"/>
        </w:rPr>
        <w:t>A</w:t>
      </w:r>
      <w:r>
        <w:rPr>
          <w:rFonts w:hint="eastAsia" w:ascii="宋体" w:hAnsi="宋体"/>
          <w:color w:val="auto"/>
          <w:szCs w:val="21"/>
        </w:rPr>
        <w:t>数字证书并使用有效的CA数字证书参与整个招标活动。2）</w:t>
      </w:r>
      <w:r>
        <w:rPr>
          <w:rFonts w:hint="eastAsia" w:ascii="宋体" w:hAnsi="宋体"/>
          <w:bCs/>
          <w:color w:val="auto"/>
          <w:szCs w:val="21"/>
        </w:rPr>
        <w:t>投标人应当在投标截止时间前完成电子投标文件的上传、提交，投标截止时间前可以补充、修改或者撤回投标文件。补充或者修改投标文件的，应当先行撤回原投标文件，补充、修改后重新上传、提交，投标截止时间前未完成上传、提交的，视为撤回投标文件。投标截止时间以后上传递交的投标文件，“政采云”平台将予以拒收。</w:t>
      </w:r>
    </w:p>
    <w:p>
      <w:pPr>
        <w:spacing w:line="380" w:lineRule="exact"/>
        <w:ind w:firstLine="482" w:firstLineChars="200"/>
        <w:rPr>
          <w:rFonts w:ascii="黑体" w:hAnsi="黑体" w:eastAsia="黑体"/>
          <w:b/>
          <w:bCs/>
          <w:color w:val="auto"/>
          <w:sz w:val="24"/>
        </w:rPr>
      </w:pPr>
      <w:r>
        <w:rPr>
          <w:rFonts w:hint="eastAsia" w:ascii="黑体" w:hAnsi="黑体" w:eastAsia="黑体"/>
          <w:b/>
          <w:bCs/>
          <w:color w:val="auto"/>
          <w:sz w:val="24"/>
        </w:rPr>
        <w:t>七、对本次招标提出询问，请按</w:t>
      </w:r>
      <w:r>
        <w:rPr>
          <w:rFonts w:ascii="黑体" w:hAnsi="黑体" w:eastAsia="黑体"/>
          <w:b/>
          <w:bCs/>
          <w:color w:val="auto"/>
          <w:sz w:val="24"/>
        </w:rPr>
        <w:t>以下方式</w:t>
      </w:r>
      <w:r>
        <w:rPr>
          <w:rFonts w:hint="eastAsia" w:ascii="黑体" w:hAnsi="黑体" w:eastAsia="黑体"/>
          <w:b/>
          <w:bCs/>
          <w:color w:val="auto"/>
          <w:sz w:val="24"/>
        </w:rPr>
        <w:t>联系。</w:t>
      </w:r>
      <w:bookmarkEnd w:id="36"/>
      <w:bookmarkEnd w:id="37"/>
      <w:bookmarkEnd w:id="38"/>
      <w:bookmarkEnd w:id="39"/>
    </w:p>
    <w:p>
      <w:pPr>
        <w:widowControl/>
        <w:tabs>
          <w:tab w:val="left" w:pos="142"/>
          <w:tab w:val="left" w:pos="284"/>
        </w:tabs>
        <w:spacing w:line="400" w:lineRule="exact"/>
        <w:ind w:left="-5" w:leftChars="-69" w:hanging="140" w:hangingChars="67"/>
        <w:jc w:val="left"/>
        <w:rPr>
          <w:rFonts w:ascii="宋体" w:hAnsi="宋体"/>
          <w:color w:val="auto"/>
          <w:szCs w:val="21"/>
        </w:rPr>
      </w:pPr>
      <w:bookmarkStart w:id="40" w:name="_Toc74320801"/>
      <w:r>
        <w:rPr>
          <w:rFonts w:hint="eastAsia" w:ascii="宋体" w:hAnsi="宋体" w:cs="宋体"/>
          <w:color w:val="auto"/>
          <w:szCs w:val="21"/>
        </w:rPr>
        <w:t>1.采购人信息</w:t>
      </w:r>
    </w:p>
    <w:p>
      <w:pPr>
        <w:widowControl/>
        <w:tabs>
          <w:tab w:val="left" w:pos="142"/>
          <w:tab w:val="left" w:pos="284"/>
        </w:tabs>
        <w:spacing w:line="400" w:lineRule="exact"/>
        <w:ind w:left="-5" w:leftChars="-69" w:hanging="140" w:hangingChars="67"/>
        <w:jc w:val="left"/>
        <w:rPr>
          <w:rFonts w:ascii="宋体" w:hAnsi="宋体"/>
          <w:color w:val="auto"/>
          <w:szCs w:val="21"/>
        </w:rPr>
      </w:pPr>
      <w:r>
        <w:rPr>
          <w:rFonts w:hint="eastAsia" w:ascii="宋体" w:hAnsi="宋体"/>
          <w:color w:val="auto"/>
          <w:szCs w:val="21"/>
        </w:rPr>
        <w:t xml:space="preserve">      名 称：广西壮族自治区残疾人联合会     </w:t>
      </w:r>
    </w:p>
    <w:p>
      <w:pPr>
        <w:widowControl/>
        <w:tabs>
          <w:tab w:val="left" w:pos="142"/>
          <w:tab w:val="left" w:pos="284"/>
        </w:tabs>
        <w:spacing w:line="400" w:lineRule="exact"/>
        <w:ind w:left="65" w:leftChars="31" w:firstLine="482" w:firstLineChars="230"/>
        <w:jc w:val="left"/>
        <w:rPr>
          <w:rFonts w:ascii="宋体" w:hAnsi="宋体"/>
          <w:color w:val="auto"/>
          <w:szCs w:val="21"/>
        </w:rPr>
      </w:pPr>
      <w:r>
        <w:rPr>
          <w:rFonts w:hint="eastAsia" w:ascii="宋体" w:hAnsi="宋体"/>
          <w:color w:val="auto"/>
          <w:szCs w:val="21"/>
        </w:rPr>
        <w:t>地址：南宁市西乡塘区罗文大道48号</w:t>
      </w:r>
    </w:p>
    <w:p>
      <w:pPr>
        <w:widowControl/>
        <w:tabs>
          <w:tab w:val="left" w:pos="142"/>
          <w:tab w:val="left" w:pos="284"/>
        </w:tabs>
        <w:spacing w:line="400" w:lineRule="exact"/>
        <w:ind w:left="-5" w:leftChars="-69" w:hanging="140" w:hangingChars="67"/>
        <w:jc w:val="left"/>
        <w:rPr>
          <w:rFonts w:ascii="宋体" w:hAnsi="宋体"/>
          <w:color w:val="auto"/>
          <w:szCs w:val="21"/>
        </w:rPr>
      </w:pPr>
      <w:r>
        <w:rPr>
          <w:rFonts w:hint="eastAsia" w:ascii="宋体" w:hAnsi="宋体"/>
          <w:color w:val="auto"/>
          <w:szCs w:val="21"/>
        </w:rPr>
        <w:t xml:space="preserve">      联系方式：</w:t>
      </w:r>
      <w:bookmarkStart w:id="41" w:name="_Toc28359086"/>
      <w:bookmarkStart w:id="42" w:name="_Toc28359009"/>
      <w:r>
        <w:rPr>
          <w:rFonts w:hint="eastAsia" w:ascii="宋体" w:hAnsi="宋体"/>
          <w:color w:val="auto"/>
          <w:szCs w:val="21"/>
        </w:rPr>
        <w:t>方工      联系电话：0771-5579355</w:t>
      </w:r>
    </w:p>
    <w:p>
      <w:pPr>
        <w:widowControl/>
        <w:tabs>
          <w:tab w:val="left" w:pos="142"/>
          <w:tab w:val="left" w:pos="284"/>
        </w:tabs>
        <w:spacing w:line="400" w:lineRule="exact"/>
        <w:ind w:left="-4" w:leftChars="-2" w:firstLine="525" w:firstLineChars="250"/>
        <w:jc w:val="left"/>
        <w:rPr>
          <w:rFonts w:ascii="宋体" w:hAnsi="宋体"/>
          <w:color w:val="auto"/>
          <w:szCs w:val="21"/>
        </w:rPr>
      </w:pPr>
      <w:r>
        <w:rPr>
          <w:rFonts w:hint="eastAsia" w:ascii="宋体" w:hAnsi="宋体" w:cs="宋体"/>
          <w:color w:val="auto"/>
          <w:szCs w:val="21"/>
        </w:rPr>
        <w:t>2.采购代理机构信息</w:t>
      </w:r>
      <w:bookmarkEnd w:id="41"/>
      <w:bookmarkEnd w:id="42"/>
    </w:p>
    <w:p>
      <w:pPr>
        <w:tabs>
          <w:tab w:val="left" w:pos="142"/>
          <w:tab w:val="left" w:pos="284"/>
        </w:tabs>
        <w:spacing w:line="400" w:lineRule="exact"/>
        <w:ind w:left="-5" w:leftChars="-69" w:hanging="140" w:hangingChars="67"/>
        <w:jc w:val="left"/>
        <w:rPr>
          <w:rFonts w:ascii="宋体" w:hAnsi="宋体" w:cs="宋体"/>
          <w:color w:val="auto"/>
          <w:kern w:val="0"/>
          <w:szCs w:val="21"/>
        </w:rPr>
      </w:pPr>
      <w:r>
        <w:rPr>
          <w:rFonts w:hint="eastAsia" w:ascii="宋体" w:hAnsi="宋体"/>
          <w:color w:val="auto"/>
          <w:szCs w:val="21"/>
        </w:rPr>
        <w:t xml:space="preserve">      名 称：</w:t>
      </w:r>
      <w:r>
        <w:rPr>
          <w:rFonts w:hint="eastAsia" w:ascii="宋体" w:hAnsi="宋体" w:cs="宋体"/>
          <w:color w:val="auto"/>
          <w:kern w:val="0"/>
          <w:szCs w:val="21"/>
        </w:rPr>
        <w:t>广西建设工程机电设备招标中心有限公司</w:t>
      </w:r>
    </w:p>
    <w:p>
      <w:pPr>
        <w:tabs>
          <w:tab w:val="left" w:pos="142"/>
          <w:tab w:val="left" w:pos="284"/>
        </w:tabs>
        <w:spacing w:line="400" w:lineRule="exact"/>
        <w:ind w:left="65" w:leftChars="31" w:firstLine="482" w:firstLineChars="230"/>
        <w:jc w:val="left"/>
        <w:rPr>
          <w:rFonts w:ascii="宋体" w:hAnsi="宋体"/>
          <w:color w:val="auto"/>
          <w:szCs w:val="21"/>
        </w:rPr>
      </w:pPr>
      <w:r>
        <w:rPr>
          <w:rFonts w:hint="eastAsia" w:ascii="宋体" w:hAnsi="宋体"/>
          <w:color w:val="auto"/>
          <w:szCs w:val="21"/>
        </w:rPr>
        <w:t>地　址：</w:t>
      </w:r>
      <w:r>
        <w:rPr>
          <w:rFonts w:hint="eastAsia"/>
          <w:color w:val="auto"/>
          <w:spacing w:val="-4"/>
        </w:rPr>
        <w:t>南宁市纬武路165号</w:t>
      </w:r>
    </w:p>
    <w:p>
      <w:pPr>
        <w:tabs>
          <w:tab w:val="left" w:pos="142"/>
          <w:tab w:val="left" w:pos="284"/>
        </w:tabs>
        <w:spacing w:line="400" w:lineRule="exact"/>
        <w:ind w:left="65" w:leftChars="31" w:firstLine="482" w:firstLineChars="230"/>
        <w:jc w:val="left"/>
        <w:rPr>
          <w:rFonts w:ascii="宋体" w:hAnsi="宋体"/>
          <w:color w:val="auto"/>
          <w:szCs w:val="21"/>
        </w:rPr>
      </w:pPr>
      <w:r>
        <w:rPr>
          <w:rFonts w:hint="eastAsia" w:ascii="宋体" w:hAnsi="宋体"/>
          <w:color w:val="auto"/>
          <w:szCs w:val="21"/>
        </w:rPr>
        <w:t>联系方式：</w:t>
      </w:r>
      <w:bookmarkStart w:id="43" w:name="_Toc28359010"/>
      <w:bookmarkStart w:id="44" w:name="_Toc28359087"/>
      <w:r>
        <w:rPr>
          <w:rFonts w:hint="eastAsia" w:ascii="宋体" w:hAnsi="宋体"/>
          <w:color w:val="auto"/>
          <w:szCs w:val="21"/>
        </w:rPr>
        <w:t xml:space="preserve">18078099679、0771-2819799 </w:t>
      </w:r>
    </w:p>
    <w:p>
      <w:pPr>
        <w:tabs>
          <w:tab w:val="left" w:pos="142"/>
          <w:tab w:val="left" w:pos="284"/>
        </w:tabs>
        <w:spacing w:line="400" w:lineRule="exact"/>
        <w:ind w:left="-5" w:leftChars="-69" w:hanging="140" w:hangingChars="67"/>
        <w:jc w:val="left"/>
        <w:rPr>
          <w:rFonts w:ascii="宋体" w:hAnsi="宋体"/>
          <w:color w:val="auto"/>
          <w:szCs w:val="21"/>
          <w:u w:val="single"/>
        </w:rPr>
      </w:pPr>
      <w:r>
        <w:rPr>
          <w:rFonts w:hint="eastAsia" w:ascii="宋体" w:hAnsi="宋体" w:cs="宋体"/>
          <w:color w:val="auto"/>
          <w:szCs w:val="21"/>
        </w:rPr>
        <w:t xml:space="preserve">      3.项目</w:t>
      </w:r>
      <w:r>
        <w:rPr>
          <w:rFonts w:ascii="宋体" w:hAnsi="宋体" w:cs="宋体"/>
          <w:color w:val="auto"/>
          <w:szCs w:val="21"/>
        </w:rPr>
        <w:t>联系方式</w:t>
      </w:r>
      <w:bookmarkEnd w:id="43"/>
      <w:bookmarkEnd w:id="44"/>
    </w:p>
    <w:p>
      <w:pPr>
        <w:tabs>
          <w:tab w:val="left" w:pos="142"/>
          <w:tab w:val="left" w:pos="284"/>
        </w:tabs>
        <w:spacing w:line="400" w:lineRule="exact"/>
        <w:ind w:left="-5" w:leftChars="-69" w:hanging="140" w:hangingChars="67"/>
        <w:jc w:val="left"/>
        <w:rPr>
          <w:rFonts w:ascii="宋体" w:hAnsi="宋体"/>
          <w:color w:val="auto"/>
          <w:szCs w:val="21"/>
        </w:rPr>
      </w:pPr>
      <w:r>
        <w:rPr>
          <w:rFonts w:hint="eastAsia" w:ascii="宋体" w:hAnsi="宋体"/>
          <w:color w:val="auto"/>
          <w:szCs w:val="21"/>
        </w:rPr>
        <w:t xml:space="preserve">      项目联系人：</w:t>
      </w:r>
      <w:r>
        <w:rPr>
          <w:rFonts w:hint="eastAsia" w:ascii="宋体" w:hAnsi="宋体"/>
          <w:color w:val="auto"/>
          <w:szCs w:val="21"/>
          <w:lang w:val="en-US" w:eastAsia="zh-CN"/>
        </w:rPr>
        <w:t>黄天懿</w:t>
      </w:r>
    </w:p>
    <w:p>
      <w:pPr>
        <w:tabs>
          <w:tab w:val="left" w:pos="142"/>
          <w:tab w:val="left" w:pos="284"/>
        </w:tabs>
        <w:spacing w:line="400" w:lineRule="exact"/>
        <w:ind w:left="-5" w:leftChars="-69" w:hanging="140" w:hangingChars="67"/>
        <w:jc w:val="left"/>
        <w:rPr>
          <w:rFonts w:ascii="宋体" w:hAnsi="宋体"/>
          <w:color w:val="auto"/>
          <w:szCs w:val="21"/>
        </w:rPr>
      </w:pPr>
      <w:r>
        <w:rPr>
          <w:rFonts w:hint="eastAsia" w:ascii="宋体" w:hAnsi="宋体"/>
          <w:color w:val="auto"/>
          <w:szCs w:val="21"/>
        </w:rPr>
        <w:t xml:space="preserve">      电　话： 18078099679、0771-2819799</w:t>
      </w:r>
    </w:p>
    <w:p>
      <w:pPr>
        <w:tabs>
          <w:tab w:val="left" w:pos="142"/>
          <w:tab w:val="left" w:pos="284"/>
        </w:tabs>
        <w:spacing w:line="400" w:lineRule="exact"/>
        <w:ind w:left="-4" w:leftChars="-2" w:firstLine="525" w:firstLineChars="250"/>
        <w:jc w:val="left"/>
        <w:rPr>
          <w:rFonts w:hint="eastAsia"/>
          <w:color w:val="auto"/>
        </w:rPr>
      </w:pPr>
      <w:r>
        <w:rPr>
          <w:rFonts w:hint="eastAsia" w:ascii="宋体" w:hAnsi="宋体"/>
          <w:color w:val="auto"/>
          <w:szCs w:val="21"/>
        </w:rPr>
        <w:t>4.政府采购监督管理部门：</w:t>
      </w:r>
    </w:p>
    <w:p>
      <w:pPr>
        <w:tabs>
          <w:tab w:val="left" w:pos="142"/>
          <w:tab w:val="left" w:pos="284"/>
        </w:tabs>
        <w:spacing w:line="400" w:lineRule="exact"/>
        <w:ind w:left="-4" w:leftChars="-2" w:firstLine="525" w:firstLineChars="250"/>
        <w:jc w:val="left"/>
        <w:rPr>
          <w:rFonts w:hint="eastAsia"/>
          <w:color w:val="auto"/>
        </w:rPr>
      </w:pPr>
      <w:r>
        <w:rPr>
          <w:rFonts w:hint="eastAsia"/>
          <w:color w:val="auto"/>
        </w:rPr>
        <w:t>广西壮族自治区财政厅政府采购监督管理处；联系电话：0771-5331544</w:t>
      </w:r>
    </w:p>
    <w:p>
      <w:pPr>
        <w:snapToGrid w:val="0"/>
        <w:spacing w:line="400" w:lineRule="exact"/>
        <w:ind w:firstLine="808" w:firstLineChars="400"/>
        <w:jc w:val="left"/>
        <w:rPr>
          <w:rFonts w:ascii="宋体" w:hAnsi="宋体" w:cs="Arial"/>
          <w:b/>
          <w:color w:val="auto"/>
          <w:szCs w:val="21"/>
        </w:rPr>
      </w:pPr>
      <w:r>
        <w:rPr>
          <w:rFonts w:hint="eastAsia"/>
          <w:color w:val="auto"/>
          <w:spacing w:val="-4"/>
        </w:rPr>
        <w:t xml:space="preserve">地址：广西南宁市青秀区桃源路 </w:t>
      </w:r>
      <w:r>
        <w:rPr>
          <w:rFonts w:hint="eastAsia"/>
          <w:color w:val="auto"/>
        </w:rPr>
        <w:t>69</w:t>
      </w:r>
      <w:r>
        <w:rPr>
          <w:rFonts w:hint="eastAsia"/>
          <w:color w:val="auto"/>
          <w:spacing w:val="-26"/>
        </w:rPr>
        <w:t xml:space="preserve"> 号</w:t>
      </w:r>
    </w:p>
    <w:p>
      <w:pPr>
        <w:snapToGrid w:val="0"/>
        <w:spacing w:line="400" w:lineRule="exact"/>
        <w:ind w:left="238"/>
        <w:jc w:val="right"/>
        <w:rPr>
          <w:rFonts w:hint="eastAsia" w:ascii="宋体" w:hAnsi="宋体" w:cs="Arial"/>
          <w:color w:val="auto"/>
          <w:szCs w:val="21"/>
        </w:rPr>
      </w:pPr>
    </w:p>
    <w:p>
      <w:pPr>
        <w:snapToGrid w:val="0"/>
        <w:spacing w:line="400" w:lineRule="exact"/>
        <w:ind w:left="238"/>
        <w:jc w:val="right"/>
        <w:rPr>
          <w:rFonts w:hint="eastAsia" w:ascii="宋体" w:hAnsi="宋体" w:cs="Arial"/>
          <w:color w:val="auto"/>
          <w:szCs w:val="21"/>
        </w:rPr>
      </w:pPr>
    </w:p>
    <w:p>
      <w:pPr>
        <w:snapToGrid w:val="0"/>
        <w:spacing w:line="400" w:lineRule="exact"/>
        <w:ind w:left="238"/>
        <w:jc w:val="right"/>
        <w:rPr>
          <w:rFonts w:ascii="宋体" w:hAnsi="宋体" w:cs="Arial"/>
          <w:color w:val="auto"/>
          <w:szCs w:val="21"/>
        </w:rPr>
      </w:pPr>
      <w:r>
        <w:rPr>
          <w:rFonts w:hint="eastAsia" w:ascii="宋体" w:hAnsi="宋体" w:cs="Arial"/>
          <w:color w:val="auto"/>
          <w:szCs w:val="21"/>
        </w:rPr>
        <w:t>广西建设工程机电设备招标中心有限公司</w:t>
      </w:r>
    </w:p>
    <w:p>
      <w:pPr>
        <w:outlineLvl w:val="9"/>
        <w:rPr>
          <w:rFonts w:hint="eastAsia" w:ascii="宋体" w:hAnsi="宋体" w:eastAsia="宋体" w:cs="Arial"/>
          <w:b w:val="0"/>
          <w:bCs w:val="0"/>
          <w:color w:val="auto"/>
          <w:kern w:val="2"/>
          <w:sz w:val="21"/>
          <w:szCs w:val="21"/>
          <w:lang w:val="en-US" w:eastAsia="zh-CN" w:bidi="ar-SA"/>
        </w:rPr>
      </w:pPr>
      <w:r>
        <w:rPr>
          <w:rFonts w:hint="eastAsia" w:ascii="宋体" w:hAnsi="宋体" w:eastAsia="宋体" w:cs="Arial"/>
          <w:b w:val="0"/>
          <w:bCs w:val="0"/>
          <w:color w:val="auto"/>
          <w:kern w:val="2"/>
          <w:sz w:val="21"/>
          <w:szCs w:val="21"/>
          <w:lang w:val="en-US" w:eastAsia="zh-CN" w:bidi="ar-SA"/>
        </w:rPr>
        <w:t xml:space="preserve">                                                      202</w:t>
      </w:r>
      <w:r>
        <w:rPr>
          <w:rFonts w:hint="eastAsia" w:ascii="宋体" w:hAnsi="宋体" w:cs="Arial"/>
          <w:b w:val="0"/>
          <w:bCs w:val="0"/>
          <w:color w:val="auto"/>
          <w:kern w:val="2"/>
          <w:sz w:val="21"/>
          <w:szCs w:val="21"/>
          <w:lang w:val="en-US" w:eastAsia="zh-CN" w:bidi="ar-SA"/>
        </w:rPr>
        <w:t>2</w:t>
      </w:r>
      <w:r>
        <w:rPr>
          <w:rFonts w:hint="eastAsia" w:ascii="宋体" w:hAnsi="宋体" w:eastAsia="宋体" w:cs="Arial"/>
          <w:b w:val="0"/>
          <w:bCs w:val="0"/>
          <w:color w:val="auto"/>
          <w:kern w:val="2"/>
          <w:sz w:val="21"/>
          <w:szCs w:val="21"/>
          <w:lang w:val="en-US" w:eastAsia="zh-CN" w:bidi="ar-SA"/>
        </w:rPr>
        <w:t>年</w:t>
      </w:r>
      <w:r>
        <w:rPr>
          <w:rFonts w:hint="eastAsia" w:ascii="宋体" w:hAnsi="宋体" w:cs="Arial"/>
          <w:b w:val="0"/>
          <w:bCs w:val="0"/>
          <w:color w:val="auto"/>
          <w:kern w:val="2"/>
          <w:sz w:val="21"/>
          <w:szCs w:val="21"/>
          <w:lang w:val="en-US" w:eastAsia="zh-CN" w:bidi="ar-SA"/>
        </w:rPr>
        <w:t>2</w:t>
      </w:r>
      <w:r>
        <w:rPr>
          <w:rFonts w:hint="eastAsia" w:ascii="宋体" w:hAnsi="宋体" w:eastAsia="宋体" w:cs="Arial"/>
          <w:b w:val="0"/>
          <w:bCs w:val="0"/>
          <w:color w:val="auto"/>
          <w:kern w:val="2"/>
          <w:sz w:val="21"/>
          <w:szCs w:val="21"/>
          <w:lang w:val="en-US" w:eastAsia="zh-CN" w:bidi="ar-SA"/>
        </w:rPr>
        <w:t xml:space="preserve">月 </w:t>
      </w:r>
      <w:r>
        <w:rPr>
          <w:rFonts w:hint="eastAsia" w:ascii="宋体" w:hAnsi="宋体" w:cs="Arial"/>
          <w:b w:val="0"/>
          <w:bCs w:val="0"/>
          <w:color w:val="auto"/>
          <w:kern w:val="2"/>
          <w:sz w:val="21"/>
          <w:szCs w:val="21"/>
          <w:lang w:val="en-US" w:eastAsia="zh-CN" w:bidi="ar-SA"/>
        </w:rPr>
        <w:t>25</w:t>
      </w:r>
      <w:r>
        <w:rPr>
          <w:rFonts w:hint="eastAsia" w:ascii="宋体" w:hAnsi="宋体" w:eastAsia="宋体" w:cs="Arial"/>
          <w:b w:val="0"/>
          <w:bCs w:val="0"/>
          <w:color w:val="auto"/>
          <w:kern w:val="2"/>
          <w:sz w:val="21"/>
          <w:szCs w:val="21"/>
          <w:lang w:val="en-US" w:eastAsia="zh-CN" w:bidi="ar-SA"/>
        </w:rPr>
        <w:t>日</w:t>
      </w:r>
    </w:p>
    <w:p>
      <w:pPr>
        <w:rPr>
          <w:rFonts w:hint="eastAsia" w:ascii="宋体" w:hAnsi="宋体" w:eastAsia="宋体" w:cs="Arial"/>
          <w:b w:val="0"/>
          <w:bCs w:val="0"/>
          <w:color w:val="auto"/>
          <w:kern w:val="2"/>
          <w:sz w:val="21"/>
          <w:szCs w:val="21"/>
          <w:lang w:val="en-US" w:eastAsia="zh-CN" w:bidi="ar-SA"/>
        </w:rPr>
      </w:pPr>
      <w:r>
        <w:rPr>
          <w:rFonts w:hint="eastAsia" w:ascii="宋体" w:hAnsi="宋体" w:eastAsia="宋体" w:cs="Arial"/>
          <w:b w:val="0"/>
          <w:bCs w:val="0"/>
          <w:color w:val="auto"/>
          <w:kern w:val="2"/>
          <w:sz w:val="21"/>
          <w:szCs w:val="21"/>
          <w:lang w:val="en-US" w:eastAsia="zh-CN" w:bidi="ar-SA"/>
        </w:rPr>
        <w:br w:type="page"/>
      </w:r>
    </w:p>
    <w:p>
      <w:pPr>
        <w:pStyle w:val="2"/>
        <w:rPr>
          <w:rFonts w:hint="eastAsia"/>
          <w:lang w:val="en-US" w:eastAsia="zh-CN"/>
        </w:rPr>
      </w:pPr>
    </w:p>
    <w:p>
      <w:pPr>
        <w:pStyle w:val="5"/>
        <w:keepNext/>
        <w:keepLines/>
        <w:pageBreakBefore w:val="0"/>
        <w:widowControl w:val="0"/>
        <w:kinsoku/>
        <w:wordWrap/>
        <w:overflowPunct/>
        <w:topLinePunct w:val="0"/>
        <w:autoSpaceDE/>
        <w:autoSpaceDN/>
        <w:bidi w:val="0"/>
        <w:adjustRightInd/>
        <w:snapToGrid/>
        <w:spacing w:before="0" w:after="0" w:line="440" w:lineRule="exact"/>
        <w:jc w:val="center"/>
        <w:textAlignment w:val="auto"/>
        <w:rPr>
          <w:rFonts w:hint="eastAsia"/>
          <w:color w:val="000000"/>
        </w:rPr>
      </w:pPr>
      <w:r>
        <w:rPr>
          <w:rFonts w:hint="eastAsia"/>
          <w:color w:val="000000"/>
        </w:rPr>
        <w:t>第二章  采购需求</w:t>
      </w:r>
      <w:bookmarkEnd w:id="40"/>
    </w:p>
    <w:p>
      <w:pPr>
        <w:spacing w:line="360" w:lineRule="exact"/>
        <w:jc w:val="left"/>
        <w:rPr>
          <w:rFonts w:ascii="宋体" w:hAnsi="宋体" w:cs="宋体"/>
          <w:color w:val="000000"/>
          <w:szCs w:val="21"/>
        </w:rPr>
      </w:pPr>
      <w:bookmarkStart w:id="45" w:name="_Toc254970631"/>
      <w:bookmarkStart w:id="46" w:name="_Toc254970490"/>
      <w:r>
        <w:rPr>
          <w:rFonts w:hint="eastAsia" w:ascii="宋体" w:hAnsi="宋体" w:cs="宋体"/>
          <w:color w:val="000000"/>
          <w:szCs w:val="21"/>
        </w:rPr>
        <w:t>说明：</w:t>
      </w:r>
    </w:p>
    <w:p>
      <w:pPr>
        <w:spacing w:line="360" w:lineRule="exact"/>
        <w:ind w:firstLine="420" w:firstLineChars="200"/>
        <w:jc w:val="left"/>
        <w:rPr>
          <w:rFonts w:hint="eastAsia" w:ascii="宋体" w:hAnsi="宋体" w:cs="宋体"/>
          <w:color w:val="000000"/>
          <w:szCs w:val="21"/>
        </w:rPr>
      </w:pPr>
      <w:r>
        <w:rPr>
          <w:rFonts w:hint="eastAsia"/>
          <w:color w:val="000000"/>
        </w:rPr>
        <w:t>1. 为落实政府采购政策需满足的要求（根据项目实际情况填写内容）</w:t>
      </w:r>
    </w:p>
    <w:p>
      <w:pPr>
        <w:spacing w:line="360" w:lineRule="exact"/>
        <w:ind w:firstLine="420" w:firstLineChars="200"/>
        <w:jc w:val="left"/>
        <w:rPr>
          <w:rFonts w:hint="eastAsia" w:ascii="宋体" w:hAnsi="宋体" w:cs="宋体"/>
          <w:color w:val="000000"/>
          <w:szCs w:val="21"/>
        </w:rPr>
      </w:pPr>
      <w:r>
        <w:rPr>
          <w:rFonts w:hint="eastAsia" w:ascii="宋体" w:hAnsi="宋体" w:cs="宋体"/>
          <w:color w:val="000000"/>
          <w:szCs w:val="21"/>
        </w:rPr>
        <w:t>（1）本招标文件所称中小企业必须符合《政府采购促进中小企业发展管理办法》（财库〔2020〕46号）的规定。</w:t>
      </w:r>
    </w:p>
    <w:p>
      <w:pPr>
        <w:spacing w:line="360" w:lineRule="exact"/>
        <w:ind w:firstLine="424" w:firstLineChars="202"/>
        <w:jc w:val="left"/>
        <w:rPr>
          <w:rFonts w:ascii="宋体" w:hAnsi="宋体" w:cs="宋体"/>
          <w:color w:val="000000"/>
          <w:szCs w:val="21"/>
        </w:rPr>
      </w:pPr>
      <w:r>
        <w:rPr>
          <w:rFonts w:hint="eastAsia" w:ascii="宋体" w:hAnsi="宋体" w:cs="宋体"/>
          <w:color w:val="000000"/>
          <w:szCs w:val="21"/>
        </w:rPr>
        <w:t>（2）根据《财政部 发展改革委 生态环境部 市场监管总局关于调整优化节能产品、环境标志产品政府采购执行机制的通知》（财库〔2019〕9号）和《关于印发节能产品政府采购品目清单的通知》（财库〔2019〕19号）的规定，采购需求中的产品属于节能产品政府采购品目清单内标注“★”的（详见本章后附的节能产品政府采购品目清单），投标人的投标货物必须使用政府强制采购的节能产品，投标人必须在投标文件中提供所投标产品的节能产品认证证书复印件（加盖投标人公章），</w:t>
      </w:r>
      <w:r>
        <w:rPr>
          <w:rFonts w:hint="eastAsia" w:ascii="宋体" w:hAnsi="宋体" w:cs="宋体"/>
          <w:b/>
          <w:bCs/>
          <w:color w:val="000000"/>
          <w:szCs w:val="21"/>
        </w:rPr>
        <w:t>否则按无效投标处理</w:t>
      </w:r>
      <w:r>
        <w:rPr>
          <w:rFonts w:hint="eastAsia" w:ascii="宋体" w:hAnsi="宋体" w:cs="宋体"/>
          <w:color w:val="000000"/>
          <w:szCs w:val="21"/>
        </w:rPr>
        <w:t>。如本项目包含的货物属于品目清单内非标注“★”的产品时，应优先采购，具体详见“第四章 评标方法及评标标准”。</w:t>
      </w:r>
    </w:p>
    <w:p>
      <w:pPr>
        <w:spacing w:line="360" w:lineRule="exact"/>
        <w:ind w:firstLine="424" w:firstLineChars="202"/>
        <w:jc w:val="left"/>
        <w:rPr>
          <w:rFonts w:hint="eastAsia" w:ascii="宋体" w:hAnsi="宋体" w:cs="宋体"/>
          <w:color w:val="000000"/>
          <w:szCs w:val="21"/>
        </w:rPr>
      </w:pPr>
      <w:r>
        <w:rPr>
          <w:rFonts w:hint="eastAsia" w:ascii="宋体" w:hAnsi="宋体" w:cs="宋体"/>
          <w:color w:val="000000"/>
          <w:szCs w:val="21"/>
        </w:rPr>
        <w:t>2.“实质性要求”是指招标文件中已经指明不满足则投标无效的条款，或者不能负偏离的条款，或者采购需求中带“▲”的条款。未标注“▲”的条款负偏离或漏项达到</w:t>
      </w:r>
      <w:r>
        <w:rPr>
          <w:rFonts w:hint="eastAsia" w:ascii="宋体" w:hAnsi="宋体" w:cs="宋体"/>
          <w:color w:val="000000"/>
          <w:szCs w:val="21"/>
          <w:lang w:val="en-US" w:eastAsia="zh-CN"/>
        </w:rPr>
        <w:t>4</w:t>
      </w:r>
      <w:r>
        <w:rPr>
          <w:rFonts w:hint="eastAsia" w:ascii="宋体" w:hAnsi="宋体" w:cs="宋体"/>
          <w:color w:val="000000"/>
          <w:szCs w:val="21"/>
        </w:rPr>
        <w:t>项的（含</w:t>
      </w:r>
      <w:r>
        <w:rPr>
          <w:rFonts w:hint="eastAsia" w:ascii="宋体" w:hAnsi="宋体" w:cs="宋体"/>
          <w:color w:val="000000"/>
          <w:szCs w:val="21"/>
          <w:lang w:val="en-US" w:eastAsia="zh-CN"/>
        </w:rPr>
        <w:t>4</w:t>
      </w:r>
      <w:r>
        <w:rPr>
          <w:rFonts w:hint="eastAsia" w:ascii="宋体" w:hAnsi="宋体" w:cs="宋体"/>
          <w:color w:val="000000"/>
          <w:szCs w:val="21"/>
        </w:rPr>
        <w:t>项），投标无效。</w:t>
      </w:r>
    </w:p>
    <w:p>
      <w:pPr>
        <w:spacing w:line="360" w:lineRule="exact"/>
        <w:ind w:firstLine="424" w:firstLineChars="202"/>
        <w:jc w:val="left"/>
        <w:rPr>
          <w:rFonts w:hint="eastAsia" w:ascii="宋体" w:hAnsi="宋体" w:cs="宋体"/>
          <w:color w:val="000000"/>
          <w:szCs w:val="21"/>
        </w:rPr>
      </w:pPr>
      <w:r>
        <w:rPr>
          <w:rFonts w:hint="eastAsia" w:ascii="宋体" w:hAnsi="宋体" w:cs="宋体"/>
          <w:color w:val="000000"/>
          <w:szCs w:val="21"/>
        </w:rPr>
        <w:t>3.采购需求中出现的品牌、型号或者生产厂家仅起参考作用，不属于指定品牌、型号或者生产厂家的情形。投标人可参照或者选用其他相当的品牌、型号或者生产厂家替代，但选用的投标产品参数性能必须满足实质性要求。</w:t>
      </w:r>
    </w:p>
    <w:p>
      <w:pPr>
        <w:spacing w:line="360" w:lineRule="exact"/>
        <w:ind w:firstLine="424" w:firstLineChars="202"/>
        <w:jc w:val="left"/>
        <w:rPr>
          <w:rStyle w:val="23"/>
          <w:rFonts w:hint="eastAsia"/>
          <w:color w:val="000000"/>
        </w:rPr>
      </w:pPr>
      <w:r>
        <w:rPr>
          <w:rFonts w:hint="eastAsia" w:ascii="宋体" w:hAnsi="宋体" w:cs="宋体"/>
          <w:color w:val="000000"/>
          <w:szCs w:val="21"/>
        </w:rPr>
        <w:t>4.</w:t>
      </w:r>
      <w:bookmarkStart w:id="47" w:name="_Hlk65055179"/>
      <w:r>
        <w:rPr>
          <w:rFonts w:hint="eastAsia" w:ascii="宋体" w:hAnsi="宋体" w:cs="宋体"/>
          <w:color w:val="000000"/>
          <w:szCs w:val="21"/>
        </w:rPr>
        <w:t xml:space="preserve"> 投标人应根据自身实际情况如实响应招标文件</w:t>
      </w:r>
      <w:r>
        <w:rPr>
          <w:rFonts w:hint="eastAsia" w:ascii="宋体" w:hAnsi="宋体"/>
          <w:color w:val="000000"/>
          <w:szCs w:val="21"/>
        </w:rPr>
        <w:t>，不得仅将招标文件内容简单复制粘贴作为投标响应，还应当提供相关证明材料，</w:t>
      </w:r>
      <w:r>
        <w:rPr>
          <w:rFonts w:hint="eastAsia" w:ascii="宋体" w:hAnsi="宋体"/>
          <w:b/>
          <w:bCs/>
          <w:color w:val="000000"/>
          <w:szCs w:val="21"/>
        </w:rPr>
        <w:t>否则将作无效响应处理</w:t>
      </w:r>
      <w:r>
        <w:rPr>
          <w:rFonts w:hint="eastAsia" w:ascii="宋体" w:hAnsi="宋体"/>
          <w:color w:val="000000"/>
          <w:szCs w:val="21"/>
        </w:rPr>
        <w:t>（定制采购不适用本条款）。</w:t>
      </w:r>
      <w:r>
        <w:rPr>
          <w:rFonts w:hint="eastAsia"/>
          <w:color w:val="000000"/>
        </w:rPr>
        <w:t>对于重要技术条款或技术参数应当在投标文件中提供技术支持资料，技术支持资料以招标文件中规定的形式为准，</w:t>
      </w:r>
      <w:r>
        <w:rPr>
          <w:rFonts w:hint="eastAsia"/>
          <w:b/>
          <w:bCs/>
          <w:color w:val="000000"/>
        </w:rPr>
        <w:t>否则将视为无效技术支持资料</w:t>
      </w:r>
      <w:r>
        <w:rPr>
          <w:rFonts w:hint="eastAsia"/>
          <w:color w:val="000000"/>
        </w:rPr>
        <w:t>。</w:t>
      </w:r>
    </w:p>
    <w:p>
      <w:pPr>
        <w:spacing w:line="360" w:lineRule="exact"/>
        <w:ind w:firstLine="424" w:firstLineChars="202"/>
        <w:jc w:val="left"/>
        <w:rPr>
          <w:rFonts w:hint="eastAsia"/>
          <w:color w:val="000000"/>
        </w:rPr>
      </w:pPr>
      <w:r>
        <w:rPr>
          <w:rFonts w:hint="eastAsia" w:ascii="宋体" w:hAnsi="宋体" w:cs="宋体"/>
          <w:color w:val="000000"/>
          <w:szCs w:val="21"/>
        </w:rPr>
        <w:t>5.</w:t>
      </w:r>
      <w:r>
        <w:rPr>
          <w:rFonts w:hint="eastAsia"/>
          <w:color w:val="000000"/>
        </w:rPr>
        <w:t>投标人必须自行为其投标产品侵犯他人的知识产权或者专利成果的行为承担相应法律责任。</w:t>
      </w:r>
    </w:p>
    <w:p>
      <w:pPr>
        <w:spacing w:line="360" w:lineRule="exact"/>
        <w:ind w:firstLine="424" w:firstLineChars="202"/>
        <w:jc w:val="left"/>
        <w:rPr>
          <w:rFonts w:hint="eastAsia" w:ascii="宋体" w:hAnsi="宋体"/>
          <w:color w:val="000000"/>
          <w:szCs w:val="21"/>
        </w:rPr>
      </w:pPr>
      <w:r>
        <w:rPr>
          <w:rFonts w:hint="eastAsia" w:ascii="宋体" w:hAnsi="宋体"/>
          <w:color w:val="000000"/>
          <w:szCs w:val="21"/>
        </w:rPr>
        <w:t>6.本项目所属行业：工业。</w:t>
      </w:r>
    </w:p>
    <w:p>
      <w:pPr>
        <w:spacing w:line="360" w:lineRule="exact"/>
        <w:ind w:firstLine="424" w:firstLineChars="202"/>
        <w:jc w:val="left"/>
        <w:rPr>
          <w:rFonts w:hint="eastAsia" w:ascii="Times New Roman" w:hAnsi="Times New Roman" w:eastAsia="宋体" w:cs="Times New Roman"/>
          <w:color w:val="000000"/>
        </w:rPr>
      </w:pPr>
      <w:r>
        <w:rPr>
          <w:rFonts w:hint="eastAsia" w:ascii="Times New Roman" w:hAnsi="Times New Roman" w:eastAsia="宋体" w:cs="Times New Roman"/>
          <w:color w:val="000000"/>
          <w:lang w:val="en-US" w:eastAsia="zh-CN"/>
        </w:rPr>
        <w:t>7</w:t>
      </w:r>
      <w:r>
        <w:rPr>
          <w:rFonts w:hint="eastAsia" w:ascii="Times New Roman" w:hAnsi="Times New Roman" w:eastAsia="宋体" w:cs="Times New Roman"/>
          <w:color w:val="000000"/>
        </w:rPr>
        <w:t>、本项目投标人可投2个分标，但只能中一个分标。本项目按照A-B-C-D-E-F分标的顺序依次评标，在分标一被确定为中标人的投标人，不得成为分标二和后续分标的中标人。以此类推。</w:t>
      </w:r>
    </w:p>
    <w:p>
      <w:pPr>
        <w:spacing w:line="360" w:lineRule="exact"/>
        <w:ind w:firstLine="424" w:firstLineChars="202"/>
        <w:jc w:val="left"/>
        <w:rPr>
          <w:rFonts w:hint="eastAsia" w:ascii="Times New Roman" w:hAnsi="Times New Roman" w:eastAsia="宋体" w:cs="Times New Roman"/>
          <w:color w:val="000000"/>
        </w:rPr>
      </w:pPr>
      <w:r>
        <w:rPr>
          <w:rFonts w:hint="eastAsia" w:ascii="Times New Roman" w:hAnsi="Times New Roman" w:eastAsia="宋体" w:cs="Times New Roman"/>
          <w:color w:val="000000"/>
          <w:lang w:val="en-US" w:eastAsia="zh-CN"/>
        </w:rPr>
        <w:t>8</w:t>
      </w:r>
      <w:r>
        <w:rPr>
          <w:rFonts w:hint="eastAsia" w:ascii="Times New Roman" w:hAnsi="Times New Roman" w:eastAsia="宋体" w:cs="Times New Roman"/>
          <w:color w:val="000000"/>
        </w:rPr>
        <w:t>、单项报价超过预算单价为无效报价。本项目采购预算只作为参考价格，实际预算金额为年度财政性资金和彩票公益金资金之和，合同金额以实际采购量结算。</w:t>
      </w:r>
    </w:p>
    <w:p>
      <w:pPr>
        <w:pStyle w:val="2"/>
        <w:rPr>
          <w:rFonts w:hint="eastAsia"/>
          <w:b/>
          <w:bCs/>
          <w:color w:val="auto"/>
        </w:rPr>
      </w:pPr>
      <w:r>
        <w:rPr>
          <w:rFonts w:hint="eastAsia"/>
          <w:color w:val="auto"/>
          <w:lang w:val="en-US" w:eastAsia="zh-CN"/>
        </w:rPr>
        <w:t xml:space="preserve"> </w:t>
      </w:r>
      <w:r>
        <w:rPr>
          <w:rFonts w:hint="eastAsia"/>
          <w:b/>
          <w:bCs/>
          <w:color w:val="auto"/>
          <w:lang w:val="en-US" w:eastAsia="zh-CN"/>
        </w:rPr>
        <w:t xml:space="preserve">  </w:t>
      </w:r>
      <w:r>
        <w:rPr>
          <w:rFonts w:hint="eastAsia"/>
          <w:b/>
          <w:bCs/>
          <w:color w:val="auto"/>
          <w:sz w:val="21"/>
          <w:szCs w:val="21"/>
          <w:lang w:val="en-US" w:eastAsia="zh-CN"/>
        </w:rPr>
        <w:t>9、具体采购的暂估数量是采购人为了便于评标先拟定的暂估数量，在实际合同执行过程中，由采购人根据工作中发生的实际数量定，采购人按实际数量结算，投标人必须接受这一情况。</w:t>
      </w:r>
    </w:p>
    <w:bookmarkEnd w:id="47"/>
    <w:p>
      <w:pPr>
        <w:spacing w:line="360" w:lineRule="auto"/>
        <w:ind w:firstLine="310" w:firstLineChars="147"/>
        <w:jc w:val="left"/>
        <w:rPr>
          <w:rFonts w:hint="eastAsia" w:ascii="宋体" w:hAnsi="宋体"/>
          <w:b/>
          <w:color w:val="000000"/>
          <w:szCs w:val="21"/>
        </w:rPr>
      </w:pPr>
      <w:r>
        <w:rPr>
          <w:rFonts w:hint="eastAsia" w:ascii="宋体" w:hAnsi="宋体"/>
          <w:b/>
          <w:color w:val="000000"/>
          <w:szCs w:val="21"/>
        </w:rPr>
        <w:t xml:space="preserve"> </w:t>
      </w:r>
    </w:p>
    <w:p>
      <w:pPr>
        <w:spacing w:line="360" w:lineRule="auto"/>
        <w:ind w:firstLine="310" w:firstLineChars="147"/>
        <w:jc w:val="left"/>
        <w:outlineLvl w:val="1"/>
        <w:rPr>
          <w:rFonts w:hint="eastAsia" w:ascii="宋体" w:hAnsi="宋体"/>
          <w:b/>
          <w:color w:val="000000"/>
          <w:szCs w:val="21"/>
        </w:rPr>
      </w:pPr>
      <w:r>
        <w:rPr>
          <w:rFonts w:hint="eastAsia" w:ascii="宋体" w:hAnsi="宋体"/>
          <w:b/>
          <w:color w:val="000000"/>
          <w:szCs w:val="21"/>
        </w:rPr>
        <w:t>A分标：</w:t>
      </w:r>
    </w:p>
    <w:tbl>
      <w:tblPr>
        <w:tblStyle w:val="24"/>
        <w:tblpPr w:leftFromText="180" w:rightFromText="180" w:vertAnchor="text" w:horzAnchor="page" w:tblpX="1427" w:tblpY="384"/>
        <w:tblOverlap w:val="never"/>
        <w:tblW w:w="960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3"/>
        <w:gridCol w:w="966"/>
        <w:gridCol w:w="99"/>
        <w:gridCol w:w="6105"/>
        <w:gridCol w:w="783"/>
        <w:gridCol w:w="96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600" w:type="dxa"/>
            <w:gridSpan w:val="6"/>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b/>
                <w:color w:val="000000"/>
                <w:szCs w:val="21"/>
              </w:rPr>
            </w:pPr>
            <w:r>
              <w:rPr>
                <w:rFonts w:hint="eastAsia" w:ascii="宋体" w:hAnsi="宋体" w:cs="宋体"/>
                <w:b/>
                <w:color w:val="000000"/>
                <w:szCs w:val="21"/>
              </w:rPr>
              <w:t>一、项目要求及技术需求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宋体" w:hAnsi="宋体" w:cs="宋体"/>
                <w:b/>
                <w:color w:val="000000"/>
                <w:szCs w:val="21"/>
              </w:rPr>
            </w:pPr>
            <w:r>
              <w:rPr>
                <w:rFonts w:hint="eastAsia" w:ascii="宋体" w:hAnsi="宋体" w:cs="宋体"/>
                <w:color w:val="000000"/>
                <w:szCs w:val="21"/>
              </w:rPr>
              <w:t>序号</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宋体" w:hAnsi="宋体" w:cs="宋体"/>
                <w:b/>
                <w:color w:val="000000"/>
                <w:szCs w:val="21"/>
              </w:rPr>
            </w:pPr>
            <w:r>
              <w:rPr>
                <w:rFonts w:hint="eastAsia" w:ascii="宋体" w:hAnsi="宋体" w:cs="宋体"/>
                <w:color w:val="000000"/>
                <w:kern w:val="0"/>
                <w:szCs w:val="21"/>
              </w:rPr>
              <w:t>名称</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宋体" w:hAnsi="宋体" w:cs="宋体"/>
                <w:b/>
                <w:color w:val="000000"/>
                <w:szCs w:val="21"/>
              </w:rPr>
            </w:pPr>
            <w:r>
              <w:rPr>
                <w:rFonts w:hint="eastAsia" w:ascii="宋体" w:hAnsi="宋体" w:cs="宋体"/>
                <w:color w:val="000000"/>
                <w:kern w:val="0"/>
                <w:szCs w:val="21"/>
              </w:rPr>
              <w:t>参考型号规格或配置技术参数</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宋体" w:hAnsi="宋体" w:cs="宋体"/>
                <w:b/>
                <w:color w:val="000000"/>
                <w:szCs w:val="21"/>
              </w:rPr>
            </w:pPr>
            <w:r>
              <w:rPr>
                <w:rFonts w:hint="eastAsia" w:ascii="宋体" w:hAnsi="宋体" w:cs="宋体"/>
                <w:color w:val="000000"/>
                <w:kern w:val="0"/>
                <w:szCs w:val="21"/>
              </w:rPr>
              <w:t>单位</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宋体" w:hAnsi="宋体" w:cs="宋体"/>
                <w:b/>
                <w:color w:val="000000"/>
                <w:szCs w:val="21"/>
              </w:rPr>
            </w:pPr>
            <w:r>
              <w:rPr>
                <w:rFonts w:hint="eastAsia" w:ascii="宋体" w:hAnsi="宋体" w:cs="宋体"/>
                <w:color w:val="000000"/>
                <w:kern w:val="0"/>
                <w:szCs w:val="21"/>
              </w:rPr>
              <w:t>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rPr>
            </w:pPr>
            <w:r>
              <w:rPr>
                <w:rFonts w:hint="eastAsia" w:ascii="宋体" w:hAnsi="宋体" w:eastAsia="宋体" w:cs="宋体"/>
                <w:color w:val="000000"/>
                <w:szCs w:val="21"/>
                <w:lang w:val="en-US" w:eastAsia="zh-CN"/>
              </w:rPr>
              <w:t>1</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rPr>
            </w:pPr>
            <w:r>
              <w:rPr>
                <w:rFonts w:hint="eastAsia" w:ascii="宋体" w:hAnsi="宋体" w:eastAsia="宋体" w:cs="宋体"/>
                <w:color w:val="000000"/>
                <w:szCs w:val="21"/>
                <w:lang w:val="en-US" w:eastAsia="zh-CN"/>
              </w:rPr>
              <w:t>四角手杖</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1.手柄长度≧127mm；总宽度≧38mm；总高：740-965mm(允许误差±5cm)；</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2.最大静载荷≧100kg；</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3.采用轻质铝合金；</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4.架脚：配橡胶防滑脚垫；</w:t>
            </w:r>
          </w:p>
          <w:p>
            <w:pPr>
              <w:widowControl/>
              <w:spacing w:line="320" w:lineRule="exact"/>
              <w:jc w:val="left"/>
              <w:textAlignment w:val="center"/>
              <w:rPr>
                <w:rFonts w:hint="eastAsia" w:ascii="宋体" w:hAnsi="宋体" w:eastAsia="宋体" w:cs="宋体"/>
                <w:color w:val="000000"/>
                <w:szCs w:val="21"/>
              </w:rPr>
            </w:pPr>
            <w:r>
              <w:rPr>
                <w:rFonts w:hint="eastAsia" w:ascii="宋体" w:hAnsi="宋体" w:eastAsia="宋体" w:cs="宋体"/>
                <w:color w:val="000000"/>
                <w:szCs w:val="21"/>
                <w:lang w:val="en-US" w:eastAsia="zh-CN"/>
              </w:rPr>
              <w:t>5.特点：可折叠，方便携带。</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rPr>
            </w:pPr>
            <w:r>
              <w:rPr>
                <w:rFonts w:hint="eastAsia" w:ascii="宋体" w:hAnsi="宋体" w:eastAsia="宋体" w:cs="宋体"/>
                <w:color w:val="000000"/>
                <w:szCs w:val="21"/>
                <w:lang w:val="en-US" w:eastAsia="zh-CN"/>
              </w:rPr>
              <w:t>支</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rPr>
            </w:pPr>
            <w:r>
              <w:rPr>
                <w:rFonts w:hint="eastAsia" w:ascii="宋体" w:hAnsi="宋体" w:eastAsia="宋体" w:cs="宋体"/>
                <w:color w:val="000000"/>
                <w:szCs w:val="21"/>
                <w:lang w:val="en-US" w:eastAsia="zh-CN"/>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rPr>
            </w:pPr>
            <w:r>
              <w:rPr>
                <w:rFonts w:hint="eastAsia" w:ascii="宋体" w:hAnsi="宋体" w:eastAsia="宋体" w:cs="宋体"/>
                <w:color w:val="000000"/>
                <w:szCs w:val="21"/>
                <w:lang w:val="en-US" w:eastAsia="zh-CN"/>
              </w:rPr>
              <w:t>2</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rPr>
            </w:pPr>
            <w:r>
              <w:rPr>
                <w:rFonts w:hint="eastAsia" w:ascii="宋体" w:hAnsi="宋体" w:eastAsia="宋体" w:cs="宋体"/>
                <w:color w:val="000000"/>
                <w:szCs w:val="21"/>
                <w:lang w:val="en-US" w:eastAsia="zh-CN"/>
              </w:rPr>
              <w:t>单脚手杖</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1.手柄长度≧127mm；总宽度≧38mm；总高：700-930mm(允许误差±5cm)；</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2.最大静载荷≧100kg；</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3.采用轻质铝合金为主要材料；</w:t>
            </w:r>
          </w:p>
          <w:p>
            <w:pPr>
              <w:widowControl/>
              <w:spacing w:line="320" w:lineRule="exact"/>
              <w:jc w:val="left"/>
              <w:textAlignment w:val="center"/>
              <w:rPr>
                <w:rFonts w:hint="eastAsia" w:ascii="宋体" w:hAnsi="宋体" w:eastAsia="宋体" w:cs="宋体"/>
                <w:color w:val="000000"/>
                <w:szCs w:val="21"/>
              </w:rPr>
            </w:pPr>
            <w:r>
              <w:rPr>
                <w:rFonts w:hint="eastAsia" w:ascii="宋体" w:hAnsi="宋体" w:eastAsia="宋体" w:cs="宋体"/>
                <w:color w:val="000000"/>
                <w:szCs w:val="21"/>
                <w:lang w:val="en-US" w:eastAsia="zh-CN"/>
              </w:rPr>
              <w:t>4.架脚：高度可调节，配橡胶防滑脚垫。</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rPr>
            </w:pPr>
            <w:r>
              <w:rPr>
                <w:rFonts w:hint="eastAsia" w:ascii="宋体" w:hAnsi="宋体" w:eastAsia="宋体" w:cs="宋体"/>
                <w:color w:val="000000"/>
                <w:szCs w:val="21"/>
                <w:lang w:val="en-US" w:eastAsia="zh-CN"/>
              </w:rPr>
              <w:t>支</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rPr>
            </w:pPr>
            <w:r>
              <w:rPr>
                <w:rFonts w:hint="eastAsia" w:ascii="宋体" w:hAnsi="宋体" w:eastAsia="宋体" w:cs="宋体"/>
                <w:color w:val="000000"/>
                <w:szCs w:val="21"/>
                <w:lang w:val="en-US" w:eastAsia="zh-CN"/>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rPr>
            </w:pPr>
            <w:r>
              <w:rPr>
                <w:rFonts w:hint="eastAsia" w:ascii="宋体" w:hAnsi="宋体" w:eastAsia="宋体" w:cs="宋体"/>
                <w:color w:val="000000"/>
                <w:szCs w:val="21"/>
                <w:lang w:val="en-US" w:eastAsia="zh-CN"/>
              </w:rPr>
              <w:t>3</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rPr>
            </w:pPr>
            <w:r>
              <w:rPr>
                <w:rFonts w:hint="eastAsia" w:ascii="宋体" w:hAnsi="宋体" w:eastAsia="宋体" w:cs="宋体"/>
                <w:color w:val="000000"/>
                <w:szCs w:val="21"/>
                <w:lang w:val="en-US" w:eastAsia="zh-CN"/>
              </w:rPr>
              <w:t>三脚手杖（带坐）</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1.产品尺寸：47×30×83cm总高：700-930mm(允许误差±5cm)；</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2.最大载荷≧100kg；</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3.主架：采用铝合金材质，表面亮面处理；</w:t>
            </w:r>
          </w:p>
          <w:p>
            <w:pPr>
              <w:widowControl/>
              <w:spacing w:line="320" w:lineRule="exact"/>
              <w:jc w:val="left"/>
              <w:textAlignment w:val="center"/>
              <w:rPr>
                <w:rFonts w:hint="eastAsia" w:ascii="宋体" w:hAnsi="宋体" w:eastAsia="宋体" w:cs="宋体"/>
                <w:color w:val="000000"/>
                <w:szCs w:val="21"/>
              </w:rPr>
            </w:pPr>
            <w:r>
              <w:rPr>
                <w:rFonts w:hint="eastAsia" w:ascii="宋体" w:hAnsi="宋体" w:eastAsia="宋体" w:cs="宋体"/>
                <w:color w:val="000000"/>
                <w:szCs w:val="21"/>
                <w:lang w:val="en-US" w:eastAsia="zh-CN"/>
              </w:rPr>
              <w:t>4.脚垫：三脚着地，配橡胶防滑脚垫，安全可靠。</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rPr>
            </w:pPr>
            <w:r>
              <w:rPr>
                <w:rFonts w:hint="eastAsia" w:ascii="宋体" w:hAnsi="宋体" w:eastAsia="宋体" w:cs="宋体"/>
                <w:color w:val="000000"/>
                <w:szCs w:val="21"/>
                <w:lang w:val="en-US" w:eastAsia="zh-CN"/>
              </w:rPr>
              <w:t>支</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rPr>
            </w:pPr>
            <w:r>
              <w:rPr>
                <w:rFonts w:hint="eastAsia" w:ascii="宋体" w:hAnsi="宋体" w:eastAsia="宋体" w:cs="宋体"/>
                <w:color w:val="000000"/>
                <w:szCs w:val="21"/>
                <w:lang w:val="en-US" w:eastAsia="zh-CN"/>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4</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肘杖（成人、铝合金可调）</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1.手柄长度：100-120mm(允许误差±5mm)；</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2.产品尺寸：135×105×870-1175mm(允许误差±5cm)，稳定性佳；</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3.肘拐杖向内稳定性能不小于1.5度，向外稳定性能不小于4.0度。</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支</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5</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肘杖（儿童、铝合金可调）</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1.尺寸：总长14cm、总宽10cm、总高78～104cm；(允许误差±5cm).</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2.肘托手柄：采用人体工程学设计理念，使用高强度工程塑胶材料模压密合而成，舒适耐用；</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3.支脚：采用轻质铝合金为主要材料，管料规格：直径≧19mm，壁厚≧1.2mm；表面亮面处理；</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4.性能：高度可调；配耐磨橡胶防滑脚垫，着地性能好，稳定性佳。</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支</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6</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腋杖（成人、铝合金可调）</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1.主体采用铝合金管；</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2.管材表面为阳极氧化处理；</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 xml:space="preserve">3.高度可调节，调节范围在116-137cm(允许误差±5cm),腋托最小长度为19.5cm,腋托中心宽度为3.0cm,手柄最小直径为35mm，腋托最高点与基准线间垂直距离为20mm，手柄间高度可调，支脚底部直径≧35mm，底部（出去凹槽或凸起）厚度≧10mm,配高档橡胶防滑、耐磨脚垫，内有金属垫片。      </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幅</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7</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腋杖（成人、钢质可调）</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1.主架：表面抛光处理，高度可调；</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2.架脚：采用不锈钢为主要材料，表面抛光处理，管料规格为：直径≧22mm，厚度≧0.95mm；</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3.高度可调，配耐用橡胶防滑支脚垫，着地性能好，稳定性佳，摩擦系数高；</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4.腋托：采用橡胶为主要材料，防滑、弹性佳，舒适耐用；</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5.总长≧203mm(允许误差±5mm);</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6.总宽≦43mm(允许误差±5mm);</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7.总高1140-1330mm(允许误差±5cm);</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8.手柄长度100mm(允许误差±5mm);</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9.最大静载荷≧100kg。</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幅</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8</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腋杖（儿童、铝合金可调）</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最大静载荷≧100kg；2.主架：采用轻质铝合金为主要材料，表面氧化处理；3.支脚：高度可调，配耐用橡胶防滑脚垫，有弹性，着地性能好，稳定性佳；4.手把：采用高密度泡沫塑料，防滑、舒适；5.腋托套：采用高密度泡沫塑料，防滑、舒适。</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幅</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9</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助行器（成人、升降折叠两轮）</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1.总长≧620mm，总宽≧500mm，总高：780-940mm(允许误差±5cm);</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2.最大静载荷≧100kg；</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3.铝合金材料，表面氧化处理，可折叠；</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4.5寸PP+PVC前轮。</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台</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10</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助行器（成人、升降折叠扭动式）</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1.总长≧570mm(允许误差±5cm);，总宽≧490mm(允许误差±5cm);，总高：760-940mm(允许误差±5cm);，手柄长度≧100mm(允许误差±5mm);，最大宽度≧490mm(允许误差±5cm);最大回转直径≧725mm(允许误差±5cm);；</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2.最大静载荷≧100kg；</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3.铝合金材料，表面氧化处理，可折叠。</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台</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11</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助行器（成人、阶梯式）</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1.符合GB/T14728.1-2006《框式助行架》国家标准；</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2.主架：选用高强度铝合金为主要材料，管料规格：直径≧25mm，厚度≧1.2mm；主架表面采用氧化处理；</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3.架脚：选用高强度铝合金为主要材料，管料规格：直径≧28mm，厚度≧1.2mm；主架表面采用氧化处理；</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4.把手：高低两组把手，采用高密度泡沫塑料，防滑、舒适；</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5.性能：手撑步进式可折叠，采用阶梯式结构，带辅助坐姿与站姿转换的功能。高度可调，脚管高度可调节，适合1.55m～1.80m人群使用；配耐用优质橡胶防滑脚垫，有弹性着地性能好，稳定性佳，表面摩擦系数高；</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6.总长≧60cm(允许误差±5cm)；</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7.总宽≧48cm(允许误差±5cm)；</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8.总高82～100cm(允许误差±5cm)；</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9.上扶手宽≧48cm(允许误差±5cm)；</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10.下扶手宽≧50cm(允许误差±5cm)；</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11.折叠宽度≦12cm；12.最大载荷≧100kg。</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台</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12</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助行器（儿童、升降四轮）</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主架选用高强度铝合金焊接而成，表面彩色喷漆处理，管直径≥25mm，壁厚≥1.2mm，可折叠主架；2.四脚配有伸缩管，高度可调节；3.把手采用彩色发泡防滑手把，防滑、舒适不易脱手；4.前后脚均配有优质脚轮，表面摩擦系数高，防滑性能好；后脚轮配有单向轴承，具有单向行驶功能；5.技术参数：尺寸690×560×500m-580mm，误差±5%；折叠宽度≦200mm；最大载重≥100kg。</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台</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400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13</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移位机（手动）</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1.总长71CM(允许误差±5cm)2.总宽60CM(允许误差±5cm)3.总高79～99cm(允许误差±5cm)4.座位宽度46CM(允许误差±5m)5.座位深度40CM(允许误差±5cm)6.座位离地面高度37～57cm(允许误差±5cm)7.靠背高度37.5CM(允许误差±5cm)</w:t>
            </w:r>
          </w:p>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8.前轮直径5英寸</w:t>
            </w:r>
          </w:p>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9.后轮直径3英寸</w:t>
            </w:r>
          </w:p>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10.车架材质/管径：A3钢方管和圆管</w:t>
            </w:r>
          </w:p>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11.单摇连动，同步带传动</w:t>
            </w:r>
          </w:p>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12.整体：整车采用高强度A3钢管,底架方管80*40*T1.5mm,升降方管50*50*T2.0mm，座垫圆管25*25*T1.5mm，快拆式后脚轮。表面采用喷涂处理，具有抗老化/氧化的特质</w:t>
            </w:r>
          </w:p>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13.脚踏板：可翻式一片防滑脚踏板，ABS材质，规格为350*155*30mm</w:t>
            </w:r>
          </w:p>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14.座垫：采用高强度PVC+防滑底压合防水布车缝成型，规格500*420*50mm</w:t>
            </w:r>
          </w:p>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15.靠背：吹塑塑料人体工程学两片式靠背，可快拆结构，固定安全处双保险（1.汽车试安全带结构，2.门把手加回力弹簧结构）均为免工具安装和拆卸，靠背规格：高375mm、宽460mm</w:t>
            </w:r>
          </w:p>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16.四轮：前置定向带刹耐磨静音轮胎，规格：直径125mm，操作者轻松刹车,后置万向带刹耐磨静音轮胎，规格：直径78mm</w:t>
            </w:r>
          </w:p>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17.手推管：背折式推把手，可配置快拆式餐板：可拆式弧形带杯座餐盘规格：630*320*T125mm(允许误差±5cm)</w:t>
            </w:r>
          </w:p>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18.丝杆升降结构：内置丝杆结构承重2000N，行程200mm，，内置丝杆规格M18*486mm单牙，加双APS双摇把可折手柄，双摇连动式控制同步升降。</w:t>
            </w:r>
          </w:p>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便桶：弧形开口座板配可拆式便桶支撑架，规格：直径8mm钢丝支撑架，带盖便桶规格：口直径280mm、桶深160mm</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b w:val="0"/>
                <w:bCs w:val="0"/>
                <w:color w:val="auto"/>
                <w:szCs w:val="21"/>
                <w:highlight w:val="none"/>
                <w:lang w:val="en-US" w:eastAsia="zh-CN"/>
              </w:rPr>
            </w:pPr>
            <w:r>
              <w:rPr>
                <w:rFonts w:hint="eastAsia" w:ascii="宋体" w:hAnsi="宋体" w:eastAsia="宋体" w:cs="宋体"/>
                <w:b w:val="0"/>
                <w:bCs w:val="0"/>
                <w:color w:val="auto"/>
                <w:szCs w:val="21"/>
                <w:highlight w:val="none"/>
                <w:lang w:val="en-US" w:eastAsia="zh-CN"/>
              </w:rPr>
              <w:t>台</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default" w:ascii="宋体" w:hAnsi="宋体" w:eastAsia="宋体" w:cs="宋体"/>
                <w:b w:val="0"/>
                <w:bCs w:val="0"/>
                <w:color w:val="auto"/>
                <w:szCs w:val="21"/>
                <w:highlight w:val="none"/>
                <w:lang w:val="en-US" w:eastAsia="zh-CN"/>
              </w:rPr>
            </w:pPr>
            <w:r>
              <w:rPr>
                <w:rFonts w:hint="eastAsia" w:ascii="宋体" w:hAnsi="宋体" w:cs="宋体"/>
                <w:b w:val="0"/>
                <w:bCs w:val="0"/>
                <w:color w:val="auto"/>
                <w:szCs w:val="21"/>
                <w:highlight w:val="none"/>
                <w:lang w:val="en-US" w:eastAsia="zh-CN"/>
              </w:rPr>
              <w:t>1800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14</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移位机（液压）</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1.总长77CM(允许误差±5cm)2.总宽59CM(允许误差±5cm)3.总高91-117CM(允许误差±5cm)4.座位宽度46CM(允许误差±5cm)5.座位深度40CM(允许误差±5cm)6.座位离地面高度44-70CM(允许误差±5cm)7.靠背高度37.5CM(允许误差±5cm)</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8.扶手离地高度70-96CM(允许误差±5cm)</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9.前轮直径5英寸</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10.后轮直径3英寸</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11.车架材质/管径：A3钢方管和圆管</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12.液压泵压力2000N</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13.整体：整车采用高强度A3钢管,底架方管80*40*T1.5mm,升降方管50*50*T2.0mm，座垫圆管25*25*T1.5mm，快拆式后脚轮。表面采用喷涂处理，具有抗老化/氧化的特质</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14.脚踏板：可翻式一片防滑脚踏板，ABS材质，规格为350*155*30mm</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15.座垫：采用高强度PVC+防滑底压合防水布车缝成型，规格500*420*50mm</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16.靠背：吹塑塑料人体工程学两片式靠背，可快拆结构，固定安全处双保险（1.汽车试安全带结构，2.门把手加回力弹簧结构）均为免工具安装和拆卸，靠背规格：高375mm、宽460mm</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17.四轮：前置定向带刹耐磨静音轮胎，规格：直径125mm，操作者轻松刹车,后置万向带刹耐磨静音轮胎，规格：直径78mm</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18.手推管：可折叠推把手，可配置快拆式餐板：可拆式弧形带杯座餐盘规格：630*320*T125mm(允许误差±5cm)</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19.升降结构：液压泵控制升降,配备下降、上升切换开关，免弯腰操作脚踏器,采用45＃钢12MM直径圆棒成形，座高可调节160mm至258mm,适合不同人群及不同移位高度。</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20.便桶：弧形开口座板配可拆式便桶支撑架，规格：直径8mm钢丝支撑架，带盖便桶规格：口直径280mm、桶深160mm</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 xml:space="preserve">21.整车免工具安装                                                                       </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台</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2300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15</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移位机（电动）</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1.总长:76cm(允许误差±5cm)</w:t>
            </w:r>
          </w:p>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2.总宽60cm(允许误差±5cm)</w:t>
            </w:r>
          </w:p>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3.总高88～108cm(允许误差±5cm)</w:t>
            </w:r>
          </w:p>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4.座位宽度46cm(允许误差±5cm)</w:t>
            </w:r>
          </w:p>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5.座位深度40cm(允许误差±5cm)</w:t>
            </w:r>
          </w:p>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6.座位离地面高度40～60cm(允许误差±5cm)</w:t>
            </w:r>
          </w:p>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7.靠背高度37cm(允许误差±5cm)</w:t>
            </w:r>
          </w:p>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8.前轮直径5英寸</w:t>
            </w:r>
          </w:p>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9.后轮直径3英寸</w:t>
            </w:r>
          </w:p>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10.车架材质/A3钢管</w:t>
            </w:r>
          </w:p>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11.整车防水、电机采用笔式防水推杆无刷电机2000N、整车可用淋浴</w:t>
            </w:r>
          </w:p>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12.整体：整车架采用高强度钢管，快拆式后脚轮。表面采用静电粉末喷涂处理，具有抗老化/防锈、防水的特质。</w:t>
            </w:r>
          </w:p>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13.脚踏板：一片防滑脚踏板,ABS材质，规格为：350*155*30mm</w:t>
            </w:r>
          </w:p>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14.座垫：采用高强度PVC+防滑底压合防水布车缝成型，规格：500*420*50mm。</w:t>
            </w:r>
          </w:p>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15.靠背：吹塑塑料人体工程学两片式靠背，可快拆结构，固定安全处双保险（1.汽车式安全带结构，2.门把手加回力弹簧结构）免工具安装和拆卸，靠背规格：高375mm、宽460mm</w:t>
            </w:r>
          </w:p>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16.四轮：前置定向带刹耐磨静音轮胎，规格：5英寸，操作者轻松刹车,后置万向带刹耐磨静音轮胎，规格：3英寸</w:t>
            </w:r>
          </w:p>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17.手推管：可折叠推把手，可配置快拆式吹塑餐桌板：可拆式弧形带杯座餐盘规格：550*340*20mm</w:t>
            </w:r>
          </w:p>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18.电动升降结构：内置笔式防水推杆无刷电机2000N，电压24V DC,速度9.0mm/s,行程200mm，接头标准球头◎8孔，内置行程开关，电机防水等级IP68.内置24V DC/2.6AH锂电池</w:t>
            </w:r>
          </w:p>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19.控制方式：推杆电机内置双霍尔确保两边升降的同步性，带遥控器、整车自带操作物理按键。</w:t>
            </w:r>
          </w:p>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20、设置低压报警器，电量低时持续提醒使用者。</w:t>
            </w:r>
          </w:p>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21.便桶：弧形开口座板配可拆式便桶支撑架，规格：直径8mm钢丝支撑架，带盖便桶规格：口直径280mm、桶深160mm</w:t>
            </w:r>
          </w:p>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 xml:space="preserve">22.整车免工具安装。                                  </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台</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3400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16</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儿童多功能助行器</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1.总宽67CM，总长65CM(允许误差±5cm)；</w:t>
            </w:r>
          </w:p>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2.臂撑高度65~73CM胸撑高度60.5-72.5CM(允许误差±5cm)</w:t>
            </w:r>
          </w:p>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3.车体高度52.5-65CM(允许误差±5cm)</w:t>
            </w:r>
          </w:p>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4.车体净重14.5KG</w:t>
            </w:r>
          </w:p>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5.适合胸部40-77CM周长(允许误差±5cm)</w:t>
            </w:r>
          </w:p>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6.承重值35㎏</w:t>
            </w:r>
          </w:p>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7.铝合金主体结构，下主体采用∅38*2.0圆管，上主体采用40*26*2.0平圆管与∅36*2.0圆管，表面烤漆处理</w:t>
            </w:r>
          </w:p>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8.产品腿撑、臂撑、胸撑、餐桌板采用模组化设计,助行器主架可单独使用,也可后期选购配套部件组合使用</w:t>
            </w:r>
          </w:p>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9.5寸静音脚轮：可控制万向滑行与直线滑行，剎停，安全、省力</w:t>
            </w:r>
          </w:p>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10.腿撑提供保护及支撑力，可进行5档高度调节，宽度调节不小于160mm</w:t>
            </w:r>
          </w:p>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11.臂撑采用PU整体成型，提供支撑力，可进行高度，深度及角度调节（内八或外八）</w:t>
            </w:r>
          </w:p>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12.胸撑采用透气海绵设计，厚达3cm，贴身保护儿童，提供必要支撑力</w:t>
            </w:r>
          </w:p>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13.独有的踝撑设计，可有效控制剪刀腿现象，可调节步伐长短</w:t>
            </w:r>
          </w:p>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14.枕头可进行高度、前后，角度调节。最小调节高度≥180mm，前后最小调节深度≥60mm</w:t>
            </w:r>
          </w:p>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15.产品选购部件实现了快速拆卸，免工具安装</w:t>
            </w:r>
          </w:p>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16.主体车架可以折叠，便于搬运</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台</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6000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17</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座便椅（成人、铝合金高度可调节）</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spacing w:line="320" w:lineRule="exact"/>
              <w:jc w:val="left"/>
              <w:textAlignment w:val="center"/>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车架材质铝合金，管径22mm,厚度1.2mm。表面阳极氧化处理，可折叠结构。</w:t>
            </w:r>
            <w:r>
              <w:rPr>
                <w:rFonts w:hint="eastAsia" w:ascii="宋体" w:hAnsi="宋体" w:eastAsia="宋体" w:cs="宋体"/>
                <w:color w:val="000000"/>
                <w:szCs w:val="21"/>
                <w:highlight w:val="none"/>
                <w:lang w:val="en-US" w:eastAsia="zh-CN"/>
              </w:rPr>
              <w:br w:type="textWrapping"/>
            </w:r>
            <w:r>
              <w:rPr>
                <w:rFonts w:hint="eastAsia" w:ascii="宋体" w:hAnsi="宋体" w:eastAsia="宋体" w:cs="宋体"/>
                <w:color w:val="000000"/>
                <w:szCs w:val="21"/>
                <w:highlight w:val="none"/>
                <w:lang w:val="en-US" w:eastAsia="zh-CN"/>
              </w:rPr>
              <w:t xml:space="preserve">2、车架四脚配有伸缩管，可供使用者随意调节适用高度。                         3、四脚套有耐磨防滑胶脚。                              </w:t>
            </w:r>
          </w:p>
          <w:p>
            <w:pPr>
              <w:widowControl/>
              <w:numPr>
                <w:ilvl w:val="0"/>
                <w:numId w:val="0"/>
              </w:numPr>
              <w:spacing w:line="320" w:lineRule="exact"/>
              <w:jc w:val="left"/>
              <w:textAlignment w:val="center"/>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4、厕桶和马桶采用环保工程塑料材料，具有防水、容易清洁功能。</w:t>
            </w:r>
            <w:r>
              <w:rPr>
                <w:rFonts w:hint="eastAsia" w:ascii="宋体" w:hAnsi="宋体" w:eastAsia="宋体" w:cs="宋体"/>
                <w:color w:val="000000"/>
                <w:szCs w:val="21"/>
                <w:highlight w:val="none"/>
                <w:lang w:val="en-US" w:eastAsia="zh-CN"/>
              </w:rPr>
              <w:br w:type="textWrapping"/>
            </w:r>
            <w:r>
              <w:rPr>
                <w:rFonts w:hint="eastAsia" w:ascii="宋体" w:hAnsi="宋体" w:eastAsia="宋体" w:cs="宋体"/>
                <w:color w:val="000000"/>
                <w:szCs w:val="21"/>
                <w:highlight w:val="none"/>
                <w:lang w:val="en-US" w:eastAsia="zh-CN"/>
              </w:rPr>
              <w:t>5、桶托与厕桶配合顺畅，方便使用者灵活安装和抽出厕桶。                                                                                                                      6 、可折叠车架，可拆坐便桶，节省占用空间。                                                     7、规格：总长54.5CM，总宽54CM，调度高度77-87CM，座位宽度44CM，座位深度40CM座位，离地面高度45-55CM，靠背高度30CM,扶手壳长度270mm。（允许误差±5mm）                                                             8、净重量4.3kg。                                                     9、载重≥100kg。</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张</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default" w:ascii="宋体" w:hAnsi="宋体" w:eastAsia="宋体" w:cs="宋体"/>
                <w:color w:val="000000"/>
                <w:szCs w:val="21"/>
                <w:highlight w:val="none"/>
                <w:lang w:val="en-US" w:eastAsia="zh-CN"/>
              </w:rPr>
            </w:pPr>
            <w:r>
              <w:rPr>
                <w:rFonts w:hint="eastAsia" w:ascii="宋体" w:hAnsi="宋体" w:cs="宋体"/>
                <w:color w:val="000000"/>
                <w:szCs w:val="21"/>
                <w:highlight w:val="none"/>
                <w:lang w:val="en-US" w:eastAsia="zh-CN"/>
              </w:rPr>
              <w:t>220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18</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座便椅（成人、钢质折叠高度可调节）</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1、材质A3钢，钢管直径22mm、壁厚1.2mm。表面采用静电喷涂处理。</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2、车架四脚配有伸缩管，可供使用者随意调节适用高度。</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3、四脚套有耐磨防滑胶脚。</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4、厕桶和马桶采用环保工程塑料材料，具有防水、容易清洁功能。</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5、桶托与厕桶配合顺畅，方便使用者灵活安装和抽出厕桶。</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6、可折叠，可旋后扶手架。</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7、规格：总长53CM，总宽45C，调度高度78-88CM，座位宽度43CM，座位深度40CM，座位离地面高度45-55CM，靠背高度30CM。（允许误差±5cm）</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8、净重量6.6kg。</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9、载重≥100kg。</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张</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2</w:t>
            </w:r>
            <w:r>
              <w:rPr>
                <w:rFonts w:hint="eastAsia" w:ascii="宋体" w:hAnsi="宋体" w:cs="宋体"/>
                <w:color w:val="000000"/>
                <w:szCs w:val="21"/>
                <w:lang w:val="en-US" w:eastAsia="zh-CN"/>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19</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座便椅（成人、钢管带轮高度可调节）</w:t>
            </w:r>
          </w:p>
        </w:tc>
        <w:tc>
          <w:tcPr>
            <w:tcW w:w="610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1、材质A3钢，钢管直径22mm、壁厚1.2mm，净重量7.5kg。表面采用静电喷涂处理，具有抗老化、防锈强、附着强的特质。</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2、车架四脚配有伸缩管，可供使用者随意调节适用高度。</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3、四脚管配3寸脚轮，方便移动。后轮带刹车装置，稳定性佳。</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4、厕桶和马桶采用环保工程塑料材料，具有防水、容易清洁功能。</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5、桶托与厕桶配合顺畅，方便使用者灵活安装和抽出厕桶</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6、可折叠，可旋后扶手架。</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7、规格：总长53cm，总宽45cm，调度高度77-87cm，座位宽度43CM，座位深度40cm，座位离地面高度45-55cm，靠背高度30cm。（允许误差±5cm）</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8、净重量7.5kg。</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9、载重≥100kg。</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张</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2</w:t>
            </w:r>
            <w:r>
              <w:rPr>
                <w:rFonts w:hint="eastAsia" w:ascii="宋体" w:hAnsi="宋体" w:cs="宋体"/>
                <w:color w:val="000000"/>
                <w:szCs w:val="21"/>
                <w:lang w:val="en-US" w:eastAsia="zh-CN"/>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20</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座便椅（儿童）</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1、车架材质A3钢，管径22mm，厚度1.2mm。可折叠结构。</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2、车架四脚配有伸缩管，可供使用者随意调节适用高度。</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3、四脚套有耐磨防滑胶脚，让使用者用得放心。</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4、厕桶和马桶采用环保工程塑料材料，具有防水、容易清洁功能。</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5、桶托与厕桶配合顺畅，方便使用者灵活安装和抽出厕桶。</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6、扶手可后翻设计更符合人体手部摆放要求。</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7、可拆装靠背，可拆坐便桶，节省占用空间。</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8、规格：总长42CM，总宽43CM，可调节总高度51-58.5CM，座位宽度35CM，座位深度37CM，座位离地面高度29-36.5CM，靠背高度23CM（允许误差±2cm）</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9、净重量4.9kg</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 xml:space="preserve">10、载重≥100kg                    </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张</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2</w:t>
            </w:r>
            <w:r>
              <w:rPr>
                <w:rFonts w:hint="eastAsia" w:ascii="宋体" w:hAnsi="宋体" w:cs="宋体"/>
                <w:color w:val="000000"/>
                <w:szCs w:val="21"/>
                <w:lang w:val="en-US" w:eastAsia="zh-CN"/>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21</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洗浴椅/凳（椅）</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1、车架选用铝合金，管直径≥25mm,管厚≥1.2mm.。</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2、脚管采用高强度铝合金材料，管直径≥28mm,管厚≥1.2mm。高度5档可调节。四脚都套有特制喇叭型耐磨防滑胶脚。</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3、表面阳极氧化处理，具有抗老化、永不生锈的特质。</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4、PE中空吹塑成形高强度环保工程塑料，表面具有防滑功能，且容易清洗。座板有漏水孔。总长41CM，总宽54CM，总高57-67CM，，扶手宽48CM，座位宽度40CM，座位深度33CM，座位离地面高度37-47CM（允许误差±5cm）</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5、扶手采用可快速拆卸结构，配高密度泡棉握把，手感舒适，耐用，防滑性能好。</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6、净重量2.4kg。</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7、最大载荷≥100kg.</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张</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22</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洗浴椅/凳（带靠背椅）</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1、车架选用铝合金，管直径≥25mm,管厚≥1.2mm.</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2、脚管采用高强度铝合金材料，管直径≥28mm,管厚≥1.2mm。高度5档可调节。四脚都套有特制喇叭型耐磨防滑胶脚。</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3、表面阳极氧化处理，具有抗老化、永不生锈的特质。</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4、PE中空吹塑成形高强度环保工程塑料，表面具有防滑功能，且容易清洗。座板有漏水孔。总长51CM，总宽50CM，总高75-89CM，座位宽度50CM，座位深度30CM，座位离地面高度38-53CM（允许误差±5cm）</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5、靠背采用可快速拆卸结构，深度可调节。</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6、净重量2.4kg。</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7、最大载荷≥100kg.</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张</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3</w:t>
            </w:r>
            <w:r>
              <w:rPr>
                <w:rFonts w:hint="eastAsia" w:ascii="宋体" w:hAnsi="宋体" w:cs="宋体"/>
                <w:color w:val="000000"/>
                <w:szCs w:val="21"/>
                <w:lang w:val="en-US" w:eastAsia="zh-CN"/>
              </w:rPr>
              <w:t>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23</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洗浴椅/凳（四轮椅）</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1.主架/靠背：采用轻质铝合金为主要材料，靠背可拆；2.座板/扶手：采用HD-PE工程塑料，扶手可旋后；3.脚踏：采用轻质铝合金为主要材料；4.椅脚：4寸前轮万向带刹功能，后轮6寸；5.最大载荷≧100kg。</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张</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3</w:t>
            </w:r>
            <w:r>
              <w:rPr>
                <w:rFonts w:hint="eastAsia" w:ascii="宋体" w:hAnsi="宋体" w:cs="宋体"/>
                <w:color w:val="000000"/>
                <w:szCs w:val="21"/>
                <w:lang w:val="en-US" w:eastAsia="zh-CN"/>
              </w:rPr>
              <w:t>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24</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洗浴椅/凳（凳）</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1、车架选用铝合金，管直径≥25mm,管厚≥1.2mm.</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2、脚管采用高强度铝合金材料，管直径≥28mm,管厚≥1.2mm。高度5档可调节。四脚都套有特制喇叭型耐磨防滑胶脚。</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3、表面阳极氧化处理，具有抗老化、永不生锈的特质。</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4、PE中空吹塑成形高强度环保工程塑料，表面具有防滑功能，且容易清洗。座板有漏水孔。总长51CM，总宽50CM，总高75-89CM，座位宽度50CM，座位深度30CM，座位离地面高度38-53CM（允许误差±5cm）</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5、净重量2.4kg。</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6、最大载荷≥100kg.</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张</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25</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多功能护理床（双摇翻身）</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1.床体采用冷轧钢材焊接而成，经二度磷化后静电喷涂，抗老化；                                                                                        2.可安全承重175KG，总负载240KG以上。</w:t>
            </w:r>
            <w:r>
              <w:rPr>
                <w:rFonts w:hint="eastAsia" w:ascii="宋体" w:hAnsi="宋体" w:eastAsia="宋体" w:cs="宋体"/>
                <w:color w:val="000000"/>
                <w:szCs w:val="21"/>
                <w:lang w:val="en-US" w:eastAsia="zh-CN"/>
              </w:rPr>
              <w:br w:type="textWrapping"/>
            </w:r>
            <w:r>
              <w:rPr>
                <w:rFonts w:hint="eastAsia" w:ascii="宋体" w:hAnsi="宋体" w:eastAsia="宋体" w:cs="宋体"/>
                <w:color w:val="000000"/>
                <w:szCs w:val="21"/>
                <w:lang w:val="en-US" w:eastAsia="zh-CN"/>
              </w:rPr>
              <w:t>3.床头、尾板采用PE高级工程塑料，外形美观，装卸自如，可靠耐用。</w:t>
            </w:r>
            <w:r>
              <w:rPr>
                <w:rFonts w:hint="eastAsia" w:ascii="宋体" w:hAnsi="宋体" w:eastAsia="宋体" w:cs="宋体"/>
                <w:color w:val="000000"/>
                <w:szCs w:val="21"/>
                <w:lang w:val="en-US" w:eastAsia="zh-CN"/>
              </w:rPr>
              <w:br w:type="textWrapping"/>
            </w:r>
            <w:r>
              <w:rPr>
                <w:rFonts w:hint="eastAsia" w:ascii="宋体" w:hAnsi="宋体" w:eastAsia="宋体" w:cs="宋体"/>
                <w:color w:val="000000"/>
                <w:szCs w:val="21"/>
                <w:lang w:val="en-US" w:eastAsia="zh-CN"/>
              </w:rPr>
              <w:t>4.摇手柄转动灵活，并有两极空转限制装置。</w:t>
            </w:r>
            <w:r>
              <w:rPr>
                <w:rFonts w:hint="eastAsia" w:ascii="宋体" w:hAnsi="宋体" w:eastAsia="宋体" w:cs="宋体"/>
                <w:color w:val="000000"/>
                <w:szCs w:val="21"/>
                <w:lang w:val="en-US" w:eastAsia="zh-CN"/>
              </w:rPr>
              <w:br w:type="textWrapping"/>
            </w:r>
            <w:r>
              <w:rPr>
                <w:rFonts w:hint="eastAsia" w:ascii="宋体" w:hAnsi="宋体" w:eastAsia="宋体" w:cs="宋体"/>
                <w:color w:val="000000"/>
                <w:szCs w:val="21"/>
                <w:lang w:val="en-US" w:eastAsia="zh-CN"/>
              </w:rPr>
              <w:t>5.四个高强度、高抗磨万向脚轮，对角制动。</w:t>
            </w:r>
            <w:r>
              <w:rPr>
                <w:rFonts w:hint="eastAsia" w:ascii="宋体" w:hAnsi="宋体" w:eastAsia="宋体" w:cs="宋体"/>
                <w:color w:val="000000"/>
                <w:szCs w:val="21"/>
                <w:lang w:val="en-US" w:eastAsia="zh-CN"/>
              </w:rPr>
              <w:br w:type="textWrapping"/>
            </w:r>
            <w:r>
              <w:rPr>
                <w:rFonts w:hint="eastAsia" w:ascii="宋体" w:hAnsi="宋体" w:eastAsia="宋体" w:cs="宋体"/>
                <w:color w:val="000000"/>
                <w:szCs w:val="21"/>
                <w:lang w:val="en-US" w:eastAsia="zh-CN"/>
              </w:rPr>
              <w:t>6.配铝合金护栏，不锈钢可调输液杆。选配床垫、餐板。</w:t>
            </w:r>
            <w:r>
              <w:rPr>
                <w:rFonts w:hint="eastAsia" w:ascii="宋体" w:hAnsi="宋体" w:eastAsia="宋体" w:cs="宋体"/>
                <w:color w:val="000000"/>
                <w:szCs w:val="21"/>
                <w:lang w:val="en-US" w:eastAsia="zh-CN"/>
              </w:rPr>
              <w:br w:type="textWrapping"/>
            </w:r>
            <w:r>
              <w:rPr>
                <w:rFonts w:hint="eastAsia" w:ascii="宋体" w:hAnsi="宋体" w:eastAsia="宋体" w:cs="宋体"/>
                <w:color w:val="000000"/>
                <w:szCs w:val="21"/>
                <w:lang w:val="en-US" w:eastAsia="zh-CN"/>
              </w:rPr>
              <w:t>7.腿部上升40°，背部上升75°；规格：2120*1000*500mm，包装尺寸：2285*1000*280mm。</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张</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26</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多功能护理床（ABS双摇）</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 xml:space="preserve">1.床架采用高强度方型30*60mm钢管焊接而成，壁厚1.2mm，具有强度高且耐用、牢固等特性。床板采用0.9mm钢板一次冲压成型，强度高，带透气孔。表面处理采用静电喷涂，具有抗老化、防锈强、附着强的特质。                                                             2,可折叠铝合金护栏采用专用铝型材料,表面硬化处理。六支                       铝合金护栏支柱，耐磨，不易变形。单触点式手柄操作，升降灵活安全。                                                          3，PP床头床尾板采用一次吹塑成型，床头锁紧件全部采用钢件，对称式快速挂座，可快速拆卸。                                      4， 手摇丝杆采用45#钢挤压成型，丝杆外表光滑。摇杆采用万向联轴节结构，使用双向过摇，打滑保护装置，安全可靠，使用轻松无噪音。摇手采用工程塑料，外观美观，强度高不易断裂。                                                           5，配四个5“高强度静音脚轮，对角刹车。                                                                6, 背板可调节，调节范围0-71°。腿板可调节，调节范围0-11°。                                                           7，病床外尺寸2150*970*510mm，净重65公斤。                        8，床体承重：170kg。 </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张</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2800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27</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床护栏杆</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1、材质：铝合金横杆、不锈钢立柱、加厚铁制方管底杆；                                                         2、规格：展开长146×38cm、折叠长180×13cm，高35cm，（允许误差±5mm） 六档折叠式；                                                           3、产品特点：安装简单，通用性强，90度一键折叠，上下床方便安全，折叠锁死键内置高强度弹簧，圆滑处理不伤手，不夹手。</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件</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400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28</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床护扶手</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 xml:space="preserve">1、底座选择用A3扁管弯管而成，壁厚为1.2mm。扶手采用A3圆管，壁厚为1.2mm.表面采用电镀处理，具有防锈能力强、安全性能高、坚固耐用等特点。                                       </w:t>
            </w:r>
            <w:r>
              <w:rPr>
                <w:rFonts w:hint="eastAsia" w:ascii="宋体" w:hAnsi="宋体" w:eastAsia="宋体" w:cs="宋体"/>
                <w:color w:val="000000"/>
                <w:szCs w:val="21"/>
                <w:lang w:val="en-US" w:eastAsia="zh-CN"/>
              </w:rPr>
              <w:br w:type="textWrapping"/>
            </w:r>
            <w:r>
              <w:rPr>
                <w:rFonts w:hint="eastAsia" w:ascii="宋体" w:hAnsi="宋体" w:eastAsia="宋体" w:cs="宋体"/>
                <w:color w:val="000000"/>
                <w:szCs w:val="21"/>
                <w:lang w:val="en-US" w:eastAsia="zh-CN"/>
              </w:rPr>
              <w:t>2、固定在床边，能有效防止老人因翻身摔落床下。</w:t>
            </w:r>
            <w:r>
              <w:rPr>
                <w:rFonts w:hint="eastAsia" w:ascii="宋体" w:hAnsi="宋体" w:eastAsia="宋体" w:cs="宋体"/>
                <w:color w:val="000000"/>
                <w:szCs w:val="21"/>
                <w:lang w:val="en-US" w:eastAsia="zh-CN"/>
              </w:rPr>
              <w:br w:type="textWrapping"/>
            </w:r>
            <w:r>
              <w:rPr>
                <w:rFonts w:hint="eastAsia" w:ascii="宋体" w:hAnsi="宋体" w:eastAsia="宋体" w:cs="宋体"/>
                <w:color w:val="000000"/>
                <w:szCs w:val="21"/>
                <w:lang w:val="en-US" w:eastAsia="zh-CN"/>
              </w:rPr>
              <w:t>3、PU黑色海绵扶手，握把软垫设计，防滑不冰手，方便老人助力起身。</w:t>
            </w:r>
            <w:r>
              <w:rPr>
                <w:rFonts w:hint="eastAsia" w:ascii="宋体" w:hAnsi="宋体" w:eastAsia="宋体" w:cs="宋体"/>
                <w:color w:val="000000"/>
                <w:szCs w:val="21"/>
                <w:lang w:val="en-US" w:eastAsia="zh-CN"/>
              </w:rPr>
              <w:br w:type="textWrapping"/>
            </w:r>
            <w:r>
              <w:rPr>
                <w:rFonts w:hint="eastAsia" w:ascii="宋体" w:hAnsi="宋体" w:eastAsia="宋体" w:cs="宋体"/>
                <w:color w:val="000000"/>
                <w:szCs w:val="21"/>
                <w:lang w:val="en-US" w:eastAsia="zh-CN"/>
              </w:rPr>
              <w:t>4、可调节高度，用插销固定，快速安装拆卸，方便安全牢固。</w:t>
            </w:r>
            <w:r>
              <w:rPr>
                <w:rFonts w:hint="eastAsia" w:ascii="宋体" w:hAnsi="宋体" w:eastAsia="宋体" w:cs="宋体"/>
                <w:color w:val="000000"/>
                <w:szCs w:val="21"/>
                <w:lang w:val="en-US" w:eastAsia="zh-CN"/>
              </w:rPr>
              <w:br w:type="textWrapping"/>
            </w:r>
            <w:r>
              <w:rPr>
                <w:rFonts w:hint="eastAsia" w:ascii="宋体" w:hAnsi="宋体" w:eastAsia="宋体" w:cs="宋体"/>
                <w:color w:val="000000"/>
                <w:szCs w:val="21"/>
                <w:lang w:val="en-US" w:eastAsia="zh-CN"/>
              </w:rPr>
              <w:t>5、配备尼龙收纳袋，魔术贴设计拆卸方便，小物件收纳触手可及。</w:t>
            </w:r>
            <w:r>
              <w:rPr>
                <w:rFonts w:hint="eastAsia" w:ascii="宋体" w:hAnsi="宋体" w:eastAsia="宋体" w:cs="宋体"/>
                <w:color w:val="000000"/>
                <w:szCs w:val="21"/>
                <w:lang w:val="en-US" w:eastAsia="zh-CN"/>
              </w:rPr>
              <w:br w:type="textWrapping"/>
            </w:r>
            <w:r>
              <w:rPr>
                <w:rFonts w:hint="eastAsia" w:ascii="宋体" w:hAnsi="宋体" w:eastAsia="宋体" w:cs="宋体"/>
                <w:color w:val="000000"/>
                <w:szCs w:val="21"/>
                <w:lang w:val="en-US" w:eastAsia="zh-CN"/>
              </w:rPr>
              <w:t>6、不需要使用时，扶手可折叠，方便收纳。</w:t>
            </w:r>
            <w:r>
              <w:rPr>
                <w:rFonts w:hint="eastAsia" w:ascii="宋体" w:hAnsi="宋体" w:eastAsia="宋体" w:cs="宋体"/>
                <w:color w:val="000000"/>
                <w:szCs w:val="21"/>
                <w:lang w:val="en-US" w:eastAsia="zh-CN"/>
              </w:rPr>
              <w:br w:type="textWrapping"/>
            </w:r>
            <w:r>
              <w:rPr>
                <w:rFonts w:hint="eastAsia" w:ascii="宋体" w:hAnsi="宋体" w:eastAsia="宋体" w:cs="宋体"/>
                <w:color w:val="000000"/>
                <w:szCs w:val="21"/>
                <w:lang w:val="en-US" w:eastAsia="zh-CN"/>
              </w:rPr>
              <w:t>7、规格：总长66.5CM,总宽55.3CM,打开总高度49.3CM, 折叠总高3.2CM.（允许误差±5mm）</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件</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29</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轮椅桌</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1、主架：采用A3钢为主要材料，表面采用静电喷涂，具有抗老化、防锈强、附着强的特质。配4个耐用万向脚轮，后轮制动。</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2、餐板：采用木质为主要材料，表面贴防火材料，桌面高度可调节。</w:t>
            </w:r>
          </w:p>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 xml:space="preserve">3、规格：总长72cm,总宽40cm,总高75-119cm.桌面宽40cm,桌面长72cm,最大载荷20kg.    </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张</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400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30</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站立架（儿童）</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 xml:space="preserve">1.产品尺寸：长115cm、宽60cm、高83cm；前倾角度：0-40°、胸垫宽度22-32cm、臀垫宽度22-32cm、腿垫宽度22-32cm、餐板尺寸60*38cm、净重23kg；                                                                                                        2.主架：选用国家标准型A3方形钢焊接而成。                                                             3.胸垫/臀垫/腿垫：所有垫块均为模具发泡成形PU垫；                                                                      4.脚轮：配有直径80 mm （3英寸）带刹实心轮；                                                                                    5.脚踏板：优质木材表面清漆、高密度夹板。                                                                          6.性能：可根据患者的体型，将腿、臀以及胸部的垫块调整至合适的高度，还可根据患者腿部萎缩的不同角度进行定位调整。产品适合7岁以下、下肢瘫痪儿童，进行直立和前倾站立训练，防止肌肉萎缩，增强肌力；      </w:t>
            </w:r>
          </w:p>
        </w:tc>
        <w:tc>
          <w:tcPr>
            <w:tcW w:w="7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Cs w:val="21"/>
                <w:lang w:val="en-US" w:eastAsia="zh-CN"/>
              </w:rPr>
            </w:pPr>
            <w:r>
              <w:rPr>
                <w:rFonts w:hint="eastAsia" w:ascii="宋体" w:hAnsi="宋体" w:eastAsia="宋体" w:cs="宋体"/>
                <w:i w:val="0"/>
                <w:iCs w:val="0"/>
                <w:color w:val="000000"/>
                <w:kern w:val="0"/>
                <w:sz w:val="18"/>
                <w:szCs w:val="18"/>
                <w:u w:val="none"/>
                <w:lang w:val="en-US" w:eastAsia="zh-CN" w:bidi="ar"/>
              </w:rPr>
              <w:t>台</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Cs w:val="21"/>
                <w:lang w:val="en-US" w:eastAsia="zh-CN"/>
              </w:rPr>
            </w:pPr>
            <w:r>
              <w:rPr>
                <w:rFonts w:hint="eastAsia" w:ascii="宋体" w:hAnsi="宋体" w:eastAsia="宋体" w:cs="宋体"/>
                <w:i w:val="0"/>
                <w:iCs w:val="0"/>
                <w:color w:val="000000"/>
                <w:kern w:val="0"/>
                <w:sz w:val="18"/>
                <w:szCs w:val="18"/>
                <w:u w:val="none"/>
                <w:lang w:val="en-US" w:eastAsia="zh-CN" w:bidi="ar"/>
              </w:rPr>
              <w:t>1100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31</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站立架（成人）</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1、主架加厚钢管，带胸托；配有脚踏板，脚踏板6档角度调节进行腿部训练；长宽高：870mm*710mm*1020mm-1250mm,桌面高度可调，</w:t>
            </w:r>
            <w:r>
              <w:rPr>
                <w:rFonts w:hint="eastAsia" w:ascii="宋体" w:hAnsi="宋体" w:eastAsia="宋体" w:cs="宋体"/>
                <w:color w:val="000000"/>
                <w:szCs w:val="21"/>
                <w:lang w:val="en-US" w:eastAsia="zh-CN"/>
              </w:rPr>
              <w:br w:type="textWrapping"/>
            </w:r>
            <w:r>
              <w:rPr>
                <w:rFonts w:hint="eastAsia" w:ascii="宋体" w:hAnsi="宋体" w:eastAsia="宋体" w:cs="宋体"/>
                <w:color w:val="000000"/>
                <w:szCs w:val="21"/>
                <w:lang w:val="en-US" w:eastAsia="zh-CN"/>
              </w:rPr>
              <w:t>2、伸缩式全不锈钢加皮革面托板，作用防胸部前倾，背部有背托：杆式弧形固定托板，腿部双膝凹糟固定托板，臀下位置及大腿位置有约束带，小腿及脚踝部位有约束带，配可升降桌面，根据身高可调，</w:t>
            </w:r>
            <w:r>
              <w:rPr>
                <w:rFonts w:hint="eastAsia" w:ascii="宋体" w:hAnsi="宋体" w:eastAsia="宋体" w:cs="宋体"/>
                <w:color w:val="000000"/>
                <w:szCs w:val="21"/>
                <w:lang w:val="en-US" w:eastAsia="zh-CN"/>
              </w:rPr>
              <w:br w:type="textWrapping"/>
            </w:r>
            <w:r>
              <w:rPr>
                <w:rFonts w:hint="eastAsia" w:ascii="宋体" w:hAnsi="宋体" w:eastAsia="宋体" w:cs="宋体"/>
                <w:color w:val="000000"/>
                <w:szCs w:val="21"/>
                <w:lang w:val="en-US" w:eastAsia="zh-CN"/>
              </w:rPr>
              <w:t>3、适用于因截瘫、脑瘫等站立功能障碍者进行强制站立、直立训练。</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台</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32</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马桶增高器(扶手不带盖）</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1、规格：座长41cm×座宽50cm×座高11cm，便孔直径24.5cm；                                                           2、材质：环保无毒PP材料；                                                                  3、产品特点：使用方便，安装简单，易清洁。</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个</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400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33</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马桶增高器(扶手带盖）</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1、规格：座长47×座宽54×座高16cm，扶手间距56cm，便孔直径23cm；                                                           2、材质：环保无毒PP材料；</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个</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34</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扶手（一字型）</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1.规格：长38（厘米）</w:t>
            </w:r>
            <w:r>
              <w:rPr>
                <w:rFonts w:hint="eastAsia" w:ascii="宋体" w:hAnsi="宋体" w:eastAsia="宋体" w:cs="宋体"/>
                <w:color w:val="000000"/>
                <w:szCs w:val="21"/>
                <w:lang w:val="en-US" w:eastAsia="zh-CN"/>
              </w:rPr>
              <w:br w:type="textWrapping"/>
            </w:r>
            <w:r>
              <w:rPr>
                <w:rFonts w:hint="eastAsia" w:ascii="宋体" w:hAnsi="宋体" w:eastAsia="宋体" w:cs="宋体"/>
                <w:color w:val="000000"/>
                <w:szCs w:val="21"/>
                <w:lang w:val="en-US" w:eastAsia="zh-CN"/>
              </w:rPr>
              <w:t>2.材质：直径35mm管径。外包材质：尼龙材质。内管材质：不锈钢管径28mm，管壁≧1.2mm厚。</w:t>
            </w:r>
            <w:r>
              <w:rPr>
                <w:rFonts w:hint="eastAsia" w:ascii="宋体" w:hAnsi="宋体" w:eastAsia="宋体" w:cs="宋体"/>
                <w:color w:val="000000"/>
                <w:szCs w:val="21"/>
                <w:lang w:val="en-US" w:eastAsia="zh-CN"/>
              </w:rPr>
              <w:br w:type="textWrapping"/>
            </w:r>
            <w:r>
              <w:rPr>
                <w:rFonts w:hint="eastAsia" w:ascii="宋体" w:hAnsi="宋体" w:eastAsia="宋体" w:cs="宋体"/>
                <w:color w:val="000000"/>
                <w:szCs w:val="21"/>
                <w:lang w:val="en-US" w:eastAsia="zh-CN"/>
              </w:rPr>
              <w:t>3.其他：防滑颗粒把手：3.5mm颗粒0.6mm高。承重≥200kg（实体墙安装）。安装方式：4颗8mm膨胀螺丝×2。防滑扶手上有两个夜光圈（无毒荧光材料）。加厚底板：一体成型304不锈钢。304不锈钢固定底片：不锈钢垫片螺丝套件，使用M10的不锈钢螺丝锁定。</w:t>
            </w:r>
            <w:r>
              <w:rPr>
                <w:rFonts w:hint="eastAsia" w:ascii="宋体" w:hAnsi="宋体" w:eastAsia="宋体" w:cs="宋体"/>
                <w:color w:val="000000"/>
                <w:szCs w:val="21"/>
                <w:lang w:val="en-US" w:eastAsia="zh-CN"/>
              </w:rPr>
              <w:br w:type="textWrapping"/>
            </w:r>
            <w:r>
              <w:rPr>
                <w:rFonts w:hint="eastAsia" w:ascii="宋体" w:hAnsi="宋体" w:eastAsia="宋体" w:cs="宋体"/>
                <w:color w:val="000000"/>
                <w:szCs w:val="21"/>
                <w:lang w:val="en-US" w:eastAsia="zh-CN"/>
              </w:rPr>
              <w:t>4.特点：抗菌尼龙，防滑设计，防静电，常温把手。</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根</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35</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扶手（一字型）</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1.规格：长58（厘米）</w:t>
            </w:r>
            <w:r>
              <w:rPr>
                <w:rFonts w:hint="eastAsia" w:ascii="宋体" w:hAnsi="宋体" w:eastAsia="宋体" w:cs="宋体"/>
                <w:color w:val="000000"/>
                <w:szCs w:val="21"/>
                <w:lang w:val="en-US" w:eastAsia="zh-CN"/>
              </w:rPr>
              <w:br w:type="textWrapping"/>
            </w:r>
            <w:r>
              <w:rPr>
                <w:rFonts w:hint="eastAsia" w:ascii="宋体" w:hAnsi="宋体" w:eastAsia="宋体" w:cs="宋体"/>
                <w:color w:val="000000"/>
                <w:szCs w:val="21"/>
                <w:lang w:val="en-US" w:eastAsia="zh-CN"/>
              </w:rPr>
              <w:t>2.材质：直径35mm管径。外包材质：尼龙材质。内管材质：不锈钢管径28mm，管壁≧1.2mm厚。</w:t>
            </w:r>
            <w:r>
              <w:rPr>
                <w:rFonts w:hint="eastAsia" w:ascii="宋体" w:hAnsi="宋体" w:eastAsia="宋体" w:cs="宋体"/>
                <w:color w:val="000000"/>
                <w:szCs w:val="21"/>
                <w:lang w:val="en-US" w:eastAsia="zh-CN"/>
              </w:rPr>
              <w:br w:type="textWrapping"/>
            </w:r>
            <w:r>
              <w:rPr>
                <w:rFonts w:hint="eastAsia" w:ascii="宋体" w:hAnsi="宋体" w:eastAsia="宋体" w:cs="宋体"/>
                <w:color w:val="000000"/>
                <w:szCs w:val="21"/>
                <w:lang w:val="en-US" w:eastAsia="zh-CN"/>
              </w:rPr>
              <w:t>3.其他：防滑颗粒把手：3.5mm颗粒0.6mm高。承重≥200kg（实体墙安装）。安装方式：4颗8mm膨胀螺丝×2。防滑扶手上有两个夜光圈（无毒荧光材料）。加厚底板：一体成型304不锈钢。304不锈钢固定底片：不锈钢垫片螺丝套件，使用M10的不锈钢螺丝锁定。</w:t>
            </w:r>
            <w:r>
              <w:rPr>
                <w:rFonts w:hint="eastAsia" w:ascii="宋体" w:hAnsi="宋体" w:eastAsia="宋体" w:cs="宋体"/>
                <w:color w:val="000000"/>
                <w:szCs w:val="21"/>
                <w:lang w:val="en-US" w:eastAsia="zh-CN"/>
              </w:rPr>
              <w:br w:type="textWrapping"/>
            </w:r>
            <w:r>
              <w:rPr>
                <w:rFonts w:hint="eastAsia" w:ascii="宋体" w:hAnsi="宋体" w:eastAsia="宋体" w:cs="宋体"/>
                <w:color w:val="000000"/>
                <w:szCs w:val="21"/>
                <w:lang w:val="en-US" w:eastAsia="zh-CN"/>
              </w:rPr>
              <w:t>4.特点：抗菌尼龙，防滑设计，防静电，常温把手。</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根</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36</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扶手（一字型）</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1.规格：长78（厘米）</w:t>
            </w:r>
            <w:r>
              <w:rPr>
                <w:rFonts w:hint="eastAsia" w:ascii="宋体" w:hAnsi="宋体" w:eastAsia="宋体" w:cs="宋体"/>
                <w:color w:val="000000"/>
                <w:szCs w:val="21"/>
                <w:lang w:val="en-US" w:eastAsia="zh-CN"/>
              </w:rPr>
              <w:br w:type="textWrapping"/>
            </w:r>
            <w:r>
              <w:rPr>
                <w:rFonts w:hint="eastAsia" w:ascii="宋体" w:hAnsi="宋体" w:eastAsia="宋体" w:cs="宋体"/>
                <w:color w:val="000000"/>
                <w:szCs w:val="21"/>
                <w:lang w:val="en-US" w:eastAsia="zh-CN"/>
              </w:rPr>
              <w:t>2.材质：直径35mm管径。外包材质：尼龙材质。内管材质：不锈钢管径28mm，管壁≧1.2mm厚。</w:t>
            </w:r>
            <w:r>
              <w:rPr>
                <w:rFonts w:hint="eastAsia" w:ascii="宋体" w:hAnsi="宋体" w:eastAsia="宋体" w:cs="宋体"/>
                <w:color w:val="000000"/>
                <w:szCs w:val="21"/>
                <w:lang w:val="en-US" w:eastAsia="zh-CN"/>
              </w:rPr>
              <w:br w:type="textWrapping"/>
            </w:r>
            <w:r>
              <w:rPr>
                <w:rFonts w:hint="eastAsia" w:ascii="宋体" w:hAnsi="宋体" w:eastAsia="宋体" w:cs="宋体"/>
                <w:color w:val="000000"/>
                <w:szCs w:val="21"/>
                <w:lang w:val="en-US" w:eastAsia="zh-CN"/>
              </w:rPr>
              <w:t>3.其他：防滑颗粒把手：3.5mm颗粒0.6mm高。承重≥200kg（实体墙安装）。安装方式：4颗8mm膨胀螺丝×2。防滑扶手上有两个夜光圈（无毒荧光材料）。加厚底板：一体成型304不锈钢。304不锈钢固定底片：不锈钢垫片螺丝套件，使用M10的不锈钢螺丝锁定。</w:t>
            </w:r>
            <w:r>
              <w:rPr>
                <w:rFonts w:hint="eastAsia" w:ascii="宋体" w:hAnsi="宋体" w:eastAsia="宋体" w:cs="宋体"/>
                <w:color w:val="000000"/>
                <w:szCs w:val="21"/>
                <w:lang w:val="en-US" w:eastAsia="zh-CN"/>
              </w:rPr>
              <w:br w:type="textWrapping"/>
            </w:r>
            <w:r>
              <w:rPr>
                <w:rFonts w:hint="eastAsia" w:ascii="宋体" w:hAnsi="宋体" w:eastAsia="宋体" w:cs="宋体"/>
                <w:color w:val="000000"/>
                <w:szCs w:val="21"/>
                <w:lang w:val="en-US" w:eastAsia="zh-CN"/>
              </w:rPr>
              <w:t>4.特点：抗菌尼龙，防滑设计，防静电，常温把手。</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根</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37</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扶手（一字型不锈钢）</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1.规格：长78厘米，直径32mm,离墙68mm，孔距45mm。</w:t>
            </w:r>
            <w:r>
              <w:rPr>
                <w:rFonts w:hint="eastAsia" w:ascii="宋体" w:hAnsi="宋体" w:eastAsia="宋体" w:cs="宋体"/>
                <w:color w:val="000000"/>
                <w:szCs w:val="21"/>
                <w:lang w:val="en-US" w:eastAsia="zh-CN"/>
              </w:rPr>
              <w:br w:type="textWrapping"/>
            </w:r>
            <w:r>
              <w:rPr>
                <w:rFonts w:hint="eastAsia" w:ascii="宋体" w:hAnsi="宋体" w:eastAsia="宋体" w:cs="宋体"/>
                <w:color w:val="000000"/>
                <w:szCs w:val="21"/>
                <w:lang w:val="en-US" w:eastAsia="zh-CN"/>
              </w:rPr>
              <w:t>2.材质：整体SUS304不锈钢，管壁厚≧1.2mm,整体表面全部抛光。</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根</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38</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扶手（一字型不锈钢）</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1.规格：长58厘米，直径32mm,离墙68mm，孔距45mm。</w:t>
            </w:r>
            <w:r>
              <w:rPr>
                <w:rFonts w:hint="eastAsia" w:ascii="宋体" w:hAnsi="宋体" w:eastAsia="宋体" w:cs="宋体"/>
                <w:color w:val="000000"/>
                <w:szCs w:val="21"/>
                <w:lang w:val="en-US" w:eastAsia="zh-CN"/>
              </w:rPr>
              <w:br w:type="textWrapping"/>
            </w:r>
            <w:r>
              <w:rPr>
                <w:rFonts w:hint="eastAsia" w:ascii="宋体" w:hAnsi="宋体" w:eastAsia="宋体" w:cs="宋体"/>
                <w:color w:val="000000"/>
                <w:szCs w:val="21"/>
                <w:lang w:val="en-US" w:eastAsia="zh-CN"/>
              </w:rPr>
              <w:t>2.材质：整体SUS304不锈钢，管壁厚≧1.2mm,整体表面全部抛光。</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根</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39</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扶手（一字型不锈钢）</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1.规格：长38厘米，直径32mm,离墙68mm，孔距45mm。</w:t>
            </w:r>
            <w:r>
              <w:rPr>
                <w:rFonts w:hint="eastAsia" w:ascii="宋体" w:hAnsi="宋体" w:eastAsia="宋体" w:cs="宋体"/>
                <w:color w:val="000000"/>
                <w:szCs w:val="21"/>
                <w:lang w:val="en-US" w:eastAsia="zh-CN"/>
              </w:rPr>
              <w:br w:type="textWrapping"/>
            </w:r>
            <w:r>
              <w:rPr>
                <w:rFonts w:hint="eastAsia" w:ascii="宋体" w:hAnsi="宋体" w:eastAsia="宋体" w:cs="宋体"/>
                <w:color w:val="000000"/>
                <w:szCs w:val="21"/>
                <w:lang w:val="en-US" w:eastAsia="zh-CN"/>
              </w:rPr>
              <w:t>2.材质：整体SUS304不锈钢，管壁厚≧1.2mm,整体表面全部抛光。</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根</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40</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L型扶手（90度)</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1.规格：站姿拉握用竖杆700mm，坐姿起身用横杆500mm。</w:t>
            </w:r>
            <w:r>
              <w:rPr>
                <w:rFonts w:hint="eastAsia" w:ascii="宋体" w:hAnsi="宋体" w:eastAsia="宋体" w:cs="宋体"/>
                <w:color w:val="000000"/>
                <w:szCs w:val="21"/>
                <w:lang w:val="en-US" w:eastAsia="zh-CN"/>
              </w:rPr>
              <w:br w:type="textWrapping"/>
            </w:r>
            <w:r>
              <w:rPr>
                <w:rFonts w:hint="eastAsia" w:ascii="宋体" w:hAnsi="宋体" w:eastAsia="宋体" w:cs="宋体"/>
                <w:color w:val="000000"/>
                <w:szCs w:val="21"/>
                <w:lang w:val="en-US" w:eastAsia="zh-CN"/>
              </w:rPr>
              <w:t>2.材质：内管材质：不锈钢。外管材质：尼龙。整体管径35mm，内管径28mm，≧1.3mm厚内置不锈钢管，底座2mm厚度SUS304材质，紧固螺丝M10*20规格SUS304材质，安装螺丝直径8×55mm规格SUS304材质。304不锈钢固定底片：不锈钢垫片螺丝套件，使用M10的不锈钢螺丝锁定。</w:t>
            </w:r>
            <w:r>
              <w:rPr>
                <w:rFonts w:hint="eastAsia" w:ascii="宋体" w:hAnsi="宋体" w:eastAsia="宋体" w:cs="宋体"/>
                <w:color w:val="000000"/>
                <w:szCs w:val="21"/>
                <w:lang w:val="en-US" w:eastAsia="zh-CN"/>
              </w:rPr>
              <w:br w:type="textWrapping"/>
            </w:r>
            <w:r>
              <w:rPr>
                <w:rFonts w:hint="eastAsia" w:ascii="宋体" w:hAnsi="宋体" w:eastAsia="宋体" w:cs="宋体"/>
                <w:color w:val="000000"/>
                <w:szCs w:val="21"/>
                <w:lang w:val="en-US" w:eastAsia="zh-CN"/>
              </w:rPr>
              <w:t>3.其他：承重：≧200kg。竖杆、横杆两端有两个夜光圈（无毒荧光材料）。把手防滑颗粒：3.5mm颗粒0.6mm高。</w:t>
            </w:r>
            <w:r>
              <w:rPr>
                <w:rFonts w:hint="eastAsia" w:ascii="宋体" w:hAnsi="宋体" w:eastAsia="宋体" w:cs="宋体"/>
                <w:color w:val="000000"/>
                <w:szCs w:val="21"/>
                <w:lang w:val="en-US" w:eastAsia="zh-CN"/>
              </w:rPr>
              <w:br w:type="textWrapping"/>
            </w:r>
            <w:r>
              <w:rPr>
                <w:rFonts w:hint="eastAsia" w:ascii="宋体" w:hAnsi="宋体" w:eastAsia="宋体" w:cs="宋体"/>
                <w:color w:val="000000"/>
                <w:szCs w:val="21"/>
                <w:lang w:val="en-US" w:eastAsia="zh-CN"/>
              </w:rPr>
              <w:t>4.特点：高负荷承重，抗菌尼龙，防滑设计，防静电，平衡防跌，常温把手.</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根</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w:t>
            </w:r>
            <w:r>
              <w:rPr>
                <w:rFonts w:hint="eastAsia" w:ascii="宋体" w:hAnsi="宋体" w:cs="宋体"/>
                <w:color w:val="000000"/>
                <w:szCs w:val="21"/>
                <w:lang w:val="en-US" w:eastAsia="zh-CN"/>
              </w:rPr>
              <w:t>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41</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L型扶手（90度)</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1.规格：站姿拉握用竖杆600mm，坐姿起身用横杆400mm。</w:t>
            </w:r>
            <w:r>
              <w:rPr>
                <w:rFonts w:hint="eastAsia" w:ascii="宋体" w:hAnsi="宋体" w:eastAsia="宋体" w:cs="宋体"/>
                <w:color w:val="000000"/>
                <w:szCs w:val="21"/>
                <w:lang w:val="en-US" w:eastAsia="zh-CN"/>
              </w:rPr>
              <w:br w:type="textWrapping"/>
            </w:r>
            <w:r>
              <w:rPr>
                <w:rFonts w:hint="eastAsia" w:ascii="宋体" w:hAnsi="宋体" w:eastAsia="宋体" w:cs="宋体"/>
                <w:color w:val="000000"/>
                <w:szCs w:val="21"/>
                <w:lang w:val="en-US" w:eastAsia="zh-CN"/>
              </w:rPr>
              <w:t>2.材质：内管材质：不锈钢。外管材质：尼龙。整体管径35mm，内管径28mm，≧1.3mm厚内置不锈钢管，底座2mm厚度SUS304材质，紧固螺丝M10*20规格SUS304材质，安装螺丝直径8×55mm规格SUS304材质。304不锈钢固定底片：不锈钢垫片螺丝套件，使用M10的不锈钢螺丝锁定。</w:t>
            </w:r>
            <w:r>
              <w:rPr>
                <w:rFonts w:hint="eastAsia" w:ascii="宋体" w:hAnsi="宋体" w:eastAsia="宋体" w:cs="宋体"/>
                <w:color w:val="000000"/>
                <w:szCs w:val="21"/>
                <w:lang w:val="en-US" w:eastAsia="zh-CN"/>
              </w:rPr>
              <w:br w:type="textWrapping"/>
            </w:r>
            <w:r>
              <w:rPr>
                <w:rFonts w:hint="eastAsia" w:ascii="宋体" w:hAnsi="宋体" w:eastAsia="宋体" w:cs="宋体"/>
                <w:color w:val="000000"/>
                <w:szCs w:val="21"/>
                <w:lang w:val="en-US" w:eastAsia="zh-CN"/>
              </w:rPr>
              <w:t>3.其他：承重：≧200kg。竖杆、横杆两端有两个夜光圈（无毒荧光材料）。把手防滑颗粒：3.5mm颗粒0.6mm高。</w:t>
            </w:r>
            <w:r>
              <w:rPr>
                <w:rFonts w:hint="eastAsia" w:ascii="宋体" w:hAnsi="宋体" w:eastAsia="宋体" w:cs="宋体"/>
                <w:color w:val="000000"/>
                <w:szCs w:val="21"/>
                <w:lang w:val="en-US" w:eastAsia="zh-CN"/>
              </w:rPr>
              <w:br w:type="textWrapping"/>
            </w:r>
            <w:r>
              <w:rPr>
                <w:rFonts w:hint="eastAsia" w:ascii="宋体" w:hAnsi="宋体" w:eastAsia="宋体" w:cs="宋体"/>
                <w:color w:val="000000"/>
                <w:szCs w:val="21"/>
                <w:lang w:val="en-US" w:eastAsia="zh-CN"/>
              </w:rPr>
              <w:t>4.特点：高负荷承重，抗菌尼龙，防滑设计，防静电，平衡防跌，常温把手.</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根</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42</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L型扶手（90度)</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1.规格：站姿拉握用竖杆700mm，坐姿起身用横杆700mm。</w:t>
            </w:r>
            <w:r>
              <w:rPr>
                <w:rFonts w:hint="eastAsia" w:ascii="宋体" w:hAnsi="宋体" w:eastAsia="宋体" w:cs="宋体"/>
                <w:color w:val="000000"/>
                <w:szCs w:val="21"/>
                <w:lang w:val="en-US" w:eastAsia="zh-CN"/>
              </w:rPr>
              <w:br w:type="textWrapping"/>
            </w:r>
            <w:r>
              <w:rPr>
                <w:rFonts w:hint="eastAsia" w:ascii="宋体" w:hAnsi="宋体" w:eastAsia="宋体" w:cs="宋体"/>
                <w:color w:val="000000"/>
                <w:szCs w:val="21"/>
                <w:lang w:val="en-US" w:eastAsia="zh-CN"/>
              </w:rPr>
              <w:t>2.材质：内管材质：不锈钢。外管材质：尼龙。整体管径35mm，内管径28mm，≧1.3mm厚内置不锈钢管，底座2mm厚度SUS304材质，紧固螺丝M10*20规格SUS304材质，安装螺丝直径8×55mm规格SUS304材质。304不锈钢固定底片：不锈钢垫片螺丝套件，使用M10的不锈钢螺丝锁定。</w:t>
            </w:r>
            <w:r>
              <w:rPr>
                <w:rFonts w:hint="eastAsia" w:ascii="宋体" w:hAnsi="宋体" w:eastAsia="宋体" w:cs="宋体"/>
                <w:color w:val="000000"/>
                <w:szCs w:val="21"/>
                <w:lang w:val="en-US" w:eastAsia="zh-CN"/>
              </w:rPr>
              <w:br w:type="textWrapping"/>
            </w:r>
            <w:r>
              <w:rPr>
                <w:rFonts w:hint="eastAsia" w:ascii="宋体" w:hAnsi="宋体" w:eastAsia="宋体" w:cs="宋体"/>
                <w:color w:val="000000"/>
                <w:szCs w:val="21"/>
                <w:lang w:val="en-US" w:eastAsia="zh-CN"/>
              </w:rPr>
              <w:t>3.其他：承重：≧200kg。竖杆、横杆两端有两个夜光圈（无毒荧光材料）。把手防滑颗粒：3.5mm颗粒0.6mm高。</w:t>
            </w:r>
            <w:r>
              <w:rPr>
                <w:rFonts w:hint="eastAsia" w:ascii="宋体" w:hAnsi="宋体" w:eastAsia="宋体" w:cs="宋体"/>
                <w:color w:val="000000"/>
                <w:szCs w:val="21"/>
                <w:lang w:val="en-US" w:eastAsia="zh-CN"/>
              </w:rPr>
              <w:br w:type="textWrapping"/>
            </w:r>
            <w:r>
              <w:rPr>
                <w:rFonts w:hint="eastAsia" w:ascii="宋体" w:hAnsi="宋体" w:eastAsia="宋体" w:cs="宋体"/>
                <w:color w:val="000000"/>
                <w:szCs w:val="21"/>
                <w:lang w:val="en-US" w:eastAsia="zh-CN"/>
              </w:rPr>
              <w:t>4.特点：高负荷承重，抗菌尼龙，防滑设计，防静电，平衡防跌，常温把手.</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根</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43</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L型扶手（135度)</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1.规格：横杆400mm,竖杆600mm。</w:t>
            </w:r>
            <w:r>
              <w:rPr>
                <w:rFonts w:hint="eastAsia" w:ascii="宋体" w:hAnsi="宋体" w:eastAsia="宋体" w:cs="宋体"/>
                <w:color w:val="000000"/>
                <w:szCs w:val="21"/>
                <w:lang w:val="en-US" w:eastAsia="zh-CN"/>
              </w:rPr>
              <w:br w:type="textWrapping"/>
            </w:r>
            <w:r>
              <w:rPr>
                <w:rFonts w:hint="eastAsia" w:ascii="宋体" w:hAnsi="宋体" w:eastAsia="宋体" w:cs="宋体"/>
                <w:color w:val="000000"/>
                <w:szCs w:val="21"/>
                <w:lang w:val="en-US" w:eastAsia="zh-CN"/>
              </w:rPr>
              <w:t>2.材质：内管材质：SUS304不锈钢。外管材质：高强ABS+尼龙。整体管径35mm，内管径28mm，1.3厚内置不锈钢管，底座2mm厚度SUS304材质，紧固螺丝M10*20规格SUS304材质，安装螺丝直径8*55规格SUS304材质。304不锈钢固定底片：不锈钢垫片螺丝套件，使用M10的不锈钢螺丝锁定。</w:t>
            </w:r>
            <w:r>
              <w:rPr>
                <w:rFonts w:hint="eastAsia" w:ascii="宋体" w:hAnsi="宋体" w:eastAsia="宋体" w:cs="宋体"/>
                <w:color w:val="000000"/>
                <w:szCs w:val="21"/>
                <w:lang w:val="en-US" w:eastAsia="zh-CN"/>
              </w:rPr>
              <w:br w:type="textWrapping"/>
            </w:r>
            <w:r>
              <w:rPr>
                <w:rFonts w:hint="eastAsia" w:ascii="宋体" w:hAnsi="宋体" w:eastAsia="宋体" w:cs="宋体"/>
                <w:color w:val="000000"/>
                <w:szCs w:val="21"/>
                <w:lang w:val="en-US" w:eastAsia="zh-CN"/>
              </w:rPr>
              <w:t>3.其他：。把手防滑颗粒：3.5mm颗粒0.6mm高。竖杆、横杆两端有两个夜光圈（无毒荧光材料）。承重：≤300kg。</w:t>
            </w:r>
            <w:r>
              <w:rPr>
                <w:rFonts w:hint="eastAsia" w:ascii="宋体" w:hAnsi="宋体" w:eastAsia="宋体" w:cs="宋体"/>
                <w:color w:val="000000"/>
                <w:szCs w:val="21"/>
                <w:lang w:val="en-US" w:eastAsia="zh-CN"/>
              </w:rPr>
              <w:br w:type="textWrapping"/>
            </w:r>
            <w:r>
              <w:rPr>
                <w:rFonts w:hint="eastAsia" w:ascii="宋体" w:hAnsi="宋体" w:eastAsia="宋体" w:cs="宋体"/>
                <w:color w:val="000000"/>
                <w:szCs w:val="21"/>
                <w:lang w:val="en-US" w:eastAsia="zh-CN"/>
              </w:rPr>
              <w:t>4.特点：高负荷承重，抗菌尼龙，防滑设计，防静电，平衡防跌，常温把手。</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根</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w:t>
            </w:r>
            <w:r>
              <w:rPr>
                <w:rFonts w:hint="eastAsia" w:ascii="宋体" w:hAnsi="宋体" w:cs="宋体"/>
                <w:color w:val="000000"/>
                <w:szCs w:val="21"/>
                <w:lang w:val="en-US" w:eastAsia="zh-CN"/>
              </w:rPr>
              <w:t>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4</w:t>
            </w:r>
            <w:r>
              <w:rPr>
                <w:rFonts w:hint="eastAsia" w:ascii="宋体" w:hAnsi="宋体" w:cs="宋体"/>
                <w:color w:val="000000"/>
                <w:szCs w:val="21"/>
                <w:lang w:val="en-US" w:eastAsia="zh-CN"/>
              </w:rPr>
              <w:t>4</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L型扶手（135度)</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1.规格：横杆450mm,竖杆450mm。</w:t>
            </w:r>
            <w:r>
              <w:rPr>
                <w:rFonts w:hint="eastAsia" w:ascii="宋体" w:hAnsi="宋体" w:eastAsia="宋体" w:cs="宋体"/>
                <w:color w:val="000000"/>
                <w:szCs w:val="21"/>
                <w:lang w:val="en-US" w:eastAsia="zh-CN"/>
              </w:rPr>
              <w:br w:type="textWrapping"/>
            </w:r>
            <w:r>
              <w:rPr>
                <w:rFonts w:hint="eastAsia" w:ascii="宋体" w:hAnsi="宋体" w:eastAsia="宋体" w:cs="宋体"/>
                <w:color w:val="000000"/>
                <w:szCs w:val="21"/>
                <w:lang w:val="en-US" w:eastAsia="zh-CN"/>
              </w:rPr>
              <w:t>2.材质：内管材质：SUS304不锈钢。外管材质：高强ABS+尼龙。整体管径35mm，内管径28mm，1.3厚内置不锈钢管，底座2mm厚度SUS304材质，紧固螺丝M10*20规格SUS304材质，安装螺丝直径8*55规格SUS304材质。304不锈钢固定底片：不锈钢垫片螺丝套件，使用M10的不锈钢螺丝锁定。</w:t>
            </w:r>
            <w:r>
              <w:rPr>
                <w:rFonts w:hint="eastAsia" w:ascii="宋体" w:hAnsi="宋体" w:eastAsia="宋体" w:cs="宋体"/>
                <w:color w:val="000000"/>
                <w:szCs w:val="21"/>
                <w:lang w:val="en-US" w:eastAsia="zh-CN"/>
              </w:rPr>
              <w:br w:type="textWrapping"/>
            </w:r>
            <w:r>
              <w:rPr>
                <w:rFonts w:hint="eastAsia" w:ascii="宋体" w:hAnsi="宋体" w:eastAsia="宋体" w:cs="宋体"/>
                <w:color w:val="000000"/>
                <w:szCs w:val="21"/>
                <w:lang w:val="en-US" w:eastAsia="zh-CN"/>
              </w:rPr>
              <w:t>3.其他：把手防滑颗粒：3.5mm颗粒0.6mm高。竖杆、横杆两端有两个夜光圈（无毒荧光材料）。承重：≤300kg。</w:t>
            </w:r>
            <w:r>
              <w:rPr>
                <w:rFonts w:hint="eastAsia" w:ascii="宋体" w:hAnsi="宋体" w:eastAsia="宋体" w:cs="宋体"/>
                <w:color w:val="000000"/>
                <w:szCs w:val="21"/>
                <w:lang w:val="en-US" w:eastAsia="zh-CN"/>
              </w:rPr>
              <w:br w:type="textWrapping"/>
            </w:r>
            <w:r>
              <w:rPr>
                <w:rFonts w:hint="eastAsia" w:ascii="宋体" w:hAnsi="宋体" w:eastAsia="宋体" w:cs="宋体"/>
                <w:color w:val="000000"/>
                <w:szCs w:val="21"/>
                <w:lang w:val="en-US" w:eastAsia="zh-CN"/>
              </w:rPr>
              <w:t>4.特点：高负荷承重，抗菌尼龙，防滑设计，防静电，平衡防跌，常温把手。</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根</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w:t>
            </w:r>
            <w:r>
              <w:rPr>
                <w:rFonts w:hint="eastAsia" w:ascii="宋体" w:hAnsi="宋体" w:cs="宋体"/>
                <w:color w:val="000000"/>
                <w:szCs w:val="21"/>
                <w:lang w:val="en-US" w:eastAsia="zh-CN"/>
              </w:rPr>
              <w:t>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w:t>
            </w:r>
            <w:r>
              <w:rPr>
                <w:rFonts w:hint="eastAsia" w:ascii="宋体" w:hAnsi="宋体" w:cs="宋体"/>
                <w:color w:val="auto"/>
                <w:szCs w:val="21"/>
                <w:highlight w:val="none"/>
                <w:lang w:val="en-US" w:eastAsia="zh-CN"/>
              </w:rPr>
              <w:t>5</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L型扶手（135度)</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1.规格：横杆500mm，竖杆700mm。</w:t>
            </w:r>
            <w:r>
              <w:rPr>
                <w:rFonts w:hint="eastAsia" w:ascii="宋体" w:hAnsi="宋体" w:eastAsia="宋体" w:cs="宋体"/>
                <w:color w:val="auto"/>
                <w:szCs w:val="21"/>
                <w:highlight w:val="none"/>
                <w:lang w:val="en-US" w:eastAsia="zh-CN"/>
              </w:rPr>
              <w:br w:type="textWrapping"/>
            </w:r>
            <w:r>
              <w:rPr>
                <w:rFonts w:hint="eastAsia" w:ascii="宋体" w:hAnsi="宋体" w:eastAsia="宋体" w:cs="宋体"/>
                <w:color w:val="auto"/>
                <w:szCs w:val="21"/>
                <w:highlight w:val="none"/>
                <w:lang w:val="en-US" w:eastAsia="zh-CN"/>
              </w:rPr>
              <w:t>2.材质：内管材质：SUS304不锈钢。外管材质：高强ABS+尼龙。整体管径35mm，内管径28mm，1.3厚内置不锈钢管，底座2mm厚度SUS304材质，紧固螺丝M10*20规格SUS304材质，安装螺丝直径8*55规格SUS304材质。304不锈钢固定底片：不锈钢垫片螺丝套件，使用M10的不锈钢螺丝锁定。</w:t>
            </w:r>
            <w:r>
              <w:rPr>
                <w:rFonts w:hint="eastAsia" w:ascii="宋体" w:hAnsi="宋体" w:eastAsia="宋体" w:cs="宋体"/>
                <w:color w:val="auto"/>
                <w:szCs w:val="21"/>
                <w:highlight w:val="none"/>
                <w:lang w:val="en-US" w:eastAsia="zh-CN"/>
              </w:rPr>
              <w:br w:type="textWrapping"/>
            </w:r>
            <w:r>
              <w:rPr>
                <w:rFonts w:hint="eastAsia" w:ascii="宋体" w:hAnsi="宋体" w:eastAsia="宋体" w:cs="宋体"/>
                <w:color w:val="auto"/>
                <w:szCs w:val="21"/>
                <w:highlight w:val="none"/>
                <w:lang w:val="en-US" w:eastAsia="zh-CN"/>
              </w:rPr>
              <w:t>3.其他：。把手防滑颗粒：3.5mm颗粒0.6mm高。竖杆、横杆两端有两个夜光圈（无毒荧光材料）。承重：≤300kg。</w:t>
            </w:r>
            <w:r>
              <w:rPr>
                <w:rFonts w:hint="eastAsia" w:ascii="宋体" w:hAnsi="宋体" w:eastAsia="宋体" w:cs="宋体"/>
                <w:color w:val="auto"/>
                <w:szCs w:val="21"/>
                <w:highlight w:val="none"/>
                <w:lang w:val="en-US" w:eastAsia="zh-CN"/>
              </w:rPr>
              <w:br w:type="textWrapping"/>
            </w:r>
            <w:r>
              <w:rPr>
                <w:rFonts w:hint="eastAsia" w:ascii="宋体" w:hAnsi="宋体" w:eastAsia="宋体" w:cs="宋体"/>
                <w:color w:val="auto"/>
                <w:szCs w:val="21"/>
                <w:highlight w:val="none"/>
                <w:lang w:val="en-US" w:eastAsia="zh-CN"/>
              </w:rPr>
              <w:t>4.特点：高负荷承重，抗菌尼龙，防滑设计，防静电，平衡防跌，常温把手。</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根</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210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46</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U型固定扶手（有固定支脚）</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1.材质：SUS304不锈钢+ABS工字杆</w:t>
            </w:r>
            <w:r>
              <w:rPr>
                <w:rFonts w:hint="eastAsia" w:ascii="宋体" w:hAnsi="宋体" w:eastAsia="宋体" w:cs="宋体"/>
                <w:color w:val="auto"/>
                <w:szCs w:val="21"/>
                <w:lang w:val="en-US" w:eastAsia="zh-CN"/>
              </w:rPr>
              <w:br w:type="textWrapping"/>
            </w:r>
            <w:r>
              <w:rPr>
                <w:rFonts w:hint="eastAsia" w:ascii="宋体" w:hAnsi="宋体" w:eastAsia="宋体" w:cs="宋体"/>
                <w:color w:val="auto"/>
                <w:szCs w:val="21"/>
                <w:lang w:val="en-US" w:eastAsia="zh-CN"/>
              </w:rPr>
              <w:t>2.规格：主体长度60/75cm可选，支脚长度为58cm。外管直径35mm，内管直径28mm/壁厚1.2毫米±0.2mm，底座厚度3mm/6mm，底座长度为20cm,宽度为8cm。安装螺丝常规规格/304内六角规格：直径5*长60/直径8*长60mm。标准抗压120kg，左右抗压30kg。前端有两个夜光圈（无毒荧光材料）。</w:t>
            </w:r>
            <w:r>
              <w:rPr>
                <w:rFonts w:hint="eastAsia" w:ascii="宋体" w:hAnsi="宋体" w:eastAsia="宋体" w:cs="宋体"/>
                <w:color w:val="auto"/>
                <w:szCs w:val="21"/>
                <w:lang w:val="en-US" w:eastAsia="zh-CN"/>
              </w:rPr>
              <w:br w:type="textWrapping"/>
            </w:r>
            <w:r>
              <w:rPr>
                <w:rFonts w:hint="eastAsia" w:ascii="宋体" w:hAnsi="宋体" w:eastAsia="宋体" w:cs="宋体"/>
                <w:color w:val="auto"/>
                <w:szCs w:val="21"/>
                <w:lang w:val="en-US" w:eastAsia="zh-CN"/>
              </w:rPr>
              <w:t>3.其他：承重：≤300kg。横杆两端有两个夜光圈（无毒荧光材料）。把手防滑颗粒：3.5mm颗粒0.6mm高。</w:t>
            </w:r>
            <w:r>
              <w:rPr>
                <w:rFonts w:hint="eastAsia" w:ascii="宋体" w:hAnsi="宋体" w:eastAsia="宋体" w:cs="宋体"/>
                <w:color w:val="auto"/>
                <w:szCs w:val="21"/>
                <w:lang w:val="en-US" w:eastAsia="zh-CN"/>
              </w:rPr>
              <w:br w:type="textWrapping"/>
            </w:r>
            <w:r>
              <w:rPr>
                <w:rFonts w:hint="eastAsia" w:ascii="宋体" w:hAnsi="宋体" w:eastAsia="宋体" w:cs="宋体"/>
                <w:color w:val="auto"/>
                <w:szCs w:val="21"/>
                <w:lang w:val="en-US" w:eastAsia="zh-CN"/>
              </w:rPr>
              <w:t>4.特点：高负荷承重，抗菌尼龙，防滑设计，防静电，平衡防跌，常温把手</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件</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1</w:t>
            </w:r>
            <w:r>
              <w:rPr>
                <w:rFonts w:hint="eastAsia" w:ascii="宋体" w:hAnsi="宋体" w:cs="宋体"/>
                <w:color w:val="auto"/>
                <w:szCs w:val="21"/>
                <w:lang w:val="en-US" w:eastAsia="zh-CN"/>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47</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U型固定扶手（有支撑脚上翻折叠）</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1.材质：底座SUS304不锈钢工字杆</w:t>
            </w:r>
            <w:r>
              <w:rPr>
                <w:rFonts w:hint="eastAsia" w:ascii="宋体" w:hAnsi="宋体" w:eastAsia="宋体" w:cs="宋体"/>
                <w:color w:val="auto"/>
                <w:szCs w:val="21"/>
                <w:lang w:val="en-US" w:eastAsia="zh-CN"/>
              </w:rPr>
              <w:br w:type="textWrapping"/>
            </w:r>
            <w:r>
              <w:rPr>
                <w:rFonts w:hint="eastAsia" w:ascii="宋体" w:hAnsi="宋体" w:eastAsia="宋体" w:cs="宋体"/>
                <w:color w:val="auto"/>
                <w:szCs w:val="21"/>
                <w:lang w:val="en-US" w:eastAsia="zh-CN"/>
              </w:rPr>
              <w:t>2.规格：主体长度60/75cm可选,支脚长度为58cm。外管直径35mm，内管直径28mm/壁厚1.2毫米±0.2mm，底座厚度3mm/6mm，底座长度为20cm,宽度为8cm。安装螺丝常规规格/304内六角规格：直径5*长60/直径8*长60mm。标准抗压120kg，左右抗压30kg。前端有两个夜光圈（无毒荧光材料）。</w:t>
            </w:r>
            <w:r>
              <w:rPr>
                <w:rFonts w:hint="eastAsia" w:ascii="宋体" w:hAnsi="宋体" w:eastAsia="宋体" w:cs="宋体"/>
                <w:color w:val="auto"/>
                <w:szCs w:val="21"/>
                <w:lang w:val="en-US" w:eastAsia="zh-CN"/>
              </w:rPr>
              <w:br w:type="textWrapping"/>
            </w:r>
            <w:r>
              <w:rPr>
                <w:rFonts w:hint="eastAsia" w:ascii="宋体" w:hAnsi="宋体" w:eastAsia="宋体" w:cs="宋体"/>
                <w:color w:val="auto"/>
                <w:szCs w:val="21"/>
                <w:lang w:val="en-US" w:eastAsia="zh-CN"/>
              </w:rPr>
              <w:t>3.其他：承重：≤300kg。横杆两端有两个夜光圈（无毒荧光材料）。把手防滑颗粒：3.5mm颗粒0.6mm高。</w:t>
            </w:r>
            <w:r>
              <w:rPr>
                <w:rFonts w:hint="eastAsia" w:ascii="宋体" w:hAnsi="宋体" w:eastAsia="宋体" w:cs="宋体"/>
                <w:color w:val="auto"/>
                <w:szCs w:val="21"/>
                <w:lang w:val="en-US" w:eastAsia="zh-CN"/>
              </w:rPr>
              <w:br w:type="textWrapping"/>
            </w:r>
            <w:r>
              <w:rPr>
                <w:rFonts w:hint="eastAsia" w:ascii="宋体" w:hAnsi="宋体" w:eastAsia="宋体" w:cs="宋体"/>
                <w:color w:val="auto"/>
                <w:szCs w:val="21"/>
                <w:lang w:val="en-US" w:eastAsia="zh-CN"/>
              </w:rPr>
              <w:t>4.特点：高负荷承重，抗菌尼龙，防滑设计，防静电，平衡防跌，常温把手</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件</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48</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U型固定扶手（固定U型）</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1.材质：底座SUS304不锈钢工字杆</w:t>
            </w:r>
            <w:r>
              <w:rPr>
                <w:rFonts w:hint="eastAsia" w:ascii="宋体" w:hAnsi="宋体" w:eastAsia="宋体" w:cs="宋体"/>
                <w:color w:val="auto"/>
                <w:szCs w:val="21"/>
                <w:lang w:val="en-US" w:eastAsia="zh-CN"/>
              </w:rPr>
              <w:br w:type="textWrapping"/>
            </w:r>
            <w:r>
              <w:rPr>
                <w:rFonts w:hint="eastAsia" w:ascii="宋体" w:hAnsi="宋体" w:eastAsia="宋体" w:cs="宋体"/>
                <w:color w:val="auto"/>
                <w:szCs w:val="21"/>
                <w:lang w:val="en-US" w:eastAsia="zh-CN"/>
              </w:rPr>
              <w:t>2.规格：主体长度60/75cm可选。外管直径35mm，内管直径28mm/壁厚1.2毫米±0.2mm，底座厚度3mm/6mm，底座长度为20cm,宽度为8cm。安装螺丝常规规格/304内六角规格：直径5*长60/直径8*长60mm。标准抗压120kg，左右抗压30kg。前端有两个夜光圈（无毒荧光材料）。</w:t>
            </w:r>
            <w:r>
              <w:rPr>
                <w:rFonts w:hint="eastAsia" w:ascii="宋体" w:hAnsi="宋体" w:eastAsia="宋体" w:cs="宋体"/>
                <w:color w:val="auto"/>
                <w:szCs w:val="21"/>
                <w:lang w:val="en-US" w:eastAsia="zh-CN"/>
              </w:rPr>
              <w:br w:type="textWrapping"/>
            </w:r>
            <w:r>
              <w:rPr>
                <w:rFonts w:hint="eastAsia" w:ascii="宋体" w:hAnsi="宋体" w:eastAsia="宋体" w:cs="宋体"/>
                <w:color w:val="auto"/>
                <w:szCs w:val="21"/>
                <w:lang w:val="en-US" w:eastAsia="zh-CN"/>
              </w:rPr>
              <w:t>3.其他：承重：≧200kg。横杆两端有两个夜光圈（无毒荧光材料）。把手防滑颗粒：3.5mm颗粒0.6mm高。</w:t>
            </w:r>
            <w:r>
              <w:rPr>
                <w:rFonts w:hint="eastAsia" w:ascii="宋体" w:hAnsi="宋体" w:eastAsia="宋体" w:cs="宋体"/>
                <w:color w:val="auto"/>
                <w:szCs w:val="21"/>
                <w:lang w:val="en-US" w:eastAsia="zh-CN"/>
              </w:rPr>
              <w:br w:type="textWrapping"/>
            </w:r>
            <w:r>
              <w:rPr>
                <w:rFonts w:hint="eastAsia" w:ascii="宋体" w:hAnsi="宋体" w:eastAsia="宋体" w:cs="宋体"/>
                <w:color w:val="auto"/>
                <w:szCs w:val="21"/>
                <w:lang w:val="en-US" w:eastAsia="zh-CN"/>
              </w:rPr>
              <w:t>4.特点：高负荷承重，抗菌尼龙，防滑设计，防静电，平衡防跌，常温把手</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 xml:space="preserve">件 </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49</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U型固定扶手（上翻折叠）</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1.材质：底座SUS304不锈钢工字杆</w:t>
            </w:r>
            <w:r>
              <w:rPr>
                <w:rFonts w:hint="eastAsia" w:ascii="宋体" w:hAnsi="宋体" w:eastAsia="宋体" w:cs="宋体"/>
                <w:color w:val="auto"/>
                <w:szCs w:val="21"/>
                <w:lang w:val="en-US" w:eastAsia="zh-CN"/>
              </w:rPr>
              <w:br w:type="textWrapping"/>
            </w:r>
            <w:r>
              <w:rPr>
                <w:rFonts w:hint="eastAsia" w:ascii="宋体" w:hAnsi="宋体" w:eastAsia="宋体" w:cs="宋体"/>
                <w:color w:val="auto"/>
                <w:szCs w:val="21"/>
                <w:lang w:val="en-US" w:eastAsia="zh-CN"/>
              </w:rPr>
              <w:t>2.规格：主体长度60/75cm可选。外管直径35mm，内管直径28mm/壁厚1.2毫米±0.2mm，底座厚度3mm/6mm，底座长度为20cm,宽度为8cm。安装螺丝常规规格/304内六角规格：直径5*长60/直径8*长60mm。标准抗压120kg，左右抗压30kg。前端有两个夜光圈（无毒荧光材料）。</w:t>
            </w:r>
            <w:r>
              <w:rPr>
                <w:rFonts w:hint="eastAsia" w:ascii="宋体" w:hAnsi="宋体" w:eastAsia="宋体" w:cs="宋体"/>
                <w:color w:val="auto"/>
                <w:szCs w:val="21"/>
                <w:lang w:val="en-US" w:eastAsia="zh-CN"/>
              </w:rPr>
              <w:br w:type="textWrapping"/>
            </w:r>
            <w:r>
              <w:rPr>
                <w:rFonts w:hint="eastAsia" w:ascii="宋体" w:hAnsi="宋体" w:eastAsia="宋体" w:cs="宋体"/>
                <w:color w:val="auto"/>
                <w:szCs w:val="21"/>
                <w:lang w:val="en-US" w:eastAsia="zh-CN"/>
              </w:rPr>
              <w:t>3.其他：承重：≧300kg。横杆两端有两个夜光圈（无毒荧光材料）。把手防滑颗粒：3.5mm颗粒0.6mm高。</w:t>
            </w:r>
            <w:r>
              <w:rPr>
                <w:rFonts w:hint="eastAsia" w:ascii="宋体" w:hAnsi="宋体" w:eastAsia="宋体" w:cs="宋体"/>
                <w:color w:val="auto"/>
                <w:szCs w:val="21"/>
                <w:lang w:val="en-US" w:eastAsia="zh-CN"/>
              </w:rPr>
              <w:br w:type="textWrapping"/>
            </w:r>
            <w:r>
              <w:rPr>
                <w:rFonts w:hint="eastAsia" w:ascii="宋体" w:hAnsi="宋体" w:eastAsia="宋体" w:cs="宋体"/>
                <w:color w:val="auto"/>
                <w:szCs w:val="21"/>
                <w:lang w:val="en-US" w:eastAsia="zh-CN"/>
              </w:rPr>
              <w:t>4.特点：高负荷承重，抗菌尼龙，防滑设计，防静电，平衡防跌，常温把手</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件</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1</w:t>
            </w:r>
            <w:r>
              <w:rPr>
                <w:rFonts w:hint="eastAsia" w:ascii="宋体" w:hAnsi="宋体" w:cs="宋体"/>
                <w:color w:val="auto"/>
                <w:szCs w:val="21"/>
                <w:lang w:val="en-US" w:eastAsia="zh-CN"/>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50</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面盆连体扶手</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材质：内管材质：不锈钢。外管材质：尼龙。整体管径35mm，内管径28mm，1.3mm厚内置不锈钢管，底座2mm厚度SUS304材质，紧固螺丝M10*20规格SUS304材质，安装螺丝直径8*55规格SUS304材质。304不锈钢固定底片：不锈钢垫片螺丝套件，使用M10的不锈钢螺丝锁定。</w:t>
            </w:r>
            <w:r>
              <w:rPr>
                <w:rFonts w:hint="eastAsia" w:ascii="宋体" w:hAnsi="宋体" w:eastAsia="宋体" w:cs="宋体"/>
                <w:color w:val="auto"/>
                <w:szCs w:val="21"/>
                <w:lang w:val="en-US" w:eastAsia="zh-CN"/>
              </w:rPr>
              <w:br w:type="textWrapping"/>
            </w:r>
            <w:r>
              <w:rPr>
                <w:rFonts w:hint="eastAsia" w:ascii="宋体" w:hAnsi="宋体" w:eastAsia="宋体" w:cs="宋体"/>
                <w:color w:val="auto"/>
                <w:szCs w:val="21"/>
                <w:lang w:val="en-US" w:eastAsia="zh-CN"/>
              </w:rPr>
              <w:t>2尺寸：长（60-70）cm,宽（60-70）cm，。</w:t>
            </w:r>
            <w:r>
              <w:rPr>
                <w:rFonts w:hint="eastAsia" w:ascii="宋体" w:hAnsi="宋体" w:eastAsia="宋体" w:cs="宋体"/>
                <w:color w:val="auto"/>
                <w:szCs w:val="21"/>
                <w:lang w:val="en-US" w:eastAsia="zh-CN"/>
              </w:rPr>
              <w:br w:type="textWrapping"/>
            </w:r>
            <w:r>
              <w:rPr>
                <w:rFonts w:hint="eastAsia" w:ascii="宋体" w:hAnsi="宋体" w:eastAsia="宋体" w:cs="宋体"/>
                <w:color w:val="auto"/>
                <w:szCs w:val="21"/>
                <w:lang w:val="en-US" w:eastAsia="zh-CN"/>
              </w:rPr>
              <w:t>3.其他：。把手防滑颗粒：3.5mm颗粒0.6mm高。竖杆、横杆两端有两个夜光圈（无毒荧光材料）。承重：≤250kg。</w:t>
            </w:r>
            <w:r>
              <w:rPr>
                <w:rFonts w:hint="eastAsia" w:ascii="宋体" w:hAnsi="宋体" w:eastAsia="宋体" w:cs="宋体"/>
                <w:color w:val="auto"/>
                <w:szCs w:val="21"/>
                <w:lang w:val="en-US" w:eastAsia="zh-CN"/>
              </w:rPr>
              <w:br w:type="textWrapping"/>
            </w:r>
            <w:r>
              <w:rPr>
                <w:rFonts w:hint="eastAsia" w:ascii="宋体" w:hAnsi="宋体" w:eastAsia="宋体" w:cs="宋体"/>
                <w:color w:val="auto"/>
                <w:szCs w:val="21"/>
                <w:lang w:val="en-US" w:eastAsia="zh-CN"/>
              </w:rPr>
              <w:t>4.特点：高负荷承重，抗菌尼龙，防滑设计，防静电，平衡防跌，常温把手</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件</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350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5</w:t>
            </w:r>
            <w:r>
              <w:rPr>
                <w:rFonts w:hint="eastAsia" w:ascii="宋体" w:hAnsi="宋体" w:cs="宋体"/>
                <w:color w:val="auto"/>
                <w:szCs w:val="21"/>
                <w:lang w:val="en-US" w:eastAsia="zh-CN"/>
              </w:rPr>
              <w:t>1</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面盆连体扶手</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1</w:t>
            </w:r>
            <w:r>
              <w:rPr>
                <w:rFonts w:hint="eastAsia" w:ascii="宋体" w:hAnsi="宋体" w:eastAsia="宋体" w:cs="宋体"/>
                <w:color w:val="auto"/>
                <w:szCs w:val="21"/>
                <w:lang w:val="en-US" w:eastAsia="zh-CN"/>
              </w:rPr>
              <w:t>.材质：内管材质：不锈钢。外管材质：尼龙。整体管径35mm，内管径28mm，1.3mm厚内置不锈钢管，底座2mm厚度SUS304材质，紧固螺丝M10*20规格SUS304材质，安装螺丝直径8*55规格SUS304材质。304不锈钢固定底片：不锈钢垫片螺丝套件，使用M10的不锈钢螺丝锁定。</w:t>
            </w:r>
            <w:r>
              <w:rPr>
                <w:rFonts w:hint="eastAsia" w:ascii="宋体" w:hAnsi="宋体" w:eastAsia="宋体" w:cs="宋体"/>
                <w:color w:val="auto"/>
                <w:szCs w:val="21"/>
                <w:lang w:val="en-US" w:eastAsia="zh-CN"/>
              </w:rPr>
              <w:br w:type="textWrapping"/>
            </w:r>
            <w:r>
              <w:rPr>
                <w:rFonts w:hint="eastAsia" w:ascii="宋体" w:hAnsi="宋体" w:eastAsia="宋体" w:cs="宋体"/>
                <w:color w:val="auto"/>
                <w:szCs w:val="21"/>
                <w:lang w:val="en-US" w:eastAsia="zh-CN"/>
              </w:rPr>
              <w:t>2.尺寸：长（60-70）cm,宽（45-50）cm，高（90-100）cm。</w:t>
            </w:r>
            <w:r>
              <w:rPr>
                <w:rFonts w:hint="eastAsia" w:ascii="宋体" w:hAnsi="宋体" w:eastAsia="宋体" w:cs="宋体"/>
                <w:color w:val="auto"/>
                <w:szCs w:val="21"/>
                <w:lang w:val="en-US" w:eastAsia="zh-CN"/>
              </w:rPr>
              <w:br w:type="textWrapping"/>
            </w:r>
            <w:r>
              <w:rPr>
                <w:rFonts w:hint="eastAsia" w:ascii="宋体" w:hAnsi="宋体" w:eastAsia="宋体" w:cs="宋体"/>
                <w:color w:val="auto"/>
                <w:szCs w:val="21"/>
                <w:lang w:val="en-US" w:eastAsia="zh-CN"/>
              </w:rPr>
              <w:t>3.其他：。把手防滑颗粒：3.5mm颗粒0.6mm高。竖杆、横杆两端有两个夜光圈（无毒荧光材料）。承重：≤250kg。</w:t>
            </w:r>
            <w:r>
              <w:rPr>
                <w:rFonts w:hint="eastAsia" w:ascii="宋体" w:hAnsi="宋体" w:eastAsia="宋体" w:cs="宋体"/>
                <w:color w:val="auto"/>
                <w:szCs w:val="21"/>
                <w:lang w:val="en-US" w:eastAsia="zh-CN"/>
              </w:rPr>
              <w:br w:type="textWrapping"/>
            </w:r>
            <w:r>
              <w:rPr>
                <w:rFonts w:hint="eastAsia" w:ascii="宋体" w:hAnsi="宋体" w:eastAsia="宋体" w:cs="宋体"/>
                <w:color w:val="auto"/>
                <w:szCs w:val="21"/>
                <w:lang w:val="en-US" w:eastAsia="zh-CN"/>
              </w:rPr>
              <w:t>4.特点：高负荷承重，抗菌尼龙，防滑设计，防静电，平衡防跌，常温把手</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件</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330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5</w:t>
            </w:r>
            <w:r>
              <w:rPr>
                <w:rFonts w:hint="eastAsia" w:ascii="宋体" w:hAnsi="宋体" w:cs="宋体"/>
                <w:color w:val="auto"/>
                <w:szCs w:val="21"/>
                <w:lang w:val="en-US" w:eastAsia="zh-CN"/>
              </w:rPr>
              <w:t>2</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面盆连体扶手</w:t>
            </w:r>
          </w:p>
        </w:tc>
        <w:tc>
          <w:tcPr>
            <w:tcW w:w="61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材质：内管材质：不锈钢。外管材质：尼龙。整体管径35mm，内管径28mm，1.3mm厚内置不锈钢管，底座2mm厚度SUS304材质，紧固螺丝M10*20规格SUS304材质，安装螺丝直径8*55规格SUS304材质。304不锈钢固定底片：不锈钢垫片螺丝套件，使用M10的不锈钢螺丝锁定。</w:t>
            </w:r>
            <w:r>
              <w:rPr>
                <w:rFonts w:hint="eastAsia" w:ascii="宋体" w:hAnsi="宋体" w:eastAsia="宋体" w:cs="宋体"/>
                <w:color w:val="auto"/>
                <w:szCs w:val="21"/>
                <w:lang w:val="en-US" w:eastAsia="zh-CN"/>
              </w:rPr>
              <w:br w:type="textWrapping"/>
            </w:r>
            <w:r>
              <w:rPr>
                <w:rFonts w:hint="eastAsia" w:ascii="宋体" w:hAnsi="宋体" w:eastAsia="宋体" w:cs="宋体"/>
                <w:color w:val="auto"/>
                <w:szCs w:val="21"/>
                <w:lang w:val="en-US" w:eastAsia="zh-CN"/>
              </w:rPr>
              <w:t>2.尺寸：长（60-70）cm,宽（60-65）cm，高（70-75）cm。</w:t>
            </w:r>
            <w:r>
              <w:rPr>
                <w:rFonts w:hint="eastAsia" w:ascii="宋体" w:hAnsi="宋体" w:eastAsia="宋体" w:cs="宋体"/>
                <w:color w:val="auto"/>
                <w:szCs w:val="21"/>
                <w:lang w:val="en-US" w:eastAsia="zh-CN"/>
              </w:rPr>
              <w:br w:type="textWrapping"/>
            </w:r>
            <w:r>
              <w:rPr>
                <w:rFonts w:hint="eastAsia" w:ascii="宋体" w:hAnsi="宋体" w:eastAsia="宋体" w:cs="宋体"/>
                <w:color w:val="auto"/>
                <w:szCs w:val="21"/>
                <w:lang w:val="en-US" w:eastAsia="zh-CN"/>
              </w:rPr>
              <w:t>3.其他：。把手防滑颗粒：3.5mm颗粒0.6mm高。竖杆、横杆两端有两个夜光圈（无毒荧光材料）。承重：≤250kg。</w:t>
            </w:r>
            <w:r>
              <w:rPr>
                <w:rFonts w:hint="eastAsia" w:ascii="宋体" w:hAnsi="宋体" w:eastAsia="宋体" w:cs="宋体"/>
                <w:color w:val="auto"/>
                <w:szCs w:val="21"/>
                <w:lang w:val="en-US" w:eastAsia="zh-CN"/>
              </w:rPr>
              <w:br w:type="textWrapping"/>
            </w:r>
            <w:r>
              <w:rPr>
                <w:rFonts w:hint="eastAsia" w:ascii="宋体" w:hAnsi="宋体" w:eastAsia="宋体" w:cs="宋体"/>
                <w:color w:val="auto"/>
                <w:szCs w:val="21"/>
                <w:lang w:val="en-US" w:eastAsia="zh-CN"/>
              </w:rPr>
              <w:t>4.特点：高负荷承重，抗菌尼龙，防滑设计，防静电，平衡防跌，常温把手</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件</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3</w:t>
            </w:r>
            <w:r>
              <w:rPr>
                <w:rFonts w:hint="eastAsia" w:ascii="宋体" w:hAnsi="宋体" w:cs="宋体"/>
                <w:color w:val="auto"/>
                <w:szCs w:val="21"/>
                <w:lang w:val="en-US" w:eastAsia="zh-CN"/>
              </w:rPr>
              <w:t>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600" w:type="dxa"/>
            <w:gridSpan w:val="6"/>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b/>
                <w:color w:val="auto"/>
                <w:szCs w:val="21"/>
              </w:rPr>
            </w:pPr>
            <w:r>
              <w:rPr>
                <w:rFonts w:hint="eastAsia" w:ascii="宋体" w:hAnsi="宋体" w:cs="宋体"/>
                <w:b/>
                <w:color w:val="auto"/>
                <w:szCs w:val="21"/>
              </w:rPr>
              <w:t>二、</w:t>
            </w:r>
            <w:r>
              <w:rPr>
                <w:rFonts w:hint="eastAsia"/>
                <w:color w:val="auto"/>
                <w:szCs w:val="21"/>
              </w:rPr>
              <w:t>▲</w:t>
            </w:r>
            <w:r>
              <w:rPr>
                <w:rFonts w:hint="eastAsia" w:ascii="宋体" w:hAnsi="宋体" w:cs="宋体"/>
                <w:b/>
                <w:color w:val="auto"/>
                <w:szCs w:val="21"/>
              </w:rPr>
              <w:t>商务要求表</w:t>
            </w:r>
            <w:r>
              <w:rPr>
                <w:rFonts w:hint="eastAsia" w:hAnsi="宋体"/>
                <w:b/>
                <w:color w:val="auto"/>
                <w:szCs w:val="21"/>
              </w:rPr>
              <w:t>（投标人商务响应表与售后服务承诺同一内容不相符的，以低计算）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48"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color w:val="auto"/>
                <w:szCs w:val="21"/>
              </w:rPr>
            </w:pPr>
            <w:r>
              <w:rPr>
                <w:rFonts w:hint="eastAsia" w:ascii="宋体" w:hAnsi="宋体" w:cs="宋体"/>
                <w:color w:val="auto"/>
                <w:szCs w:val="21"/>
              </w:rPr>
              <w:t>质保期</w:t>
            </w:r>
          </w:p>
        </w:tc>
        <w:tc>
          <w:tcPr>
            <w:tcW w:w="7852"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color w:val="auto"/>
                <w:szCs w:val="21"/>
              </w:rPr>
            </w:pPr>
            <w:r>
              <w:rPr>
                <w:rFonts w:hint="eastAsia" w:ascii="宋体" w:hAnsi="宋体" w:cs="宋体"/>
                <w:color w:val="auto"/>
                <w:szCs w:val="21"/>
              </w:rPr>
              <w:t>按国家有关产品“三包”规定执行“三包”，最短不得少于2年，自设备验收合格之日起计算。终身维护。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4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售后技术服务要求</w:t>
            </w:r>
          </w:p>
        </w:tc>
        <w:tc>
          <w:tcPr>
            <w:tcW w:w="7852" w:type="dxa"/>
            <w:gridSpan w:val="3"/>
            <w:tcBorders>
              <w:top w:val="single" w:color="auto" w:sz="4" w:space="0"/>
              <w:left w:val="single" w:color="auto" w:sz="4" w:space="0"/>
              <w:bottom w:val="single" w:color="auto" w:sz="4" w:space="0"/>
              <w:right w:val="single" w:color="auto" w:sz="4" w:space="0"/>
            </w:tcBorders>
          </w:tcPr>
          <w:p>
            <w:pPr>
              <w:spacing w:line="400" w:lineRule="exact"/>
              <w:rPr>
                <w:color w:val="auto"/>
                <w:szCs w:val="21"/>
              </w:rPr>
            </w:pPr>
            <w:r>
              <w:rPr>
                <w:rFonts w:hint="eastAsia"/>
                <w:color w:val="auto"/>
                <w:szCs w:val="21"/>
              </w:rPr>
              <w:t>质保期内免费维修、免费更换零部件，服务内容如下：</w:t>
            </w:r>
          </w:p>
          <w:p>
            <w:pPr>
              <w:spacing w:line="400" w:lineRule="exact"/>
              <w:rPr>
                <w:color w:val="auto"/>
                <w:szCs w:val="21"/>
              </w:rPr>
            </w:pPr>
            <w:r>
              <w:rPr>
                <w:rFonts w:hint="eastAsia"/>
                <w:color w:val="auto"/>
                <w:szCs w:val="21"/>
              </w:rPr>
              <w:t>（1）免费送货至交货地点、免费调试货物到最佳状态、免费培训操作人员。</w:t>
            </w:r>
          </w:p>
          <w:p>
            <w:pPr>
              <w:spacing w:line="400" w:lineRule="exact"/>
              <w:rPr>
                <w:color w:val="auto"/>
                <w:szCs w:val="21"/>
              </w:rPr>
            </w:pPr>
            <w:r>
              <w:rPr>
                <w:rFonts w:hint="eastAsia"/>
                <w:color w:val="auto"/>
                <w:szCs w:val="21"/>
              </w:rPr>
              <w:t>（2）维修响应：中标供应商在接到用户维修电话后3小时内响应，24小时内到达现场修理解决，并免费更换有缺陷的货物或零部件，48小时内恢复正常使用，若不能修复则应有合理应对方案。</w:t>
            </w:r>
          </w:p>
          <w:p>
            <w:pPr>
              <w:spacing w:line="400" w:lineRule="exact"/>
              <w:rPr>
                <w:color w:val="auto"/>
                <w:szCs w:val="21"/>
              </w:rPr>
            </w:pPr>
            <w:r>
              <w:rPr>
                <w:rFonts w:hint="eastAsia"/>
                <w:color w:val="auto"/>
                <w:szCs w:val="21"/>
              </w:rPr>
              <w:t>（3）中标人除承担运输、验收与培训等义务外，还将为采购人提供技术支持，包括保修期外的修理及技术指导、配件供应等。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1" w:hRule="atLeast"/>
        </w:trPr>
        <w:tc>
          <w:tcPr>
            <w:tcW w:w="174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交货时间及地点</w:t>
            </w:r>
          </w:p>
        </w:tc>
        <w:tc>
          <w:tcPr>
            <w:tcW w:w="785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1、交货时间：</w:t>
            </w:r>
            <w:r>
              <w:rPr>
                <w:rFonts w:hint="eastAsia" w:ascii="宋体" w:hAnsi="宋体"/>
                <w:bCs/>
                <w:color w:val="auto"/>
                <w:szCs w:val="21"/>
              </w:rPr>
              <w:t>中标人接到采购人每次发出的订单后20个工作日内交付货物并验收合格</w:t>
            </w:r>
            <w:r>
              <w:rPr>
                <w:rFonts w:hint="eastAsia" w:ascii="宋体" w:hAnsi="宋体" w:cs="宋体"/>
                <w:color w:val="auto"/>
                <w:szCs w:val="21"/>
              </w:rPr>
              <w:t>。</w:t>
            </w:r>
          </w:p>
          <w:p>
            <w:pPr>
              <w:spacing w:line="400" w:lineRule="exact"/>
              <w:rPr>
                <w:rFonts w:ascii="宋体" w:hAnsi="宋体" w:cs="宋体"/>
                <w:color w:val="auto"/>
                <w:szCs w:val="21"/>
              </w:rPr>
            </w:pPr>
            <w:r>
              <w:rPr>
                <w:rFonts w:hint="eastAsia" w:ascii="宋体" w:hAnsi="宋体" w:cs="宋体"/>
                <w:color w:val="auto"/>
                <w:szCs w:val="21"/>
              </w:rPr>
              <w:t>2、交货地点：采购单位县（市、区）残联指定的县（市、区）或乡镇（街道），后续配送入户由县（市、区）残联和乡镇（街道）残联负责组织完成。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59" w:hRule="atLeast"/>
        </w:trPr>
        <w:tc>
          <w:tcPr>
            <w:tcW w:w="174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付款方式</w:t>
            </w:r>
          </w:p>
        </w:tc>
        <w:tc>
          <w:tcPr>
            <w:tcW w:w="785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由中标供应商与广西壮族自治区残疾人联合会签订总合同，并与采购单位县（市、区）残联签订分合同。乙方根据县（市、区）残联需求按订单供货，每次订单的货物经交付验收合格后十个工作日内，由甲方按乙方中标标的物的中标单价和实际供货数量计算，以转帐方式一次性付清订单货款（无预付款）。乙方自收到货款之日起五个工作日内开具发票给甲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59" w:hRule="atLeast"/>
        </w:trPr>
        <w:tc>
          <w:tcPr>
            <w:tcW w:w="174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投标报价</w:t>
            </w:r>
          </w:p>
        </w:tc>
        <w:tc>
          <w:tcPr>
            <w:tcW w:w="785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投标人按折让率进行报价，本项目折让率允许范围20%（含）以内，超出范围不予接受，作无效投标处理；本项目不接受零折让率的报价（例如：九折的折让率为10%；八折的折让率为20%），投标折让率必须是固定的（如10%），不得存在区间值（如：5%~10%），统一对本项目报一个投标折让率，不接受有选择的报价，且所报的投标折让率应当适用于本项目的所有投标产品。投标人报价时应充分把实施项目过程中所产生的成品辅具、使用指导、运输配送、备品备件、跟踪回访、质保服务、使用指导、培训、技术支持、验收及其它所有相关费用列入投标报价中。采购人不再针对本项目另行支付其他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600"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b/>
                <w:color w:val="auto"/>
                <w:szCs w:val="21"/>
              </w:rPr>
              <w:t>三、投标人的资信要求表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4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政策性加分条件</w:t>
            </w:r>
          </w:p>
        </w:tc>
        <w:tc>
          <w:tcPr>
            <w:tcW w:w="7951"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符合节能环保等国家政策要求。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600"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b/>
                <w:color w:val="auto"/>
                <w:szCs w:val="21"/>
              </w:rPr>
              <w:t>四、采购人对项目的特殊要求及说明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48"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color w:val="auto"/>
                <w:szCs w:val="21"/>
              </w:rPr>
            </w:pPr>
            <w:r>
              <w:rPr>
                <w:rFonts w:hint="eastAsia" w:ascii="宋体" w:hAnsi="宋体" w:cs="宋体"/>
                <w:color w:val="auto"/>
                <w:szCs w:val="21"/>
              </w:rPr>
              <w:t>产品资料说明文件</w:t>
            </w:r>
          </w:p>
        </w:tc>
        <w:tc>
          <w:tcPr>
            <w:tcW w:w="7852" w:type="dxa"/>
            <w:gridSpan w:val="3"/>
            <w:tcBorders>
              <w:top w:val="single" w:color="auto" w:sz="4" w:space="0"/>
              <w:left w:val="single" w:color="auto" w:sz="4" w:space="0"/>
              <w:bottom w:val="single" w:color="auto" w:sz="4" w:space="0"/>
              <w:right w:val="single" w:color="auto" w:sz="4" w:space="0"/>
            </w:tcBorders>
          </w:tcPr>
          <w:p>
            <w:pPr>
              <w:spacing w:line="400" w:lineRule="exact"/>
              <w:rPr>
                <w:color w:val="auto"/>
                <w:szCs w:val="21"/>
              </w:rPr>
            </w:pPr>
            <w:r>
              <w:rPr>
                <w:rFonts w:hint="eastAsia"/>
                <w:color w:val="auto"/>
                <w:szCs w:val="21"/>
              </w:rPr>
              <w:t>1、招标文件要求提供有效检测报告复印件必须满足，评标时当技术响应表中的参数与检测报告不一致时，以检测报告为准。▲2、投标产品中涉及国家专项审批的，投标人在投标文件中需提供相关医疗器械生产许可证和医疗器械注册证明细表复印件。</w:t>
            </w:r>
          </w:p>
          <w:p>
            <w:pPr>
              <w:spacing w:line="400" w:lineRule="exact"/>
              <w:rPr>
                <w:color w:val="auto"/>
                <w:szCs w:val="21"/>
              </w:rPr>
            </w:pPr>
            <w:r>
              <w:rPr>
                <w:rFonts w:hint="eastAsia"/>
                <w:color w:val="auto"/>
                <w:szCs w:val="21"/>
              </w:rPr>
              <w:t>▲3、提供所有投标单个产品的照片，照片拍摄要求：单个产品正面左前方45度方位，俯视30度拍摄的照片一张，白底，JPEG格式，图像清晰，像素≧5M，并按照“生产厂家+品名+规格型号+主要材料”内容顺序，逐项作书面说明，A4纸单面限于两个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83" w:hRule="atLeast"/>
        </w:trPr>
        <w:tc>
          <w:tcPr>
            <w:tcW w:w="174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采购人的特殊要求及说明</w:t>
            </w:r>
          </w:p>
        </w:tc>
        <w:tc>
          <w:tcPr>
            <w:tcW w:w="7852" w:type="dxa"/>
            <w:gridSpan w:val="3"/>
            <w:tcBorders>
              <w:top w:val="single" w:color="auto" w:sz="4" w:space="0"/>
              <w:left w:val="single" w:color="auto" w:sz="4" w:space="0"/>
              <w:bottom w:val="single" w:color="auto" w:sz="4" w:space="0"/>
              <w:right w:val="single" w:color="auto" w:sz="4" w:space="0"/>
            </w:tcBorders>
            <w:vAlign w:val="center"/>
          </w:tcPr>
          <w:p>
            <w:pPr>
              <w:pStyle w:val="13"/>
              <w:spacing w:line="400" w:lineRule="exact"/>
              <w:rPr>
                <w:rFonts w:hint="eastAsia" w:ascii="宋体" w:hAnsi="宋体" w:cs="宋体"/>
                <w:color w:val="auto"/>
                <w:szCs w:val="21"/>
              </w:rPr>
            </w:pPr>
            <w:r>
              <w:rPr>
                <w:rFonts w:hint="eastAsia" w:ascii="宋体" w:hAnsi="宋体" w:cs="宋体"/>
                <w:color w:val="auto"/>
                <w:szCs w:val="21"/>
              </w:rPr>
              <w:t>▲本项目未办理进口产品的相关审批手续，不接受进口产品（即通过中国海关报关验放进入中国境内且产自关境外的产品）参与投标，如有此类产品参与投标的，作无效投标处理。</w:t>
            </w:r>
          </w:p>
          <w:p>
            <w:pPr>
              <w:pStyle w:val="13"/>
              <w:spacing w:line="400" w:lineRule="exact"/>
              <w:rPr>
                <w:rFonts w:hint="eastAsia" w:ascii="宋体" w:hAnsi="宋体" w:cs="宋体"/>
                <w:color w:val="auto"/>
                <w:szCs w:val="21"/>
              </w:rPr>
            </w:pPr>
            <w:r>
              <w:rPr>
                <w:rFonts w:hint="eastAsia" w:ascii="宋体" w:hAnsi="宋体" w:cs="宋体"/>
                <w:color w:val="auto"/>
                <w:szCs w:val="21"/>
              </w:rPr>
              <w:t>▲本项目具体采购的暂估数量是采购人为了便于评标先拟定的暂估数量，在实际合同执行过程中，由采购人根据工作中发生的实际数量定，采购人按实际数量结算，投标人必须接受这一情况。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1" w:hRule="atLeast"/>
        </w:trPr>
        <w:tc>
          <w:tcPr>
            <w:tcW w:w="174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其他要求</w:t>
            </w:r>
          </w:p>
        </w:tc>
        <w:tc>
          <w:tcPr>
            <w:tcW w:w="785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▲1、第</w:t>
            </w:r>
            <w:r>
              <w:rPr>
                <w:rFonts w:hint="eastAsia" w:ascii="宋体" w:hAnsi="宋体" w:cs="宋体"/>
                <w:color w:val="auto"/>
                <w:szCs w:val="21"/>
                <w:lang w:val="en-US" w:eastAsia="zh-CN"/>
              </w:rPr>
              <w:t>4</w:t>
            </w:r>
            <w:r>
              <w:rPr>
                <w:rFonts w:hint="eastAsia" w:ascii="宋体" w:hAnsi="宋体" w:cs="宋体"/>
                <w:color w:val="auto"/>
                <w:szCs w:val="21"/>
              </w:rPr>
              <w:t>项</w:t>
            </w:r>
            <w:r>
              <w:rPr>
                <w:rFonts w:hint="eastAsia" w:ascii="宋体" w:hAnsi="宋体" w:cs="宋体"/>
                <w:color w:val="auto"/>
                <w:szCs w:val="21"/>
                <w:lang w:eastAsia="zh-CN"/>
              </w:rPr>
              <w:t>、</w:t>
            </w:r>
            <w:r>
              <w:rPr>
                <w:rFonts w:hint="eastAsia" w:ascii="宋体" w:hAnsi="宋体" w:cs="宋体"/>
                <w:color w:val="auto"/>
                <w:szCs w:val="21"/>
                <w:lang w:val="en-US" w:eastAsia="zh-CN"/>
              </w:rPr>
              <w:t>10项</w:t>
            </w:r>
            <w:r>
              <w:rPr>
                <w:rFonts w:hint="eastAsia" w:ascii="宋体" w:hAnsi="宋体" w:cs="宋体"/>
                <w:color w:val="auto"/>
                <w:szCs w:val="21"/>
              </w:rPr>
              <w:t>投标产品为核心产品，核心产品品牌相同的，视为提供相同品牌产品。提供相同品牌产品的不同投标人参加同一合同项下投标的，按一家投标人计算，以其中通过资格审查、符合性审查的不同投标人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8"/>
              <w:jc w:val="both"/>
              <w:rPr>
                <w:rFonts w:ascii="宋体" w:hAnsi="宋体" w:eastAsia="宋体" w:cs="宋体"/>
                <w:color w:val="auto"/>
                <w:sz w:val="21"/>
                <w:szCs w:val="21"/>
              </w:rPr>
            </w:pPr>
            <w:r>
              <w:rPr>
                <w:rFonts w:hint="eastAsia" w:ascii="宋体" w:hAnsi="宋体" w:eastAsia="宋体" w:cs="宋体"/>
                <w:color w:val="auto"/>
                <w:sz w:val="21"/>
                <w:szCs w:val="21"/>
                <w:highlight w:val="none"/>
              </w:rPr>
              <w:t>▲2、第</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项、第</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项</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10项、18项、22项</w:t>
            </w:r>
            <w:r>
              <w:rPr>
                <w:rFonts w:hint="eastAsia" w:ascii="宋体" w:hAnsi="宋体" w:eastAsia="宋体" w:cs="宋体"/>
                <w:color w:val="auto"/>
                <w:sz w:val="21"/>
                <w:szCs w:val="21"/>
                <w:highlight w:val="none"/>
              </w:rPr>
              <w:t>投标产品需提供</w:t>
            </w:r>
            <w:r>
              <w:rPr>
                <w:rFonts w:hint="eastAsia" w:ascii="宋体" w:hAnsi="宋体" w:eastAsia="宋体" w:cs="宋体"/>
                <w:color w:val="auto"/>
                <w:sz w:val="21"/>
                <w:szCs w:val="21"/>
                <w:highlight w:val="none"/>
                <w:lang w:val="en-US" w:eastAsia="zh-CN"/>
              </w:rPr>
              <w:t>省级及以上相关专业质量监督检验部门出具的检测报告</w:t>
            </w:r>
            <w:r>
              <w:rPr>
                <w:rFonts w:hint="eastAsia" w:ascii="宋体" w:hAnsi="宋体" w:eastAsia="宋体" w:cs="宋体"/>
                <w:color w:val="auto"/>
                <w:sz w:val="21"/>
                <w:szCs w:val="21"/>
                <w:highlight w:val="none"/>
              </w:rPr>
              <w:t>，检测报告的检测时间为</w:t>
            </w:r>
            <w:r>
              <w:rPr>
                <w:rFonts w:hint="eastAsia" w:ascii="宋体" w:hAnsi="宋体" w:eastAsia="宋体" w:cs="宋体"/>
                <w:color w:val="auto"/>
                <w:sz w:val="21"/>
                <w:szCs w:val="21"/>
                <w:highlight w:val="none"/>
                <w:lang w:val="en-US" w:eastAsia="zh-CN"/>
              </w:rPr>
              <w:t>四</w:t>
            </w:r>
            <w:r>
              <w:rPr>
                <w:rFonts w:hint="eastAsia" w:ascii="宋体" w:hAnsi="宋体" w:eastAsia="宋体" w:cs="宋体"/>
                <w:color w:val="auto"/>
                <w:sz w:val="21"/>
                <w:szCs w:val="21"/>
                <w:highlight w:val="none"/>
              </w:rPr>
              <w:t>年（2019年、2020年、2021年</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2022年</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rPr>
              <w:t>且不得晚于招标项目参数公示日之后</w:t>
            </w:r>
            <w:r>
              <w:rPr>
                <w:rFonts w:hint="eastAsia" w:ascii="宋体" w:hAnsi="宋体" w:eastAsia="宋体" w:cs="宋体"/>
                <w:color w:val="auto"/>
                <w:sz w:val="21"/>
                <w:szCs w:val="21"/>
                <w:highlight w:val="none"/>
              </w:rPr>
              <w:t>。</w:t>
            </w:r>
          </w:p>
        </w:tc>
      </w:tr>
    </w:tbl>
    <w:p>
      <w:pPr>
        <w:spacing w:line="360" w:lineRule="auto"/>
        <w:ind w:firstLine="310" w:firstLineChars="147"/>
        <w:jc w:val="left"/>
        <w:rPr>
          <w:rFonts w:hint="eastAsia" w:ascii="宋体" w:hAnsi="宋体"/>
          <w:b/>
          <w:color w:val="auto"/>
          <w:szCs w:val="21"/>
        </w:rPr>
      </w:pPr>
      <w:r>
        <w:rPr>
          <w:rFonts w:hint="eastAsia" w:ascii="宋体" w:hAnsi="宋体"/>
          <w:b/>
          <w:color w:val="auto"/>
          <w:szCs w:val="21"/>
        </w:rPr>
        <w:t xml:space="preserve"> </w:t>
      </w:r>
      <w:bookmarkEnd w:id="45"/>
      <w:bookmarkEnd w:id="46"/>
    </w:p>
    <w:p>
      <w:pPr>
        <w:spacing w:line="360" w:lineRule="auto"/>
        <w:ind w:firstLine="310" w:firstLineChars="147"/>
        <w:jc w:val="left"/>
        <w:rPr>
          <w:rFonts w:hint="eastAsia" w:ascii="宋体" w:hAnsi="宋体"/>
          <w:b/>
          <w:color w:val="auto"/>
          <w:szCs w:val="21"/>
          <w:highlight w:val="yellow"/>
        </w:rPr>
      </w:pPr>
    </w:p>
    <w:p>
      <w:pPr>
        <w:spacing w:line="360" w:lineRule="auto"/>
        <w:ind w:firstLine="310" w:firstLineChars="147"/>
        <w:jc w:val="left"/>
        <w:outlineLvl w:val="1"/>
        <w:rPr>
          <w:rFonts w:hint="eastAsia" w:ascii="宋体" w:hAnsi="宋体"/>
          <w:b/>
          <w:color w:val="auto"/>
          <w:szCs w:val="21"/>
          <w:highlight w:val="none"/>
        </w:rPr>
      </w:pPr>
      <w:r>
        <w:rPr>
          <w:rFonts w:hint="eastAsia" w:ascii="宋体" w:hAnsi="宋体"/>
          <w:b/>
          <w:color w:val="auto"/>
          <w:szCs w:val="21"/>
          <w:highlight w:val="none"/>
        </w:rPr>
        <w:t>B分标：</w:t>
      </w:r>
    </w:p>
    <w:tbl>
      <w:tblPr>
        <w:tblStyle w:val="24"/>
        <w:tblW w:w="970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897"/>
        <w:gridCol w:w="95"/>
        <w:gridCol w:w="141"/>
        <w:gridCol w:w="6025"/>
        <w:gridCol w:w="838"/>
        <w:gridCol w:w="10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701" w:type="dxa"/>
            <w:gridSpan w:val="7"/>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b/>
                <w:color w:val="auto"/>
                <w:szCs w:val="21"/>
              </w:rPr>
            </w:pPr>
            <w:r>
              <w:rPr>
                <w:rFonts w:hint="eastAsia" w:ascii="宋体" w:hAnsi="宋体" w:cs="宋体"/>
                <w:b/>
                <w:color w:val="auto"/>
                <w:szCs w:val="21"/>
              </w:rPr>
              <w:t>一、项目要求及技术需求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项号</w:t>
            </w:r>
          </w:p>
        </w:tc>
        <w:tc>
          <w:tcPr>
            <w:tcW w:w="113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货物名称</w:t>
            </w:r>
          </w:p>
        </w:tc>
        <w:tc>
          <w:tcPr>
            <w:tcW w:w="60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技术参数及性能（配置）要求</w:t>
            </w:r>
          </w:p>
        </w:tc>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单位</w:t>
            </w:r>
          </w:p>
        </w:tc>
        <w:tc>
          <w:tcPr>
            <w:tcW w:w="10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1</w:t>
            </w:r>
          </w:p>
        </w:tc>
        <w:tc>
          <w:tcPr>
            <w:tcW w:w="1133"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手摇三轮车（手动平摇式）</w:t>
            </w:r>
          </w:p>
        </w:tc>
        <w:tc>
          <w:tcPr>
            <w:tcW w:w="60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1.产品应符合GB/T13800-2009《手动轮椅车》国家标准。</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2.针对本次招标，GB/T13800-2009《手动轮椅车》国家标准中规格、类型及其他不确定的请按以下要求执行：</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（1）产品尺寸：总长1775mm、总宽775mm、总高1060mm（允许误差±5mm）；</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（2）车架材质钢质，管直径≥22mm，壁厚≥1.5mm，表面喷塑处理；</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（3）手动平摇式，左手掌握方向，右手平摇，可前进、后退，前后均配有刹车装置；</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（4）座宽≥440mm，软座，带有加厚海绵，乘坐舒适、透气性好，座面平整；                                                                                         （5）座背高≥450mm，材质为优质PU或高强度牛津纺布,内衬优质海绵，缝边牢固整齐，无褶皱、跳线破损等；                                                                                                                   （6）扶手高度设计合理，材料为优质皮革，带有护板功能；</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（7）前后轮为直径24英寸实心轮胎，轮辐钢质，采用13#的36根辐条；</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（8）脚踏板带波点防滑功能；</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（9）驻坡性能≥6°；</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（10）承重≥100kg。</w:t>
            </w:r>
          </w:p>
        </w:tc>
        <w:tc>
          <w:tcPr>
            <w:tcW w:w="83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辆</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1500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2</w:t>
            </w:r>
          </w:p>
        </w:tc>
        <w:tc>
          <w:tcPr>
            <w:tcW w:w="1133"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普通轮椅（钢制）</w:t>
            </w:r>
          </w:p>
        </w:tc>
        <w:tc>
          <w:tcPr>
            <w:tcW w:w="60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1.产品应符合GB/T13800-2009《手动轮椅车》国家标准。</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2.针对本次招标，GB/T13800-2009《手动轮椅车》国家标准中规格、类型及其他不确定的请按以下要求执行：</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（1）产品尺寸：总长1040mm、总宽620mm、总高910mm（允许误差±5mm），折叠宽度320mm±5mm、座位宽度460mm、重量14kg、最大载荷≥100kg；</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2）车架：高强度钢管材料，车架可折叠；主体承重结构管直径≥19mm、壁厚≥1.2mm，采用高承重工字结构、侧方焊接支撑管，增加安全性能；表面电镀或喷涂处理，外表面平整光滑，无锋棱，毛刺、尖角等，各管孔端部加有封头；</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（3）前轮：6英寸高品质前轮，配置金属前叉；</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（4）后轮：20英寸实心轮或充气轮胎，高强度塑料手轮圈（手直接驱动轮椅时使用）；</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（5）刹车：带钢制手动驻刹；制动后不能高于座面；</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（6）推动把手装有联动刹车装置，带自锁功能；</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（7）座靠垫：座椅及靠背为软座、软靠背，座面应平整，无皱褶、跳线和破损等缺陷；</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（8）扶手：固定斜扶手，配优质扶手垫、塑料护板；</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（9）脚托：活动上翻脚托，配高强度铝合金踏板；铝合金顶杆，高度3档可调，配有小腿带；</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 xml:space="preserve">（10）安全带：座位配有可调安全带。  </w:t>
            </w:r>
          </w:p>
        </w:tc>
        <w:tc>
          <w:tcPr>
            <w:tcW w:w="83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辆</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default" w:ascii="Times New Roman" w:hAnsi="Times New Roman" w:eastAsia="宋体" w:cs="Times New Roman"/>
                <w:color w:val="auto"/>
                <w:szCs w:val="21"/>
                <w:lang w:val="en-US"/>
              </w:rPr>
            </w:pPr>
            <w:r>
              <w:rPr>
                <w:rFonts w:hint="eastAsia" w:cs="Times New Roman"/>
                <w:color w:val="auto"/>
                <w:szCs w:val="21"/>
                <w:lang w:val="en-US" w:eastAsia="zh-CN"/>
              </w:rPr>
              <w:t>700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w:t>
            </w:r>
          </w:p>
        </w:tc>
        <w:tc>
          <w:tcPr>
            <w:tcW w:w="1133"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普通轮椅（铝合金）</w:t>
            </w:r>
          </w:p>
        </w:tc>
        <w:tc>
          <w:tcPr>
            <w:tcW w:w="60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1.产品应符合GB/T13800-2009《手动轮椅车》国家标准。</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2.针对本次招标，GB/T13800-2009《手动轮椅车》国家标准中规格、类型及其他不确定的请按以下要求执行：</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（1）产品尺寸：总长1020mm、总宽670mm、总高890mm（允许误差±5mm），折叠宽度280mm±5mm、座位宽度460mm、重量13kg、最大载荷≥100kg；</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2）车架：采用高强度铝合金材质，车架可折叠；主体承重结构管直径≥22mm、壁厚≥2.0mm，采用高承重工字结构，安全性能好，表面阳极氧化或喷涂处理，外表面平整光滑，无锋棱，毛刺、尖角等，各管孔端部加有封头；</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（3）前轮：8英寸高品质前轮，配置金属前叉；</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（4）后轮：24英寸PU实心轮或充气轮胎，高强度塑料手轮圈（手直接驱动轮椅时使用）；</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（5）刹车：带钢制手动驻刹，制动后不能高于座面；</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（6）推动把手装有联动刹车装置，带自锁功能；</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（7）座靠垫：座椅及靠背为软座、软靠背，座面应平整，无皱褶、跳线和破损等缺陷；</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（8）扶手：阶梯式固定扶手，配优质扶手垫、ABS塑料护板；</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 xml:space="preserve">（9）脚托：塑料脚踏板，高度可调，配有小腿带。 </w:t>
            </w:r>
          </w:p>
        </w:tc>
        <w:tc>
          <w:tcPr>
            <w:tcW w:w="83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辆</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800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4</w:t>
            </w:r>
          </w:p>
        </w:tc>
        <w:tc>
          <w:tcPr>
            <w:tcW w:w="1133"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普通轮椅（钢制带座厕）</w:t>
            </w:r>
          </w:p>
        </w:tc>
        <w:tc>
          <w:tcPr>
            <w:tcW w:w="60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1.产品应符合GB/T13800-2009《手动轮椅车》国家标准。</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2.针对本次招标，GB/T13800-2009《手动轮椅车》国家标准中规格、类型及其他不确定的请按以下要求执行：</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（1）产品尺寸：总长1020mm、总宽670mm、总高890mm，（允许误差±5mm）折叠宽度230mm、座位宽度460mm、重量19kg、最大载荷≥100kg；</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（2）车架：采用高强度钢管材料，车架可折叠；主体承重结构管直径≥22mm、壁厚≥1.2mm，采用固定扶手，安全性能好，表面电镀或喷涂处理，外表面平整光滑，无锋棱，毛刺、尖角等，各管孔端部加有封头；</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（3）前轮：8英寸高品质前轮，配高强度金属前叉；</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（4）后轮：24英寸实心轮或充气轮胎，高强度塑料手轮圈（手直接驱动轮椅时使用）；</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（5）刹车：带钢制手动驻刹；制动后不能高于座面；</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 xml:space="preserve">（6）座靠垫：带坐便器前抽拉式坐便垫，可拆卸，坐垫防水，易于清洗，内置U型开口厕孔，配大容量PVC光面厕桶，厕桶可拆，便于清洗；             </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（7）扶手：配优质PVC扶手垫、配有不锈钢护板；</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（8）脚托：铝合金脚踏板，高度可调，配有小腿带；</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 xml:space="preserve">（9）安全带：座位配有可调安全带。  </w:t>
            </w:r>
          </w:p>
        </w:tc>
        <w:tc>
          <w:tcPr>
            <w:tcW w:w="83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辆</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700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5</w:t>
            </w:r>
          </w:p>
        </w:tc>
        <w:tc>
          <w:tcPr>
            <w:tcW w:w="1133"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普通轮椅（铝合金带座厕）</w:t>
            </w:r>
          </w:p>
        </w:tc>
        <w:tc>
          <w:tcPr>
            <w:tcW w:w="60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1.产品应符合GB/T13800-2009《手动轮椅车》国家标准。</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2.针对本次招标，GB/T13800-2009《手动轮椅车》国家标准中规格、类型及其他不确定的请按以下要求执行：</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（1）产品尺寸：总长910mm、总宽670mm、总高890mm，（允许误差±5mm）折叠宽度280mm±5mm、座位宽度460mm、重量15kg、最大载荷≥100kg；</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（2）车架：采用高强度铝合金材料，车架可折叠；主体承重结构管直径≥22mm、壁厚≥2.0mm，采用固定扶手，安全性能好，表面电镀或喷涂处理，外表面平整光滑，无锋棱，毛刺、尖角等，各管孔端部加有封头；</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（3）前轮：8英寸高品质前轮，配高强度金属前叉；</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（4）后轮：24英寸PU实心轮或充气轮胎，高强度塑料手轮圈（手直接驱动轮椅时使用）；</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（5）刹车：带钢制手动驻刹；制动后不能高于座面；</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 xml:space="preserve">（6）座靠垫：带坐便器前抽拉式坐便垫，可拆卸，坐垫防水，易于清洗，内置U型开口厕孔，配大容量PVC光面厕桶，厕桶可拆，便于清洗；             </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（7）扶手：配优质PVC扶手垫、配有不锈钢护板；</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（8）脚托：塑料脚踏板，高度可调，配有小腿带；</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 xml:space="preserve">（9）安全带：座位配有可调安全带。  </w:t>
            </w:r>
          </w:p>
        </w:tc>
        <w:tc>
          <w:tcPr>
            <w:tcW w:w="83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辆</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lang w:val="en-US" w:eastAsia="zh-CN"/>
              </w:rPr>
            </w:pPr>
            <w:r>
              <w:rPr>
                <w:rFonts w:hint="eastAsia" w:cs="Times New Roman"/>
                <w:color w:val="auto"/>
                <w:szCs w:val="21"/>
                <w:lang w:val="en-US" w:eastAsia="zh-CN"/>
              </w:rPr>
              <w:t>80</w:t>
            </w:r>
            <w:r>
              <w:rPr>
                <w:rFonts w:hint="eastAsia" w:ascii="Times New Roman" w:hAnsi="Times New Roman" w:eastAsia="宋体" w:cs="Times New Roman"/>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6</w:t>
            </w:r>
          </w:p>
        </w:tc>
        <w:tc>
          <w:tcPr>
            <w:tcW w:w="1133"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儿童普通轮椅（钢制）</w:t>
            </w:r>
          </w:p>
        </w:tc>
        <w:tc>
          <w:tcPr>
            <w:tcW w:w="60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1.产品应符合GB/T13800-2009《手动轮椅车》国家标准。</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2.针对本次招标，GB/T13800-2009《手动轮椅车》国家标准中规格、类型及其他不确定的请按以下要求执行：</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（1）产品尺寸：总长970mm、总宽540mm、总高870mm，（允许误差±5mm）折叠宽度230mm、座位宽度350mm、重量15kg、最大载荷≥100kg；</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（2）车架：高强度钢管材料，车架可折叠；主体承重结构管直径≥22mm、壁厚≥1.2mm，采用固定扶手，安全性能好，表面电镀或喷涂处理，外表面平整光滑，无锋棱，毛刺、尖角等，各管孔端部加有封头；</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（3）前轮：6英寸高品质前轮，配高强度塑料前叉；</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（4）后轮：22英寸实心轮或充气轮胎，高强度铝合金手轮圈（手直接驱动轮椅时使用）；</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（5）刹车：带钢制手动驻刹；制动后不能高于座面；</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（6）座靠垫：座椅及靠背为软座、软靠背,缝边牢固整齐，无褶皱、跳线和破损等缺陷；</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（7）扶手：配优质PVC扶手垫、配有不锈钢护板；</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（8）脚托：铝合金踏板，高度可调，配有小腿带；</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 xml:space="preserve">（9）安全带：座位配有可调安全带。  </w:t>
            </w:r>
          </w:p>
        </w:tc>
        <w:tc>
          <w:tcPr>
            <w:tcW w:w="83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辆</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600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4"/>
                <w:szCs w:val="24"/>
                <w:u w:val="none"/>
                <w:lang w:val="en-US" w:eastAsia="zh-CN" w:bidi="ar"/>
              </w:rPr>
              <w:t>7</w:t>
            </w:r>
          </w:p>
        </w:tc>
        <w:tc>
          <w:tcPr>
            <w:tcW w:w="1133"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儿童普通轮椅（铝合金</w:t>
            </w:r>
          </w:p>
        </w:tc>
        <w:tc>
          <w:tcPr>
            <w:tcW w:w="60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1.产品应符合GB/T13800-2009《手动轮椅车》国家标准。</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2.针对本次招标，GB/T13800-2009《手动轮椅车》国家标准中规格、类型及其他不确定的请按以下要求执行：</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（1）产品尺寸：总长850mm、总宽560mm、总高860mm（允许误差±5mm），折叠宽度310mm、座位宽度350mm、重量13kg，最大载荷≥100kg；</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2）车架：采用高强度铝合金材料，车架可折叠；主体承重结构管直径≥22mm、壁厚≥2.0mm，采用高承重双工字结构，安全性能好，表面阳极氧化或喷涂处理，外表面平整光滑，无锋棱，毛刺、尖角等，各管孔端部加有封头；</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（3）前轮：6英寸高品质PU前轮，置高强度金属前叉；</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（4）后轮：22英寸PU实心轮，高强度铝合金手轮圈（手直接驱动轮椅时使用）；</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（5）刹车：带铝合金手动驻刹；制动后不能高于座面；</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（6）推动把手装有联动刹车装置,带自锁功能；</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（7）座靠垫：座椅及靠背为软座、软靠背,缝边牢固整齐，无褶皱、跳线和破损等缺陷；</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（8）扶手：固定扶手，配优质PU扶手垫、配有不锈钢护板；</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 xml:space="preserve">（9）脚托：塑料踏板，高度可调，配有小腿带；   </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（10）安全带：座位配有可调安全带。</w:t>
            </w:r>
          </w:p>
        </w:tc>
        <w:tc>
          <w:tcPr>
            <w:tcW w:w="83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辆</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700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4"/>
                <w:szCs w:val="24"/>
                <w:u w:val="none"/>
                <w:lang w:val="en-US" w:eastAsia="zh-CN" w:bidi="ar"/>
              </w:rPr>
              <w:t>8</w:t>
            </w:r>
          </w:p>
        </w:tc>
        <w:tc>
          <w:tcPr>
            <w:tcW w:w="1133"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护理轮椅（钢制</w:t>
            </w:r>
          </w:p>
        </w:tc>
        <w:tc>
          <w:tcPr>
            <w:tcW w:w="60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1.产品应符合GB/T13800-2009《手动轮椅车》国家标准。</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2.针对本次招标，GB/T13800-2009《手动轮椅车》国家标准中规格、类型及其他不确定的请按以下要求执行：</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（1）产品尺寸：总长1040mm、总宽620mm、总高910mm（允许误差±5mm），折叠宽度320mm±5mm、座位宽度460mm、重量14kg、最大载荷≥100kg；</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2）车架：高强度钢管材料，车架可折叠；主体承重结构管直径≥19mm、壁厚≥1.2mm，采用高承重双工字结构、侧方焊接支撑管，增加安全性能；表面电镀或喷涂处理，外表面平整光滑，无锋棱，毛刺、尖角等，各管孔端部加有封头；</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（3）前轮：6英寸高品质PU前轮，配高强度金属前叉；</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（4）后轮：≥12英寸高品质PU实心轮；</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（5）刹车：带钢制手动驻刹；制动后不能高于座面；</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（6）推动把手装有联动刹车装置，带自锁功能，把手可折叠；</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（7）座靠垫：座椅及靠背为软座、软靠背，座面应平整，无皱褶、跳线和破损等缺陷；</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（8）扶手：固定斜扶手，配优质扶手垫、塑料护板；</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（9）脚托：活动上翻脚托，配高强度铝合金踏板；铝合金顶杆，高度3档可调，配有小腿带；</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 xml:space="preserve">（10）安全带：座位配有可调安全带。  </w:t>
            </w:r>
          </w:p>
        </w:tc>
        <w:tc>
          <w:tcPr>
            <w:tcW w:w="83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辆</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800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9</w:t>
            </w:r>
          </w:p>
        </w:tc>
        <w:tc>
          <w:tcPr>
            <w:tcW w:w="1133"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护理轮椅（铝合金）</w:t>
            </w:r>
          </w:p>
        </w:tc>
        <w:tc>
          <w:tcPr>
            <w:tcW w:w="60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1.产品应符合GB/T13800-2009《手动轮椅车》国家标准。</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2.针对本次招标，GB/T13800-2009《手动轮椅车》国家标准中规格、类型及其他不确定的请按以下要求执行：</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（1）产品尺寸：总长1050mm、总宽650mm、总高900mm（允许误差±5mm），折叠宽度335mm±5mm、座位宽度460mm、重量12kg、最大载荷≥100kg；</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2）车架：高强度铝合金材质，车架可折叠；主体承重结构管直径≥19mm、壁厚≥2.0mm，采用高承重双工字结构、侧方焊接支撑管，增加安全性能；表面电镀或喷涂处理，外表面平整光滑，无锋棱，毛刺、尖角等，各管孔端部加有封头；</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（3）前轮：6英寸高品质前轮，置高强度金属前叉；</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（4）后轮：20英寸实心轮或充气轮胎，高强度塑料手轮圈（手直接驱动轮椅时使用）；</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（5）刹车：带钢制手动驻刹；制动后不能高于座面；</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（6）推动把手装有联动刹车装置，带自锁功能，把手可折叠；</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（7）座靠垫：座椅及靠背为软座、软靠背，座面应平整，无皱褶、跳线和破损等缺陷；</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（8）扶手：固定斜扶手，配优质扶手垫、塑料护板；</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（9）脚托：活动上翻脚托，配高强度铝合金踏板；铝合金顶杆，高度3档可调，配有小腿带；</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 xml:space="preserve">（10）安全带：座位配有可调安全带。  </w:t>
            </w:r>
          </w:p>
        </w:tc>
        <w:tc>
          <w:tcPr>
            <w:tcW w:w="83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辆</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10</w:t>
            </w:r>
          </w:p>
        </w:tc>
        <w:tc>
          <w:tcPr>
            <w:tcW w:w="1133"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高靠背轮椅（钢制带座厕）</w:t>
            </w:r>
          </w:p>
        </w:tc>
        <w:tc>
          <w:tcPr>
            <w:tcW w:w="60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1.产品应符合GB/T13800-2009《手动轮椅车》国家标准。</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2.针对本次招标，GB/T13800-2009《手动轮椅车》国家标准中规格、类型及其他不确定的请按以下要求执行：</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（1）产品尺寸：总长1160mm，总宽640mm，总高1330mm(含头枕架)（允许误差±5mm），座位宽度460mm±20mm、重量25kg，最大载荷≥100kg；</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（2）车架：选用A3钢质材料，车架可折叠；主架管直径≥22mm，壁厚≥1.2 mm，采用可折叠式结构，安全性能好；车架表面采用电镀或喷涂处理，外表面平整光滑，无锋棱，毛刺、尖角等，各管孔端部加有封头；                                                                                                       （3）前轮：8英寸塑料轮毂配高品质实心轮胎，配置高强度金属前叉；</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（4）后轮：24英寸实心轮胎，带高强度金属手轮圈（手直接驱动手轮时使用）；</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（5）刹车：配备钢制手动驻刹，驻车装置制动后不能高于座面；</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 xml:space="preserve">（6）座靠垫：座靠垫为皮革软座靠垫，材质选用高强度、透气性能好的皮革，座面平整，无褶皱、跳线和破损等缺陷；采用带坐便器前抽拉式坐便垫，配深座便桶，便桶可拆卸便于清洗； </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（7）座椅靠背可控制气弹簧或拉栓自由后仰90°-170°，角度调节位置固定可靠，配置弧形软质头枕，让乘坐者后躺时更舒适，抬起方便；</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（8）扶手：采用加长式扶手，配优质扶手垫，带餐桌；护板：选用钢制护板；</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 xml:space="preserve">（9）脚托：拆装式电镀脚托，高度可调，抬高角度可与座面达180°，并有重力自锁装置，腿垫为软质材料，配置高品质脚踏板。   </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 xml:space="preserve">（10）带防倾翻装置。                                                                      </w:t>
            </w:r>
          </w:p>
        </w:tc>
        <w:tc>
          <w:tcPr>
            <w:tcW w:w="83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辆</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1500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11</w:t>
            </w:r>
          </w:p>
        </w:tc>
        <w:tc>
          <w:tcPr>
            <w:tcW w:w="1133"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高靠背轮椅（铝合金带座厕）</w:t>
            </w:r>
          </w:p>
        </w:tc>
        <w:tc>
          <w:tcPr>
            <w:tcW w:w="60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1.产品应符合GB/T13800-2009《手动轮椅车》国家标准。</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2.针对本次招标，GB/T13800-2009《手动轮椅车》国家标准中规格、类型及其他不确定的请按以下要求执行：</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（1）产品尺寸：总长1260mm，总宽645mm，总高1290mm(含头枕架)（允许误差±5mm），折叠宽度340mm、座位宽度450mm±20mm、靠背高度450mm、重量23kg，最大载荷≥100kg；</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 xml:space="preserve">（2）车架：选用铝合金材料，主架直径≥22mm，主架壁厚≥2.0 mm，采用可折叠式结构，安全性能好；车架表面采用氧化或喷涂处理，外表面平整光滑，无锋棱，毛刺、尖角等，各管孔端部加有封头；  </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（3）前轮：8英寸塑料轮毂配高品质实心轮胎，配置高强度金属前叉；</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（4）后轮：24英寸PU实心轮胎，带高强度塑料手轮圈（手直接驱动手轮时使用）；</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（5）刹车：配备铝合金肘节式驻刹，驻车装置制动后不能高于座面；</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 xml:space="preserve">（6）座靠垫：座靠垫为皮革软座靠垫，材质选用高强度、透气性能好的皮革，座面平整，无褶皱、跳线和破损等缺陷；采用带坐便器前抽拉式坐便垫，配深座便桶，便桶可拆卸便于清洗； </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（7）座椅靠背可控制气弹簧或拉栓自由后仰90°-170°，角度调节位置固定可靠，让乘坐者后躺时更舒适，抬起方便；</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（8）扶手：采用加长式扶手，配PU扶手垫，带餐桌；护板：选用塑料护板；</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（9）拆装式铝合金长脚托，高度可调，抬高的角度可与座面达180°，有重力自锁装置，腿垫为软质材料；配置高品质塑料脚踏板。</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 xml:space="preserve">（10）带防倾翻装置。      </w:t>
            </w:r>
          </w:p>
        </w:tc>
        <w:tc>
          <w:tcPr>
            <w:tcW w:w="83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辆</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1600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12</w:t>
            </w:r>
          </w:p>
        </w:tc>
        <w:tc>
          <w:tcPr>
            <w:tcW w:w="1133"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功能轮椅（钢制、活动、可调节扶手和脚踏）</w:t>
            </w:r>
          </w:p>
        </w:tc>
        <w:tc>
          <w:tcPr>
            <w:tcW w:w="60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1.产品应符合GB/T13800-2009《手动轮椅车》国家标准。</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2.针对本次招标，GB/T13800-2009《手动轮椅车》国家标准中规格、类型及其他不确定的请按以下要求执行：</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（1）产品尺寸：总长1055mm、总宽600mm、总高900mm（允许误差±5mm），折叠宽度310mm、座位宽度460mm、重量17kg，最大载荷≥100kg；</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（2）车架：高强度钢管材料，主体承重结构管直径≥22mm、壁厚≥1.2mm，车架可折叠;采用高承重双工字结构；表面电镀或喷涂处理，外表面平整光滑，无锋棱，毛刺、尖角等，各管孔端部加有封头；</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（3）前轮：8英寸高品质前轮，配高强度金属前叉；</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（4）后轮：24英寸实心轮或充气轮胎，高强度金属手轮圈（手直接驱动轮椅时使用）；</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（5）刹车：带金属手动驻刹；制动后不能高于座面；</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（6）座靠垫：采用软座，高强度透气性好的材质、中间夹层≥400d的帆布，外包≥600d，座面平整，不应有皱褶、跳线和破损等缺陷；</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（7）扶手：采用活动后翻式弯扶手，可以直接旋转至靠背后方，配置高品质PU扶手垫；</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（8）脚托：脚托支架内外可旋转、可拆装并易于操作；铝合金脚踏板，高度可调，配有小腿带；</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 xml:space="preserve">（9）安全带：座位配有可调安全带。  </w:t>
            </w:r>
          </w:p>
        </w:tc>
        <w:tc>
          <w:tcPr>
            <w:tcW w:w="83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辆</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1600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13</w:t>
            </w:r>
          </w:p>
        </w:tc>
        <w:tc>
          <w:tcPr>
            <w:tcW w:w="1133"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功能轮椅（铝合金、活动、可调节扶手和脚踏）</w:t>
            </w:r>
          </w:p>
        </w:tc>
        <w:tc>
          <w:tcPr>
            <w:tcW w:w="60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1.产品应符合GB/T13800-2009《手动轮椅车》国家标准。</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2.针对本次招标，GB/T13800-2009《手动轮椅车》国家标准中规格、类型及其他不确定的请按以下要求执行：</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（1）产品尺寸：总长1040mm、总宽650mm、总高890mm（允许误差±5mm），折叠宽度320mm、重量14kg，最大载荷≥100kg；</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（2）车架：高强度铝合金材质，车架可折叠；主体承重结构管直径≥22mm、壁厚≥2.0mm，采用高承重双工字结构表面阳极氧化或烤漆处理，外表面平整光滑，无锋棱，毛刺、尖角等，各管孔端部加有封头；</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（3）前轮：8英寸高品质前轮，配高强度金属前叉；</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（4）后轮：24英寸PU实心轮或充气轮胎，高强度塑料手轮圈（手直接驱动轮椅时使用）；</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（5）刹车：带金属手动驻刹；制动后不能高于座面；推动把手装有联动刹车装置，带自锁功能；</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（6）座靠垫：座椅及靠背为软座、软靠背，座面应平整，无皱褶、跳线和破损等缺陷；</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（7）配独立透气防滑海绵座垫，厚度大于50mm，密度30-40d；</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（8）扶手：采用活动后翻式扶手，扶手可高度可调，可以直接旋转至靠背后方，配置高品质PU扶手垫；</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（9）脚托：脚托架可折卸，可向内、外旋转；配塑料脚踏板，高度可调，配有小腿带；</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 xml:space="preserve">（10）安全带：座位配有可调安全带。              </w:t>
            </w:r>
          </w:p>
        </w:tc>
        <w:tc>
          <w:tcPr>
            <w:tcW w:w="83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辆</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1600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14</w:t>
            </w:r>
          </w:p>
        </w:tc>
        <w:tc>
          <w:tcPr>
            <w:tcW w:w="1133"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功能轮椅</w:t>
            </w:r>
          </w:p>
        </w:tc>
        <w:tc>
          <w:tcPr>
            <w:tcW w:w="60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1.产品应符合GB/T13800-2009《手动轮椅车》国家标准。</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2.针对本次招标，GB/T13800-2009《手动轮椅车》国家标准中规格、类型及其他不确定的请按以下要求执行：</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（1）产品尺寸：总长1030mm、总宽690mm、总高920mm（允许误差±5mm）、折叠宽度380mm±5mm、座位宽度460mm、重量14kg，最大载荷≥100kg；</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（2）车架：高强度铝合金材质，车架可折叠；主体承重结构管直径≥22mm、壁厚≥2.0mm，采用高承重双工字结构；表面阳极氧化或烤漆处理，外表面平整光滑，无锋棱，毛刺、尖角等，各管孔端部加有封头；</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（3）前轮：6英寸高品质前轮，配高强度塑料前叉；</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（4）后轮：22英寸PU实心轮，配高强度轮合金手轮；可快速拆装；</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（5）辅助轮：配有6英寸高品质辅助轮，当大轮拆卸以后，可用辅助轮移动；</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（6）刹车：带金属手动驻刹；制动后不能高于座面；</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（7）推动把手装有联动刹车装置，带自锁功能，手把可；</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（8）座靠垫： 采用可拆彩色软靠背、彩色软座垫，缝边牢固整齐，不应有褶皱、跳线和破损等缺陷；靠背材料为牛津尼龙布内置海绵，顶部加加强支撑带；座垫材料为牛津尼龙布内置海绵，中间需有大于400d的帆布夹层；</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（9）扶手：扶手采用活动扶手，可后翻、可拆卸，配置高品质PU扶手垫；</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（10）护板：选用透明塑料护板；</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（11）脚托：脚托架可折卸，可向内、外旋转；配塑料脚踏板，高度可调，配有小腿带；</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 xml:space="preserve">（12）安全带：座位配有可调安全带。    </w:t>
            </w:r>
          </w:p>
        </w:tc>
        <w:tc>
          <w:tcPr>
            <w:tcW w:w="83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辆</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2200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15</w:t>
            </w:r>
          </w:p>
        </w:tc>
        <w:tc>
          <w:tcPr>
            <w:tcW w:w="1133"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儿童功能轮椅（铝合金、活动、可调节扶手和脚踏）</w:t>
            </w:r>
          </w:p>
        </w:tc>
        <w:tc>
          <w:tcPr>
            <w:tcW w:w="60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1.产品应符合GB/T13800-2009《手动轮椅车》国家标准。</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2.针对本次招标，GB/T13800-2009《手动轮椅车》国家标准中规格、类型及其他不确定的请按以下要求执行：</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（1）产品尺寸：总长940mm、总宽500mm、总高920mm，折叠宽度330mm（允许误差±5mm），座位宽度350mm、重量13kg最大载荷≥100kg；</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（2）车架：高强度铝合金材质，车架可折叠；主体承重结构管直径≥22mm、壁厚≥2.0mm，表面阳极氧化或烤漆处理，外表面平整光滑，无锋棱，毛刺、尖角等，各管孔端部加有封头；</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（3）前轮：6英寸高品质前轮，配高强度金属前叉；</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（4）后轮：22英寸PU实心轮或充气轮胎，高强度ABS塑料手扶圈（手直接驱动轮椅时使用）；</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（5）刹车：带金属手动驻刹；制动后不能高于座面；推动把手装有联动刹车装置，带自锁功能；</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（6）座靠垫：采用软座，高强度透气性好的材质、中间夹层≥400d的帆布，外包≥600d，座面平整，不应有皱褶、跳线和破损等缺陷；</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（7）配独立透气防滑海绵座垫，厚度大于50mm，密度30-40d；</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（8）扶手：采用活动后翻式升降扶手，可以直接旋转至靠背后方，配置高品质PU扶手垫；</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（9）脚托：脚托架可折卸，可向内、外旋转；配塑料脚踏板，高度可调，配有小腿带；</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 xml:space="preserve">（10）安全带：蝴蝶型安全带。    </w:t>
            </w:r>
          </w:p>
        </w:tc>
        <w:tc>
          <w:tcPr>
            <w:tcW w:w="83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辆</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1800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16</w:t>
            </w:r>
          </w:p>
        </w:tc>
        <w:tc>
          <w:tcPr>
            <w:tcW w:w="1133"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运动式生活轮椅</w:t>
            </w:r>
          </w:p>
        </w:tc>
        <w:tc>
          <w:tcPr>
            <w:tcW w:w="60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1.产品应符合GB/T13800-2009《手动轮椅车》国家标准。</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2.针对本次招标，GB/T13800-2009《手动轮椅车》国家标准中规格、类型及其他不确定的请按以下要求执行：</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（1）产品尺寸：座宽需提供多个尺寸可选，可根据使用者情况提供合适尺寸。总长850mm、总宽≥570mm、总高760mm（允许误差±5mm），重量14kg，最小回转半径：565mm，最大载重≥100kg；                                                                                                                                    （2）车架选用高强度特种铝型材焊接而成，具有强度高，重量轻的特性，表面经氧化处理后具有不掉色，抗老化不生锈的功能；</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（3）靠背角度完全按人体腰部生理弯曲度来设计，为人体提供最佳支撑；</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（4）座垫/靠垫：采用600D牛津布的车缝成型，抗拉强度高，海绵软垫可根据不同身材使用者对轮椅座位高度的不同要求而配置相适应的厚度；</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（5）安全装置：采用肘节式刹车，刹车装置制动后不高于座位面，方便快捷、安全；</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（6）前置耐磨4寸PVC万向前轮配铝合金前轮叉；后置24寸快拆充气轮，焊接铝圈、充气轮胎、高强快拆后轮轴、带轻质高强铝手轮；</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（7）防反轮：塑料防反轮支架，铝合金防反轮支承杆，防反轮高度可调。</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（8）脚踏板：高强度铝合金型材加工组合成型，高度上下可调；</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（9）配行李网、行李架；</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（10）可折叠式车架,方便携带出行，且能节省占用空间位置。</w:t>
            </w:r>
          </w:p>
        </w:tc>
        <w:tc>
          <w:tcPr>
            <w:tcW w:w="83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辆</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17</w:t>
            </w:r>
          </w:p>
        </w:tc>
        <w:tc>
          <w:tcPr>
            <w:tcW w:w="1133"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脑瘫轮椅</w:t>
            </w:r>
          </w:p>
        </w:tc>
        <w:tc>
          <w:tcPr>
            <w:tcW w:w="60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1.产品应符合GB/T13800-2009《手动轮椅车》国家标准。</w:t>
            </w:r>
          </w:p>
          <w:p>
            <w:pPr>
              <w:widowControl/>
              <w:spacing w:line="320" w:lineRule="exact"/>
              <w:jc w:val="left"/>
              <w:textAlignment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2.针对本次招标，GB/T13800-2009《手动轮椅车》国家标准中规格、类型及其他不确定的请按以下要求执行：</w:t>
            </w:r>
          </w:p>
          <w:p>
            <w:pPr>
              <w:widowControl/>
              <w:spacing w:line="320" w:lineRule="exact"/>
              <w:jc w:val="left"/>
              <w:textAlignment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（1）产品尺寸：总长1080mm、总宽4630mm、总高1010mm（允许误差±5mm），重量22kg，最大载荷≥100kg；</w:t>
            </w:r>
          </w:p>
          <w:p>
            <w:pPr>
              <w:widowControl/>
              <w:spacing w:line="320" w:lineRule="exact"/>
              <w:jc w:val="left"/>
              <w:textAlignment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（2）车架：高强度铝合金材质，主体承重结构管直径≥22mm、壁厚≥1.5mm，表面采用彩色喷涂处理；活动扶手，可拆装脚托，整车可折叠；座位能自动弹起及安全锁定；座椅整体可后倾达35°；</w:t>
            </w:r>
          </w:p>
          <w:p>
            <w:pPr>
              <w:widowControl/>
              <w:spacing w:line="320" w:lineRule="exact"/>
              <w:jc w:val="left"/>
              <w:textAlignment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（3）前轮：6英寸塑料轮毂配高品质实心橡胶轮胎，配高强度金属前叉；</w:t>
            </w:r>
          </w:p>
          <w:p>
            <w:pPr>
              <w:widowControl/>
              <w:spacing w:line="320" w:lineRule="exact"/>
              <w:jc w:val="left"/>
              <w:textAlignment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（4）后轮：16英寸塑料轮毂配PU轮胎）；</w:t>
            </w:r>
          </w:p>
          <w:p>
            <w:pPr>
              <w:widowControl/>
              <w:spacing w:line="320" w:lineRule="exact"/>
              <w:jc w:val="left"/>
              <w:textAlignment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（5）刹车：铝合金手动驻刹；且配置带自锁功能的后把手联动刹车；</w:t>
            </w:r>
          </w:p>
          <w:p>
            <w:pPr>
              <w:widowControl/>
              <w:spacing w:line="320" w:lineRule="exact"/>
              <w:jc w:val="left"/>
              <w:textAlignment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（6）座靠垫：面料选用优质高强度防水牛津布，垫芯选用优质高回弹海绵，坐垫带分腿器；</w:t>
            </w:r>
          </w:p>
          <w:p>
            <w:pPr>
              <w:widowControl/>
              <w:spacing w:line="320" w:lineRule="exact"/>
              <w:jc w:val="left"/>
              <w:textAlignment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（7）扶手：配置PU扶手垫，可拆装，高度可调；</w:t>
            </w:r>
          </w:p>
          <w:p>
            <w:pPr>
              <w:widowControl/>
              <w:spacing w:line="320" w:lineRule="exact"/>
              <w:jc w:val="left"/>
              <w:textAlignment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（8）护板：选用海绵护板，左右护板间距可调，适合不同年龄（体形）的儿童使用；</w:t>
            </w:r>
          </w:p>
          <w:p>
            <w:pPr>
              <w:widowControl/>
              <w:spacing w:line="320" w:lineRule="exact"/>
              <w:jc w:val="left"/>
              <w:textAlignment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（9）脚托：高度可调，适合不同年龄（体形）的儿童使用；配置足跟带防止使用者脚掌滑落；</w:t>
            </w:r>
          </w:p>
          <w:p>
            <w:pPr>
              <w:widowControl/>
              <w:spacing w:line="320" w:lineRule="exact"/>
              <w:jc w:val="left"/>
              <w:textAlignment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（10）头枕：张开角度可调，高度可调；</w:t>
            </w:r>
          </w:p>
          <w:p>
            <w:pPr>
              <w:widowControl/>
              <w:spacing w:line="320" w:lineRule="exact"/>
              <w:jc w:val="left"/>
              <w:textAlignment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（11）肩垫：高强度金属肩垫骨架，左右肩垫间距无级调节，高度两档调节；</w:t>
            </w:r>
          </w:p>
          <w:p>
            <w:pPr>
              <w:widowControl/>
              <w:spacing w:line="320" w:lineRule="exact"/>
              <w:jc w:val="left"/>
              <w:textAlignment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（12）限位垫：座垫配有限位垫，配置高强度金属限位垫骨架，且前后位置可调；</w:t>
            </w:r>
          </w:p>
          <w:p>
            <w:pPr>
              <w:widowControl/>
              <w:spacing w:line="320" w:lineRule="exact"/>
              <w:jc w:val="left"/>
              <w:textAlignment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（13）防倾翻装置 轮椅配置高度可调的防倾翻装置；脚踏装置 防倾翻装置上装有脚踏位置，方便护理人员推行轮椅上下台阶；</w:t>
            </w:r>
          </w:p>
          <w:p>
            <w:pPr>
              <w:widowControl/>
              <w:spacing w:line="320" w:lineRule="exact"/>
              <w:jc w:val="left"/>
              <w:textAlignment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 xml:space="preserve"> (14) 配可拆卸餐桌板，配头枕并上下左右可调整；</w:t>
            </w:r>
          </w:p>
          <w:p>
            <w:pPr>
              <w:widowControl/>
              <w:spacing w:line="320" w:lineRule="exact"/>
              <w:jc w:val="left"/>
              <w:textAlignment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（15）安全带：配有蝴蝶型脊柱姿势矫正安全带，座位配可调盆骨姿势矫正安全带;可跟进使用者需要配置加强防护装置。</w:t>
            </w:r>
          </w:p>
        </w:tc>
        <w:tc>
          <w:tcPr>
            <w:tcW w:w="83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辆</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default" w:ascii="Times New Roman" w:hAnsi="Times New Roman" w:eastAsia="宋体" w:cs="Times New Roman"/>
                <w:color w:val="auto"/>
                <w:szCs w:val="21"/>
                <w:highlight w:val="none"/>
                <w:lang w:val="en-US"/>
              </w:rPr>
            </w:pPr>
            <w:r>
              <w:rPr>
                <w:rFonts w:hint="eastAsia" w:ascii="Times New Roman" w:hAnsi="Times New Roman" w:eastAsia="宋体" w:cs="Times New Roman"/>
                <w:color w:val="auto"/>
                <w:szCs w:val="21"/>
                <w:highlight w:val="none"/>
                <w:lang w:val="en-US" w:eastAsia="zh-CN"/>
              </w:rPr>
              <w:t>1</w:t>
            </w:r>
            <w:r>
              <w:rPr>
                <w:rFonts w:hint="eastAsia" w:cs="Times New Roman"/>
                <w:color w:val="auto"/>
                <w:szCs w:val="21"/>
                <w:highlight w:val="none"/>
                <w:lang w:val="en-US" w:eastAsia="zh-CN"/>
              </w:rPr>
              <w:t>8</w:t>
            </w:r>
          </w:p>
        </w:tc>
        <w:tc>
          <w:tcPr>
            <w:tcW w:w="1133"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val="en-US" w:eastAsia="zh-CN"/>
              </w:rPr>
              <w:t>脑瘫轮椅（0-6岁</w:t>
            </w:r>
            <w:r>
              <w:rPr>
                <w:rFonts w:hint="eastAsia" w:cs="Times New Roman"/>
                <w:color w:val="auto"/>
                <w:szCs w:val="21"/>
                <w:highlight w:val="none"/>
                <w:lang w:val="en-US" w:eastAsia="zh-CN"/>
              </w:rPr>
              <w:t>）</w:t>
            </w:r>
          </w:p>
        </w:tc>
        <w:tc>
          <w:tcPr>
            <w:tcW w:w="60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val="en-US" w:eastAsia="zh-CN"/>
              </w:rPr>
              <w:t>1.产品应符合GB/T13800-2009《手动轮椅车》国家标准。</w:t>
            </w:r>
            <w:r>
              <w:rPr>
                <w:rFonts w:hint="eastAsia" w:ascii="Times New Roman" w:hAnsi="Times New Roman" w:eastAsia="宋体" w:cs="Times New Roman"/>
                <w:color w:val="auto"/>
                <w:szCs w:val="21"/>
                <w:highlight w:val="none"/>
                <w:lang w:val="en-US" w:eastAsia="zh-CN"/>
              </w:rPr>
              <w:br w:type="textWrapping"/>
            </w:r>
            <w:r>
              <w:rPr>
                <w:rFonts w:hint="eastAsia" w:ascii="Times New Roman" w:hAnsi="Times New Roman" w:eastAsia="宋体" w:cs="Times New Roman"/>
                <w:color w:val="auto"/>
                <w:szCs w:val="21"/>
                <w:highlight w:val="none"/>
                <w:lang w:val="en-US" w:eastAsia="zh-CN"/>
              </w:rPr>
              <w:t>2.针对本次招标，GB/T13800-2009《手动轮椅车》国家标准中规格、类型及其他不确定的请按以下要求执行：</w:t>
            </w:r>
            <w:r>
              <w:rPr>
                <w:rFonts w:hint="eastAsia" w:ascii="Times New Roman" w:hAnsi="Times New Roman" w:eastAsia="宋体" w:cs="Times New Roman"/>
                <w:color w:val="auto"/>
                <w:szCs w:val="21"/>
                <w:highlight w:val="none"/>
                <w:lang w:val="en-US" w:eastAsia="zh-CN"/>
              </w:rPr>
              <w:br w:type="textWrapping"/>
            </w:r>
            <w:r>
              <w:rPr>
                <w:rFonts w:hint="eastAsia" w:ascii="Times New Roman" w:hAnsi="Times New Roman" w:eastAsia="宋体" w:cs="Times New Roman"/>
                <w:color w:val="auto"/>
                <w:szCs w:val="21"/>
                <w:highlight w:val="none"/>
                <w:lang w:val="en-US" w:eastAsia="zh-CN"/>
              </w:rPr>
              <w:t>（1）产品尺寸：总长920mm、总宽440mm、总高1040mm（允许误差±5mm），座位宽度300mm、座位深度360mm、重量17kg，最大载荷≥75kg；</w:t>
            </w:r>
            <w:r>
              <w:rPr>
                <w:rFonts w:hint="eastAsia" w:ascii="Times New Roman" w:hAnsi="Times New Roman" w:eastAsia="宋体" w:cs="Times New Roman"/>
                <w:color w:val="auto"/>
                <w:szCs w:val="21"/>
                <w:highlight w:val="none"/>
                <w:lang w:val="en-US" w:eastAsia="zh-CN"/>
              </w:rPr>
              <w:br w:type="textWrapping"/>
            </w:r>
            <w:r>
              <w:rPr>
                <w:rFonts w:hint="eastAsia" w:ascii="Times New Roman" w:hAnsi="Times New Roman" w:eastAsia="宋体" w:cs="Times New Roman"/>
                <w:color w:val="auto"/>
                <w:szCs w:val="21"/>
                <w:highlight w:val="none"/>
                <w:lang w:val="en-US" w:eastAsia="zh-CN"/>
              </w:rPr>
              <w:t>（2）车架：高强度铝合金材质，主体承重结构管直径≥25mm、壁厚≥2.0mm，由铝管通过氩弧焊焊接组合成型，且经过热处理提高强度，安全性能好；表面阳极氧化或烤漆处理；车架为可折叠结构，运输、储存方便；</w:t>
            </w:r>
            <w:r>
              <w:rPr>
                <w:rFonts w:hint="eastAsia" w:ascii="Times New Roman" w:hAnsi="Times New Roman" w:eastAsia="宋体" w:cs="Times New Roman"/>
                <w:color w:val="auto"/>
                <w:szCs w:val="21"/>
                <w:highlight w:val="none"/>
                <w:lang w:val="en-US" w:eastAsia="zh-CN"/>
              </w:rPr>
              <w:br w:type="textWrapping"/>
            </w:r>
            <w:r>
              <w:rPr>
                <w:rFonts w:hint="eastAsia" w:ascii="Times New Roman" w:hAnsi="Times New Roman" w:eastAsia="宋体" w:cs="Times New Roman"/>
                <w:color w:val="auto"/>
                <w:szCs w:val="21"/>
                <w:highlight w:val="none"/>
                <w:lang w:val="en-US" w:eastAsia="zh-CN"/>
              </w:rPr>
              <w:t>（3）座椅角度调节：座位架和靠背架由可控气弹簧和滑杆支撑，通过开关控制气弹簧长度可调节座位架角度，座垫与地面后倾角度调节范围约为0-30°；座位与靠背角度调节范围约为95-150°；</w:t>
            </w:r>
            <w:r>
              <w:rPr>
                <w:rFonts w:hint="eastAsia" w:ascii="Times New Roman" w:hAnsi="Times New Roman" w:eastAsia="宋体" w:cs="Times New Roman"/>
                <w:color w:val="auto"/>
                <w:szCs w:val="21"/>
                <w:highlight w:val="none"/>
                <w:lang w:val="en-US" w:eastAsia="zh-CN"/>
              </w:rPr>
              <w:br w:type="textWrapping"/>
            </w:r>
            <w:r>
              <w:rPr>
                <w:rFonts w:hint="eastAsia" w:ascii="Times New Roman" w:hAnsi="Times New Roman" w:eastAsia="宋体" w:cs="Times New Roman"/>
                <w:color w:val="auto"/>
                <w:szCs w:val="21"/>
                <w:highlight w:val="none"/>
                <w:lang w:val="en-US" w:eastAsia="zh-CN"/>
              </w:rPr>
              <w:t>（4）座椅：座椅采用汽车儿童安全座椅，座椅支架的材料为无毒、无污染塑料，无过敏成分，安全、强度高、质量轻；表面由高级透气布料包裹，舒适、安全可靠；座椅配有安全带，安全带上面肩部和腹部的位置有海绵垫，长时间使用时可保持其舒适性；枕头可调节高度；</w:t>
            </w:r>
            <w:r>
              <w:rPr>
                <w:rFonts w:hint="eastAsia" w:ascii="Times New Roman" w:hAnsi="Times New Roman" w:eastAsia="宋体" w:cs="Times New Roman"/>
                <w:color w:val="auto"/>
                <w:szCs w:val="21"/>
                <w:highlight w:val="none"/>
                <w:lang w:val="en-US" w:eastAsia="zh-CN"/>
              </w:rPr>
              <w:br w:type="textWrapping"/>
            </w:r>
            <w:r>
              <w:rPr>
                <w:rFonts w:hint="eastAsia" w:ascii="Times New Roman" w:hAnsi="Times New Roman" w:eastAsia="宋体" w:cs="Times New Roman"/>
                <w:color w:val="auto"/>
                <w:szCs w:val="21"/>
                <w:highlight w:val="none"/>
                <w:lang w:val="en-US" w:eastAsia="zh-CN"/>
              </w:rPr>
              <w:t>（5）前轮：6英寸（150mm）前轮，配置为高强度工程塑料轮毂、免充气橡胶实心轮胎，耐磨；</w:t>
            </w:r>
            <w:r>
              <w:rPr>
                <w:rFonts w:hint="eastAsia" w:ascii="Times New Roman" w:hAnsi="Times New Roman" w:eastAsia="宋体" w:cs="Times New Roman"/>
                <w:color w:val="auto"/>
                <w:szCs w:val="21"/>
                <w:highlight w:val="none"/>
                <w:lang w:val="en-US" w:eastAsia="zh-CN"/>
              </w:rPr>
              <w:br w:type="textWrapping"/>
            </w:r>
            <w:r>
              <w:rPr>
                <w:rFonts w:hint="eastAsia" w:ascii="Times New Roman" w:hAnsi="Times New Roman" w:eastAsia="宋体" w:cs="Times New Roman"/>
                <w:color w:val="auto"/>
                <w:szCs w:val="21"/>
                <w:highlight w:val="none"/>
                <w:lang w:val="en-US" w:eastAsia="zh-CN"/>
              </w:rPr>
              <w:t>（6）后轮：12英寸（300mm）后轮配置为高强度工程塑料轮毂PU轮胎；</w:t>
            </w:r>
            <w:r>
              <w:rPr>
                <w:rFonts w:hint="eastAsia" w:ascii="Times New Roman" w:hAnsi="Times New Roman" w:eastAsia="宋体" w:cs="Times New Roman"/>
                <w:color w:val="auto"/>
                <w:szCs w:val="21"/>
                <w:highlight w:val="none"/>
                <w:lang w:val="en-US" w:eastAsia="zh-CN"/>
              </w:rPr>
              <w:br w:type="textWrapping"/>
            </w:r>
            <w:r>
              <w:rPr>
                <w:rFonts w:hint="eastAsia" w:ascii="Times New Roman" w:hAnsi="Times New Roman" w:eastAsia="宋体" w:cs="Times New Roman"/>
                <w:color w:val="auto"/>
                <w:szCs w:val="21"/>
                <w:highlight w:val="none"/>
                <w:lang w:val="en-US" w:eastAsia="zh-CN"/>
              </w:rPr>
              <w:t>（7）刹车：椅配有脚踩式驻车刹车，助推者只需在推轮椅的位置轻轻踩下刹车控制杆便能驻停轮椅；</w:t>
            </w:r>
            <w:r>
              <w:rPr>
                <w:rFonts w:hint="eastAsia" w:ascii="Times New Roman" w:hAnsi="Times New Roman" w:eastAsia="宋体" w:cs="Times New Roman"/>
                <w:color w:val="auto"/>
                <w:szCs w:val="21"/>
                <w:highlight w:val="none"/>
                <w:lang w:val="en-US" w:eastAsia="zh-CN"/>
              </w:rPr>
              <w:br w:type="textWrapping"/>
            </w:r>
            <w:r>
              <w:rPr>
                <w:rFonts w:hint="eastAsia" w:ascii="Times New Roman" w:hAnsi="Times New Roman" w:eastAsia="宋体" w:cs="Times New Roman"/>
                <w:color w:val="auto"/>
                <w:szCs w:val="21"/>
                <w:highlight w:val="none"/>
                <w:lang w:val="en-US" w:eastAsia="zh-CN"/>
              </w:rPr>
              <w:t>（8）脚踏：轮椅配有脚踏板，脚踏板高度可调节，且为可翻起结构，且方便使用者上下轮椅；</w:t>
            </w:r>
            <w:r>
              <w:rPr>
                <w:rFonts w:hint="eastAsia" w:ascii="Times New Roman" w:hAnsi="Times New Roman" w:eastAsia="宋体" w:cs="Times New Roman"/>
                <w:color w:val="auto"/>
                <w:szCs w:val="21"/>
                <w:highlight w:val="none"/>
                <w:lang w:val="en-US" w:eastAsia="zh-CN"/>
              </w:rPr>
              <w:br w:type="textWrapping"/>
            </w:r>
            <w:r>
              <w:rPr>
                <w:rFonts w:hint="eastAsia" w:ascii="Times New Roman" w:hAnsi="Times New Roman" w:eastAsia="宋体" w:cs="Times New Roman"/>
                <w:color w:val="auto"/>
                <w:szCs w:val="21"/>
                <w:highlight w:val="none"/>
                <w:lang w:val="en-US" w:eastAsia="zh-CN"/>
              </w:rPr>
              <w:t xml:space="preserve">（9）安全带：座位配有可调安全带；  </w:t>
            </w:r>
            <w:r>
              <w:rPr>
                <w:rFonts w:hint="eastAsia" w:ascii="Times New Roman" w:hAnsi="Times New Roman" w:eastAsia="宋体" w:cs="Times New Roman"/>
                <w:color w:val="auto"/>
                <w:szCs w:val="21"/>
                <w:highlight w:val="none"/>
                <w:lang w:val="en-US" w:eastAsia="zh-CN"/>
              </w:rPr>
              <w:br w:type="textWrapping"/>
            </w:r>
            <w:r>
              <w:rPr>
                <w:rFonts w:hint="eastAsia" w:ascii="Times New Roman" w:hAnsi="Times New Roman" w:eastAsia="宋体" w:cs="Times New Roman"/>
                <w:color w:val="auto"/>
                <w:szCs w:val="21"/>
                <w:highlight w:val="none"/>
                <w:lang w:val="en-US" w:eastAsia="zh-CN"/>
              </w:rPr>
              <w:t>（10）防倾装置：轮椅配防倾翻支架，可防止轮椅出现向后倾翻的危险；</w:t>
            </w:r>
            <w:r>
              <w:rPr>
                <w:rFonts w:hint="eastAsia" w:ascii="Times New Roman" w:hAnsi="Times New Roman" w:eastAsia="宋体" w:cs="Times New Roman"/>
                <w:color w:val="auto"/>
                <w:szCs w:val="21"/>
                <w:highlight w:val="none"/>
                <w:lang w:val="en-US" w:eastAsia="zh-CN"/>
              </w:rPr>
              <w:br w:type="textWrapping"/>
            </w:r>
            <w:r>
              <w:rPr>
                <w:rFonts w:hint="eastAsia" w:ascii="Times New Roman" w:hAnsi="Times New Roman" w:eastAsia="宋体" w:cs="Times New Roman"/>
                <w:color w:val="auto"/>
                <w:szCs w:val="21"/>
                <w:highlight w:val="none"/>
                <w:lang w:val="en-US" w:eastAsia="zh-CN"/>
              </w:rPr>
              <w:t>（11）餐板：轮椅可配装餐板供用餐使用。</w:t>
            </w:r>
          </w:p>
        </w:tc>
        <w:tc>
          <w:tcPr>
            <w:tcW w:w="83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val="en-US" w:eastAsia="zh-CN"/>
              </w:rPr>
              <w:t>辆</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val="en-US" w:eastAsia="zh-CN"/>
              </w:rPr>
              <w:t>2</w:t>
            </w:r>
            <w:r>
              <w:rPr>
                <w:rFonts w:hint="eastAsia" w:cs="Times New Roman"/>
                <w:color w:val="auto"/>
                <w:szCs w:val="21"/>
                <w:highlight w:val="none"/>
                <w:lang w:val="en-US" w:eastAsia="zh-CN"/>
              </w:rPr>
              <w:t>2</w:t>
            </w:r>
            <w:r>
              <w:rPr>
                <w:rFonts w:hint="eastAsia" w:ascii="Times New Roman" w:hAnsi="Times New Roman" w:eastAsia="宋体" w:cs="Times New Roman"/>
                <w:color w:val="auto"/>
                <w:szCs w:val="21"/>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default" w:ascii="Times New Roman" w:hAnsi="Times New Roman" w:eastAsia="宋体" w:cs="Times New Roman"/>
                <w:color w:val="auto"/>
                <w:szCs w:val="21"/>
                <w:lang w:val="en-US"/>
              </w:rPr>
            </w:pPr>
            <w:r>
              <w:rPr>
                <w:rFonts w:hint="eastAsia" w:ascii="Times New Roman" w:hAnsi="Times New Roman" w:eastAsia="宋体" w:cs="Times New Roman"/>
                <w:color w:val="auto"/>
                <w:szCs w:val="21"/>
                <w:lang w:val="en-US" w:eastAsia="zh-CN"/>
              </w:rPr>
              <w:t>1</w:t>
            </w:r>
            <w:r>
              <w:rPr>
                <w:rFonts w:hint="eastAsia" w:cs="Times New Roman"/>
                <w:color w:val="auto"/>
                <w:szCs w:val="21"/>
                <w:lang w:val="en-US" w:eastAsia="zh-CN"/>
              </w:rPr>
              <w:t>9</w:t>
            </w:r>
          </w:p>
        </w:tc>
        <w:tc>
          <w:tcPr>
            <w:tcW w:w="1133"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电动轮椅（室内型、钢制</w:t>
            </w:r>
          </w:p>
        </w:tc>
        <w:tc>
          <w:tcPr>
            <w:tcW w:w="60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1.产品符合GB/T12996-2012《电动轮椅车》国家标准要求。</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2.针对本次招标，GB/T12996-2012《电动轮椅车》国家标准中规格、类型及其他不确定的，请按以下要求执行:</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（1）产品为电动四轮轮椅；</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（2）产品尺寸：总长1080mm、总宽620mm、总高940mm，折叠宽度390mm、座位宽度460mm、座位深度400mm、座位离地高度500mm、靠背高度400mm、最大载荷≥100kg；（允许误差±5mm）</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（3）车架：高强度钢管材料，主体承重结构管直径≥22mm、壁厚≥1.2mm，表面处理为烤漆表面或镀铬处理，带有折背功能，存放体积小，运输方便；</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（4）由操纵手柄控制行驶方向、速度、转向和制动，操纵手柄为万向无限度控制器；</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（5）净重50KG±2，电机250w×2，带电磁刹车；采用铅酸电池24V21Ah，充电器3.0A，安全制动1.0m；</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（6）续行里程不低于20 km(±10%)，最大爬坡能力≥8°，最高时速为6km/h ；</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（7）具有工作状态和电量显示、具有倒车功能，具有电量显示功能、速度调节功能、喇叭功能，具有离合装置便于无动力时推动轮椅，带有电子刹车以保证行驶安全；</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8）轮椅的座椅及靠背为软座、软靠背，材料为牛津尼龙布，坐垫采用双层坐垫，下坐垫中间使用高密400d的涤纶帆布夹层，上层坐垫中使用加厚海绵，坐垫长期使用不易变形或下榻；缝边牢固整齐，无褶皱、跳线和破损等缺陷；配有安全带；</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（9）上翻活动扶手，配置高品质PU扶手垫；</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（10）脚踏板高度可调，角度可调；脚托可快速拆卸，方便用者上下车使用；</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（11）前轮为直径8英寸的加宽高品质PU轮胎，配置高强度工程塑料轮毂；</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（12）后轮为16英寸充气轮胎，配置为高强度铝合金轮毂；</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（13）轮椅带有防后翻装置。</w:t>
            </w:r>
          </w:p>
        </w:tc>
        <w:tc>
          <w:tcPr>
            <w:tcW w:w="83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辆</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default" w:ascii="Times New Roman" w:hAnsi="Times New Roman" w:eastAsia="宋体" w:cs="Times New Roman"/>
                <w:color w:val="auto"/>
                <w:szCs w:val="21"/>
                <w:lang w:val="en-US"/>
              </w:rPr>
            </w:pPr>
            <w:r>
              <w:rPr>
                <w:rFonts w:hint="eastAsia" w:ascii="Times New Roman" w:hAnsi="Times New Roman" w:eastAsia="宋体" w:cs="Times New Roman"/>
                <w:color w:val="auto"/>
                <w:szCs w:val="21"/>
                <w:lang w:val="en-US" w:eastAsia="zh-CN"/>
              </w:rPr>
              <w:t>4</w:t>
            </w:r>
            <w:r>
              <w:rPr>
                <w:rFonts w:hint="eastAsia" w:cs="Times New Roman"/>
                <w:color w:val="auto"/>
                <w:szCs w:val="21"/>
                <w:lang w:val="en-US" w:eastAsia="zh-CN"/>
              </w:rPr>
              <w:t>400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20</w:t>
            </w:r>
          </w:p>
        </w:tc>
        <w:tc>
          <w:tcPr>
            <w:tcW w:w="1133"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电动轮椅（室内型、铝合金制）</w:t>
            </w:r>
          </w:p>
        </w:tc>
        <w:tc>
          <w:tcPr>
            <w:tcW w:w="60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1.产品符合GB/T12996-2012《电动轮椅车》国家标准要求。</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2.针对本次招标，GB/T12996-2012《电动轮椅车》国家标准中规格、类型及其他不确定的，请按以下要求执行:</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（1）产品为电动四轮轮椅；</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（2）产品尺寸：总长1060mm、总宽630mm、总高930mm（允许误差±5mm），折叠宽度390mm、座位宽度460mm、座位深度400mm、座位离地高度480mm、靠背高度420 mm、最大载荷≥100kg；</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（3）车架：高强度铝合金材质，主体承重结构管直径≥22mm、壁厚≥2.0mm，表面处理为烤漆表面或镀铬处理，带有折背功能，存放体积小，运输方便；</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（4）由操纵手柄控制行驶方向、速度、转向和制动，操纵手柄为万向无限度控制器；</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（5）净重25KG±2，采用200w×2无刷电机，行驶平稳，爬坡能力强，噪音小；带电磁刹车；采用侧挂型锂电池，容量≥15AH，充电器3.0A，安全制动1.0m；</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（6）续行里程不低于17km(±10%)，最大爬坡能力≥8°，最高时速为6km/h ；</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（7）具有工作状态和电量显示、具有倒车功能，具有电量显示功能、速度调节功能、喇叭功能、灯光功能，具有离合装置便于无动力时推动轮椅，带有电子刹车以保证行驶安全；</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8）轮椅的座椅及靠背为软座、软靠背，材料为牛津尼龙布，坐垫采用双层坐垫，下坐垫中间使用高密400d的涤纶帆布夹层，上层坐垫中使用加厚海绵，坐垫长期使用不易变形或下榻；缝边牢固整齐，无褶皱、跳线和破损等缺陷；配有安全带；</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（9）后翻式活动扶手，配置高品质PU扶手垫；</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（10）活动脚托，脚托可上翻，配高强度塑料脚踏板，脚踏板高度可调节；</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（11）前轮为直径8英寸的加宽高品质PU轮胎，配置高强度工程塑料轮毂；</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（12）后轮为12英寸实心后轮，配置为高强度铝合金轮毂；</w:t>
            </w:r>
            <w:r>
              <w:rPr>
                <w:rFonts w:hint="eastAsia" w:ascii="Times New Roman" w:hAnsi="Times New Roman" w:eastAsia="宋体" w:cs="Times New Roman"/>
                <w:color w:val="auto"/>
                <w:szCs w:val="21"/>
                <w:lang w:val="en-US" w:eastAsia="zh-CN"/>
              </w:rPr>
              <w:br w:type="textWrapping"/>
            </w:r>
            <w:r>
              <w:rPr>
                <w:rFonts w:hint="eastAsia" w:ascii="Times New Roman" w:hAnsi="Times New Roman" w:eastAsia="宋体" w:cs="Times New Roman"/>
                <w:color w:val="auto"/>
                <w:szCs w:val="21"/>
                <w:lang w:val="en-US" w:eastAsia="zh-CN"/>
              </w:rPr>
              <w:t>（13）轮椅带有防后翻装置。</w:t>
            </w:r>
          </w:p>
        </w:tc>
        <w:tc>
          <w:tcPr>
            <w:tcW w:w="83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辆</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5000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701" w:type="dxa"/>
            <w:gridSpan w:val="7"/>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b/>
                <w:color w:val="auto"/>
                <w:szCs w:val="21"/>
              </w:rPr>
            </w:pPr>
            <w:r>
              <w:rPr>
                <w:rFonts w:hint="eastAsia" w:ascii="宋体" w:hAnsi="宋体" w:cs="宋体"/>
                <w:b/>
                <w:color w:val="auto"/>
                <w:szCs w:val="21"/>
              </w:rPr>
              <w:t>二、</w:t>
            </w:r>
            <w:r>
              <w:rPr>
                <w:rFonts w:hint="eastAsia"/>
                <w:color w:val="auto"/>
                <w:szCs w:val="21"/>
              </w:rPr>
              <w:t>▲</w:t>
            </w:r>
            <w:r>
              <w:rPr>
                <w:rFonts w:hint="eastAsia" w:ascii="宋体" w:hAnsi="宋体" w:cs="宋体"/>
                <w:b/>
                <w:color w:val="auto"/>
                <w:szCs w:val="21"/>
              </w:rPr>
              <w:t>商务要求表</w:t>
            </w:r>
            <w:r>
              <w:rPr>
                <w:rFonts w:hint="eastAsia" w:hAnsi="宋体"/>
                <w:b/>
                <w:color w:val="auto"/>
                <w:szCs w:val="21"/>
              </w:rPr>
              <w:t>（投标人商务响应表与售后服务承诺同一内容不相符的，以低计算）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67"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color w:val="auto"/>
                <w:szCs w:val="21"/>
              </w:rPr>
            </w:pPr>
            <w:r>
              <w:rPr>
                <w:rFonts w:hint="eastAsia" w:ascii="宋体" w:hAnsi="宋体" w:cs="宋体"/>
                <w:color w:val="auto"/>
                <w:szCs w:val="21"/>
              </w:rPr>
              <w:t>质保期</w:t>
            </w:r>
          </w:p>
        </w:tc>
        <w:tc>
          <w:tcPr>
            <w:tcW w:w="8034" w:type="dxa"/>
            <w:gridSpan w:val="4"/>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color w:val="auto"/>
                <w:szCs w:val="21"/>
              </w:rPr>
            </w:pPr>
            <w:r>
              <w:rPr>
                <w:rFonts w:hint="eastAsia" w:ascii="宋体" w:hAnsi="宋体" w:cs="宋体"/>
                <w:color w:val="auto"/>
                <w:szCs w:val="21"/>
              </w:rPr>
              <w:t>按国家有关产品“三包”规定执行“三包”，最短不得少于2年，自设备验收合格之日起计算。终身维护。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6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售后技术服务要求</w:t>
            </w:r>
          </w:p>
        </w:tc>
        <w:tc>
          <w:tcPr>
            <w:tcW w:w="8034" w:type="dxa"/>
            <w:gridSpan w:val="4"/>
            <w:tcBorders>
              <w:top w:val="single" w:color="auto" w:sz="4" w:space="0"/>
              <w:left w:val="single" w:color="auto" w:sz="4" w:space="0"/>
              <w:bottom w:val="single" w:color="auto" w:sz="4" w:space="0"/>
              <w:right w:val="single" w:color="auto" w:sz="4" w:space="0"/>
            </w:tcBorders>
          </w:tcPr>
          <w:p>
            <w:pPr>
              <w:spacing w:line="400" w:lineRule="exact"/>
              <w:rPr>
                <w:color w:val="auto"/>
                <w:szCs w:val="21"/>
              </w:rPr>
            </w:pPr>
            <w:r>
              <w:rPr>
                <w:rFonts w:hint="eastAsia"/>
                <w:color w:val="auto"/>
                <w:szCs w:val="21"/>
              </w:rPr>
              <w:t>质保期内免费维修、免费更换零部件，服务内容如下：</w:t>
            </w:r>
          </w:p>
          <w:p>
            <w:pPr>
              <w:spacing w:line="400" w:lineRule="exact"/>
              <w:rPr>
                <w:color w:val="auto"/>
                <w:szCs w:val="21"/>
              </w:rPr>
            </w:pPr>
            <w:r>
              <w:rPr>
                <w:rFonts w:hint="eastAsia"/>
                <w:color w:val="auto"/>
                <w:szCs w:val="21"/>
              </w:rPr>
              <w:t>（1）免费送货至交货地点、免费调试货物到最佳状态、免费培训操作人员。</w:t>
            </w:r>
          </w:p>
          <w:p>
            <w:pPr>
              <w:spacing w:line="400" w:lineRule="exact"/>
              <w:rPr>
                <w:color w:val="auto"/>
                <w:szCs w:val="21"/>
              </w:rPr>
            </w:pPr>
            <w:r>
              <w:rPr>
                <w:rFonts w:hint="eastAsia"/>
                <w:color w:val="auto"/>
                <w:szCs w:val="21"/>
              </w:rPr>
              <w:t>（2）维修响应：中标供应商在接到用户维修电话后3小时内响应，24小时内到达现场修理解决，并免费更换有缺陷的货物或零部件，48小时内恢复正常使用，若不能修复则应有合理应对方案。</w:t>
            </w:r>
          </w:p>
          <w:p>
            <w:pPr>
              <w:spacing w:line="400" w:lineRule="exact"/>
              <w:rPr>
                <w:color w:val="auto"/>
                <w:szCs w:val="21"/>
              </w:rPr>
            </w:pPr>
            <w:r>
              <w:rPr>
                <w:rFonts w:hint="eastAsia"/>
                <w:color w:val="auto"/>
                <w:szCs w:val="21"/>
              </w:rPr>
              <w:t>（3）中标人除承担运输、验收与培训等义务外，还将为采购人提供技术支持，包括保修期外的修理及技术指导、配件供应等。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3" w:hRule="atLeast"/>
        </w:trPr>
        <w:tc>
          <w:tcPr>
            <w:tcW w:w="166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交货时间及地点</w:t>
            </w:r>
          </w:p>
        </w:tc>
        <w:tc>
          <w:tcPr>
            <w:tcW w:w="8034"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1、交货时间：</w:t>
            </w:r>
            <w:r>
              <w:rPr>
                <w:rFonts w:hint="eastAsia" w:ascii="宋体" w:hAnsi="宋体"/>
                <w:bCs/>
                <w:color w:val="auto"/>
                <w:szCs w:val="21"/>
              </w:rPr>
              <w:t>中标人接到采购人每次发出的订单后20个工作日内交付货物并验收合格</w:t>
            </w:r>
            <w:r>
              <w:rPr>
                <w:rFonts w:hint="eastAsia" w:ascii="宋体" w:hAnsi="宋体" w:cs="宋体"/>
                <w:color w:val="auto"/>
                <w:szCs w:val="21"/>
              </w:rPr>
              <w:t>。</w:t>
            </w:r>
          </w:p>
          <w:p>
            <w:pPr>
              <w:spacing w:line="400" w:lineRule="exact"/>
              <w:rPr>
                <w:rFonts w:ascii="宋体" w:hAnsi="宋体" w:cs="宋体"/>
                <w:color w:val="auto"/>
                <w:szCs w:val="21"/>
              </w:rPr>
            </w:pPr>
            <w:r>
              <w:rPr>
                <w:rFonts w:hint="eastAsia" w:ascii="宋体" w:hAnsi="宋体" w:cs="宋体"/>
                <w:color w:val="auto"/>
                <w:szCs w:val="21"/>
              </w:rPr>
              <w:t>2、交货地点：采购单位县（市、区）残联指定的县（市、区）或乡镇（街道），后续配送入户由县（市、区）残联和乡镇（街道）残联负责组织完成。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59" w:hRule="atLeast"/>
        </w:trPr>
        <w:tc>
          <w:tcPr>
            <w:tcW w:w="166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付款方式</w:t>
            </w:r>
          </w:p>
        </w:tc>
        <w:tc>
          <w:tcPr>
            <w:tcW w:w="8034"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由中标供应商与广西壮族自治区残疾人联合会签订总合同，并与采购单位县（市、区）残联签订分合同。乙方根据县（市、区）残联需求按订单供货，每次订单的货物经交付验收合格后十个工作日内，由甲方按乙方中标标的物的中标单价和实际供货数量计算，以转帐方式一次性付清订单货款（无预付款）。乙方自收到货款之日起五个工作日内开具发票给甲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59" w:hRule="atLeast"/>
        </w:trPr>
        <w:tc>
          <w:tcPr>
            <w:tcW w:w="166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投标报价</w:t>
            </w:r>
          </w:p>
        </w:tc>
        <w:tc>
          <w:tcPr>
            <w:tcW w:w="8034"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投标人按折让率进行报价，本项目折让率允许范围20%（含）以内，超出范围不予接受，作无效投标处理；本项目不接受零折让率的报价（例如：九折的折让率为10%；八折的折让率为20%），投标折让率必须是固定的（如10%），不得存在区间值（如：5%~10%），统一对本项目报一个投标折让率，不接受有选择的报价，且所报的投标折让率应当适用于本项目的所有投标产品。投标人报价时应充分把实施项目过程中所产生的成品辅具、使用指导、运输配送、备品备件、跟踪回访、质保服务、使用指导、培训、技术支持、验收及其它所有相关费用列入投标报价中。采购人不再针对本项目另行支付其他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701"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b/>
                <w:color w:val="auto"/>
                <w:szCs w:val="21"/>
              </w:rPr>
              <w:t>三、投标人的资信要求表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7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政策性加分条件</w:t>
            </w:r>
          </w:p>
        </w:tc>
        <w:tc>
          <w:tcPr>
            <w:tcW w:w="8129"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符合节能环保等国家政策要求。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701"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b/>
                <w:color w:val="auto"/>
                <w:szCs w:val="21"/>
              </w:rPr>
              <w:t>四、采购人对项目的特殊要求及说明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67"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color w:val="auto"/>
                <w:szCs w:val="21"/>
              </w:rPr>
            </w:pPr>
            <w:r>
              <w:rPr>
                <w:rFonts w:hint="eastAsia" w:ascii="宋体" w:hAnsi="宋体" w:cs="宋体"/>
                <w:color w:val="auto"/>
                <w:szCs w:val="21"/>
              </w:rPr>
              <w:t>产品资料说明文件</w:t>
            </w:r>
          </w:p>
        </w:tc>
        <w:tc>
          <w:tcPr>
            <w:tcW w:w="8034" w:type="dxa"/>
            <w:gridSpan w:val="4"/>
            <w:tcBorders>
              <w:top w:val="single" w:color="auto" w:sz="4" w:space="0"/>
              <w:left w:val="single" w:color="auto" w:sz="4" w:space="0"/>
              <w:bottom w:val="single" w:color="auto" w:sz="4" w:space="0"/>
              <w:right w:val="single" w:color="auto" w:sz="4" w:space="0"/>
            </w:tcBorders>
          </w:tcPr>
          <w:p>
            <w:pPr>
              <w:spacing w:line="400" w:lineRule="exact"/>
              <w:rPr>
                <w:color w:val="auto"/>
                <w:szCs w:val="21"/>
              </w:rPr>
            </w:pPr>
            <w:r>
              <w:rPr>
                <w:rFonts w:hint="eastAsia"/>
                <w:color w:val="auto"/>
                <w:szCs w:val="21"/>
              </w:rPr>
              <w:t>1、招标文件要求提供有效检测报告复印件必须满足，评标时当技术响应表中的参数与检测报告不一致时，以检测报告为准。▲2、投标产品中涉及国家专项审批的，投标人在投标文件中需提供相关医疗器械生产许可证和医疗器械注册证明细表复印件。</w:t>
            </w:r>
          </w:p>
          <w:p>
            <w:pPr>
              <w:spacing w:line="400" w:lineRule="exact"/>
              <w:rPr>
                <w:color w:val="auto"/>
                <w:szCs w:val="21"/>
              </w:rPr>
            </w:pPr>
            <w:r>
              <w:rPr>
                <w:rFonts w:hint="eastAsia"/>
                <w:color w:val="auto"/>
                <w:szCs w:val="21"/>
              </w:rPr>
              <w:t>▲3、提供所有投标单个产品的照片，照片拍摄要求：单个产品正面左前方45度方位，俯视30度拍摄的照片一张，白底，JPEG格式，图像清晰，像素≧5M，并按照“生产厂家+品名+规格型号+主要材料”内容顺序，逐项作书面说明，A4纸单面限于两个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6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采购人的特殊要求及说明</w:t>
            </w:r>
          </w:p>
        </w:tc>
        <w:tc>
          <w:tcPr>
            <w:tcW w:w="8034" w:type="dxa"/>
            <w:gridSpan w:val="4"/>
            <w:tcBorders>
              <w:top w:val="single" w:color="auto" w:sz="4" w:space="0"/>
              <w:left w:val="single" w:color="auto" w:sz="4" w:space="0"/>
              <w:bottom w:val="single" w:color="auto" w:sz="4" w:space="0"/>
              <w:right w:val="single" w:color="auto" w:sz="4" w:space="0"/>
            </w:tcBorders>
            <w:vAlign w:val="center"/>
          </w:tcPr>
          <w:p>
            <w:pPr>
              <w:pStyle w:val="13"/>
              <w:spacing w:line="400" w:lineRule="exact"/>
              <w:rPr>
                <w:rFonts w:hint="eastAsia" w:ascii="宋体" w:hAnsi="宋体" w:cs="宋体"/>
                <w:color w:val="auto"/>
                <w:szCs w:val="21"/>
              </w:rPr>
            </w:pPr>
            <w:r>
              <w:rPr>
                <w:rFonts w:hint="eastAsia" w:ascii="宋体" w:hAnsi="宋体" w:cs="宋体"/>
                <w:color w:val="auto"/>
                <w:szCs w:val="21"/>
              </w:rPr>
              <w:t>▲本项目未办理进口产品的相关审批手续，不接受进口产品（即通过中国海关报关验放进入中国境内且产自关境外的产品）参与投标，如有此类产品参与投标的，作无效投标处理。</w:t>
            </w:r>
          </w:p>
          <w:p>
            <w:pPr>
              <w:pStyle w:val="13"/>
              <w:spacing w:line="400" w:lineRule="exact"/>
              <w:rPr>
                <w:rFonts w:hint="eastAsia" w:ascii="宋体" w:hAnsi="宋体" w:cs="宋体"/>
                <w:color w:val="auto"/>
                <w:szCs w:val="21"/>
              </w:rPr>
            </w:pPr>
            <w:r>
              <w:rPr>
                <w:rFonts w:hint="eastAsia" w:ascii="宋体" w:hAnsi="宋体" w:cs="宋体"/>
                <w:color w:val="auto"/>
                <w:szCs w:val="21"/>
              </w:rPr>
              <w:t>▲本项目具体采购的暂估数量是采购人为了便于评标先拟定的暂估数量，在实际合同执行过程中，由采购人根据工作中发生的实际数量定，采购人按实际数量结算，投标人必须接受这一情况。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1" w:hRule="atLeast"/>
        </w:trPr>
        <w:tc>
          <w:tcPr>
            <w:tcW w:w="166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其他要求</w:t>
            </w:r>
          </w:p>
        </w:tc>
        <w:tc>
          <w:tcPr>
            <w:tcW w:w="8034" w:type="dxa"/>
            <w:gridSpan w:val="4"/>
            <w:tcBorders>
              <w:top w:val="single" w:color="auto" w:sz="4" w:space="0"/>
              <w:left w:val="single" w:color="auto" w:sz="4" w:space="0"/>
              <w:bottom w:val="single" w:color="auto" w:sz="4" w:space="0"/>
              <w:right w:val="single" w:color="auto" w:sz="4" w:space="0"/>
            </w:tcBorders>
            <w:vAlign w:val="center"/>
          </w:tcPr>
          <w:p>
            <w:pPr>
              <w:pStyle w:val="8"/>
              <w:jc w:val="both"/>
              <w:rPr>
                <w:rFonts w:ascii="宋体" w:hAnsi="宋体" w:eastAsia="宋体" w:cs="宋体"/>
                <w:color w:val="auto"/>
                <w:sz w:val="21"/>
                <w:szCs w:val="21"/>
              </w:rPr>
            </w:pPr>
            <w:r>
              <w:rPr>
                <w:rFonts w:hint="eastAsia" w:ascii="宋体" w:hAnsi="宋体" w:eastAsia="宋体" w:cs="宋体"/>
                <w:color w:val="auto"/>
                <w:sz w:val="21"/>
                <w:szCs w:val="21"/>
              </w:rPr>
              <w:t>▲1、第</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项、第</w:t>
            </w:r>
            <w:r>
              <w:rPr>
                <w:rFonts w:hint="eastAsia" w:ascii="宋体" w:hAnsi="宋体" w:eastAsia="宋体" w:cs="宋体"/>
                <w:color w:val="auto"/>
                <w:sz w:val="21"/>
                <w:szCs w:val="21"/>
                <w:lang w:val="en-US" w:eastAsia="zh-CN"/>
              </w:rPr>
              <w:t>13</w:t>
            </w:r>
            <w:r>
              <w:rPr>
                <w:rFonts w:hint="eastAsia" w:ascii="宋体" w:hAnsi="宋体" w:eastAsia="宋体" w:cs="宋体"/>
                <w:color w:val="auto"/>
                <w:sz w:val="21"/>
                <w:szCs w:val="21"/>
              </w:rPr>
              <w:t>项投标产品为核心产品，核心产品品牌相同的，视为提供相同品牌产品。提供相同品牌产品的不同投标人参加同一合同项下投标的，按一家投标人计算，以其中通过资格审查、符合性审查的不同投标人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8"/>
              <w:jc w:val="both"/>
              <w:rPr>
                <w:rFonts w:ascii="宋体" w:hAnsi="宋体" w:cs="宋体"/>
                <w:color w:val="auto"/>
                <w:szCs w:val="21"/>
              </w:rPr>
            </w:pPr>
            <w:r>
              <w:rPr>
                <w:rFonts w:hint="eastAsia" w:ascii="宋体" w:hAnsi="宋体" w:eastAsia="宋体" w:cs="宋体"/>
                <w:color w:val="auto"/>
                <w:sz w:val="21"/>
                <w:szCs w:val="21"/>
              </w:rPr>
              <w:t>▲2、第</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项、第3项、第9项、第13项、第14项投标产品需提供</w:t>
            </w:r>
            <w:r>
              <w:rPr>
                <w:rFonts w:hint="eastAsia" w:ascii="宋体" w:hAnsi="宋体" w:eastAsia="宋体" w:cs="宋体"/>
                <w:color w:val="auto"/>
                <w:sz w:val="21"/>
                <w:szCs w:val="21"/>
                <w:lang w:val="en-US" w:eastAsia="zh-CN"/>
              </w:rPr>
              <w:t>省级及以上相关专业质量监督检验部门出具的检测报告</w:t>
            </w:r>
            <w:r>
              <w:rPr>
                <w:rFonts w:hint="eastAsia" w:ascii="宋体" w:hAnsi="宋体" w:eastAsia="宋体" w:cs="宋体"/>
                <w:color w:val="auto"/>
                <w:sz w:val="21"/>
                <w:szCs w:val="21"/>
              </w:rPr>
              <w:t>，检测报告的检测时间为</w:t>
            </w:r>
            <w:r>
              <w:rPr>
                <w:rFonts w:hint="eastAsia" w:ascii="宋体" w:hAnsi="宋体" w:eastAsia="宋体" w:cs="宋体"/>
                <w:color w:val="auto"/>
                <w:sz w:val="21"/>
                <w:szCs w:val="21"/>
                <w:lang w:val="en-US" w:eastAsia="zh-CN"/>
              </w:rPr>
              <w:t>四</w:t>
            </w:r>
            <w:r>
              <w:rPr>
                <w:rFonts w:hint="eastAsia" w:ascii="宋体" w:hAnsi="宋体" w:eastAsia="宋体" w:cs="宋体"/>
                <w:color w:val="auto"/>
                <w:sz w:val="21"/>
                <w:szCs w:val="21"/>
              </w:rPr>
              <w:t>年（2019年、2020年、2021年</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2022年</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且不得晚于招标项目参数公示日之后。</w:t>
            </w:r>
          </w:p>
        </w:tc>
      </w:tr>
    </w:tbl>
    <w:p>
      <w:pPr>
        <w:spacing w:line="360" w:lineRule="auto"/>
        <w:ind w:firstLine="310" w:firstLineChars="147"/>
        <w:jc w:val="left"/>
        <w:rPr>
          <w:rFonts w:hint="eastAsia" w:ascii="宋体" w:hAnsi="宋体"/>
          <w:b/>
          <w:color w:val="000000"/>
          <w:szCs w:val="21"/>
        </w:rPr>
      </w:pPr>
    </w:p>
    <w:p>
      <w:pPr>
        <w:spacing w:line="360" w:lineRule="auto"/>
        <w:ind w:firstLine="310" w:firstLineChars="147"/>
        <w:jc w:val="left"/>
        <w:rPr>
          <w:rFonts w:hint="eastAsia" w:ascii="宋体" w:hAnsi="宋体"/>
          <w:b/>
          <w:color w:val="000000"/>
          <w:szCs w:val="21"/>
        </w:rPr>
      </w:pPr>
    </w:p>
    <w:p>
      <w:pPr>
        <w:spacing w:line="360" w:lineRule="auto"/>
        <w:ind w:firstLine="310" w:firstLineChars="147"/>
        <w:jc w:val="left"/>
        <w:rPr>
          <w:rFonts w:hint="eastAsia" w:ascii="宋体" w:hAnsi="宋体"/>
          <w:b/>
          <w:color w:val="000000"/>
          <w:szCs w:val="21"/>
        </w:rPr>
      </w:pPr>
    </w:p>
    <w:p>
      <w:pPr>
        <w:spacing w:line="360" w:lineRule="auto"/>
        <w:ind w:firstLine="310" w:firstLineChars="147"/>
        <w:jc w:val="left"/>
        <w:outlineLvl w:val="1"/>
        <w:rPr>
          <w:rFonts w:hint="eastAsia" w:ascii="宋体" w:hAnsi="宋体"/>
          <w:b/>
          <w:color w:val="000000"/>
          <w:szCs w:val="21"/>
        </w:rPr>
      </w:pPr>
      <w:r>
        <w:rPr>
          <w:rFonts w:hint="eastAsia" w:ascii="宋体" w:hAnsi="宋体"/>
          <w:b/>
          <w:color w:val="000000"/>
          <w:szCs w:val="21"/>
        </w:rPr>
        <w:t>C分标：</w:t>
      </w:r>
    </w:p>
    <w:tbl>
      <w:tblPr>
        <w:tblStyle w:val="24"/>
        <w:tblW w:w="999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1029"/>
        <w:gridCol w:w="104"/>
        <w:gridCol w:w="6664"/>
        <w:gridCol w:w="708"/>
        <w:gridCol w:w="8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990" w:type="dxa"/>
            <w:gridSpan w:val="6"/>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b/>
                <w:color w:val="000000"/>
                <w:szCs w:val="21"/>
              </w:rPr>
            </w:pPr>
            <w:r>
              <w:rPr>
                <w:rFonts w:hint="eastAsia" w:ascii="宋体" w:hAnsi="宋体" w:cs="宋体"/>
                <w:b/>
                <w:color w:val="000000"/>
                <w:szCs w:val="21"/>
              </w:rPr>
              <w:t>一、项目要求及技术需求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项号</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货物名称</w:t>
            </w:r>
          </w:p>
        </w:tc>
        <w:tc>
          <w:tcPr>
            <w:tcW w:w="66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技术参数及性能（配置）要求</w:t>
            </w:r>
          </w:p>
        </w:tc>
        <w:tc>
          <w:tcPr>
            <w:tcW w:w="7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单位</w:t>
            </w:r>
          </w:p>
        </w:tc>
        <w:tc>
          <w:tcPr>
            <w:tcW w:w="8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val="en-US" w:eastAsia="zh-CN"/>
              </w:rPr>
              <w:t>1</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val="en-US" w:eastAsia="zh-CN"/>
              </w:rPr>
              <w:t>防压疮床垫（充气护理）</w:t>
            </w:r>
          </w:p>
        </w:tc>
        <w:tc>
          <w:tcPr>
            <w:tcW w:w="66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1.18支单管，每支单管都有单管固定座，可提供较佳的支撑力；</w:t>
            </w:r>
          </w:p>
          <w:p>
            <w:pPr>
              <w:widowControl/>
              <w:numPr>
                <w:ilvl w:val="0"/>
                <w:numId w:val="3"/>
              </w:numPr>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钉扣式床罩，70丹尼的防水上盖，可完全拆卸与清洗；</w:t>
            </w:r>
          </w:p>
          <w:p>
            <w:pPr>
              <w:widowControl/>
              <w:numPr>
                <w:ilvl w:val="0"/>
                <w:numId w:val="3"/>
              </w:numPr>
              <w:spacing w:line="320" w:lineRule="exact"/>
              <w:jc w:val="left"/>
              <w:textAlignment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val="en-US" w:eastAsia="zh-CN"/>
              </w:rPr>
              <w:t>前三管具有头枕功能；</w:t>
            </w:r>
          </w:p>
          <w:p>
            <w:pPr>
              <w:widowControl/>
              <w:numPr>
                <w:ilvl w:val="0"/>
                <w:numId w:val="3"/>
              </w:numPr>
              <w:spacing w:line="320" w:lineRule="exact"/>
              <w:jc w:val="left"/>
              <w:textAlignment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val="en-US" w:eastAsia="zh-CN"/>
              </w:rPr>
              <w:t>通过生物兼容性测试：细胞毒性、刺激性、皮肤过敏；</w:t>
            </w:r>
          </w:p>
          <w:p>
            <w:pPr>
              <w:widowControl/>
              <w:numPr>
                <w:ilvl w:val="0"/>
                <w:numId w:val="3"/>
              </w:numPr>
              <w:spacing w:line="320" w:lineRule="exact"/>
              <w:jc w:val="left"/>
              <w:textAlignment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val="en-US" w:eastAsia="zh-CN"/>
              </w:rPr>
              <w:t>坚固轻便的主机有利携带。</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val="en-US" w:eastAsia="zh-CN"/>
              </w:rPr>
              <w:t>张</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val="en-US" w:eastAsia="zh-CN"/>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val="en-US" w:eastAsia="zh-CN"/>
              </w:rPr>
              <w:t>2</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val="en-US" w:eastAsia="zh-CN"/>
              </w:rPr>
              <w:t>防压疮床垫（充气ＰＶＣ）</w:t>
            </w:r>
          </w:p>
        </w:tc>
        <w:tc>
          <w:tcPr>
            <w:tcW w:w="6664" w:type="dxa"/>
            <w:tcBorders>
              <w:top w:val="single" w:color="auto" w:sz="4" w:space="0"/>
              <w:left w:val="single" w:color="auto" w:sz="4" w:space="0"/>
              <w:bottom w:val="single" w:color="auto" w:sz="4" w:space="0"/>
              <w:right w:val="single" w:color="auto" w:sz="4" w:space="0"/>
            </w:tcBorders>
            <w:vAlign w:val="center"/>
          </w:tcPr>
          <w:p>
            <w:pPr>
              <w:widowControl/>
              <w:numPr>
                <w:ilvl w:val="0"/>
                <w:numId w:val="4"/>
              </w:numPr>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床垫主体为充气床垫。床垫由主机气泵、床面喷气条组成；</w:t>
            </w:r>
          </w:p>
          <w:p>
            <w:pPr>
              <w:widowControl/>
              <w:numPr>
                <w:ilvl w:val="0"/>
                <w:numId w:val="4"/>
              </w:numPr>
              <w:spacing w:line="320" w:lineRule="exact"/>
              <w:jc w:val="left"/>
              <w:textAlignment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val="en-US" w:eastAsia="zh-CN"/>
              </w:rPr>
              <w:t>材质：国际通用0.36mm厚度布料及尼龙PVC医用级布料组成，吸湿透气良好；</w:t>
            </w:r>
          </w:p>
          <w:p>
            <w:pPr>
              <w:widowControl/>
              <w:numPr>
                <w:ilvl w:val="0"/>
                <w:numId w:val="4"/>
              </w:numPr>
              <w:spacing w:line="320" w:lineRule="exact"/>
              <w:jc w:val="left"/>
              <w:textAlignment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val="en-US" w:eastAsia="zh-CN"/>
              </w:rPr>
              <w:t>主机：采用ABS工程塑料，主机充气循环系统；气泵充气性能稳定，防寒、防高温的优质橡胶软管；</w:t>
            </w:r>
          </w:p>
          <w:p>
            <w:pPr>
              <w:widowControl/>
              <w:numPr>
                <w:ilvl w:val="0"/>
                <w:numId w:val="4"/>
              </w:numPr>
              <w:spacing w:line="320" w:lineRule="exact"/>
              <w:jc w:val="left"/>
              <w:textAlignment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val="en-US" w:eastAsia="zh-CN"/>
              </w:rPr>
              <w:t>功能：波动、喷气、防霉、防滑、透气，有弹力，能适应坐姿产生的表面张力；</w:t>
            </w:r>
          </w:p>
          <w:p>
            <w:pPr>
              <w:widowControl/>
              <w:numPr>
                <w:ilvl w:val="0"/>
                <w:numId w:val="4"/>
              </w:numPr>
              <w:spacing w:line="320" w:lineRule="exact"/>
              <w:jc w:val="left"/>
              <w:textAlignment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val="en-US" w:eastAsia="zh-CN"/>
              </w:rPr>
              <w:t>气条数量：24条；</w:t>
            </w:r>
          </w:p>
          <w:p>
            <w:pPr>
              <w:widowControl/>
              <w:numPr>
                <w:ilvl w:val="0"/>
                <w:numId w:val="4"/>
              </w:numPr>
              <w:spacing w:line="320" w:lineRule="exact"/>
              <w:jc w:val="left"/>
              <w:textAlignment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val="en-US" w:eastAsia="zh-CN"/>
              </w:rPr>
              <w:t>充气后尺寸（长×宽×高）：195×85×60mm；</w:t>
            </w:r>
          </w:p>
          <w:p>
            <w:pPr>
              <w:widowControl/>
              <w:numPr>
                <w:ilvl w:val="0"/>
                <w:numId w:val="4"/>
              </w:numPr>
              <w:spacing w:line="320" w:lineRule="exact"/>
              <w:jc w:val="left"/>
              <w:textAlignment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val="en-US" w:eastAsia="zh-CN"/>
              </w:rPr>
              <w:t>工作电压、频率：220V50HZ气泵村力范围：50～110mmHg气泵流量范围：5～8升/分钟，交替波动周期：10-12分钟；</w:t>
            </w:r>
          </w:p>
          <w:p>
            <w:pPr>
              <w:widowControl/>
              <w:numPr>
                <w:ilvl w:val="0"/>
                <w:numId w:val="4"/>
              </w:numPr>
              <w:spacing w:line="320" w:lineRule="exact"/>
              <w:jc w:val="left"/>
              <w:textAlignment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val="en-US" w:eastAsia="zh-CN"/>
              </w:rPr>
              <w:t>最大噪声≤45dB（A），超静音，省电。</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val="en-US" w:eastAsia="zh-CN"/>
              </w:rPr>
              <w:t>张</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val="en-US" w:eastAsia="zh-CN"/>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val="en-US" w:eastAsia="zh-CN"/>
              </w:rPr>
              <w:t>3</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val="en-US" w:eastAsia="zh-CN"/>
              </w:rPr>
              <w:t>防压疮床垫（凝胶）</w:t>
            </w:r>
          </w:p>
        </w:tc>
        <w:tc>
          <w:tcPr>
            <w:tcW w:w="6664" w:type="dxa"/>
            <w:tcBorders>
              <w:top w:val="single" w:color="auto" w:sz="4" w:space="0"/>
              <w:left w:val="single" w:color="auto" w:sz="4" w:space="0"/>
              <w:bottom w:val="single" w:color="auto" w:sz="4" w:space="0"/>
              <w:right w:val="single" w:color="auto" w:sz="4" w:space="0"/>
            </w:tcBorders>
            <w:vAlign w:val="center"/>
          </w:tcPr>
          <w:p>
            <w:pPr>
              <w:widowControl/>
              <w:numPr>
                <w:ilvl w:val="0"/>
                <w:numId w:val="5"/>
              </w:numPr>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尺寸:1735×915×16mm（允许误差±5mm） ;</w:t>
            </w:r>
          </w:p>
          <w:p>
            <w:pPr>
              <w:widowControl/>
              <w:numPr>
                <w:ilvl w:val="0"/>
                <w:numId w:val="5"/>
              </w:numPr>
              <w:spacing w:line="320" w:lineRule="exact"/>
              <w:jc w:val="left"/>
              <w:textAlignment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val="en-US" w:eastAsia="zh-CN"/>
              </w:rPr>
              <w:t>材质:GEL+记忆泡棉+涼感布套;</w:t>
            </w:r>
          </w:p>
          <w:p>
            <w:pPr>
              <w:widowControl/>
              <w:numPr>
                <w:ilvl w:val="0"/>
                <w:numId w:val="5"/>
              </w:numPr>
              <w:spacing w:line="320" w:lineRule="exact"/>
              <w:jc w:val="left"/>
              <w:textAlignment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val="en-US" w:eastAsia="zh-CN"/>
              </w:rPr>
              <w:t>由独特的凝胶材质非常柔軟且底层记忆泡棉，全面式分散身体压力，使皮层压迫減到最低，減緩皮层因受压力而影响微血管循环及代谢;</w:t>
            </w:r>
          </w:p>
          <w:p>
            <w:pPr>
              <w:widowControl/>
              <w:numPr>
                <w:ilvl w:val="0"/>
                <w:numId w:val="5"/>
              </w:numPr>
              <w:spacing w:line="320" w:lineRule="exact"/>
              <w:jc w:val="left"/>
              <w:textAlignment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val="en-US" w:eastAsia="zh-CN"/>
              </w:rPr>
              <w:t>身体完全被脂肪床垫温柔支撐而产生的超安定与舒适感;</w:t>
            </w:r>
          </w:p>
          <w:p>
            <w:pPr>
              <w:widowControl/>
              <w:numPr>
                <w:ilvl w:val="0"/>
                <w:numId w:val="5"/>
              </w:numPr>
              <w:spacing w:line="320" w:lineRule="exact"/>
              <w:jc w:val="left"/>
              <w:textAlignment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val="en-US" w:eastAsia="zh-CN"/>
              </w:rPr>
              <w:t>凝胶材质所具有的热安定特性，使床垫能维持身体平均溫度，消散使用者因长时间使用而产生的皮层燥热感。</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val="en-US" w:eastAsia="zh-CN"/>
              </w:rPr>
              <w:t>张</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val="en-US" w:eastAsia="zh-CN"/>
              </w:rPr>
              <w:t>3000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4</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防压疮床垫（泡棉）</w:t>
            </w:r>
          </w:p>
        </w:tc>
        <w:tc>
          <w:tcPr>
            <w:tcW w:w="6664" w:type="dxa"/>
            <w:tcBorders>
              <w:top w:val="single" w:color="auto" w:sz="4" w:space="0"/>
              <w:left w:val="single" w:color="auto" w:sz="4" w:space="0"/>
              <w:bottom w:val="single" w:color="auto" w:sz="4" w:space="0"/>
              <w:right w:val="single" w:color="auto" w:sz="4" w:space="0"/>
            </w:tcBorders>
            <w:vAlign w:val="center"/>
          </w:tcPr>
          <w:p>
            <w:pPr>
              <w:widowControl/>
              <w:numPr>
                <w:ilvl w:val="0"/>
                <w:numId w:val="6"/>
              </w:numPr>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规格：200×90×10cm（允许误差±5mm） ；</w:t>
            </w:r>
          </w:p>
          <w:p>
            <w:pPr>
              <w:widowControl/>
              <w:numPr>
                <w:ilvl w:val="0"/>
                <w:numId w:val="6"/>
              </w:numPr>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材质:6cm记忆泡棉+4cmPU高回弹海绵；</w:t>
            </w:r>
          </w:p>
          <w:p>
            <w:pPr>
              <w:widowControl/>
              <w:numPr>
                <w:ilvl w:val="0"/>
                <w:numId w:val="6"/>
              </w:numPr>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面料:针织布贴合防水TPU；</w:t>
            </w:r>
          </w:p>
          <w:p>
            <w:pPr>
              <w:widowControl/>
              <w:numPr>
                <w:ilvl w:val="0"/>
                <w:numId w:val="6"/>
              </w:numPr>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波浪型记忆海绵给予您零压力太空级的睡眠,无添加任何有害物质,无甲醛；</w:t>
            </w:r>
          </w:p>
          <w:p>
            <w:pPr>
              <w:widowControl/>
              <w:numPr>
                <w:ilvl w:val="0"/>
                <w:numId w:val="6"/>
              </w:numPr>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高级释压记忆泡绵材质，可均匀释放压力,让身体与床垫的接触压力能均匀的分散,大大的减少压疮产生；</w:t>
            </w:r>
          </w:p>
          <w:p>
            <w:pPr>
              <w:widowControl/>
              <w:numPr>
                <w:ilvl w:val="0"/>
                <w:numId w:val="6"/>
              </w:numPr>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复合型结构底层采用PU高回弹泡棉给予身体安稳的支撑；</w:t>
            </w:r>
          </w:p>
          <w:p>
            <w:pPr>
              <w:widowControl/>
              <w:numPr>
                <w:ilvl w:val="0"/>
                <w:numId w:val="6"/>
              </w:numPr>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面料特别采用平滑平织布,防霉抗菌，底面贴合防水TPU,防水透气,平滑平织布不易与皮肤产生剪力摩擦。</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张</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5</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防压疮座垫（聚氨酯）</w:t>
            </w:r>
          </w:p>
        </w:tc>
        <w:tc>
          <w:tcPr>
            <w:tcW w:w="6664" w:type="dxa"/>
            <w:tcBorders>
              <w:top w:val="single" w:color="auto" w:sz="4" w:space="0"/>
              <w:left w:val="single" w:color="auto" w:sz="4" w:space="0"/>
              <w:bottom w:val="single" w:color="auto" w:sz="4" w:space="0"/>
              <w:right w:val="single" w:color="auto" w:sz="4" w:space="0"/>
            </w:tcBorders>
            <w:vAlign w:val="center"/>
          </w:tcPr>
          <w:p>
            <w:pPr>
              <w:widowControl/>
              <w:numPr>
                <w:ilvl w:val="0"/>
                <w:numId w:val="7"/>
              </w:numPr>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坐垫尺寸：400×400×70mm（允许误差±5mm） ；</w:t>
            </w:r>
          </w:p>
          <w:p>
            <w:pPr>
              <w:widowControl/>
              <w:numPr>
                <w:ilvl w:val="0"/>
                <w:numId w:val="7"/>
              </w:numPr>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坐垫符合人体工学减压设计；</w:t>
            </w:r>
          </w:p>
          <w:p>
            <w:pPr>
              <w:widowControl/>
              <w:numPr>
                <w:ilvl w:val="0"/>
                <w:numId w:val="7"/>
              </w:numPr>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外型为人体工学设计，按照臀部塑型，可缓冲肢体压力；</w:t>
            </w:r>
          </w:p>
          <w:p>
            <w:pPr>
              <w:widowControl/>
              <w:numPr>
                <w:ilvl w:val="0"/>
                <w:numId w:val="7"/>
              </w:numPr>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坐垫内部分别由柔软型、坚硬型、底反弹型不同硬度特殊聚氨酯材料组合而成；多层次多面体的结构，充分分散人体压力，起到防褥疮效果；</w:t>
            </w:r>
          </w:p>
          <w:p>
            <w:pPr>
              <w:widowControl/>
              <w:numPr>
                <w:ilvl w:val="0"/>
                <w:numId w:val="7"/>
              </w:numPr>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座垫配有聚酯纤维外罩，防水处理，配固定带；</w:t>
            </w:r>
          </w:p>
          <w:p>
            <w:pPr>
              <w:widowControl/>
              <w:numPr>
                <w:ilvl w:val="0"/>
                <w:numId w:val="7"/>
              </w:numPr>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防霉、防滑、透气、可机洗，具有阻燃性、有弹力，能适应坐姿产生的表面张力；</w:t>
            </w:r>
          </w:p>
          <w:p>
            <w:pPr>
              <w:widowControl/>
              <w:numPr>
                <w:ilvl w:val="0"/>
                <w:numId w:val="7"/>
              </w:numPr>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坐垫防渗漏、易清洗。</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张</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6</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防压疮座垫（充气绒面）</w:t>
            </w:r>
          </w:p>
        </w:tc>
        <w:tc>
          <w:tcPr>
            <w:tcW w:w="6664"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规格：480×480mm（允许误差±5mm） ；</w:t>
            </w:r>
          </w:p>
          <w:p>
            <w:pPr>
              <w:widowControl/>
              <w:numPr>
                <w:ilvl w:val="0"/>
                <w:numId w:val="8"/>
              </w:numPr>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功能：支撑身体的辅助用具，它能增加身体的受压面积，减少局部体位压力，减轻身体疲劳，改善局部供养条件，可以预防褥疮的产生，对褥疮的治疗有辅助作用，可用作轮椅垫、坐垫、靠垫。</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张</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val="en-US" w:eastAsia="zh-CN"/>
              </w:rPr>
              <w:t>7</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val="en-US" w:eastAsia="zh-CN"/>
              </w:rPr>
              <w:t>防压疮座垫（凝胶海绵）</w:t>
            </w:r>
          </w:p>
        </w:tc>
        <w:tc>
          <w:tcPr>
            <w:tcW w:w="6664" w:type="dxa"/>
            <w:tcBorders>
              <w:top w:val="single" w:color="auto" w:sz="4" w:space="0"/>
              <w:left w:val="single" w:color="auto" w:sz="4" w:space="0"/>
              <w:bottom w:val="single" w:color="auto" w:sz="4" w:space="0"/>
              <w:right w:val="single" w:color="auto" w:sz="4" w:space="0"/>
            </w:tcBorders>
            <w:vAlign w:val="center"/>
          </w:tcPr>
          <w:p>
            <w:pPr>
              <w:widowControl/>
              <w:numPr>
                <w:ilvl w:val="0"/>
                <w:numId w:val="9"/>
              </w:numPr>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座垫臀部的位置为350×280mm（允许误差±5mm） 的凝胶材料，其它部分为记忆海绵材料；</w:t>
            </w:r>
          </w:p>
          <w:p>
            <w:pPr>
              <w:widowControl/>
              <w:numPr>
                <w:ilvl w:val="0"/>
                <w:numId w:val="9"/>
              </w:numPr>
              <w:spacing w:line="320" w:lineRule="exact"/>
              <w:jc w:val="left"/>
              <w:textAlignment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val="en-US" w:eastAsia="zh-CN"/>
              </w:rPr>
              <w:t>具有良好静态支撑性能和稳定性能；材质粘稠适度，手感柔软、舒适具有防霉、抗菌性能，不含有任何过敏源；使用方便、易于固定和易于清洗和维护保养。</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val="en-US" w:eastAsia="zh-CN"/>
              </w:rPr>
              <w:t>张</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val="en-US" w:eastAsia="zh-CN"/>
              </w:rPr>
              <w:t>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val="en-US" w:eastAsia="zh-CN"/>
              </w:rPr>
              <w:t>8</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val="en-US" w:eastAsia="zh-CN"/>
              </w:rPr>
              <w:t>移乘板</w:t>
            </w:r>
          </w:p>
        </w:tc>
        <w:tc>
          <w:tcPr>
            <w:tcW w:w="6664" w:type="dxa"/>
            <w:tcBorders>
              <w:top w:val="single" w:color="auto" w:sz="4" w:space="0"/>
              <w:left w:val="single" w:color="auto" w:sz="4" w:space="0"/>
              <w:bottom w:val="single" w:color="auto" w:sz="4" w:space="0"/>
              <w:right w:val="single" w:color="auto" w:sz="4" w:space="0"/>
            </w:tcBorders>
            <w:vAlign w:val="center"/>
          </w:tcPr>
          <w:p>
            <w:pPr>
              <w:widowControl/>
              <w:numPr>
                <w:ilvl w:val="0"/>
                <w:numId w:val="10"/>
              </w:numPr>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产品应符合GB24436-2009《康复训练器械安全通用要求》国家标准；</w:t>
            </w:r>
          </w:p>
          <w:p>
            <w:pPr>
              <w:widowControl/>
              <w:numPr>
                <w:ilvl w:val="0"/>
                <w:numId w:val="10"/>
              </w:numPr>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总长≧64cm总宽≧35cm厚度≧0.45cm（允许误差±5mm）折叠3折，最大载荷≧120kg；</w:t>
            </w:r>
          </w:p>
          <w:p>
            <w:pPr>
              <w:widowControl/>
              <w:numPr>
                <w:ilvl w:val="0"/>
                <w:numId w:val="10"/>
              </w:numPr>
              <w:spacing w:line="320" w:lineRule="exact"/>
              <w:jc w:val="left"/>
              <w:textAlignment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val="en-US" w:eastAsia="zh-CN"/>
              </w:rPr>
              <w:t>性能及结构特点：材质无毒、不含甲醛、无异味、对人体无害；注塑件表面应光滑平滑、无飞边、无缺损，无凹陷，色泽均匀；可以辅助护理人员转移卧床病人。</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val="en-US" w:eastAsia="zh-CN"/>
              </w:rPr>
              <w:t>块</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val="en-US" w:eastAsia="zh-CN"/>
              </w:rPr>
              <w:t>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val="en-US" w:eastAsia="zh-CN"/>
              </w:rPr>
              <w:t>9</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val="en-US" w:eastAsia="zh-CN"/>
              </w:rPr>
              <w:t>移乘板（带状）</w:t>
            </w:r>
          </w:p>
        </w:tc>
        <w:tc>
          <w:tcPr>
            <w:tcW w:w="6664" w:type="dxa"/>
            <w:tcBorders>
              <w:top w:val="single" w:color="auto" w:sz="4" w:space="0"/>
              <w:left w:val="single" w:color="auto" w:sz="4" w:space="0"/>
              <w:bottom w:val="single" w:color="auto" w:sz="4" w:space="0"/>
              <w:right w:val="single" w:color="auto" w:sz="4" w:space="0"/>
            </w:tcBorders>
            <w:vAlign w:val="center"/>
          </w:tcPr>
          <w:p>
            <w:pPr>
              <w:widowControl/>
              <w:numPr>
                <w:ilvl w:val="0"/>
                <w:numId w:val="11"/>
              </w:numPr>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产品外型尺寸：80（长）×22（宽）×1（厚）cm（允许误差±5mm） ；</w:t>
            </w:r>
          </w:p>
          <w:p>
            <w:pPr>
              <w:widowControl/>
              <w:numPr>
                <w:ilvl w:val="0"/>
                <w:numId w:val="11"/>
              </w:numPr>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承载≧100kg；</w:t>
            </w:r>
          </w:p>
          <w:p>
            <w:pPr>
              <w:widowControl/>
              <w:numPr>
                <w:ilvl w:val="0"/>
                <w:numId w:val="0"/>
              </w:numPr>
              <w:spacing w:line="320" w:lineRule="exact"/>
              <w:jc w:val="left"/>
              <w:textAlignment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val="en-US" w:eastAsia="zh-CN"/>
              </w:rPr>
              <w:t>3.材质：采用加强尼龙复合板为衬板，尼龙带及绒面布料合制而成。</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val="en-US" w:eastAsia="zh-CN"/>
              </w:rPr>
              <w:t>块</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val="en-US" w:eastAsia="zh-CN"/>
              </w:rPr>
              <w:t>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val="en-US" w:eastAsia="zh-CN"/>
              </w:rPr>
              <w:t>10</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val="en-US" w:eastAsia="zh-CN"/>
              </w:rPr>
              <w:t>接尿器</w:t>
            </w:r>
          </w:p>
        </w:tc>
        <w:tc>
          <w:tcPr>
            <w:tcW w:w="6664" w:type="dxa"/>
            <w:tcBorders>
              <w:top w:val="single" w:color="auto" w:sz="4" w:space="0"/>
              <w:left w:val="single" w:color="auto" w:sz="4" w:space="0"/>
              <w:bottom w:val="single" w:color="auto" w:sz="4" w:space="0"/>
              <w:right w:val="single" w:color="auto" w:sz="4" w:space="0"/>
            </w:tcBorders>
            <w:vAlign w:val="center"/>
          </w:tcPr>
          <w:p>
            <w:pPr>
              <w:widowControl/>
              <w:numPr>
                <w:ilvl w:val="0"/>
                <w:numId w:val="12"/>
              </w:numPr>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主要材质；天然无毒乳胶或硅胶；</w:t>
            </w:r>
          </w:p>
          <w:p>
            <w:pPr>
              <w:widowControl/>
              <w:numPr>
                <w:ilvl w:val="0"/>
                <w:numId w:val="12"/>
              </w:numPr>
              <w:spacing w:line="320" w:lineRule="exact"/>
              <w:jc w:val="left"/>
              <w:textAlignment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val="en-US" w:eastAsia="zh-CN"/>
              </w:rPr>
              <w:t>分男用和女用，用于截至残疾人因尿失禁后收集尿液；</w:t>
            </w:r>
          </w:p>
          <w:p>
            <w:pPr>
              <w:widowControl/>
              <w:numPr>
                <w:ilvl w:val="0"/>
                <w:numId w:val="12"/>
              </w:numPr>
              <w:spacing w:line="320" w:lineRule="exact"/>
              <w:jc w:val="left"/>
              <w:textAlignment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val="en-US" w:eastAsia="zh-CN"/>
              </w:rPr>
              <w:t>接尿器由接尿囊，导尿管，尿袋及布袋组成；</w:t>
            </w:r>
          </w:p>
          <w:p>
            <w:pPr>
              <w:widowControl/>
              <w:numPr>
                <w:ilvl w:val="0"/>
                <w:numId w:val="12"/>
              </w:numPr>
              <w:spacing w:line="320" w:lineRule="exact"/>
              <w:jc w:val="left"/>
              <w:textAlignment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val="en-US" w:eastAsia="zh-CN"/>
              </w:rPr>
              <w:t>腰带1条，裤兜1条，漏斗1个，尿管1根（1000士10）mm；</w:t>
            </w:r>
          </w:p>
          <w:p>
            <w:pPr>
              <w:widowControl/>
              <w:numPr>
                <w:ilvl w:val="0"/>
                <w:numId w:val="12"/>
              </w:numPr>
              <w:spacing w:line="320" w:lineRule="exact"/>
              <w:jc w:val="left"/>
              <w:textAlignment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val="en-US" w:eastAsia="zh-CN"/>
              </w:rPr>
              <w:t>1000mL尿袋（日用）一个，2000mL尿袋（夜用）一个。</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val="en-US" w:eastAsia="zh-CN"/>
              </w:rPr>
              <w:t>个</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val="en-US" w:eastAsia="zh-CN"/>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11</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便盆（成人、大便）</w:t>
            </w:r>
          </w:p>
        </w:tc>
        <w:tc>
          <w:tcPr>
            <w:tcW w:w="6664" w:type="dxa"/>
            <w:tcBorders>
              <w:top w:val="single" w:color="auto" w:sz="4" w:space="0"/>
              <w:left w:val="single" w:color="auto" w:sz="4" w:space="0"/>
              <w:bottom w:val="single" w:color="auto" w:sz="4" w:space="0"/>
              <w:right w:val="single" w:color="auto" w:sz="4" w:space="0"/>
            </w:tcBorders>
            <w:vAlign w:val="center"/>
          </w:tcPr>
          <w:p>
            <w:pPr>
              <w:widowControl/>
              <w:numPr>
                <w:ilvl w:val="0"/>
                <w:numId w:val="13"/>
              </w:numPr>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总长：370mm、总宽：300mm、总高：100mm（允许误差±5mm） ；</w:t>
            </w:r>
          </w:p>
          <w:p>
            <w:pPr>
              <w:widowControl/>
              <w:numPr>
                <w:ilvl w:val="0"/>
                <w:numId w:val="13"/>
              </w:numPr>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材质：使用高强度工程PE塑料制作而成。</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个</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12</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便盆（成人、女用接尿器）</w:t>
            </w:r>
          </w:p>
        </w:tc>
        <w:tc>
          <w:tcPr>
            <w:tcW w:w="6664" w:type="dxa"/>
            <w:tcBorders>
              <w:top w:val="single" w:color="auto" w:sz="4" w:space="0"/>
              <w:left w:val="single" w:color="auto" w:sz="4" w:space="0"/>
              <w:bottom w:val="single" w:color="auto" w:sz="4" w:space="0"/>
              <w:right w:val="single" w:color="auto" w:sz="4" w:space="0"/>
            </w:tcBorders>
            <w:vAlign w:val="center"/>
          </w:tcPr>
          <w:p>
            <w:pPr>
              <w:widowControl/>
              <w:numPr>
                <w:ilvl w:val="0"/>
                <w:numId w:val="14"/>
              </w:numPr>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总长：240mm，总宽：120mm，总高：170mm；（允许误差±5mm）</w:t>
            </w:r>
          </w:p>
          <w:p>
            <w:pPr>
              <w:widowControl/>
              <w:numPr>
                <w:ilvl w:val="0"/>
                <w:numId w:val="14"/>
              </w:numPr>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.净重量：111g；</w:t>
            </w:r>
          </w:p>
          <w:p>
            <w:pPr>
              <w:widowControl/>
              <w:numPr>
                <w:ilvl w:val="0"/>
                <w:numId w:val="14"/>
              </w:numPr>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材质：使用高强度工程PE塑料制作而成。</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个</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13</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便盆（成人、男用接尿器）</w:t>
            </w:r>
          </w:p>
        </w:tc>
        <w:tc>
          <w:tcPr>
            <w:tcW w:w="6664" w:type="dxa"/>
            <w:tcBorders>
              <w:top w:val="single" w:color="auto" w:sz="4" w:space="0"/>
              <w:left w:val="single" w:color="auto" w:sz="4" w:space="0"/>
              <w:bottom w:val="single" w:color="auto" w:sz="4" w:space="0"/>
              <w:right w:val="single" w:color="auto" w:sz="4" w:space="0"/>
            </w:tcBorders>
            <w:vAlign w:val="center"/>
          </w:tcPr>
          <w:p>
            <w:pPr>
              <w:widowControl/>
              <w:numPr>
                <w:ilvl w:val="0"/>
                <w:numId w:val="15"/>
              </w:numPr>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总长：250mm，总宽：120mm，总高：120mm（允许误差±5mm） ；</w:t>
            </w:r>
          </w:p>
          <w:p>
            <w:pPr>
              <w:widowControl/>
              <w:numPr>
                <w:ilvl w:val="0"/>
                <w:numId w:val="15"/>
              </w:numPr>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净重量：92g；</w:t>
            </w:r>
          </w:p>
          <w:p>
            <w:pPr>
              <w:widowControl/>
              <w:numPr>
                <w:ilvl w:val="0"/>
                <w:numId w:val="15"/>
              </w:numPr>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材质：使用高强度工程PE塑料制作而成。</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个</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14</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成人围腰（成人、6〞或、8〞）</w:t>
            </w:r>
          </w:p>
        </w:tc>
        <w:tc>
          <w:tcPr>
            <w:tcW w:w="66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1.6〞或、8〞透气发泡护腰带，特殊的材质配合立体缝合技术、使护具更加贴合人体工学、更能达到保护、减轻压迫以及支撑力；</w:t>
            </w:r>
          </w:p>
          <w:p>
            <w:pPr>
              <w:widowControl/>
              <w:numPr>
                <w:ilvl w:val="0"/>
                <w:numId w:val="0"/>
              </w:numPr>
              <w:spacing w:line="320" w:lineRule="exact"/>
              <w:ind w:leftChars="0"/>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2.车缝32粒磁石；</w:t>
            </w:r>
          </w:p>
          <w:p>
            <w:pPr>
              <w:widowControl/>
              <w:numPr>
                <w:ilvl w:val="0"/>
                <w:numId w:val="13"/>
              </w:numPr>
              <w:spacing w:line="320" w:lineRule="exact"/>
              <w:ind w:left="0" w:leftChars="0" w:firstLine="0" w:firstLineChars="0"/>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适用范围：适合医疗使用。</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条</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15</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围腰（儿童）</w:t>
            </w:r>
          </w:p>
        </w:tc>
        <w:tc>
          <w:tcPr>
            <w:tcW w:w="66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1.面料：锦纶100%（非纤维物质除外）里料：聚酯纤维100%（非纤维物质除外）；2.适用于保护腰部，缓解运动冲击。</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条</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16</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日常生活类辅具（脑瘫患者就餐防漏餐具等）</w:t>
            </w:r>
          </w:p>
        </w:tc>
        <w:tc>
          <w:tcPr>
            <w:tcW w:w="6664"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进食类辅具套装由助食叉、助食勺、助食筷、防倾碗、防漏围兜、防滑餐垫、六种产品组成；</w:t>
            </w:r>
          </w:p>
          <w:p>
            <w:pPr>
              <w:widowControl/>
              <w:numPr>
                <w:ilvl w:val="0"/>
                <w:numId w:val="16"/>
              </w:numPr>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助食叉：无毒304不锈钢，塑料手柄环扣及绑带:食品级硅橡料；</w:t>
            </w:r>
          </w:p>
          <w:p>
            <w:pPr>
              <w:widowControl/>
              <w:numPr>
                <w:ilvl w:val="0"/>
                <w:numId w:val="16"/>
              </w:numPr>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助食勺：无毒304不锈钢，塑料手柄，无毒PP，软胶无毒TPE；</w:t>
            </w:r>
          </w:p>
          <w:p>
            <w:pPr>
              <w:widowControl/>
              <w:numPr>
                <w:ilvl w:val="0"/>
                <w:numId w:val="16"/>
              </w:numPr>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助食筷:材质为环保ABS塑料或竹制品；</w:t>
            </w:r>
          </w:p>
          <w:p>
            <w:pPr>
              <w:widowControl/>
              <w:numPr>
                <w:ilvl w:val="0"/>
                <w:numId w:val="16"/>
              </w:numPr>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防倾碗:无毒PP，食品级硅橡胶；</w:t>
            </w:r>
          </w:p>
          <w:p>
            <w:pPr>
              <w:widowControl/>
              <w:numPr>
                <w:ilvl w:val="0"/>
                <w:numId w:val="16"/>
              </w:numPr>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防漏围兜：食品级硅胶；耐温：-20℃-220℃；</w:t>
            </w:r>
          </w:p>
          <w:p>
            <w:pPr>
              <w:widowControl/>
              <w:numPr>
                <w:ilvl w:val="0"/>
                <w:numId w:val="16"/>
              </w:numPr>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防滑餐垫：PVC环保材料。</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套</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eastAsiaTheme="minorEastAsia"/>
                <w:color w:val="000000"/>
                <w:kern w:val="0"/>
                <w:szCs w:val="21"/>
                <w:lang w:val="en-US" w:eastAsia="zh-CN"/>
              </w:rPr>
              <w:t>150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auto"/>
                <w:kern w:val="0"/>
                <w:szCs w:val="21"/>
                <w:lang w:val="en-US" w:eastAsia="zh-CN"/>
              </w:rPr>
            </w:pPr>
            <w:r>
              <w:rPr>
                <w:rFonts w:hint="eastAsia" w:cs="宋体" w:asciiTheme="minorEastAsia" w:hAnsiTheme="minorEastAsia" w:eastAsiaTheme="minorEastAsia"/>
                <w:color w:val="auto"/>
                <w:kern w:val="0"/>
                <w:szCs w:val="21"/>
                <w:lang w:val="en-US" w:eastAsia="zh-CN"/>
              </w:rPr>
              <w:t>17</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auto"/>
                <w:kern w:val="0"/>
                <w:szCs w:val="21"/>
                <w:lang w:val="en-US" w:eastAsia="zh-CN"/>
              </w:rPr>
            </w:pPr>
            <w:r>
              <w:rPr>
                <w:rFonts w:hint="eastAsia" w:cs="宋体" w:asciiTheme="minorEastAsia" w:hAnsiTheme="minorEastAsia" w:eastAsiaTheme="minorEastAsia"/>
                <w:color w:val="auto"/>
                <w:kern w:val="0"/>
                <w:szCs w:val="21"/>
                <w:lang w:val="en-US" w:eastAsia="zh-CN"/>
              </w:rPr>
              <w:t>防走失腕表</w:t>
            </w:r>
          </w:p>
        </w:tc>
        <w:tc>
          <w:tcPr>
            <w:tcW w:w="66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auto"/>
                <w:kern w:val="0"/>
                <w:szCs w:val="21"/>
                <w:lang w:val="en-US" w:eastAsia="zh-CN"/>
              </w:rPr>
            </w:pPr>
            <w:r>
              <w:rPr>
                <w:rFonts w:hint="eastAsia" w:cs="宋体" w:asciiTheme="minorEastAsia" w:hAnsiTheme="minorEastAsia" w:eastAsiaTheme="minorEastAsia"/>
                <w:color w:val="auto"/>
                <w:kern w:val="0"/>
                <w:szCs w:val="21"/>
                <w:lang w:val="en-US" w:eastAsia="zh-CN"/>
              </w:rPr>
              <w:br w:type="textWrapping"/>
            </w:r>
            <w:r>
              <w:rPr>
                <w:rFonts w:hint="eastAsia" w:cs="宋体" w:asciiTheme="minorEastAsia" w:hAnsiTheme="minorEastAsia" w:eastAsiaTheme="minorEastAsia"/>
                <w:color w:val="auto"/>
                <w:kern w:val="0"/>
                <w:szCs w:val="21"/>
                <w:lang w:val="en-US" w:eastAsia="zh-CN"/>
              </w:rPr>
              <w:t>1.颜色：黑色</w:t>
            </w:r>
            <w:r>
              <w:rPr>
                <w:rFonts w:hint="eastAsia" w:cs="宋体" w:asciiTheme="minorEastAsia" w:hAnsiTheme="minorEastAsia" w:eastAsiaTheme="minorEastAsia"/>
                <w:color w:val="auto"/>
                <w:kern w:val="0"/>
                <w:szCs w:val="21"/>
                <w:lang w:val="en-US" w:eastAsia="zh-CN"/>
              </w:rPr>
              <w:br w:type="textWrapping"/>
            </w:r>
            <w:r>
              <w:rPr>
                <w:rFonts w:hint="eastAsia" w:cs="宋体" w:asciiTheme="minorEastAsia" w:hAnsiTheme="minorEastAsia" w:eastAsiaTheme="minorEastAsia"/>
                <w:color w:val="auto"/>
                <w:kern w:val="0"/>
                <w:szCs w:val="21"/>
                <w:lang w:val="en-US" w:eastAsia="zh-CN"/>
              </w:rPr>
              <w:t xml:space="preserve">2.芯片：主频双核1.3GHZ          </w:t>
            </w:r>
            <w:r>
              <w:rPr>
                <w:rFonts w:hint="eastAsia" w:cs="宋体" w:asciiTheme="minorEastAsia" w:hAnsiTheme="minorEastAsia" w:eastAsiaTheme="minorEastAsia"/>
                <w:color w:val="auto"/>
                <w:kern w:val="0"/>
                <w:szCs w:val="21"/>
                <w:lang w:val="en-US" w:eastAsia="zh-CN"/>
              </w:rPr>
              <w:br w:type="textWrapping"/>
            </w:r>
            <w:r>
              <w:rPr>
                <w:rFonts w:hint="eastAsia" w:cs="宋体" w:asciiTheme="minorEastAsia" w:hAnsiTheme="minorEastAsia" w:eastAsiaTheme="minorEastAsia"/>
                <w:color w:val="auto"/>
                <w:kern w:val="0"/>
                <w:szCs w:val="21"/>
                <w:lang w:val="en-US" w:eastAsia="zh-CN"/>
              </w:rPr>
              <w:t xml:space="preserve">3.屏幕：1.4寸，电容触摸彩屏 </w:t>
            </w:r>
            <w:r>
              <w:rPr>
                <w:rFonts w:hint="eastAsia" w:cs="宋体" w:asciiTheme="minorEastAsia" w:hAnsiTheme="minorEastAsia" w:eastAsiaTheme="minorEastAsia"/>
                <w:color w:val="auto"/>
                <w:kern w:val="0"/>
                <w:szCs w:val="21"/>
                <w:lang w:val="en-US" w:eastAsia="zh-CN"/>
              </w:rPr>
              <w:br w:type="textWrapping"/>
            </w:r>
            <w:r>
              <w:rPr>
                <w:rFonts w:hint="eastAsia" w:cs="宋体" w:asciiTheme="minorEastAsia" w:hAnsiTheme="minorEastAsia" w:eastAsiaTheme="minorEastAsia"/>
                <w:color w:val="auto"/>
                <w:kern w:val="0"/>
                <w:szCs w:val="21"/>
                <w:lang w:val="en-US" w:eastAsia="zh-CN"/>
              </w:rPr>
              <w:t xml:space="preserve">4.屏幕分辨率： 240*240像素   </w:t>
            </w:r>
            <w:r>
              <w:rPr>
                <w:rFonts w:hint="eastAsia" w:cs="宋体" w:asciiTheme="minorEastAsia" w:hAnsiTheme="minorEastAsia" w:eastAsiaTheme="minorEastAsia"/>
                <w:color w:val="auto"/>
                <w:kern w:val="0"/>
                <w:szCs w:val="21"/>
                <w:lang w:val="en-US" w:eastAsia="zh-CN"/>
              </w:rPr>
              <w:br w:type="textWrapping"/>
            </w:r>
            <w:r>
              <w:rPr>
                <w:rFonts w:hint="eastAsia" w:cs="宋体" w:asciiTheme="minorEastAsia" w:hAnsiTheme="minorEastAsia" w:eastAsiaTheme="minorEastAsia"/>
                <w:color w:val="auto"/>
                <w:kern w:val="0"/>
                <w:szCs w:val="21"/>
                <w:lang w:val="en-US" w:eastAsia="zh-CN"/>
              </w:rPr>
              <w:t xml:space="preserve">5.支持拍照，支持视频通话和远程拍照     </w:t>
            </w:r>
            <w:r>
              <w:rPr>
                <w:rFonts w:hint="eastAsia" w:cs="宋体" w:asciiTheme="minorEastAsia" w:hAnsiTheme="minorEastAsia" w:eastAsiaTheme="minorEastAsia"/>
                <w:color w:val="auto"/>
                <w:kern w:val="0"/>
                <w:szCs w:val="21"/>
                <w:lang w:val="en-US" w:eastAsia="zh-CN"/>
              </w:rPr>
              <w:br w:type="textWrapping"/>
            </w:r>
            <w:r>
              <w:rPr>
                <w:rFonts w:hint="eastAsia" w:cs="宋体" w:asciiTheme="minorEastAsia" w:hAnsiTheme="minorEastAsia" w:eastAsiaTheme="minorEastAsia"/>
                <w:color w:val="auto"/>
                <w:kern w:val="0"/>
                <w:szCs w:val="21"/>
                <w:lang w:val="en-US" w:eastAsia="zh-CN"/>
              </w:rPr>
              <w:t>6..网络：支持4g的联通和移动网络，支持WIFI功能</w:t>
            </w:r>
            <w:r>
              <w:rPr>
                <w:rFonts w:hint="eastAsia" w:cs="宋体" w:asciiTheme="minorEastAsia" w:hAnsiTheme="minorEastAsia" w:eastAsiaTheme="minorEastAsia"/>
                <w:color w:val="auto"/>
                <w:kern w:val="0"/>
                <w:szCs w:val="21"/>
                <w:lang w:val="en-US" w:eastAsia="zh-CN"/>
              </w:rPr>
              <w:br w:type="textWrapping"/>
            </w:r>
            <w:r>
              <w:rPr>
                <w:rFonts w:hint="eastAsia" w:cs="宋体" w:asciiTheme="minorEastAsia" w:hAnsiTheme="minorEastAsia" w:eastAsiaTheme="minorEastAsia"/>
                <w:color w:val="auto"/>
                <w:kern w:val="0"/>
                <w:szCs w:val="21"/>
                <w:lang w:val="en-US" w:eastAsia="zh-CN"/>
              </w:rPr>
              <w:t>7. SIM卡：Nano SIM card，侧面插卡</w:t>
            </w:r>
            <w:r>
              <w:rPr>
                <w:rFonts w:hint="eastAsia" w:cs="宋体" w:asciiTheme="minorEastAsia" w:hAnsiTheme="minorEastAsia" w:eastAsiaTheme="minorEastAsia"/>
                <w:color w:val="auto"/>
                <w:kern w:val="0"/>
                <w:szCs w:val="21"/>
                <w:lang w:val="en-US" w:eastAsia="zh-CN"/>
              </w:rPr>
              <w:br w:type="textWrapping"/>
            </w:r>
            <w:r>
              <w:rPr>
                <w:rFonts w:hint="eastAsia" w:cs="宋体" w:asciiTheme="minorEastAsia" w:hAnsiTheme="minorEastAsia" w:eastAsiaTheme="minorEastAsia"/>
                <w:color w:val="auto"/>
                <w:kern w:val="0"/>
                <w:szCs w:val="21"/>
                <w:lang w:val="en-US" w:eastAsia="zh-CN"/>
              </w:rPr>
              <w:t>8. APP：支持安卓和IOS双版本</w:t>
            </w:r>
            <w:r>
              <w:rPr>
                <w:rFonts w:hint="eastAsia" w:cs="宋体" w:asciiTheme="minorEastAsia" w:hAnsiTheme="minorEastAsia" w:eastAsiaTheme="minorEastAsia"/>
                <w:color w:val="auto"/>
                <w:kern w:val="0"/>
                <w:szCs w:val="21"/>
                <w:lang w:val="en-US" w:eastAsia="zh-CN"/>
              </w:rPr>
              <w:br w:type="textWrapping"/>
            </w:r>
            <w:r>
              <w:rPr>
                <w:rFonts w:hint="eastAsia" w:cs="宋体" w:asciiTheme="minorEastAsia" w:hAnsiTheme="minorEastAsia" w:eastAsiaTheme="minorEastAsia"/>
                <w:color w:val="auto"/>
                <w:kern w:val="0"/>
                <w:szCs w:val="21"/>
                <w:lang w:val="en-US" w:eastAsia="zh-CN"/>
              </w:rPr>
              <w:t>9.内存：机身内存ROM 3GB+运行内存RAM 512MB</w:t>
            </w:r>
            <w:r>
              <w:rPr>
                <w:rFonts w:hint="eastAsia" w:cs="宋体" w:asciiTheme="minorEastAsia" w:hAnsiTheme="minorEastAsia" w:eastAsiaTheme="minorEastAsia"/>
                <w:color w:val="auto"/>
                <w:kern w:val="0"/>
                <w:szCs w:val="21"/>
                <w:lang w:val="en-US" w:eastAsia="zh-CN"/>
              </w:rPr>
              <w:br w:type="textWrapping"/>
            </w:r>
            <w:r>
              <w:rPr>
                <w:rFonts w:hint="eastAsia" w:cs="宋体" w:asciiTheme="minorEastAsia" w:hAnsiTheme="minorEastAsia" w:eastAsiaTheme="minorEastAsia"/>
                <w:color w:val="auto"/>
                <w:kern w:val="0"/>
                <w:szCs w:val="21"/>
                <w:lang w:val="en-US" w:eastAsia="zh-CN"/>
              </w:rPr>
              <w:t>10.表带：硅胶或皮革材质</w:t>
            </w:r>
            <w:r>
              <w:rPr>
                <w:rFonts w:hint="eastAsia" w:cs="宋体" w:asciiTheme="minorEastAsia" w:hAnsiTheme="minorEastAsia" w:eastAsiaTheme="minorEastAsia"/>
                <w:color w:val="auto"/>
                <w:kern w:val="0"/>
                <w:szCs w:val="21"/>
                <w:lang w:val="en-US" w:eastAsia="zh-CN"/>
              </w:rPr>
              <w:br w:type="textWrapping"/>
            </w:r>
            <w:r>
              <w:rPr>
                <w:rFonts w:hint="eastAsia" w:cs="宋体" w:asciiTheme="minorEastAsia" w:hAnsiTheme="minorEastAsia" w:eastAsiaTheme="minorEastAsia"/>
                <w:color w:val="auto"/>
                <w:kern w:val="0"/>
                <w:szCs w:val="21"/>
                <w:lang w:val="en-US" w:eastAsia="zh-CN"/>
              </w:rPr>
              <w:t>11.电池：聚合物锂电池，电池容量600mAH, 可低电量报警；采用磁吸充电，配磁吸充电器</w:t>
            </w:r>
            <w:r>
              <w:rPr>
                <w:rFonts w:hint="eastAsia" w:cs="宋体" w:asciiTheme="minorEastAsia" w:hAnsiTheme="minorEastAsia" w:eastAsiaTheme="minorEastAsia"/>
                <w:color w:val="auto"/>
                <w:kern w:val="0"/>
                <w:szCs w:val="21"/>
                <w:lang w:val="en-US" w:eastAsia="zh-CN"/>
              </w:rPr>
              <w:br w:type="textWrapping"/>
            </w:r>
            <w:r>
              <w:rPr>
                <w:rFonts w:hint="eastAsia" w:cs="宋体" w:asciiTheme="minorEastAsia" w:hAnsiTheme="minorEastAsia" w:eastAsiaTheme="minorEastAsia"/>
                <w:color w:val="auto"/>
                <w:kern w:val="0"/>
                <w:szCs w:val="21"/>
                <w:lang w:val="en-US" w:eastAsia="zh-CN"/>
              </w:rPr>
              <w:t>12.定位：GPS定位+基站定位+WIFI定位三重定位方式</w:t>
            </w:r>
            <w:r>
              <w:rPr>
                <w:rFonts w:hint="eastAsia" w:cs="宋体" w:asciiTheme="minorEastAsia" w:hAnsiTheme="minorEastAsia" w:eastAsiaTheme="minorEastAsia"/>
                <w:color w:val="auto"/>
                <w:kern w:val="0"/>
                <w:szCs w:val="21"/>
                <w:lang w:val="en-US" w:eastAsia="zh-CN"/>
              </w:rPr>
              <w:br w:type="textWrapping"/>
            </w:r>
            <w:r>
              <w:rPr>
                <w:rFonts w:hint="eastAsia" w:cs="宋体" w:asciiTheme="minorEastAsia" w:hAnsiTheme="minorEastAsia" w:eastAsiaTheme="minorEastAsia"/>
                <w:color w:val="auto"/>
                <w:kern w:val="0"/>
                <w:szCs w:val="21"/>
                <w:lang w:val="en-US" w:eastAsia="zh-CN"/>
              </w:rPr>
              <w:t>13.支持历史轨迹查询、轨迹回放，语音监护，一键求救</w:t>
            </w:r>
            <w:r>
              <w:rPr>
                <w:rFonts w:hint="eastAsia" w:cs="宋体" w:asciiTheme="minorEastAsia" w:hAnsiTheme="minorEastAsia" w:eastAsiaTheme="minorEastAsia"/>
                <w:color w:val="auto"/>
                <w:kern w:val="0"/>
                <w:szCs w:val="21"/>
                <w:lang w:val="en-US" w:eastAsia="zh-CN"/>
              </w:rPr>
              <w:br w:type="textWrapping"/>
            </w:r>
            <w:r>
              <w:rPr>
                <w:rFonts w:hint="eastAsia" w:cs="宋体" w:asciiTheme="minorEastAsia" w:hAnsiTheme="minorEastAsia" w:eastAsiaTheme="minorEastAsia"/>
                <w:color w:val="auto"/>
                <w:kern w:val="0"/>
                <w:szCs w:val="21"/>
                <w:lang w:val="en-US" w:eastAsia="zh-CN"/>
              </w:rPr>
              <w:t>14.电子围栏：以地图设定点为中心划定一个区域，区域设定半径200m-2000m，出区域及时告警提示</w:t>
            </w:r>
            <w:r>
              <w:rPr>
                <w:rFonts w:hint="eastAsia" w:cs="宋体" w:asciiTheme="minorEastAsia" w:hAnsiTheme="minorEastAsia" w:eastAsiaTheme="minorEastAsia"/>
                <w:color w:val="auto"/>
                <w:kern w:val="0"/>
                <w:szCs w:val="21"/>
                <w:lang w:val="en-US" w:eastAsia="zh-CN"/>
              </w:rPr>
              <w:br w:type="textWrapping"/>
            </w:r>
            <w:r>
              <w:rPr>
                <w:rFonts w:hint="eastAsia" w:cs="宋体" w:asciiTheme="minorEastAsia" w:hAnsiTheme="minorEastAsia" w:eastAsiaTheme="minorEastAsia"/>
                <w:color w:val="auto"/>
                <w:kern w:val="0"/>
                <w:szCs w:val="21"/>
                <w:lang w:val="en-US" w:eastAsia="zh-CN"/>
              </w:rPr>
              <w:t>15.双向通话：使用者之间可相互通话，可设置3个紧急求救电话；可设置10个亲情号码</w:t>
            </w:r>
            <w:r>
              <w:rPr>
                <w:rFonts w:hint="eastAsia" w:cs="宋体" w:asciiTheme="minorEastAsia" w:hAnsiTheme="minorEastAsia" w:eastAsiaTheme="minorEastAsia"/>
                <w:color w:val="auto"/>
                <w:kern w:val="0"/>
                <w:szCs w:val="21"/>
                <w:lang w:val="en-US" w:eastAsia="zh-CN"/>
              </w:rPr>
              <w:br w:type="textWrapping"/>
            </w:r>
            <w:r>
              <w:rPr>
                <w:rFonts w:hint="eastAsia" w:cs="宋体" w:asciiTheme="minorEastAsia" w:hAnsiTheme="minorEastAsia" w:eastAsiaTheme="minorEastAsia"/>
                <w:color w:val="auto"/>
                <w:kern w:val="0"/>
                <w:szCs w:val="21"/>
                <w:lang w:val="en-US" w:eastAsia="zh-CN"/>
              </w:rPr>
              <w:t>16.支持微聊，使用者与对应手机APP之间可以发送语音和图片</w:t>
            </w:r>
            <w:r>
              <w:rPr>
                <w:rFonts w:hint="eastAsia" w:cs="宋体" w:asciiTheme="minorEastAsia" w:hAnsiTheme="minorEastAsia" w:eastAsiaTheme="minorEastAsia"/>
                <w:color w:val="auto"/>
                <w:kern w:val="0"/>
                <w:szCs w:val="21"/>
                <w:lang w:val="en-US" w:eastAsia="zh-CN"/>
              </w:rPr>
              <w:br w:type="textWrapping"/>
            </w:r>
            <w:r>
              <w:rPr>
                <w:rFonts w:hint="eastAsia" w:cs="宋体" w:asciiTheme="minorEastAsia" w:hAnsiTheme="minorEastAsia" w:eastAsiaTheme="minorEastAsia"/>
                <w:color w:val="auto"/>
                <w:kern w:val="0"/>
                <w:szCs w:val="21"/>
                <w:lang w:val="en-US" w:eastAsia="zh-CN"/>
              </w:rPr>
              <w:t>17.实时监测使用者心率血压状况及计步和睡眠状况；内置温度计功能，支持体温测量；</w:t>
            </w:r>
            <w:r>
              <w:rPr>
                <w:rFonts w:hint="eastAsia" w:cs="宋体" w:asciiTheme="minorEastAsia" w:hAnsiTheme="minorEastAsia" w:eastAsiaTheme="minorEastAsia"/>
                <w:color w:val="auto"/>
                <w:kern w:val="0"/>
                <w:szCs w:val="21"/>
                <w:lang w:val="en-US" w:eastAsia="zh-CN"/>
              </w:rPr>
              <w:br w:type="textWrapping"/>
            </w:r>
            <w:r>
              <w:rPr>
                <w:rFonts w:hint="eastAsia" w:cs="宋体" w:asciiTheme="minorEastAsia" w:hAnsiTheme="minorEastAsia" w:eastAsiaTheme="minorEastAsia"/>
                <w:color w:val="auto"/>
                <w:kern w:val="0"/>
                <w:szCs w:val="21"/>
                <w:lang w:val="en-US" w:eastAsia="zh-CN"/>
              </w:rPr>
              <w:t>18.支持支付宝钱包，移动支付零钱管理，可设置限额，消费明细实时掌握</w:t>
            </w:r>
            <w:r>
              <w:rPr>
                <w:rFonts w:hint="eastAsia" w:cs="宋体" w:asciiTheme="minorEastAsia" w:hAnsiTheme="minorEastAsia" w:eastAsiaTheme="minorEastAsia"/>
                <w:color w:val="auto"/>
                <w:kern w:val="0"/>
                <w:szCs w:val="21"/>
                <w:lang w:val="en-US" w:eastAsia="zh-CN"/>
              </w:rPr>
              <w:br w:type="textWrapping"/>
            </w:r>
            <w:r>
              <w:rPr>
                <w:rFonts w:hint="eastAsia" w:cs="宋体" w:asciiTheme="minorEastAsia" w:hAnsiTheme="minorEastAsia" w:eastAsiaTheme="minorEastAsia"/>
                <w:color w:val="auto"/>
                <w:kern w:val="0"/>
                <w:szCs w:val="21"/>
                <w:lang w:val="en-US" w:eastAsia="zh-CN"/>
              </w:rPr>
              <w:t>19.支持远程重启和关机，便于监护人远程设置。</w:t>
            </w:r>
            <w:r>
              <w:rPr>
                <w:rFonts w:hint="eastAsia" w:cs="宋体" w:asciiTheme="minorEastAsia" w:hAnsiTheme="minorEastAsia" w:eastAsiaTheme="minorEastAsia"/>
                <w:color w:val="auto"/>
                <w:kern w:val="0"/>
                <w:szCs w:val="21"/>
                <w:lang w:val="en-US" w:eastAsia="zh-CN"/>
              </w:rPr>
              <w:br w:type="textWrapping"/>
            </w:r>
            <w:r>
              <w:rPr>
                <w:rFonts w:hint="eastAsia" w:cs="宋体" w:asciiTheme="minorEastAsia" w:hAnsiTheme="minorEastAsia" w:eastAsiaTheme="minorEastAsia"/>
                <w:color w:val="auto"/>
                <w:kern w:val="0"/>
                <w:szCs w:val="21"/>
                <w:lang w:val="en-US" w:eastAsia="zh-CN"/>
              </w:rPr>
              <w:t>20.其他功能：录音，闹钟，记步器，睡眠监测，天气，吃药提醒，找设备，手表自动更新时间等</w:t>
            </w:r>
            <w:r>
              <w:rPr>
                <w:rFonts w:hint="eastAsia" w:cs="宋体" w:asciiTheme="minorEastAsia" w:hAnsiTheme="minorEastAsia" w:eastAsiaTheme="minorEastAsia"/>
                <w:color w:val="auto"/>
                <w:kern w:val="0"/>
                <w:szCs w:val="21"/>
                <w:lang w:val="en-US" w:eastAsia="zh-CN"/>
              </w:rPr>
              <w:br w:type="textWrapping"/>
            </w:r>
            <w:r>
              <w:rPr>
                <w:rFonts w:hint="eastAsia" w:cs="宋体" w:asciiTheme="minorEastAsia" w:hAnsiTheme="minorEastAsia" w:eastAsiaTheme="minorEastAsia"/>
                <w:color w:val="auto"/>
                <w:kern w:val="0"/>
                <w:szCs w:val="21"/>
                <w:lang w:val="en-US" w:eastAsia="zh-CN"/>
              </w:rPr>
              <w:t>21.防水：IP67防水</w:t>
            </w:r>
            <w:r>
              <w:rPr>
                <w:rFonts w:hint="eastAsia" w:cs="宋体" w:asciiTheme="minorEastAsia" w:hAnsiTheme="minorEastAsia" w:eastAsiaTheme="minorEastAsia"/>
                <w:color w:val="auto"/>
                <w:kern w:val="0"/>
                <w:szCs w:val="21"/>
                <w:lang w:val="en-US" w:eastAsia="zh-CN"/>
              </w:rPr>
              <w:br w:type="textWrapping"/>
            </w:r>
            <w:r>
              <w:rPr>
                <w:rFonts w:hint="eastAsia" w:cs="宋体" w:asciiTheme="minorEastAsia" w:hAnsiTheme="minorEastAsia" w:eastAsiaTheme="minorEastAsia"/>
                <w:color w:val="auto"/>
                <w:kern w:val="0"/>
                <w:szCs w:val="21"/>
                <w:lang w:val="en-US" w:eastAsia="zh-CN"/>
              </w:rPr>
              <w:t>22.配备附件：磁吸充电器，说明书，独立包装盒</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auto"/>
                <w:kern w:val="0"/>
                <w:szCs w:val="21"/>
                <w:lang w:val="en-US" w:eastAsia="zh-CN"/>
              </w:rPr>
            </w:pPr>
            <w:r>
              <w:rPr>
                <w:rFonts w:hint="eastAsia" w:cs="宋体" w:asciiTheme="minorEastAsia" w:hAnsiTheme="minorEastAsia" w:eastAsiaTheme="minorEastAsia"/>
                <w:color w:val="auto"/>
                <w:kern w:val="0"/>
                <w:szCs w:val="21"/>
                <w:lang w:val="en-US" w:eastAsia="zh-CN"/>
              </w:rPr>
              <w:t>块</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color w:val="auto"/>
                <w:kern w:val="0"/>
                <w:szCs w:val="21"/>
                <w:lang w:val="en-US" w:eastAsia="zh-CN"/>
              </w:rPr>
            </w:pPr>
            <w:r>
              <w:rPr>
                <w:rFonts w:hint="eastAsia" w:cs="宋体" w:asciiTheme="minorEastAsia" w:hAnsiTheme="minorEastAsia" w:eastAsiaTheme="minorEastAsia"/>
                <w:color w:val="auto"/>
                <w:kern w:val="0"/>
                <w:szCs w:val="21"/>
                <w:lang w:val="en-US" w:eastAsia="zh-CN"/>
              </w:rPr>
              <w:t>800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990" w:type="dxa"/>
            <w:gridSpan w:val="6"/>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b/>
                <w:color w:val="auto"/>
                <w:szCs w:val="21"/>
              </w:rPr>
            </w:pPr>
            <w:r>
              <w:rPr>
                <w:rFonts w:hint="eastAsia" w:ascii="宋体" w:hAnsi="宋体" w:cs="宋体"/>
                <w:b/>
                <w:color w:val="auto"/>
                <w:szCs w:val="21"/>
              </w:rPr>
              <w:t>二、</w:t>
            </w:r>
            <w:r>
              <w:rPr>
                <w:rFonts w:hint="eastAsia"/>
                <w:color w:val="auto"/>
                <w:szCs w:val="21"/>
              </w:rPr>
              <w:t>▲</w:t>
            </w:r>
            <w:r>
              <w:rPr>
                <w:rFonts w:hint="eastAsia" w:ascii="宋体" w:hAnsi="宋体" w:cs="宋体"/>
                <w:b/>
                <w:color w:val="auto"/>
                <w:szCs w:val="21"/>
              </w:rPr>
              <w:t>商务要求表</w:t>
            </w:r>
            <w:r>
              <w:rPr>
                <w:rFonts w:hint="eastAsia" w:hAnsi="宋体"/>
                <w:b/>
                <w:color w:val="auto"/>
                <w:szCs w:val="21"/>
              </w:rPr>
              <w:t>（投标人商务响应表与售后服务承诺同一内容不相符的，以低计算）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08"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color w:val="auto"/>
                <w:szCs w:val="21"/>
              </w:rPr>
            </w:pPr>
            <w:r>
              <w:rPr>
                <w:rFonts w:hint="eastAsia" w:ascii="宋体" w:hAnsi="宋体" w:cs="宋体"/>
                <w:color w:val="auto"/>
                <w:szCs w:val="21"/>
              </w:rPr>
              <w:t>质保期</w:t>
            </w:r>
          </w:p>
        </w:tc>
        <w:tc>
          <w:tcPr>
            <w:tcW w:w="8182"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color w:val="auto"/>
                <w:szCs w:val="21"/>
              </w:rPr>
            </w:pPr>
            <w:r>
              <w:rPr>
                <w:rFonts w:hint="eastAsia" w:ascii="宋体" w:hAnsi="宋体" w:cs="宋体"/>
                <w:color w:val="auto"/>
                <w:szCs w:val="21"/>
              </w:rPr>
              <w:t>按国家有关产品“三包”规定执行“三包”，最短不得少于2年，自设备验收合格之日起计算。终身维护。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0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售后技术服务要求</w:t>
            </w:r>
          </w:p>
        </w:tc>
        <w:tc>
          <w:tcPr>
            <w:tcW w:w="8182" w:type="dxa"/>
            <w:gridSpan w:val="3"/>
            <w:tcBorders>
              <w:top w:val="single" w:color="auto" w:sz="4" w:space="0"/>
              <w:left w:val="single" w:color="auto" w:sz="4" w:space="0"/>
              <w:bottom w:val="single" w:color="auto" w:sz="4" w:space="0"/>
              <w:right w:val="single" w:color="auto" w:sz="4" w:space="0"/>
            </w:tcBorders>
          </w:tcPr>
          <w:p>
            <w:pPr>
              <w:spacing w:line="400" w:lineRule="exact"/>
              <w:rPr>
                <w:color w:val="auto"/>
                <w:szCs w:val="21"/>
              </w:rPr>
            </w:pPr>
            <w:r>
              <w:rPr>
                <w:rFonts w:hint="eastAsia"/>
                <w:color w:val="auto"/>
                <w:szCs w:val="21"/>
              </w:rPr>
              <w:t>质保期内免费维修、免费更换零部件，服务内容如下：</w:t>
            </w:r>
          </w:p>
          <w:p>
            <w:pPr>
              <w:spacing w:line="400" w:lineRule="exact"/>
              <w:rPr>
                <w:color w:val="auto"/>
                <w:szCs w:val="21"/>
              </w:rPr>
            </w:pPr>
            <w:r>
              <w:rPr>
                <w:rFonts w:hint="eastAsia"/>
                <w:color w:val="auto"/>
                <w:szCs w:val="21"/>
              </w:rPr>
              <w:t>（1）免费送货至交货地点、免费调试货物到最佳状态、免费培训操作人员。</w:t>
            </w:r>
          </w:p>
          <w:p>
            <w:pPr>
              <w:spacing w:line="400" w:lineRule="exact"/>
              <w:rPr>
                <w:color w:val="auto"/>
                <w:szCs w:val="21"/>
              </w:rPr>
            </w:pPr>
            <w:r>
              <w:rPr>
                <w:rFonts w:hint="eastAsia"/>
                <w:color w:val="auto"/>
                <w:szCs w:val="21"/>
              </w:rPr>
              <w:t>（2）维修响应：中标供应商在接到用户维修电话后3小时内响应，24小时内到达现场修理解决，并免费更换有缺陷的货物或零部件，48小时内恢复正常使用，若不能修复则应有合理应对方案。</w:t>
            </w:r>
          </w:p>
          <w:p>
            <w:pPr>
              <w:spacing w:line="400" w:lineRule="exact"/>
              <w:rPr>
                <w:color w:val="auto"/>
                <w:szCs w:val="21"/>
              </w:rPr>
            </w:pPr>
            <w:r>
              <w:rPr>
                <w:rFonts w:hint="eastAsia"/>
                <w:color w:val="auto"/>
                <w:szCs w:val="21"/>
              </w:rPr>
              <w:t>（3）中标人除承担运输、验收与培训等义务外，还将为采购人提供技术支持，包括保修期外的修理及技术指导、配件供应等。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03" w:hRule="atLeast"/>
        </w:trPr>
        <w:tc>
          <w:tcPr>
            <w:tcW w:w="180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交货时间及地点</w:t>
            </w:r>
          </w:p>
        </w:tc>
        <w:tc>
          <w:tcPr>
            <w:tcW w:w="818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1、交货时间：</w:t>
            </w:r>
            <w:r>
              <w:rPr>
                <w:rFonts w:hint="eastAsia" w:ascii="宋体" w:hAnsi="宋体"/>
                <w:bCs/>
                <w:color w:val="auto"/>
                <w:szCs w:val="21"/>
              </w:rPr>
              <w:t>中标人接到采购人每次发出的订单后20个工作日内交付货物并验收合格</w:t>
            </w:r>
            <w:r>
              <w:rPr>
                <w:rFonts w:hint="eastAsia" w:ascii="宋体" w:hAnsi="宋体" w:cs="宋体"/>
                <w:color w:val="auto"/>
                <w:szCs w:val="21"/>
              </w:rPr>
              <w:t>。</w:t>
            </w:r>
          </w:p>
          <w:p>
            <w:pPr>
              <w:spacing w:line="400" w:lineRule="exact"/>
              <w:rPr>
                <w:rFonts w:ascii="宋体" w:hAnsi="宋体" w:cs="宋体"/>
                <w:color w:val="auto"/>
                <w:szCs w:val="21"/>
              </w:rPr>
            </w:pPr>
            <w:r>
              <w:rPr>
                <w:rFonts w:hint="eastAsia" w:ascii="宋体" w:hAnsi="宋体" w:cs="宋体"/>
                <w:color w:val="auto"/>
                <w:szCs w:val="21"/>
              </w:rPr>
              <w:t>2、交货地点：采购单位县（市、区）残联指定的县（市、区）或乡镇（街道），后续配送入户由县（市、区）残联和乡镇（街道）残联负责组织完成。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4" w:hRule="atLeast"/>
        </w:trPr>
        <w:tc>
          <w:tcPr>
            <w:tcW w:w="180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付款方式</w:t>
            </w:r>
          </w:p>
        </w:tc>
        <w:tc>
          <w:tcPr>
            <w:tcW w:w="818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由中标供应商与广西壮族自治区残疾人联合会签订总合同，并与采购单位县（市、区）残联签订分合同。乙方根据县（市、区）残联需求按订单供货，每次订单的货物经交付验收合格后十个工作日内，由甲方按乙方中标标的物的中标单价和实际供货数量计算，以转帐方式一次性付清订单货款（无预付款）。乙方自收到货款之日起五个工作日内开具发票给甲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59" w:hRule="atLeast"/>
        </w:trPr>
        <w:tc>
          <w:tcPr>
            <w:tcW w:w="180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投标报价</w:t>
            </w:r>
          </w:p>
        </w:tc>
        <w:tc>
          <w:tcPr>
            <w:tcW w:w="818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投标人按折让率进行报价，本项目折让率允许范围20%（含）以内，超出范围不予接受，作无效投标处理；本项目不接受零折让率的报价（例如：九折的折让率为10%；八折的折让率为20%），投标折让率必须是固定的（如10%），不得存在区间值（如：5%~10%），统一对本项目报一个投标折让率，不接受有选择的报价，且所报的投标折让率应当适用于本项目的所有投标产品。投标人报价时应充分把实施项目过程中所产生的成品辅具、使用指导、运输配送、备品备件、跟踪回访、质保服务、使用指导、培训、技术支持、验收及其它所有相关费用列入投标报价中。采购人不再针对本项目另行支付其他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990"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b/>
                <w:color w:val="auto"/>
                <w:szCs w:val="21"/>
              </w:rPr>
              <w:t>三、投标人的资信要求表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0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政策性加分条件</w:t>
            </w:r>
          </w:p>
        </w:tc>
        <w:tc>
          <w:tcPr>
            <w:tcW w:w="8286"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符合节能环保等国家政策要求。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990"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b/>
                <w:color w:val="auto"/>
                <w:szCs w:val="21"/>
              </w:rPr>
              <w:t>四、采购人对项目的特殊要求及说明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08"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color w:val="auto"/>
                <w:szCs w:val="21"/>
              </w:rPr>
            </w:pPr>
            <w:r>
              <w:rPr>
                <w:rFonts w:hint="eastAsia" w:ascii="宋体" w:hAnsi="宋体" w:cs="宋体"/>
                <w:color w:val="auto"/>
                <w:szCs w:val="21"/>
              </w:rPr>
              <w:t>产品资料说明文件</w:t>
            </w:r>
          </w:p>
        </w:tc>
        <w:tc>
          <w:tcPr>
            <w:tcW w:w="8182" w:type="dxa"/>
            <w:gridSpan w:val="3"/>
            <w:tcBorders>
              <w:top w:val="single" w:color="auto" w:sz="4" w:space="0"/>
              <w:left w:val="single" w:color="auto" w:sz="4" w:space="0"/>
              <w:bottom w:val="single" w:color="auto" w:sz="4" w:space="0"/>
              <w:right w:val="single" w:color="auto" w:sz="4" w:space="0"/>
            </w:tcBorders>
          </w:tcPr>
          <w:p>
            <w:pPr>
              <w:spacing w:line="400" w:lineRule="exact"/>
              <w:rPr>
                <w:color w:val="auto"/>
                <w:szCs w:val="21"/>
              </w:rPr>
            </w:pPr>
            <w:r>
              <w:rPr>
                <w:rFonts w:hint="eastAsia"/>
                <w:color w:val="auto"/>
                <w:szCs w:val="21"/>
              </w:rPr>
              <w:t>1、招标文件要求提供有效检测报告复印件必须满足，评标时当技术响应表中的参数与检测报告不一致时，以检测报告为准。▲2、投标产品中涉及国家专项审批的，投标人在投标文件中需提供相关医疗器械生产许可证和医疗器械注册证明细表复印件。</w:t>
            </w:r>
          </w:p>
          <w:p>
            <w:pPr>
              <w:spacing w:line="400" w:lineRule="exact"/>
              <w:rPr>
                <w:color w:val="auto"/>
                <w:szCs w:val="21"/>
              </w:rPr>
            </w:pPr>
            <w:r>
              <w:rPr>
                <w:rFonts w:hint="eastAsia"/>
                <w:color w:val="auto"/>
                <w:szCs w:val="21"/>
              </w:rPr>
              <w:t>▲3、提供所有投标单个产品的照片，照片拍摄要求：单个产品正面左前方45度方位，俯视30度拍摄的照片一张，白底，JPEG格式，图像清晰，像素≧5M，并按照“生产厂家+品名+规格型号+主要材料”内容顺序，逐项作书面说明，A4纸单面限于两个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0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采购人的特殊要求及说明</w:t>
            </w:r>
          </w:p>
        </w:tc>
        <w:tc>
          <w:tcPr>
            <w:tcW w:w="8182" w:type="dxa"/>
            <w:gridSpan w:val="3"/>
            <w:tcBorders>
              <w:top w:val="single" w:color="auto" w:sz="4" w:space="0"/>
              <w:left w:val="single" w:color="auto" w:sz="4" w:space="0"/>
              <w:bottom w:val="single" w:color="auto" w:sz="4" w:space="0"/>
              <w:right w:val="single" w:color="auto" w:sz="4" w:space="0"/>
            </w:tcBorders>
            <w:vAlign w:val="center"/>
          </w:tcPr>
          <w:p>
            <w:pPr>
              <w:pStyle w:val="13"/>
              <w:spacing w:line="400" w:lineRule="exact"/>
              <w:rPr>
                <w:rFonts w:hint="eastAsia" w:ascii="宋体" w:hAnsi="宋体" w:cs="宋体"/>
                <w:color w:val="auto"/>
                <w:szCs w:val="21"/>
              </w:rPr>
            </w:pPr>
            <w:r>
              <w:rPr>
                <w:rFonts w:hint="eastAsia" w:ascii="宋体" w:hAnsi="宋体" w:cs="宋体"/>
                <w:color w:val="auto"/>
                <w:szCs w:val="21"/>
              </w:rPr>
              <w:t>▲本项目未办理进口产品的相关审批手续，不接受进口产品（即通过中国海关报关验放进入中国境内且产自关境外的产品）参与投标，如有此类产品参与投标的，作无效投标处理。</w:t>
            </w:r>
          </w:p>
          <w:p>
            <w:pPr>
              <w:pStyle w:val="13"/>
              <w:spacing w:line="400" w:lineRule="exact"/>
              <w:rPr>
                <w:rFonts w:hint="eastAsia" w:ascii="宋体" w:hAnsi="宋体" w:cs="宋体"/>
                <w:color w:val="auto"/>
                <w:szCs w:val="21"/>
              </w:rPr>
            </w:pPr>
            <w:r>
              <w:rPr>
                <w:rFonts w:hint="eastAsia" w:ascii="宋体" w:hAnsi="宋体" w:cs="宋体"/>
                <w:color w:val="auto"/>
                <w:szCs w:val="21"/>
              </w:rPr>
              <w:t>▲</w:t>
            </w:r>
            <w:r>
              <w:rPr>
                <w:rFonts w:hint="eastAsia" w:ascii="宋体" w:hAnsi="宋体" w:cs="宋体"/>
                <w:b/>
                <w:bCs/>
                <w:color w:val="auto"/>
                <w:sz w:val="21"/>
                <w:szCs w:val="21"/>
                <w:lang w:val="en-US" w:eastAsia="zh-CN"/>
              </w:rPr>
              <w:t>本项目</w:t>
            </w:r>
            <w:r>
              <w:rPr>
                <w:rFonts w:hint="eastAsia"/>
                <w:b/>
                <w:bCs/>
                <w:color w:val="auto"/>
                <w:sz w:val="21"/>
                <w:szCs w:val="21"/>
                <w:lang w:val="en-US" w:eastAsia="zh-CN"/>
              </w:rPr>
              <w:t>具体采购的暂估数量是采购人为了便于评标先拟定的暂估数量，在实际合同执行过程中，由采购人根据工作中发生的实际数量定，采购人按实际数量结算，投标人必须接受这一情况。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1" w:hRule="atLeast"/>
        </w:trPr>
        <w:tc>
          <w:tcPr>
            <w:tcW w:w="180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其他要求</w:t>
            </w:r>
          </w:p>
        </w:tc>
        <w:tc>
          <w:tcPr>
            <w:tcW w:w="8182" w:type="dxa"/>
            <w:gridSpan w:val="3"/>
            <w:tcBorders>
              <w:top w:val="single" w:color="auto" w:sz="4" w:space="0"/>
              <w:left w:val="single" w:color="auto" w:sz="4" w:space="0"/>
              <w:bottom w:val="single" w:color="auto" w:sz="4" w:space="0"/>
              <w:right w:val="single" w:color="auto" w:sz="4" w:space="0"/>
            </w:tcBorders>
            <w:vAlign w:val="center"/>
          </w:tcPr>
          <w:p>
            <w:pPr>
              <w:pStyle w:val="8"/>
              <w:jc w:val="both"/>
              <w:rPr>
                <w:rFonts w:ascii="宋体" w:hAnsi="宋体" w:eastAsia="宋体" w:cs="宋体"/>
                <w:color w:val="auto"/>
                <w:sz w:val="21"/>
                <w:szCs w:val="21"/>
              </w:rPr>
            </w:pPr>
            <w:r>
              <w:rPr>
                <w:rFonts w:hint="eastAsia" w:ascii="宋体" w:hAnsi="宋体" w:eastAsia="宋体" w:cs="宋体"/>
                <w:color w:val="auto"/>
                <w:sz w:val="21"/>
                <w:szCs w:val="21"/>
              </w:rPr>
              <w:t>▲1、第十七项投标产品为核心产品，核心产品品牌相同的，视为提供相同品牌产品。提供相同品牌产品的不同投标人参加同一合同项下投标的，按一家投标人计算，以其中通过资格审查、符合性审查的不同投标人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8"/>
              <w:jc w:val="both"/>
              <w:rPr>
                <w:rFonts w:ascii="宋体" w:hAnsi="宋体" w:cs="宋体"/>
                <w:color w:val="auto"/>
                <w:szCs w:val="21"/>
              </w:rPr>
            </w:pPr>
            <w:r>
              <w:rPr>
                <w:rFonts w:hint="eastAsia" w:ascii="宋体" w:hAnsi="宋体" w:eastAsia="宋体" w:cs="宋体"/>
                <w:color w:val="auto"/>
                <w:sz w:val="21"/>
                <w:szCs w:val="21"/>
              </w:rPr>
              <w:t>▲2、第1项、第7项、第17项投标产品需提供</w:t>
            </w:r>
            <w:r>
              <w:rPr>
                <w:rFonts w:hint="eastAsia" w:ascii="宋体" w:hAnsi="宋体" w:eastAsia="宋体" w:cs="宋体"/>
                <w:color w:val="auto"/>
                <w:sz w:val="21"/>
                <w:szCs w:val="21"/>
                <w:lang w:val="en-US" w:eastAsia="zh-CN"/>
              </w:rPr>
              <w:t>省级及以上相关专业质量监督检验部门出具的检测报告</w:t>
            </w:r>
            <w:r>
              <w:rPr>
                <w:rFonts w:hint="eastAsia" w:ascii="宋体" w:hAnsi="宋体" w:eastAsia="宋体" w:cs="宋体"/>
                <w:color w:val="auto"/>
                <w:sz w:val="21"/>
                <w:szCs w:val="21"/>
              </w:rPr>
              <w:t>，检测报告的检测时间为</w:t>
            </w:r>
            <w:r>
              <w:rPr>
                <w:rFonts w:hint="eastAsia" w:ascii="宋体" w:hAnsi="宋体" w:eastAsia="宋体" w:cs="宋体"/>
                <w:color w:val="auto"/>
                <w:sz w:val="21"/>
                <w:szCs w:val="21"/>
                <w:lang w:eastAsia="zh-CN"/>
              </w:rPr>
              <w:t>四</w:t>
            </w:r>
            <w:r>
              <w:rPr>
                <w:rFonts w:hint="eastAsia" w:ascii="宋体" w:hAnsi="宋体" w:eastAsia="宋体" w:cs="宋体"/>
                <w:color w:val="auto"/>
                <w:sz w:val="21"/>
                <w:szCs w:val="21"/>
              </w:rPr>
              <w:t>年（2019年、2020年、2021年</w:t>
            </w:r>
            <w:r>
              <w:rPr>
                <w:rFonts w:hint="eastAsia" w:ascii="宋体" w:hAnsi="宋体" w:eastAsia="宋体" w:cs="宋体"/>
                <w:color w:val="auto"/>
                <w:sz w:val="21"/>
                <w:szCs w:val="21"/>
                <w:lang w:val="en-US" w:eastAsia="zh-CN"/>
              </w:rPr>
              <w:t>.2022年</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且不得晚于招标项目参数公示日之后。</w:t>
            </w:r>
          </w:p>
        </w:tc>
      </w:tr>
    </w:tbl>
    <w:p>
      <w:pPr>
        <w:spacing w:line="428" w:lineRule="exact"/>
        <w:ind w:left="119"/>
        <w:rPr>
          <w:color w:val="auto"/>
        </w:rPr>
      </w:pPr>
    </w:p>
    <w:p>
      <w:pPr>
        <w:spacing w:line="428" w:lineRule="exact"/>
        <w:ind w:left="119"/>
        <w:outlineLvl w:val="1"/>
        <w:rPr>
          <w:rFonts w:hint="eastAsia"/>
          <w:color w:val="auto"/>
          <w:lang w:val="en-US" w:eastAsia="zh-CN"/>
        </w:rPr>
      </w:pPr>
      <w:r>
        <w:rPr>
          <w:rFonts w:hint="eastAsia"/>
          <w:color w:val="auto"/>
          <w:lang w:val="en-US" w:eastAsia="zh-CN"/>
        </w:rPr>
        <w:t>D分标：</w:t>
      </w:r>
    </w:p>
    <w:tbl>
      <w:tblPr>
        <w:tblStyle w:val="24"/>
        <w:tblW w:w="1003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1029"/>
        <w:gridCol w:w="104"/>
        <w:gridCol w:w="6805"/>
        <w:gridCol w:w="709"/>
        <w:gridCol w:w="7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31" w:type="dxa"/>
            <w:gridSpan w:val="6"/>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b/>
                <w:color w:val="auto"/>
                <w:szCs w:val="21"/>
              </w:rPr>
            </w:pPr>
            <w:r>
              <w:rPr>
                <w:rFonts w:hint="eastAsia" w:ascii="宋体" w:hAnsi="宋体" w:cs="宋体"/>
                <w:b/>
                <w:color w:val="auto"/>
                <w:szCs w:val="21"/>
              </w:rPr>
              <w:t>一、项目要求及技术需求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项号</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货物名称</w:t>
            </w:r>
          </w:p>
        </w:tc>
        <w:tc>
          <w:tcPr>
            <w:tcW w:w="68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技术参数及性能（配置）要求</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单位</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语音盲文药盒</w:t>
            </w:r>
          </w:p>
        </w:tc>
        <w:tc>
          <w:tcPr>
            <w:tcW w:w="6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1、可设置多组闹铃提醒，每组闹钟可重复提示至少3次；</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2、采用七彩视觉区分小格药盒设计，每个小盒子盖上有盲文标识；</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3、采用双层密封防水设计；</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4、采用环保食品级材料制作；</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5、具有DIY贴纸设计，可根据个性化的设置提醒；</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6、轻巧便携设计。</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个</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2</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盲杖（成人四折）</w:t>
            </w:r>
          </w:p>
        </w:tc>
        <w:tc>
          <w:tcPr>
            <w:tcW w:w="6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1、杖身为铝合金材质，杖身三分之一处贴红色反光纸；                                                                                               2、手柄为TPE热塑弹性塑胶材质，防水、防晒；                                                                                     3、杖头为黑色POM聚甲醛耐磨硬质塑料；                                                                                                                                                                                    4、串联线为两根进口粗橡胶皮筋、弹性好、耐老化；</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5、杖身材料壁厚≥1mm，杖身直径≥13mm，四折叠式结构，折叠后长度：322mm，展开长度900≤L＜1200mm，表面阳极氧化处理，全反光膜覆护；</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6、配独立包装袋一个（牛津布或绒布）。</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支</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3</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盲杖（成人四折旋转头）</w:t>
            </w:r>
          </w:p>
        </w:tc>
        <w:tc>
          <w:tcPr>
            <w:tcW w:w="6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1、产品符合GB16930.1-1997《盲人手杖安全色标志》和GB16930.2-2009《盲杖技术条件》国家标准；</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2、颜色：红白颜色；</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3、杆身外表具有反光膜，夜间行走遇有车灯照射，杆身会自然警示反光；</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4、杆身长度尺寸（mm）：1200≤L＜1500，折叠后长度322mm；</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5、手柄最小长度（mm）≥150；</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6、铝合金管材外径为13mm，壁厚1mm；</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7、手柄材质：环保材料，无毒、无害、无异味、不吸水、不褪色、易于清洗、防滑、绝缘；结构设计应适合盲杖使用中正确握持，不易从手中滑落；手柄上端应装有弹性腕带，并易于更换；</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8、杖尖材质：耐磨、绝缘、振动传导信号，有敲击声反馈，易于更换，杖头采用耐磨性能优良的材料做成旋转头，杖头采用多向旋转设计；</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9、杆身材质：杆身选用优质铝合金材质，并经阳极氧化处理，具有耐磨，不氧化的特点；</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10、手柄松紧绳进口橡胶制成,具有回弹性强,耐拉,抗老化特点；</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11、转动部件转动灵活；连接部件链接牢固；折叠部件方便折叠和打开，不应有卡滞现象；</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12、铝合金管口采用软塑胶防护衬套，防止松紧绳因多次折叠发生断裂；</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13、使用者可触及表面均不应有外露的锐边、尖角、刃口和毛刺；</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14、正常使用时，各部件材料不应掉色，不应使皮肤、衣服着色；</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15、每只盲杖配有独立包装袋。</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支</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4</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盲杖（铝合金伸缩型）</w:t>
            </w:r>
          </w:p>
        </w:tc>
        <w:tc>
          <w:tcPr>
            <w:tcW w:w="6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1、材质：铝合金材质；                                                                                                                                                                                             2、采用伸缩式连接，如同拉杆天线的连接方式；                                                                                                                                                           3、本品与以往传统的采用松紧进行连接的折叠盲杖有着根本的不同，甶于其采用金厲卡扣对每一节拉出来的盲杖进行锁定,使盲杖无论受到多大的外力都不会缩短，非常的坚固；                                                                                                      4、当用户想要将盲杖收起的时候，上面的一个按钮，向下一压，其余六节便即可收起，本品完全收缩后长度仅有29厘米左右，直径3厘米，特别容易随身携带。</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支</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5</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盲杖（儿童三折）</w:t>
            </w:r>
          </w:p>
        </w:tc>
        <w:tc>
          <w:tcPr>
            <w:tcW w:w="6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1、杖身为不锈钢材质，杖身三分之一处贴红色反光纸；                                                                                               2、手柄为TPE热塑弹性塑胶材质，防水、防晒；                                                                                     3、杖头为黑色POM聚甲醛耐磨硬质塑料；                                                                                                                                                                                    4、串联线为两根进口粗橡胶皮筋、弹性好、耐老化；</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5、杖身材料壁厚≥1mm，杖身直径≥13mm，三折叠式结构，折叠后长度：350mm，展开长度990mm，表面阳极氧化处理，全反光膜覆护；</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6、配独立包装袋一个（牛津布或绒布）。</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支</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6</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语音导航装置</w:t>
            </w:r>
          </w:p>
        </w:tc>
        <w:tc>
          <w:tcPr>
            <w:tcW w:w="6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1、具有电话本功能： 可以设定15个通信号码，实现快速拨打和菜单查找拨打电话；</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2、具有微聊功能： 语音双向群组微聊功能（实现手表与APP的语音互聊）；</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3、具有支付宝功能： 扫码收款/支付款；</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4、具有语音声控操作功能： 实现手表功能语音声控操作、搜寻百科资料；</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5、自带摄像头、支持视频语音聊天；</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6、支持全网通：移动、.联通、电信；</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7、具有WIFI链接功能；</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8、防水：级别IP67；</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9、支持心率血压睡眠测试、跌倒报警、SOS紧急救助、铃声、电话免提、免打扰、短信、音乐播放器、录音机、天气、计步、足迹、相机、相册、闹钟、低电量报警、远程关机。</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10、具有远程监听、支持回拨模式远程监听；</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11、具有电子围栏功能：可设定多个电子围栏；</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12、主材料是采用铝合金材料制造，轻便易携带；</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13、采用伸缩伸缩式连接设计，并可根据自身身高进行自由调节长度，拉伸时由卡扣对拉出来盲杖每一节进行锁定，在锁定不会自动缩短，紧固耐用；</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14、杆身长度尺寸：1280mm；管壁厚度 6mm，杖尖直径：24mm，折叠后长度 295mm;</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15、手柄材质：环保硅胶亲肤材料，无毒、无害、抗菌、无异味、不吸水、不褪色、易于清洗、防滑、绝缘；结构设计适合盲杖使用中正确握持，不易从手中滑落；</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16、反光膜：杆身接口处均贴有反光膜；</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 xml:space="preserve">17、杖尖材质为不锈钢，经加硬处理，耐磨、绝缘、振动传导信号，并且在水泥、沥青、砖质等硬质路面上使用，有敲击声反馈，易于更换；                                                                                 18、杖头采用多向旋转设计，且易于更换；                                                                                                                                                        </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 xml:space="preserve">19、使用者可触及表面均无外露的锐边、尖角、刃口和毛刺；                                                                                                                                                        </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20、杆身连接稳固，摇动不会晃动。</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个</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7</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语音盲文电饭煲A</w:t>
            </w:r>
          </w:p>
        </w:tc>
        <w:tc>
          <w:tcPr>
            <w:tcW w:w="6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1.具有盲文按键。</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2.产品由电饭煲主机全铝内胆360克，蒸格量杯饭勺电源线说明书组成</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3.额定功率：不低于700W,电压220V额定频率：50-60HZ容量5L</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4.通电后全程具有语音提示功能</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5.一键快煮自动断电控制功能</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6.任何模式下按下取消键，进入安全待机模式</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 xml:space="preserve">7、需提供产品3C认证证书；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个</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480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8</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语音盲文电饭煲B</w:t>
            </w:r>
          </w:p>
        </w:tc>
        <w:tc>
          <w:tcPr>
            <w:tcW w:w="6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1、产品符合GB17625.1-2012;GB4343.1-2018;GB4706.1-2005;GB4706.19-2008的国家标准；</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2、配备蒸格、量杯、可立饭勺；</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3、额定功率：不低于860W,额定电压220V，额定频率：50-60HZ，容量5L,全铝内胆；</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4、具有显示屏：LED四位数码显示屏可显示预约定时、时间信息；</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5、所有按键具有全程语音提示功能，具有预约定时、蒸煮、柴火饭、快煮饭、锅巴饭、煮粥、煲汤、焖肉、蒸蛋糕、热饭、消毒杀菌、保温十二大功能；</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6、具时间预约定时功能；</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7、所有按键都带盲文点、语音播报功能和文字标识；</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8、具有人体感应功能，当电饭煲开始任意功能后，感应到用户靠近，则会自动播报当前工作状态及剩余时间；</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9、具有语音交互功能，可以通过语音控制所有功能的操作如：预约定时、蒸煮、柴火饭、快煮饭、锅巴饭、煮粥、煲汤、焖肉、蒸蛋糕、热饭、消毒杀菌、保温、开始工作、取消工作；</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10、具有语音交互唤醒播报当前状态功能，可通过语音交互唤醒后，播报当前工作状态及剩余时间；</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11、独立彩包盒泡沫包装；</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 xml:space="preserve">12、需提供产品3C认证证书。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个</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600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9</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语音盲文电压力锅</w:t>
            </w:r>
          </w:p>
        </w:tc>
        <w:tc>
          <w:tcPr>
            <w:tcW w:w="6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1、产品组成：电压力锅主机、内胆，量杯、饭勺、电源线;</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2、性能参数：功率1000w、容量6L、全程语音播报、LCD显示屏；</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3、材质：不锈钢外壳，不锈钢盖子，食品级塑料盖子防护，铝合金饭锅；</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4、功能：</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1）具有全程语音提示功能；</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2）一键功能选择键，具有至少八个功能选择；</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3）具有时间预约功能。</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4）任何模式下按下取消键，进入待机模式；</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5）功能按钮带盲点标识及LED指示灯；</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6）具有LED四位数码显示屏，可显示时间信息</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7）拥有自选保压功能，按下自选保压按键后，按加减按键选择保压时间；</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8）配有独立包装箱；；</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 xml:space="preserve">5、需提供产品3C认证证书；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rPr>
              <w:t>个</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rPr>
              <w:t>700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default"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10</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语音盲文电磁炉A</w:t>
            </w:r>
          </w:p>
        </w:tc>
        <w:tc>
          <w:tcPr>
            <w:tcW w:w="6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1.语音盲文闪光提示电磁米炉</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2.产品有电磁炉主机，单机组成</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3.额定功率：不低于2300W,电压220V，额定频率：50-60HZ</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4.产品材质：品牌主板和芯片耐高温黑晶防滑面板，塑料外壳</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5.具有全程闪光提示和语音播报，6个按键带盲文标识和数码显示</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6.产品具有“无锅具”安全提醒，反复提醒无锅10次“请放锅具”自动断电自动安全保护，有闪光提醒。</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7.产品具有6个按键：开关功能减小增大预约定时节能快煮</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8:5大功能选择，增大减小均可读报实际功率，炒菜和火锅功率可以调节8段：2300W、1900w、1600w、1300w、1000w、800w、400w、200W</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9.具有开关机提示。</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 xml:space="preserve">10.需提供产品3C认证证书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个</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 xml:space="preserve">680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default"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11</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语音盲文电磁炉B</w:t>
            </w:r>
          </w:p>
        </w:tc>
        <w:tc>
          <w:tcPr>
            <w:tcW w:w="6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1、产品执行标准：GB4706.1-2005；GB4706.29-2008;</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 xml:space="preserve">2、产品由电磁炉主机，单机组成;                   </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3、额定功率：不低于2300W,电压220V，额定频率：50-60HZ;</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4、产品材质：品牌主板和芯片 耐高温黑金面板，塑料外壳;</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5、具有全程语音播报功能，6个按键带盲文标识和数码显示;</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6、产品具有“无锅具”安全提醒功能，可反复提醒无锅10次“请放锅具”,并自动断电、自动安全保护；</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 xml:space="preserve">7、产品具有6个按键：功能选择键、减小键、增大键、开关键、定时预约键、电量电压查询键；  </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8、火锅、爆炒、烧烤、炒菜、煲汤、蒸煮、烧水、预约、定时九大功能，增大、缩小键可读报相应温度数：</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 xml:space="preserve">9、具有开机提示；                                                                                                10、需提供3C认证；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个</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550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default"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12</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语音电水壶A</w:t>
            </w:r>
          </w:p>
        </w:tc>
        <w:tc>
          <w:tcPr>
            <w:tcW w:w="6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1、闪光语音集成一体机</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2、产品由壶身主机和底盘结构组成；</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3、额定功率：不低于1500W；电压220V；额定频率50-60HZ；容量：2L；</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4、产品材质内胆由食品级不锈钢一体成型，304食品级不锈钢，外壳全新PP料无毒、无异味，质感好表面光滑；</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5、产品全程可语音播报，亮光闪烁指示灯，开始烧水语音提示；</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6、产品独立开关上面有开和关凸点标识，简单易操作，一键操控；</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7、产品外壳具有防烫功能，使用更加安全；</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 xml:space="preserve">8、产品具有防干烧保护功能；                                                                                                9、需提供3C认证；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个</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350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13</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语音电水壶B</w:t>
            </w:r>
          </w:p>
        </w:tc>
        <w:tc>
          <w:tcPr>
            <w:tcW w:w="6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1、产品由：无线接收器+水壶+底座三部分组成；</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2、产品材质：内胆需使用304不锈钢一体成型，外壳食品级聚丙烯；</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3、水壶主体采用双层防烫设计，适合视障人士使用；</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4、按键式开盖方式，方便视障及老人使用；</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5、额定功率：不低于1800w，电压：220V，额定频率：50-60HZ，容量不低于1.8L；</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6、产品所有操作步骤都具有真人语音播报；</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7、产品能自由选择语音播报、语音+闪光、闪光、震动提示模式，</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8、产品的真人语音播报、语音+闪光、闪光、震动提示模式都为独立按键控制，方便视障、听障朋友快速上手使用；</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9、通电后具有真人语音安全使用提示；</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10、产品操作步骤全程语音播报的声音音量具有八档大小可调节；</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11、产品具有防干烧断电保护功能；</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12、产品具有保温功能；</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13、无线接收器具有低电量提示功能；</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14、产品具有较强的抗干扰能力，水壶和无线接器的有效信号接收距离：在空旷区域达100米以上；</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15、需提供产品3C认证证书</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个</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450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14</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放大镜（手持式3倍）</w:t>
            </w:r>
          </w:p>
        </w:tc>
        <w:tc>
          <w:tcPr>
            <w:tcW w:w="6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1、符合标准Q/KJ 004-2004《助视器技术条件》要求；                                                                                      2、材质：亚克力；</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3、放大倍率：3倍；</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4、照明光源：白光LED；                                                                                            5、镜片没有肉眼可见的气泡、条纹、白色结石、黑点、黄点等；</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6、镜片表面无水迹、指印、油污、尘埃、霉斑等；</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7、零件完整无缺，无变形；</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8、外观无划痕、毛刺、飞边、塌陷等缺陷，色泽均匀一致；</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9、装配正确，连接间隙均匀，用胶粘接的部位粘接牢固，表面干净无余胶；</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10、印字、刻字、刻线清晰、整齐，字型美观，色调鲜明，着色牢固；</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11、适用于低视力人士使用。</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个</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15</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放大镜（手持式5倍）</w:t>
            </w:r>
          </w:p>
        </w:tc>
        <w:tc>
          <w:tcPr>
            <w:tcW w:w="6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1、符合标准Q/KJ 004-2004《助视器技术条件》要求；                                                                                      2、材质：亚克力；</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3、放大倍率：5倍；</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4、照明光源：白光LED；                                                                                            5、镜片没有肉眼可见的气泡、条纹、白色结石、黑点、黄点等；</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6、镜片表面无水迹、指印、油污、尘埃、霉斑等；</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7、零件完整无缺，无变形；</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8、外观无划痕、毛刺、飞边、塌陷等缺陷，色泽均匀一致；</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9、装配正确，连接间隙均匀，用胶粘接的部位粘接牢固，表面干净无余胶；</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10、印字、刻字、刻线清晰、整齐，字型美观，色调鲜明，着色牢固；</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11、适用于低视力人士使用。</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个</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16</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放大镜（手持式7倍）</w:t>
            </w:r>
          </w:p>
        </w:tc>
        <w:tc>
          <w:tcPr>
            <w:tcW w:w="6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1、符合标准Q/KJ 004-2004《助视器技术条件》要求；                                                                                      2、材质：亚克力；</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3、放大倍率：7倍；</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4、照明光源：白光LED；                                                                                            5、镜片没有肉眼可见的气泡、条纹、白色结石、黑点、黄点等；</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6、镜片表面无水迹、指印、油污、尘埃、霉斑等；</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7、零件完整无缺，无变形；</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8、外观无划痕、毛刺、飞边、塌陷等缺陷，色泽均匀一致；</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9、装配正确，连接间隙均匀，用胶粘接的部位粘接牢固，表面干净无余胶；</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10、印字、刻字、刻线清晰、整齐，字型美观，色调鲜明，着色牢固；</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11、适用于低视力人士使用。</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个</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17</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放大镜（台灯式）</w:t>
            </w:r>
          </w:p>
        </w:tc>
        <w:tc>
          <w:tcPr>
            <w:tcW w:w="6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1、符合标准Q/KJ 004-2004《助视器技术条件》要求。</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2、光学性能：成像清晰，无成像弯曲、发毛、边缘带色。</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3、光学部件无肉眼可见的气泡、条纹、白色结石、黑点、白点等。</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 xml:space="preserve">4、主镜放大倍率：2-2.5倍。   </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5、透过率：≥95%。</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6、可折叠。</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台</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18</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放大镜（多功能带灯）</w:t>
            </w:r>
          </w:p>
        </w:tc>
        <w:tc>
          <w:tcPr>
            <w:tcW w:w="6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1、放大倍率：2.5倍，局部5倍；</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2、供电：使用4.5V、20MA、白光LED电珠，采用两节5号电池供电；</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3、照明光源：白光；ED；</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4、支架：平衡、稳定、回转灵活；</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5、视场直径：90mm。</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台</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19</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眼镜式（近用）助视器</w:t>
            </w:r>
          </w:p>
        </w:tc>
        <w:tc>
          <w:tcPr>
            <w:tcW w:w="6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1、符合标准Q/KJ004-2004《助视器技术条件》要求；</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2、成像清晰，无成像弯曲、发毛、边缘带色；</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3、无肉眼可见的气泡、条纹、白色结石、黑点、白点等；</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4、镜片表面无水迹、指印、油污、尘埃、霉斑等；</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5、镜片顶焦度误差符合GB10810.1-2005《眼镜镜片》“第一部分：单光和多焦点镜片”的规定；</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6、镜片顶焦度分别为：+6D、+8D、+10D、+12D、+14D、+16D、+18D、+20D、+24D、+28D、+32D；</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7、镜片材料：光学树脂；</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8、镜架：金属全框；</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9、镜片透射比在90%以上；</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10、包装盒具有防潮、防震、防碰撞功能；</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台</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20</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中远距离眼镜式助视器</w:t>
            </w:r>
          </w:p>
        </w:tc>
        <w:tc>
          <w:tcPr>
            <w:tcW w:w="6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1、符合标准Q/KJ004-2004《助视器技术条件》要求；</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2、成像清晰，无成像弯曲、发毛、边缘带色；</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3、无肉眼可见的气泡、条纹、白色结石、黑点、白点等；</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4、镜片表面无水迹、指印、油污、尘埃、霉斑等；</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5、放大倍率：2.0倍；</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6、重量：不高于40克；</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7、最远可清晰观察3米处目标物；</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8、镜片尺寸：35mm；</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9、镜架材质：PP；</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10、镜片材质：PC、PMMA。</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台</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21</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单筒望远镜（单筒4倍）</w:t>
            </w:r>
          </w:p>
        </w:tc>
        <w:tc>
          <w:tcPr>
            <w:tcW w:w="6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1、符合标准Q/KJ 004-2004《助视器技术条件》要求。1、成像清晰，不应出现成像弯曲、发毛、边缘带色；</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2、不应有肉眼可见的气泡、条纹、白色结石、黑点、白点等；</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3、镜片表面不应有水迹、指印、油污、尘埃、霉斑等；</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4、各调节部件运转灵活，间隙应均匀适当，方便调节；</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5、放大倍率：4倍；</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6、视场角：12.5°；</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7、近焦距离（指可清晰观察到目标物的最近距离）不大于250mm。</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8、镜片采用全表面镀膜。</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9、物像不变形；</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个</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22</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单筒望远镜（单筒6倍）</w:t>
            </w:r>
          </w:p>
        </w:tc>
        <w:tc>
          <w:tcPr>
            <w:tcW w:w="6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1、符合标准Q/KJ 004-2004《助视器技术条件》要求；</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2、成像清晰，不应出现成像弯曲、发毛、边缘带色；</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3、不应有肉眼可见的气泡、条纹、白色结石、黑点、白点等；</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4、镜片表面不应有水迹、指印、油污、尘埃、霉斑等；</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5、各调节部件运转灵活，间隙应均匀适当，方便调节；</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6、放大倍率：6倍；</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7、视场角：9.5°；</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8、近焦距离（指可清晰观察到目标物的最近距离）不大于250mm。                                                                                                                         9、物像不变形；</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10、镜片采用全表面镀膜；</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个</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23</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单筒望远镜（单筒8倍）</w:t>
            </w:r>
          </w:p>
        </w:tc>
        <w:tc>
          <w:tcPr>
            <w:tcW w:w="6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1、符合标准Q/KJ 004-2004《助视器技术条件》要求；</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2、成像清晰，不应出现成像弯曲、发毛、边缘带色；</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3、不应有肉眼可见的气泡、条纹、白色结石、黑点、白点等；</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4、镜片表面不应有水迹、指印、油污、尘埃、霉斑等；</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5、各调节部件运转灵活，间隙应均匀适当，方便调节；</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6、放大倍率：8倍；</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7、视场角：10.5°；</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8、近焦距离（指可清晰观察到目标物的最近距离）不大于250mm。                                                                                                                         9.物像不变形；</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10、镜片采用全表面镀膜；</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个</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24</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滤光镜（透光率15.5%）</w:t>
            </w:r>
          </w:p>
        </w:tc>
        <w:tc>
          <w:tcPr>
            <w:tcW w:w="6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1、嵌入式偏光侧片，弹性框架，不漏光；</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2、透光率15.5%，过滤紫外线100%，过滤蓝光84%，偏振效率99%；</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3、适用于白内障或眼科康复患者。</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18"/>
                <w:szCs w:val="18"/>
                <w:u w:val="none"/>
                <w:lang w:val="en-US" w:eastAsia="zh-CN" w:bidi="ar"/>
              </w:rPr>
              <w:t>个</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18"/>
                <w:szCs w:val="18"/>
                <w:u w:val="none"/>
                <w:lang w:val="en-US" w:eastAsia="zh-CN" w:bidi="ar"/>
              </w:rPr>
              <w:t>160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25</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滤光镜（透光率16%）</w:t>
            </w:r>
          </w:p>
        </w:tc>
        <w:tc>
          <w:tcPr>
            <w:tcW w:w="6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1、嵌入式偏光侧片，弹性框架，不漏光；</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2、透光率16%，过滤紫外线100%，过滤蓝光94%，偏振效率99%；</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3、适用于白内障或眼科康复患者。</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18"/>
                <w:szCs w:val="18"/>
                <w:u w:val="none"/>
                <w:lang w:val="en-US" w:eastAsia="zh-CN" w:bidi="ar"/>
              </w:rPr>
              <w:t>个</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18"/>
                <w:szCs w:val="18"/>
                <w:u w:val="none"/>
                <w:lang w:val="en-US" w:eastAsia="zh-CN" w:bidi="ar"/>
              </w:rPr>
              <w:t>160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26</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滤光镜（透光率22%）</w:t>
            </w:r>
          </w:p>
        </w:tc>
        <w:tc>
          <w:tcPr>
            <w:tcW w:w="6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1、嵌入式偏光侧片，弹性框架，不漏光；</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2、透光率22%，过滤紫外线100%，过滤蓝光100%，无偏振，全部过滤550nm以下光线；</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3、适用于低视力人群。</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18"/>
                <w:szCs w:val="18"/>
                <w:u w:val="none"/>
                <w:lang w:val="en-US" w:eastAsia="zh-CN" w:bidi="ar"/>
              </w:rPr>
              <w:t>个</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18"/>
                <w:szCs w:val="18"/>
                <w:u w:val="none"/>
                <w:lang w:val="en-US" w:eastAsia="zh-CN" w:bidi="ar"/>
              </w:rPr>
              <w:t>160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27</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滤光镜（透光率46%）</w:t>
            </w:r>
          </w:p>
        </w:tc>
        <w:tc>
          <w:tcPr>
            <w:tcW w:w="6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1、嵌入式偏光侧片，弹性框架，不漏光；</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2、透光率46%，过滤紫外线100%，过滤蓝光100%，无偏振，全部过滤511nm以下光线；</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3、适用于低视力人群。</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个</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28</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棱镜（柱型放大镜）</w:t>
            </w:r>
          </w:p>
        </w:tc>
        <w:tc>
          <w:tcPr>
            <w:tcW w:w="6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1、符合标准Q/KJ 004-2004《助视器技术条件》要求；                                                                          2、成像清晰，不应出现成像弯曲、发毛、边缘带色。                                                                                                                                    3、不应有肉眼可见的气泡、条纹、白色结石、黑点、白点等。                                                                                                                        4、镜片表面不应有水迹、指印、油污、尘埃、霉斑等。                                                                                                                                   5、各调节部件运转灵活，间隙应均匀适当，方便调节。</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6、放大倍数：5倍，；</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7、有效孔距；200×32mm；</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个</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29</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便携式电子助视器（手持4.3寸）</w:t>
            </w:r>
          </w:p>
        </w:tc>
        <w:tc>
          <w:tcPr>
            <w:tcW w:w="6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1、显示屏类型:4.3英寸高清液晶显示屏</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2、放大倍数：1倍~28倍</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3、LCD屏幕亮度1~5档可调。</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4、不低于12种色彩模式，适应不同人群需求。</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5、具有按键提示音，手电筒辅助照明功能，</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6、折叠手柄（打开或关闭都可以使用）。</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7.具备记忆功能和图像冻结功能，且冻结后可对图像进行放大、缩小、改变显示模式等操作。</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8、具有普通音频输出接口，支持手写功能。</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9、电池供电连续工作时间：4小时以上。</w:t>
            </w:r>
          </w:p>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10、配备可充电锂电池。</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台</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800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30</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便携式电子助视器（手持4.3寸）</w:t>
            </w:r>
          </w:p>
        </w:tc>
        <w:tc>
          <w:tcPr>
            <w:tcW w:w="6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1、屏幕尺寸:4.3英寸液晶显示屏；</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2、放大倍率：4-18倍；</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 xml:space="preserve">3、具有10种高对比显示模式；                                                                                                                           </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 xml:space="preserve">4、有记忆功能：开机后能记住上一次的操作；                                                                                                                                           5、支持语音提示，背光、补光可调，使用方便舒适；                                                                                                                                  6、具有冻屏功能，拍照后可放大、缩小、变色；                                                                                                                                                                                                                                                7、具有屏幕亮度调节功能；                                                                                                                                                                                                                                                                                                                        </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8、具有视频输出端口：可连接电视及投影仪等输出设计，把内容显示在外接屏幕上。</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9、自带手写支架，方便阅读和手写；                                                                                                                                              10、具有可拆卸可持续充电锂电池，一次充电可持续使用5-6小时；</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11、采用智能省电设计，画面静止且无操作2分钟后自动关机，环保功能。</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12、采用全新平台，极速60fps，无卡顿，无拖影，流畅阅读；</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13、采用全新智能算法，智能适应图像场景，任何环境轻松阅读；</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14、采用轻巧外形,零距离设计，支持手写，携带方便；</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15、采用高端广角镜头，更大视野，显示更多文字，保障连续完整阅读；</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台</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31</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便携式电子助视器（手持5寸）</w:t>
            </w:r>
          </w:p>
        </w:tc>
        <w:tc>
          <w:tcPr>
            <w:tcW w:w="6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1、显示屏类型: 不低于5.0英寸液晶显示屏；</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2、放大倍数：4倍~25倍 无极放大；</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3、像素大小：VGA；</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4、LCD屏幕亮度1~5档可调；</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5、镜头焦距：3.5cm~6cm；</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6、17种色彩模式，适应不同人群需求；</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7、视频输接口（AV OUT)；</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8、带mini USB线（接口2.0）；</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9、蜂鸣器提示音可关闭和打开；</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10、折叠手柄（打开或关闭都可以使用）；</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11、机子自带记忆功能，可记住关机前的用户使用习惯；</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12、可插TF卡(最大支持32GB)，可进行拍照以及回放；</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 xml:space="preserve">13、电池供电连续工作时间：4小时以上，充电时间5~6小时。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台</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900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32</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台式电子助视器</w:t>
            </w:r>
          </w:p>
        </w:tc>
        <w:tc>
          <w:tcPr>
            <w:tcW w:w="6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1、摄像头：标清摄像头，光学变焦；</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2、缩放功能：放大倍数2-70倍 ；</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3、显示器：20寸液晶显示器；</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4、图像处理：动态图像处理技术，无抖动、无拖影；</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5、16种高对比度色彩显示模式；自动对焦；</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6、亮度调节功能；</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7、锁定焦距功能；</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8、阅读线定位辅助线、窗功能；</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9、VGA输出功能；</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10、可记忆当前使用状态；</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台</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7500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33</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远近两用电子助视器</w:t>
            </w:r>
          </w:p>
        </w:tc>
        <w:tc>
          <w:tcPr>
            <w:tcW w:w="6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1、放大倍数：1-30倍；</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2、无极变倍  可连续放大到任意倍数；</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3、显示模式不低于：25种，默认出厂设置不低于7种显示模式：</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4、具有看近、看远功能；</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5、图像冻结：具有冻结功能，且冻结后可对图像进行放大、缩小、平移、改变显示模式等操作；</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6、图像漫游：在图像冻结和照片回放模式，将图像放大后，可上下左右移动图像，可显示图像的任意区域；</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7、照片回放：可对保存的照片进行回放，回放时可对图像进行放大、缩小、改变显示模式、语音备注等操作；</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8、开关机具有声音提示</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9、具有语音控制功能，</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10、多点触摸屏，具有手电筒辅助照明功能，电筒亮度可调节；</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11、屏幕亮度5挡调节：</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12、提示音调节：可对提示音在0（关闭）、1、2、3、4、5级间循环设置，提示音会相应的变化；</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13、时间显示功能：</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14、信息显示功能：</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15、超大用户界面：用户界面使用超大图标、超大文字、高对比界面；</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16、记忆功能：关机后自动保存当前色彩模式、放大倍数、阅读线、屏幕亮度、补光灯亮度、按键音和日期时间等参数；</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17、按键凹凸纹：每个按键上具有相应功能的凸凹纹图案;</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18、支持SD卡：支持SD卡4GB︿32GB;</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19、电视输出：具有普通音视频输出和HDMI高清输出端口;</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20、数据线接口：具有TYPE-C USB数据线接口，正反插均可使用;</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18"/>
                <w:szCs w:val="18"/>
                <w:u w:val="none"/>
                <w:lang w:val="en-US" w:eastAsia="zh-CN" w:bidi="ar"/>
              </w:rPr>
              <w:t>台</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34</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盲用文具（量角器、圆规、直尺、算盘、30度三角尺、等边三角尺、盲人写字板、盲笔、卷尺）</w:t>
            </w:r>
          </w:p>
        </w:tc>
        <w:tc>
          <w:tcPr>
            <w:tcW w:w="6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 xml:space="preserve">1、套装组成：量角器、圆规、直尺、算盘、30度三角尺、等边三角尺、盲人写字板、盲笔、卷尺九件产品；    </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 xml:space="preserve">2、材质：ABS工程塑料；    </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3、尺寸：量角器尺寸：180*90mm，圆规尺寸：140*15mm，直尺尺寸：140*15mm，等边三角形角度：45度，直角三角尺角度：30度，算盘尺寸：158*90*10mm，盲笔尺寸：60*25mm，盲人写字板尺寸：220*45mm，卷尺长度：1.5米。</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18"/>
                <w:szCs w:val="18"/>
                <w:u w:val="none"/>
                <w:lang w:val="en-US" w:eastAsia="zh-CN" w:bidi="ar"/>
              </w:rPr>
              <w:t>套</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18"/>
                <w:szCs w:val="18"/>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35</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智能听书机（网络版）</w:t>
            </w:r>
          </w:p>
        </w:tc>
        <w:tc>
          <w:tcPr>
            <w:tcW w:w="6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1、采用Type-c接口，让视障者正反拔插充电器。</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2、按键刻画数字。触感更好。</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3、支持全程语音，步步提示，适合盲人或低视力人群使用。</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4、支持国际盲用语音DAISY文件。</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5、连接WIFI，在线或下载听书，共享网络资源。</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6、支持在线升级听书机软件系统。</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7、系统时间自动校准。</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8、内置播客平台，不少10万小时海量内容。内容包含新闻、社会、音乐、教育等，实时更新。</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9、内置喜玛拉雅FM平台，不少10万小时海量内容。真正享受听的乐趣。</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10、内置乐听头条FM，不少10万小时海量内容。</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11、内置考拉FM，不少10万小时海量内容。</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12、内置浏览中国残联官网，了解最新残联信息。</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13、同时兼有数字调频立体声收音机与网络收音机，网络收音机具有不少于200个在线电台。</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13、TTS播放电子书，支持格式：TXT、HTM、HTML、MHT、微软DOC、DOCX、EPUB、PDF、AZW、RTF、MOBI、PRC等。</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14、音乐播放，支持格式：MP3、WMA、FLAC、APE、 ACC、 OGG、 RA、 M4A等。</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15、视频文件中的音频播放，支持格式：RM、 RMVB、AVI、MP4、3GP、MOV、WMV、MPG、 MPEG、DAT等。</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16、自由选择男声、女声及普通话和方言(广东话、台湾话、四川话、</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湖南话、河南话)，且语速、语调可调。</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17、高压缩比数字录音，支持内置与外置麦克风录音，录音格式支持WAV、MP3。</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18、具有语音备忘录（录音少于2分钟作为备忘录）与语音提醒（语音备忘录在某个时间提醒）。</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19、具有计算器，计时器，闹钟，万年历功能。</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20、内置内存≥8G，可SD扩展≤32G。机身尺寸为12.3*6*1.7cm,重量为114g.</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21、电池容量：≥2100mAh。</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 xml:space="preserve">22、支持逐句、逐段和全文等朗读方式，支持断点记忆功能。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台</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36</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无线闪光语音门铃A</w:t>
            </w:r>
          </w:p>
        </w:tc>
        <w:tc>
          <w:tcPr>
            <w:tcW w:w="6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1.材料：ABS 全新料，产品性能稳定，坚固耐用，表面干净；</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2. 音乐：32首高质量、清晰音乐；</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3. 电源：室内主机使用2颗1.5V AA 电池（不含），室外按钮使用1颗12V 23A 电池（产品自带）；</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4. 指示灯：门铃可内置指示灯；</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5. 工作频率： 315MHz。</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个</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37</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无线闪光语音门铃B</w:t>
            </w:r>
          </w:p>
        </w:tc>
        <w:tc>
          <w:tcPr>
            <w:tcW w:w="6805" w:type="dxa"/>
            <w:tcBorders>
              <w:top w:val="single" w:color="auto" w:sz="4" w:space="0"/>
              <w:left w:val="single" w:color="auto" w:sz="4" w:space="0"/>
              <w:bottom w:val="single" w:color="auto" w:sz="4" w:space="0"/>
              <w:right w:val="single" w:color="auto" w:sz="4" w:space="0"/>
            </w:tcBorders>
            <w:vAlign w:val="center"/>
          </w:tcPr>
          <w:p>
            <w:pPr>
              <w:widowControl/>
              <w:numPr>
                <w:ilvl w:val="0"/>
                <w:numId w:val="17"/>
              </w:numPr>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采用高亮度七色幻灯闪烁，大面积闪光强,适合耳聋耳背者；                                                  2、具有三种工作模式:A、铃声+七彩闪灯  B、铃声+震动   C、七彩闪灯发射器防水设计；</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 xml:space="preserve">3、具有30-35首音乐供选择；内置数码按钮铃音大小五级可供调节，闪灯颜色可选；                                                 </w:t>
            </w:r>
          </w:p>
          <w:p>
            <w:pPr>
              <w:widowControl/>
              <w:numPr>
                <w:ilvl w:val="0"/>
                <w:numId w:val="0"/>
              </w:numPr>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4</w:t>
            </w:r>
            <w:r>
              <w:rPr>
                <w:rFonts w:hint="eastAsia" w:ascii="宋体" w:hAnsi="宋体" w:cs="宋体"/>
                <w:color w:val="auto"/>
                <w:kern w:val="0"/>
                <w:szCs w:val="21"/>
                <w:lang w:val="en-US" w:eastAsia="zh-CN"/>
              </w:rPr>
              <w:t>、</w:t>
            </w:r>
            <w:r>
              <w:rPr>
                <w:rFonts w:hint="eastAsia" w:ascii="宋体" w:hAnsi="宋体" w:eastAsia="宋体" w:cs="宋体"/>
                <w:color w:val="auto"/>
                <w:kern w:val="0"/>
                <w:szCs w:val="21"/>
                <w:lang w:val="en-US" w:eastAsia="zh-CN"/>
              </w:rPr>
              <w:t xml:space="preserve">具有较强抗干扰能力；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个</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38</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可视门铃A</w:t>
            </w:r>
          </w:p>
        </w:tc>
        <w:tc>
          <w:tcPr>
            <w:tcW w:w="6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1、超薄设计、触摸按键</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2、配有防雨罩,支持挂装模式，简单易操作</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4、无辐射,低功耗,高清晰度7寸彩色图像</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5、带实时监控功能,24H监控功能，可视对讲功能,免打扰功能、开锁功能,免提对讲功能,</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6、配备无线震动手环，带震动和闪光功能，闪光可区分门铃或报警，提醒用户有门铃或警报已触发</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7、当有访客按门铃室外机的呼叫键时，室内的显示屏会点亮，显示室外来访人的图像，并同时响起铃声并伴有闪光，与此同时会发送无线信号到无线震动手环，提醒有访客来访</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8、室外机130W高清摄像头，具有防拆报警功能，当有人拆除室外机时，室内的显示屏会点亮，显示室外的图像，会触发无线震动手环，提醒用户有警报触发</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9、可联动光电式烟雾探测器，当室内烟雾达到浓度将触发报警，并同时会发送信号到门铃，并触发无线震动手环及无线闪光器（标配）</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10、可联动燃气报警器，当室内的天然气或煤气气体达到浓度将触发报警，并同时会发送信号到门铃，并触发无线震动手环及无线闪光器</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11、无线闪光器（，无论是访客来访，有人拆室外机，烟感报警，还是气感报警，都会触发无线闪光器发出强光，同时发出铃音，以声光的方式提醒用户</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 xml:space="preserve">12、配门磁报警器，门磁报警器安装在大门入口，在开启的状态下，只要有人推开大门，门磁报警器就会发射信号给主机，手环就会开始震动                                              13、漏水报警器，漏水报警器触发后会发射信号给主机，手环就会开始震动                                     </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14、带wifi远程版本除以上功能外还增加了：带手机APP，可手机远程可视对讲功能、手机远程监控功能、手机远程报警信号接收功能，带拍照/录像功能。</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个</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4500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39</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可视门铃B</w:t>
            </w:r>
          </w:p>
        </w:tc>
        <w:tc>
          <w:tcPr>
            <w:tcW w:w="6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1、触摸按键；                                                                            2、广角镜头，130W高清摄像头；                                                        3、红外夜视；                                                                      4、带对讲及防拆报警功能；                                                                         5、与室内机6芯线连接；                                                                                         6、7英寸高清屏；                                                                                                                                                                                                                8、可视对讲功能；                                                                                                                 9、实时监控功能，免打扰功能，24H监控功能                                                                                        10、两种颜色高亮LED灯提示，可区分门铃和报警信号；                                                                                11、工作频率：433.92MHz±200KHz；                                                                               12、接收距离：20米以上；                                                                                                                            13、音量四级可调：25－110dB；                                                                                  14、铃声选择：28首和旋可选；                                                                                                                15、闪光方式：高亮白色LED闪光。</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个</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2500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40</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听书机</w:t>
            </w:r>
          </w:p>
        </w:tc>
        <w:tc>
          <w:tcPr>
            <w:tcW w:w="6805" w:type="dxa"/>
            <w:tcBorders>
              <w:top w:val="single" w:color="auto" w:sz="4" w:space="0"/>
              <w:left w:val="single" w:color="auto" w:sz="4" w:space="0"/>
              <w:bottom w:val="single" w:color="auto" w:sz="4" w:space="0"/>
              <w:right w:val="single" w:color="auto" w:sz="4" w:space="0"/>
            </w:tcBorders>
            <w:vAlign w:val="center"/>
          </w:tcPr>
          <w:p>
            <w:pPr>
              <w:widowControl/>
              <w:numPr>
                <w:ilvl w:val="0"/>
                <w:numId w:val="18"/>
              </w:numPr>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屏幕4.3寸以上；                                                                                                                  2、存储：机身4G内存，支持外置TF卡；                                                                                                                                                                                    3、有TV-OUT输出接口；</w:t>
            </w:r>
          </w:p>
          <w:p>
            <w:pPr>
              <w:widowControl/>
              <w:numPr>
                <w:ilvl w:val="0"/>
                <w:numId w:val="0"/>
              </w:numPr>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4、机身6个按键；                                                                                           5、支持电子书籍格式；                                                                                                                     6、有音频、视频、收音机等功能；                                                                                              7、具有录音功能；                                                                                                        8、支持简体中文、繁体中文、英文、日语；                                                                                           9、材质：ABS工程塑料，抗冲击；                                                                                                     10、全程具有语音提示功能。</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台</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800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41</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大字体震动闹钟</w:t>
            </w:r>
          </w:p>
        </w:tc>
        <w:tc>
          <w:tcPr>
            <w:tcW w:w="6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1、全新设计震动闹钟；</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2、多组自由闹钟独立设置；</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3、精准定铃，精准走时，兼有计时器功能（正计时或倒计时）；</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4、键盘锁定：键盘锁定后，按键均无效，防止按错；</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5、闪灯提醒：有闪灯提醒；</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6、具有贪睡功能；闹铃响起后，按前面3个中的任意一个按键，5分钟后再次响起；</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7、一键止闹：闹钟响起后，按后面任意一个键闹铃关闭，同时不影响下一个闹铃响闹；</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8、电池：2节AAA7号电池。</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个</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42</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语音盲文震动钟</w:t>
            </w:r>
          </w:p>
        </w:tc>
        <w:tc>
          <w:tcPr>
            <w:tcW w:w="6805" w:type="dxa"/>
            <w:tcBorders>
              <w:top w:val="single" w:color="auto" w:sz="4" w:space="0"/>
              <w:left w:val="single" w:color="auto" w:sz="4" w:space="0"/>
              <w:bottom w:val="single" w:color="auto" w:sz="4" w:space="0"/>
              <w:right w:val="single" w:color="auto" w:sz="4" w:space="0"/>
            </w:tcBorders>
            <w:vAlign w:val="center"/>
          </w:tcPr>
          <w:p>
            <w:pPr>
              <w:widowControl/>
              <w:numPr>
                <w:ilvl w:val="0"/>
                <w:numId w:val="19"/>
              </w:numPr>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适合盲人群体与聋人群体；</w:t>
            </w:r>
          </w:p>
          <w:p>
            <w:pPr>
              <w:widowControl/>
              <w:numPr>
                <w:ilvl w:val="0"/>
                <w:numId w:val="19"/>
              </w:numPr>
              <w:spacing w:line="320" w:lineRule="exact"/>
              <w:ind w:left="0" w:leftChars="0" w:firstLine="0" w:firstLineChars="0"/>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具有震动模式；</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3、具有语音报时功能；</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4、具有年、月、日、星期提示；</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5、具有闹钟功能；</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 xml:space="preserve">6、有音量增减调节；  </w:t>
            </w:r>
          </w:p>
          <w:p>
            <w:pPr>
              <w:widowControl/>
              <w:numPr>
                <w:ilvl w:val="0"/>
                <w:numId w:val="0"/>
              </w:numPr>
              <w:spacing w:line="320" w:lineRule="exact"/>
              <w:ind w:leftChars="0"/>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 xml:space="preserve">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个</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43</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语音提醒手表</w:t>
            </w:r>
          </w:p>
        </w:tc>
        <w:tc>
          <w:tcPr>
            <w:tcW w:w="6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1、洪厚的大声音报时功能；</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2、具有整点报时及闹钟功能；</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3、标准触摸盲点，高度为0.9mm，触摸时更加准确；</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4、不锈钢多种搭配简易表带；                                                                                            5、防水表盖，防止沾水及进灰尘；                                                                                     6、手表总长：30cm。</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块</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44</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语音盲表</w:t>
            </w:r>
          </w:p>
        </w:tc>
        <w:tc>
          <w:tcPr>
            <w:tcW w:w="6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1.执行标准：按GB/T6044-2005《指针式石英手表》国家标准执行；</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2.产品组成：表盘和表带；</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3.性能参数：1）工作时间：待机时间1年；2）供电方式：SR626纽扣电池；3）机芯：PC21走时机芯和电子报时机芯；</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4.规格：1）表盘：直径38mm；2）表带：长184mm</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5.材质：1）表壳采用合金 ；2）表带采用钢制；3）表盖采用石英玻璃 ；4）后盖采用不锈钢；</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6.功能：1）具有语音报时功能，可播报当前时间 ；2）具有整点报时功能；3）具有闹铃及贪睡功能 ；</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7.包装：配有独立包装盒。</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块</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45</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振动式提醒手表</w:t>
            </w:r>
          </w:p>
        </w:tc>
        <w:tc>
          <w:tcPr>
            <w:tcW w:w="6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1、正常时间功能：显示时间，日，月，星期，并可实现12/24小时的转换</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2、倒数功能：计时范围1秒至24小时之间，并有自动重复和进度响报功能</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3、秒表功能：测量范围23：59：59。99。并设有自动开始功能和目标时间功能</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 xml:space="preserve">4、闹铃功能：每日闹铃功能，并有整点报时功能              </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 xml:space="preserve">5、两地时间功能：为你显示另一个时区的时间，              </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 xml:space="preserve">6、震动功能：在开启的情况下，震动提示使用者              </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7、EL功能：3秒冷光</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块</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280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46</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防溢报警器</w:t>
            </w:r>
          </w:p>
        </w:tc>
        <w:tc>
          <w:tcPr>
            <w:tcW w:w="6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1、防溢功能：将挂钩置于容器边，呈悬挂状，液体在接触防溢开光时，即报警提示；</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2、长x宽x厚：62mmx31mmx23mm。</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个</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47</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阅读架</w:t>
            </w:r>
          </w:p>
        </w:tc>
        <w:tc>
          <w:tcPr>
            <w:tcW w:w="6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 xml:space="preserve">1、可调节高度、视角、用于阅读和书写；                 </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2、ABS材质；</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3、阅读板尺寸：（长*宽）约500*200mm</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个</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31" w:type="dxa"/>
            <w:gridSpan w:val="6"/>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b/>
                <w:color w:val="auto"/>
                <w:szCs w:val="21"/>
              </w:rPr>
            </w:pPr>
            <w:r>
              <w:rPr>
                <w:rFonts w:hint="eastAsia" w:ascii="宋体" w:hAnsi="宋体" w:cs="宋体"/>
                <w:b/>
                <w:color w:val="auto"/>
                <w:szCs w:val="21"/>
              </w:rPr>
              <w:t>二、</w:t>
            </w:r>
            <w:r>
              <w:rPr>
                <w:rFonts w:hint="eastAsia"/>
                <w:color w:val="auto"/>
                <w:szCs w:val="21"/>
              </w:rPr>
              <w:t>▲</w:t>
            </w:r>
            <w:r>
              <w:rPr>
                <w:rFonts w:hint="eastAsia" w:ascii="宋体" w:hAnsi="宋体" w:cs="宋体"/>
                <w:b/>
                <w:color w:val="auto"/>
                <w:szCs w:val="21"/>
              </w:rPr>
              <w:t>商务要求表</w:t>
            </w:r>
            <w:r>
              <w:rPr>
                <w:rFonts w:hint="eastAsia" w:hAnsi="宋体"/>
                <w:b/>
                <w:color w:val="auto"/>
                <w:szCs w:val="21"/>
              </w:rPr>
              <w:t>（投标人商务响应表与售后服务承诺同一内容不相符的，以低计算）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08"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color w:val="auto"/>
                <w:szCs w:val="21"/>
              </w:rPr>
            </w:pPr>
            <w:r>
              <w:rPr>
                <w:rFonts w:hint="eastAsia" w:ascii="宋体" w:hAnsi="宋体" w:cs="宋体"/>
                <w:color w:val="auto"/>
                <w:szCs w:val="21"/>
              </w:rPr>
              <w:t>质保期</w:t>
            </w:r>
          </w:p>
        </w:tc>
        <w:tc>
          <w:tcPr>
            <w:tcW w:w="8223"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color w:val="auto"/>
                <w:szCs w:val="21"/>
              </w:rPr>
            </w:pPr>
            <w:r>
              <w:rPr>
                <w:rFonts w:hint="eastAsia" w:ascii="宋体" w:hAnsi="宋体" w:cs="宋体"/>
                <w:color w:val="auto"/>
                <w:szCs w:val="21"/>
              </w:rPr>
              <w:t>按国家有关产品“三包”规定执行“三包”，最短不得少于2年，自设备验收合格之日起计算。终身维护。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0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售后技术服务要求</w:t>
            </w:r>
          </w:p>
        </w:tc>
        <w:tc>
          <w:tcPr>
            <w:tcW w:w="8223" w:type="dxa"/>
            <w:gridSpan w:val="3"/>
            <w:tcBorders>
              <w:top w:val="single" w:color="auto" w:sz="4" w:space="0"/>
              <w:left w:val="single" w:color="auto" w:sz="4" w:space="0"/>
              <w:bottom w:val="single" w:color="auto" w:sz="4" w:space="0"/>
              <w:right w:val="single" w:color="auto" w:sz="4" w:space="0"/>
            </w:tcBorders>
          </w:tcPr>
          <w:p>
            <w:pPr>
              <w:spacing w:line="400" w:lineRule="exact"/>
              <w:rPr>
                <w:color w:val="auto"/>
                <w:szCs w:val="21"/>
              </w:rPr>
            </w:pPr>
            <w:r>
              <w:rPr>
                <w:rFonts w:hint="eastAsia"/>
                <w:color w:val="auto"/>
                <w:szCs w:val="21"/>
              </w:rPr>
              <w:t>质保期内免费维修、免费更换零部件，服务内容如下：</w:t>
            </w:r>
          </w:p>
          <w:p>
            <w:pPr>
              <w:spacing w:line="400" w:lineRule="exact"/>
              <w:rPr>
                <w:color w:val="auto"/>
                <w:szCs w:val="21"/>
              </w:rPr>
            </w:pPr>
            <w:r>
              <w:rPr>
                <w:rFonts w:hint="eastAsia"/>
                <w:color w:val="auto"/>
                <w:szCs w:val="21"/>
              </w:rPr>
              <w:t>（1）免费送货至交货地点、免费调试货物到最佳状态、免费培训操作人员。</w:t>
            </w:r>
          </w:p>
          <w:p>
            <w:pPr>
              <w:spacing w:line="400" w:lineRule="exact"/>
              <w:rPr>
                <w:color w:val="auto"/>
                <w:szCs w:val="21"/>
              </w:rPr>
            </w:pPr>
            <w:r>
              <w:rPr>
                <w:rFonts w:hint="eastAsia"/>
                <w:color w:val="auto"/>
                <w:szCs w:val="21"/>
              </w:rPr>
              <w:t>（2）维修响应：中标供应商在接到用户维修电话后3小时内响应，24小时内到达现场修理解决，并免费更换有缺陷的货物或零部件，48小时内恢复正常使用，若不能修复则应有合理应对方案。</w:t>
            </w:r>
          </w:p>
          <w:p>
            <w:pPr>
              <w:spacing w:line="400" w:lineRule="exact"/>
              <w:rPr>
                <w:color w:val="auto"/>
                <w:szCs w:val="21"/>
              </w:rPr>
            </w:pPr>
            <w:r>
              <w:rPr>
                <w:rFonts w:hint="eastAsia"/>
                <w:color w:val="auto"/>
                <w:szCs w:val="21"/>
              </w:rPr>
              <w:t>（3）中标人除承担运输、验收与培训等义务外，还将为采购人提供技术支持，包括保修期外的修理及技术指导、配件供应等。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8" w:hRule="atLeast"/>
        </w:trPr>
        <w:tc>
          <w:tcPr>
            <w:tcW w:w="180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交货时间及地点</w:t>
            </w:r>
          </w:p>
        </w:tc>
        <w:tc>
          <w:tcPr>
            <w:tcW w:w="822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1、交货时间：</w:t>
            </w:r>
            <w:r>
              <w:rPr>
                <w:rFonts w:hint="eastAsia" w:ascii="宋体" w:hAnsi="宋体"/>
                <w:bCs/>
                <w:color w:val="auto"/>
                <w:szCs w:val="21"/>
              </w:rPr>
              <w:t>中标人接到采购人每次发出的订单后20个工作日内交付货物并验收合格</w:t>
            </w:r>
            <w:r>
              <w:rPr>
                <w:rFonts w:hint="eastAsia" w:ascii="宋体" w:hAnsi="宋体" w:cs="宋体"/>
                <w:color w:val="auto"/>
                <w:szCs w:val="21"/>
              </w:rPr>
              <w:t>。</w:t>
            </w:r>
          </w:p>
          <w:p>
            <w:pPr>
              <w:spacing w:line="400" w:lineRule="exact"/>
              <w:rPr>
                <w:rFonts w:ascii="宋体" w:hAnsi="宋体" w:cs="宋体"/>
                <w:color w:val="auto"/>
                <w:szCs w:val="21"/>
              </w:rPr>
            </w:pPr>
            <w:r>
              <w:rPr>
                <w:rFonts w:hint="eastAsia" w:ascii="宋体" w:hAnsi="宋体" w:cs="宋体"/>
                <w:color w:val="auto"/>
                <w:szCs w:val="21"/>
              </w:rPr>
              <w:t>2、交货地点：采购单位县（市、区）残联指定的县（市、区）或乡镇（街道），后续配送入户由县（市、区）残联和乡镇（街道）残联负责组织完成。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59" w:hRule="atLeast"/>
        </w:trPr>
        <w:tc>
          <w:tcPr>
            <w:tcW w:w="180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付款方式</w:t>
            </w:r>
          </w:p>
        </w:tc>
        <w:tc>
          <w:tcPr>
            <w:tcW w:w="822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由中标供应商与广西壮族自治区残疾人联合会签订总合同，并与采购单位县（市、区）残联签订分合同。乙方根据县（市、区）残联需求按订单供货，每次订单的货物经交付验收合格后十个工作日内，由甲方按乙方中标标的物的中标单价和实际供货数量计算，以转帐方式一次性付清订单货款（无预付款）。乙方自收到货款之日起五个工作日内开具发票给甲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59" w:hRule="atLeast"/>
        </w:trPr>
        <w:tc>
          <w:tcPr>
            <w:tcW w:w="180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投标报价</w:t>
            </w:r>
          </w:p>
        </w:tc>
        <w:tc>
          <w:tcPr>
            <w:tcW w:w="822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投标人按折让率进行报价，本项目折让率允许范围20%（含）以内，超出范围不予接受，作无效投标处理；本项目不接受零折让率的报价（例如：九折的折让率为10%；八折的折让率为20%），投标折让率必须是固定的（如10%），不得存在区间值（如：5%~10%），统一对本项目报一个投标折让率，不接受有选择的报价，且所报的投标折让率应当适用于本项目的所有投标产品。投标人报价时应充分把实施项目过程中所产生的成品辅具、使用指导、运输配送、备品备件、跟踪回访、质保服务、使用指导、培训、技术支持、验收及其它所有相关费用列入投标报价中。采购人不再针对本项目另行支付其他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31"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szCs w:val="21"/>
              </w:rPr>
            </w:pPr>
            <w:r>
              <w:rPr>
                <w:rFonts w:hint="eastAsia" w:ascii="宋体" w:hAnsi="宋体" w:cs="宋体"/>
                <w:b/>
                <w:color w:val="000000"/>
                <w:szCs w:val="21"/>
              </w:rPr>
              <w:t>三、投标人的资信要求表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0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szCs w:val="21"/>
              </w:rPr>
            </w:pPr>
            <w:r>
              <w:rPr>
                <w:rFonts w:hint="eastAsia" w:ascii="宋体" w:hAnsi="宋体" w:cs="宋体"/>
                <w:color w:val="000000"/>
                <w:szCs w:val="21"/>
              </w:rPr>
              <w:t>政策性加分条件</w:t>
            </w:r>
          </w:p>
        </w:tc>
        <w:tc>
          <w:tcPr>
            <w:tcW w:w="8327"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szCs w:val="21"/>
              </w:rPr>
            </w:pPr>
            <w:r>
              <w:rPr>
                <w:rFonts w:hint="eastAsia" w:ascii="宋体" w:hAnsi="宋体" w:cs="宋体"/>
                <w:color w:val="000000"/>
                <w:szCs w:val="21"/>
              </w:rPr>
              <w:t>符合节能环保等国家政策要求。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31"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szCs w:val="21"/>
              </w:rPr>
            </w:pPr>
            <w:r>
              <w:rPr>
                <w:rFonts w:hint="eastAsia" w:ascii="宋体" w:hAnsi="宋体" w:cs="宋体"/>
                <w:b/>
                <w:color w:val="000000"/>
                <w:szCs w:val="21"/>
              </w:rPr>
              <w:t>四、采购人对项目的特殊要求及说明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08"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color w:val="000000"/>
                <w:szCs w:val="21"/>
              </w:rPr>
            </w:pPr>
            <w:r>
              <w:rPr>
                <w:rFonts w:hint="eastAsia" w:ascii="宋体" w:hAnsi="宋体" w:cs="宋体"/>
                <w:color w:val="000000"/>
                <w:szCs w:val="21"/>
              </w:rPr>
              <w:t>产品资料说明文件</w:t>
            </w:r>
          </w:p>
        </w:tc>
        <w:tc>
          <w:tcPr>
            <w:tcW w:w="8223" w:type="dxa"/>
            <w:gridSpan w:val="3"/>
            <w:tcBorders>
              <w:top w:val="single" w:color="auto" w:sz="4" w:space="0"/>
              <w:left w:val="single" w:color="auto" w:sz="4" w:space="0"/>
              <w:bottom w:val="single" w:color="auto" w:sz="4" w:space="0"/>
              <w:right w:val="single" w:color="auto" w:sz="4" w:space="0"/>
            </w:tcBorders>
          </w:tcPr>
          <w:p>
            <w:pPr>
              <w:spacing w:line="400" w:lineRule="exact"/>
              <w:rPr>
                <w:szCs w:val="21"/>
              </w:rPr>
            </w:pPr>
            <w:r>
              <w:rPr>
                <w:rFonts w:hint="eastAsia"/>
                <w:szCs w:val="21"/>
              </w:rPr>
              <w:t>1、招标文件要求提供有效检测报告复印件必须满足，评标时当技术响应表中的参数与检测报告不一致时，以检测报告为准。▲2、投标产品中涉及国家专项审批的，投标人在投标文件中需提供相关医疗器械生产许可证和医疗器械注册证明细表复印件。</w:t>
            </w:r>
          </w:p>
          <w:p>
            <w:pPr>
              <w:spacing w:line="400" w:lineRule="exact"/>
              <w:rPr>
                <w:szCs w:val="21"/>
              </w:rPr>
            </w:pPr>
            <w:r>
              <w:rPr>
                <w:rFonts w:hint="eastAsia"/>
                <w:szCs w:val="21"/>
              </w:rPr>
              <w:t>▲3、提供所有投标单个产品的照片，照片拍摄要求：单个产品正面左前方45度方位，俯视30度拍摄的照片一张，白底，JPEG格式，图像清晰，像素≧5M，并按照“生产厂家+品名+规格型号+主要材料”内容顺序，逐项作书面说明，A4纸单面限于两个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0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szCs w:val="21"/>
              </w:rPr>
            </w:pPr>
            <w:r>
              <w:rPr>
                <w:rFonts w:hint="eastAsia" w:ascii="宋体" w:hAnsi="宋体" w:cs="宋体"/>
                <w:color w:val="000000"/>
                <w:szCs w:val="21"/>
              </w:rPr>
              <w:t>采购人的特殊要求及说明</w:t>
            </w:r>
          </w:p>
        </w:tc>
        <w:tc>
          <w:tcPr>
            <w:tcW w:w="8223" w:type="dxa"/>
            <w:gridSpan w:val="3"/>
            <w:tcBorders>
              <w:top w:val="single" w:color="auto" w:sz="4" w:space="0"/>
              <w:left w:val="single" w:color="auto" w:sz="4" w:space="0"/>
              <w:bottom w:val="single" w:color="auto" w:sz="4" w:space="0"/>
              <w:right w:val="single" w:color="auto" w:sz="4" w:space="0"/>
            </w:tcBorders>
            <w:vAlign w:val="center"/>
          </w:tcPr>
          <w:p>
            <w:pPr>
              <w:pStyle w:val="13"/>
              <w:spacing w:line="400" w:lineRule="exact"/>
              <w:rPr>
                <w:rFonts w:hint="eastAsia" w:ascii="宋体" w:hAnsi="宋体" w:cs="宋体"/>
                <w:color w:val="auto"/>
                <w:sz w:val="21"/>
                <w:szCs w:val="21"/>
              </w:rPr>
            </w:pPr>
            <w:r>
              <w:rPr>
                <w:rFonts w:hint="eastAsia" w:ascii="宋体" w:hAnsi="宋体" w:cs="宋体"/>
                <w:color w:val="auto"/>
                <w:szCs w:val="21"/>
              </w:rPr>
              <w:t>▲</w:t>
            </w:r>
            <w:r>
              <w:rPr>
                <w:rFonts w:hint="eastAsia" w:ascii="宋体" w:hAnsi="宋体" w:cs="宋体"/>
                <w:color w:val="auto"/>
                <w:sz w:val="21"/>
                <w:szCs w:val="21"/>
              </w:rPr>
              <w:t>本项目未办理进口产品的相关审批手续，不接受进口产品（即通过中国海关报关验放进入中国境内且产自关境外的产品）参与投标，如有此类产品参与投标的，作无效投标处理。</w:t>
            </w:r>
          </w:p>
          <w:p>
            <w:pPr>
              <w:pStyle w:val="2"/>
              <w:rPr>
                <w:rFonts w:hint="eastAsia" w:ascii="宋体" w:hAnsi="宋体" w:cs="宋体"/>
                <w:color w:val="auto"/>
                <w:szCs w:val="21"/>
              </w:rPr>
            </w:pPr>
            <w:r>
              <w:rPr>
                <w:rFonts w:hint="eastAsia" w:ascii="宋体" w:hAnsi="宋体" w:cs="宋体"/>
                <w:color w:val="auto"/>
                <w:sz w:val="21"/>
                <w:szCs w:val="21"/>
              </w:rPr>
              <w:t>▲</w:t>
            </w:r>
            <w:r>
              <w:rPr>
                <w:rFonts w:hint="eastAsia" w:ascii="宋体" w:hAnsi="宋体" w:cs="宋体"/>
                <w:b/>
                <w:bCs/>
                <w:color w:val="auto"/>
                <w:sz w:val="21"/>
                <w:szCs w:val="21"/>
                <w:lang w:val="en-US" w:eastAsia="zh-CN"/>
              </w:rPr>
              <w:t>本项目</w:t>
            </w:r>
            <w:r>
              <w:rPr>
                <w:rFonts w:hint="eastAsia"/>
                <w:b/>
                <w:bCs/>
                <w:color w:val="auto"/>
                <w:sz w:val="21"/>
                <w:szCs w:val="21"/>
                <w:lang w:val="en-US" w:eastAsia="zh-CN"/>
              </w:rPr>
              <w:t>具体采购的暂估数量是采购人为了便于评标先拟定的暂估数量，在实际合同执行过程中，由采购人根据工作中发生的实际数量定，采购人按实际数量结算，投标人必须接受这一情况。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1" w:hRule="atLeast"/>
        </w:trPr>
        <w:tc>
          <w:tcPr>
            <w:tcW w:w="180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szCs w:val="21"/>
              </w:rPr>
            </w:pPr>
            <w:r>
              <w:rPr>
                <w:rFonts w:hint="eastAsia" w:ascii="宋体" w:hAnsi="宋体" w:cs="宋体"/>
                <w:color w:val="000000"/>
                <w:szCs w:val="21"/>
              </w:rPr>
              <w:t>其他要求</w:t>
            </w:r>
          </w:p>
        </w:tc>
        <w:tc>
          <w:tcPr>
            <w:tcW w:w="8223" w:type="dxa"/>
            <w:gridSpan w:val="3"/>
            <w:tcBorders>
              <w:top w:val="single" w:color="auto" w:sz="4" w:space="0"/>
              <w:left w:val="single" w:color="auto" w:sz="4" w:space="0"/>
              <w:bottom w:val="single" w:color="auto" w:sz="4" w:space="0"/>
              <w:right w:val="single" w:color="auto" w:sz="4" w:space="0"/>
            </w:tcBorders>
            <w:vAlign w:val="center"/>
          </w:tcPr>
          <w:p>
            <w:pPr>
              <w:pStyle w:val="8"/>
              <w:jc w:val="both"/>
              <w:rPr>
                <w:rFonts w:ascii="宋体" w:hAnsi="宋体" w:eastAsia="宋体" w:cs="宋体"/>
                <w:color w:val="auto"/>
                <w:sz w:val="21"/>
                <w:szCs w:val="21"/>
              </w:rPr>
            </w:pPr>
            <w:r>
              <w:rPr>
                <w:rFonts w:hint="eastAsia" w:ascii="宋体" w:hAnsi="宋体" w:eastAsia="宋体" w:cs="宋体"/>
                <w:color w:val="auto"/>
                <w:sz w:val="21"/>
                <w:szCs w:val="21"/>
              </w:rPr>
              <w:t>▲1、第</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项、第</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项投标产品为核心产品，核心产品品牌相同的，视为提供相同品牌产品。提供相同品牌产品的不同投标人参加同一合同项下投标的，按一家投标人计算，以其中通过资格审查、符合性审查的不同投标人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8"/>
              <w:jc w:val="both"/>
              <w:rPr>
                <w:color w:val="auto"/>
                <w:szCs w:val="21"/>
              </w:rPr>
            </w:pPr>
            <w:r>
              <w:rPr>
                <w:rFonts w:hint="eastAsia" w:ascii="宋体" w:hAnsi="宋体" w:eastAsia="宋体" w:cs="宋体"/>
                <w:color w:val="auto"/>
                <w:sz w:val="21"/>
                <w:szCs w:val="21"/>
                <w:highlight w:val="none"/>
              </w:rPr>
              <w:t>▲2、</w:t>
            </w:r>
            <w:r>
              <w:rPr>
                <w:rFonts w:hint="eastAsia" w:asciiTheme="minorEastAsia" w:hAnsiTheme="minorEastAsia" w:eastAsiaTheme="minorEastAsia" w:cstheme="minorEastAsia"/>
                <w:color w:val="auto"/>
                <w:sz w:val="21"/>
                <w:szCs w:val="21"/>
                <w:highlight w:val="none"/>
              </w:rPr>
              <w:t>第</w:t>
            </w:r>
            <w:r>
              <w:rPr>
                <w:rFonts w:hint="eastAsia" w:asciiTheme="minorEastAsia" w:hAnsiTheme="minorEastAsia" w:eastAsia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rPr>
              <w:t>项、第</w:t>
            </w:r>
            <w:r>
              <w:rPr>
                <w:rFonts w:hint="eastAsia" w:asciiTheme="minorEastAsia" w:hAnsiTheme="minorEastAsia" w:eastAsiaTheme="minorEastAsia" w:cstheme="minorEastAsia"/>
                <w:color w:val="auto"/>
                <w:sz w:val="21"/>
                <w:szCs w:val="21"/>
                <w:highlight w:val="none"/>
                <w:lang w:val="en-US" w:eastAsia="zh-CN"/>
              </w:rPr>
              <w:t>8</w:t>
            </w:r>
            <w:r>
              <w:rPr>
                <w:rFonts w:hint="eastAsia" w:asciiTheme="minorEastAsia" w:hAnsiTheme="minorEastAsia" w:eastAsiaTheme="minorEastAsia" w:cstheme="minorEastAsia"/>
                <w:color w:val="auto"/>
                <w:sz w:val="21"/>
                <w:szCs w:val="21"/>
                <w:highlight w:val="none"/>
              </w:rPr>
              <w:t>项</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第</w:t>
            </w:r>
            <w:r>
              <w:rPr>
                <w:rFonts w:hint="eastAsia" w:asciiTheme="minorEastAsia" w:hAnsiTheme="minorEastAsia" w:eastAsiaTheme="minorEastAsia" w:cstheme="minorEastAsia"/>
                <w:color w:val="auto"/>
                <w:sz w:val="21"/>
                <w:szCs w:val="21"/>
                <w:highlight w:val="none"/>
                <w:lang w:val="en-US" w:eastAsia="zh-CN"/>
              </w:rPr>
              <w:t>33</w:t>
            </w:r>
            <w:r>
              <w:rPr>
                <w:rFonts w:hint="eastAsia" w:asciiTheme="minorEastAsia" w:hAnsiTheme="minorEastAsia" w:eastAsiaTheme="minorEastAsia" w:cstheme="minorEastAsia"/>
                <w:color w:val="auto"/>
                <w:sz w:val="21"/>
                <w:szCs w:val="21"/>
                <w:highlight w:val="none"/>
              </w:rPr>
              <w:t>项投标产品需提供</w:t>
            </w:r>
            <w:r>
              <w:rPr>
                <w:rFonts w:hint="eastAsia" w:asciiTheme="minorEastAsia" w:hAnsiTheme="minorEastAsia" w:eastAsiaTheme="minorEastAsia" w:cstheme="minorEastAsia"/>
                <w:color w:val="auto"/>
                <w:sz w:val="21"/>
                <w:szCs w:val="21"/>
                <w:highlight w:val="none"/>
                <w:lang w:val="en-US" w:eastAsia="zh-CN"/>
              </w:rPr>
              <w:t>省级及以上相关专业质量监督检验部门出具的检测报告</w:t>
            </w:r>
            <w:r>
              <w:rPr>
                <w:rFonts w:hint="eastAsia" w:asciiTheme="minorEastAsia" w:hAnsiTheme="minorEastAsia" w:eastAsiaTheme="minorEastAsia" w:cstheme="minorEastAsia"/>
                <w:color w:val="auto"/>
                <w:sz w:val="21"/>
                <w:szCs w:val="21"/>
                <w:highlight w:val="none"/>
              </w:rPr>
              <w:t>，检测报告的检测时间为</w:t>
            </w:r>
            <w:r>
              <w:rPr>
                <w:rFonts w:hint="eastAsia" w:asciiTheme="minorEastAsia" w:hAnsiTheme="minorEastAsia" w:eastAsiaTheme="minorEastAsia" w:cstheme="minorEastAsia"/>
                <w:color w:val="auto"/>
                <w:sz w:val="21"/>
                <w:szCs w:val="21"/>
                <w:highlight w:val="none"/>
                <w:lang w:val="en-US" w:eastAsia="zh-CN"/>
              </w:rPr>
              <w:t>四</w:t>
            </w:r>
            <w:r>
              <w:rPr>
                <w:rFonts w:hint="eastAsia" w:asciiTheme="minorEastAsia" w:hAnsiTheme="minorEastAsia" w:eastAsiaTheme="minorEastAsia" w:cstheme="minorEastAsia"/>
                <w:color w:val="auto"/>
                <w:sz w:val="21"/>
                <w:szCs w:val="21"/>
                <w:highlight w:val="none"/>
              </w:rPr>
              <w:t>年（2019年、2020年、2021年</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2022年</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b w:val="0"/>
                <w:bCs w:val="0"/>
                <w:color w:val="auto"/>
                <w:sz w:val="21"/>
                <w:szCs w:val="21"/>
              </w:rPr>
              <w:t>且不得晚于招标项目参数公示日之后</w:t>
            </w:r>
            <w:r>
              <w:rPr>
                <w:rFonts w:hint="eastAsia" w:asciiTheme="minorEastAsia" w:hAnsiTheme="minorEastAsia" w:eastAsiaTheme="minorEastAsia" w:cstheme="minorEastAsia"/>
                <w:b w:val="0"/>
                <w:bCs w:val="0"/>
                <w:color w:val="auto"/>
                <w:sz w:val="21"/>
                <w:szCs w:val="21"/>
                <w:highlight w:val="none"/>
              </w:rPr>
              <w:t>。</w:t>
            </w:r>
          </w:p>
        </w:tc>
      </w:tr>
    </w:tbl>
    <w:p>
      <w:pPr>
        <w:spacing w:line="240" w:lineRule="auto"/>
        <w:ind w:left="0"/>
        <w:rPr>
          <w:rFonts w:hint="eastAsia"/>
          <w:color w:val="000000"/>
          <w:lang w:val="en-US" w:eastAsia="zh-CN"/>
        </w:rPr>
      </w:pPr>
      <w:r>
        <w:rPr>
          <w:rFonts w:hint="eastAsia"/>
          <w:color w:val="000000"/>
          <w:lang w:val="en-US" w:eastAsia="zh-CN"/>
        </w:rPr>
        <w:br w:type="page"/>
      </w:r>
    </w:p>
    <w:p>
      <w:pPr>
        <w:spacing w:line="428" w:lineRule="exact"/>
        <w:ind w:left="119"/>
        <w:outlineLvl w:val="1"/>
        <w:rPr>
          <w:rFonts w:hint="eastAsia"/>
          <w:color w:val="000000"/>
          <w:lang w:val="en-US" w:eastAsia="zh-CN"/>
        </w:rPr>
      </w:pPr>
      <w:r>
        <w:rPr>
          <w:rFonts w:hint="eastAsia"/>
          <w:color w:val="000000"/>
          <w:lang w:val="en-US" w:eastAsia="zh-CN"/>
        </w:rPr>
        <w:t>E分标：</w:t>
      </w:r>
    </w:p>
    <w:tbl>
      <w:tblPr>
        <w:tblStyle w:val="24"/>
        <w:tblW w:w="1007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974"/>
        <w:gridCol w:w="159"/>
        <w:gridCol w:w="6472"/>
        <w:gridCol w:w="810"/>
        <w:gridCol w:w="9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72" w:type="dxa"/>
            <w:gridSpan w:val="6"/>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b/>
                <w:color w:val="000000"/>
                <w:szCs w:val="21"/>
              </w:rPr>
            </w:pPr>
            <w:r>
              <w:rPr>
                <w:rFonts w:hint="eastAsia" w:ascii="宋体" w:hAnsi="宋体" w:cs="宋体"/>
                <w:b/>
                <w:color w:val="000000"/>
                <w:szCs w:val="21"/>
              </w:rPr>
              <w:t>一、项目要求及技术需求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项号</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货物名称</w:t>
            </w:r>
          </w:p>
        </w:tc>
        <w:tc>
          <w:tcPr>
            <w:tcW w:w="647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技术参数及性能（配置）要求</w:t>
            </w:r>
          </w:p>
        </w:tc>
        <w:tc>
          <w:tcPr>
            <w:tcW w:w="8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000000"/>
                <w:szCs w:val="21"/>
              </w:rPr>
            </w:pPr>
            <w:r>
              <w:rPr>
                <w:rFonts w:hint="eastAsia" w:ascii="宋体" w:hAnsi="宋体" w:cs="宋体"/>
                <w:bCs/>
                <w:color w:val="000000"/>
                <w:szCs w:val="21"/>
              </w:rPr>
              <w:t>单位</w:t>
            </w:r>
          </w:p>
        </w:tc>
        <w:tc>
          <w:tcPr>
            <w:tcW w:w="9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highlight w:val="none"/>
              </w:rPr>
              <w:t>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脊柱固定矫形器（定制）</w:t>
            </w:r>
          </w:p>
        </w:tc>
        <w:tc>
          <w:tcPr>
            <w:tcW w:w="647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1.矫形器专用聚乙烯板材：聚乙烯材料，产品整体长度×宽度2000mm×1000mm,产品厚度3mm/4mm/5mm；</w:t>
            </w:r>
          </w:p>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2.内衬板：EVA发泡；硬度：邵氏18°；加热温度：110℃；厚度3mm/4mm/5mm.无孔；</w:t>
            </w:r>
          </w:p>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3.紧固扣：材质、规格：塑料扣+不锈钢条；</w:t>
            </w:r>
          </w:p>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4.包边条：材质、规格：聚酯纤维2.5cm×25m；</w:t>
            </w:r>
          </w:p>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5.氨纶沙套：材质、规格：涤纶6cm×20m/8cm×20m/13cm×10m；</w:t>
            </w:r>
          </w:p>
          <w:p>
            <w:pPr>
              <w:widowControl/>
              <w:spacing w:line="320" w:lineRule="exact"/>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6.石膏绑带：规格：150mm×4600mm。</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例</w:t>
            </w:r>
          </w:p>
        </w:tc>
        <w:tc>
          <w:tcPr>
            <w:tcW w:w="9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1800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2</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脊柱侧弯矫形器（定制）</w:t>
            </w:r>
          </w:p>
        </w:tc>
        <w:tc>
          <w:tcPr>
            <w:tcW w:w="647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1.矫形器专用聚乙烯板材：聚乙烯材料，产品整体长度×宽度2000mm×1000mm，产品厚度3mm/4mm/5mm；</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2.内衬材料材质：EVA发泡；硬度：邵氏18°；加热温度：110℃；规格：1000x1000mm，产品厚度3mm/4mm/5mm.无孔。</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3.紧固扣：材质、规格：塑料扣+不锈钢条；</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4.包边条：材质、规格：聚酯纤维2.5cm×25m；</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5.氨纶沙套：材质、规格：涤纶6cm×20m/8cm×20m/13cm×10m；</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例</w:t>
            </w:r>
          </w:p>
        </w:tc>
        <w:tc>
          <w:tcPr>
            <w:tcW w:w="9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5800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3</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腰椎固定器（成品）</w:t>
            </w:r>
          </w:p>
        </w:tc>
        <w:tc>
          <w:tcPr>
            <w:tcW w:w="647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主要用于腰椎术后，椎体滑脱，腰椎前凸的辅助治疗滑轮系统可以放大对腹部的压力，提供很强的稳定、固定性能。材料透气性能好，易拆下，易清洗</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个</w:t>
            </w:r>
          </w:p>
        </w:tc>
        <w:tc>
          <w:tcPr>
            <w:tcW w:w="9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4</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精品围腰（成品）</w:t>
            </w:r>
          </w:p>
        </w:tc>
        <w:tc>
          <w:tcPr>
            <w:tcW w:w="647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由板材和弹力织带组成，毛毡面反复粘连数次不起球不脱落，钩面细密平滑，不划手，易拆下，易清洗。</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个</w:t>
            </w:r>
          </w:p>
        </w:tc>
        <w:tc>
          <w:tcPr>
            <w:tcW w:w="9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560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5</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腕手矫形器（定制）</w:t>
            </w:r>
          </w:p>
        </w:tc>
        <w:tc>
          <w:tcPr>
            <w:tcW w:w="6472" w:type="dxa"/>
            <w:tcBorders>
              <w:top w:val="single" w:color="auto" w:sz="4" w:space="0"/>
              <w:left w:val="single" w:color="auto" w:sz="4" w:space="0"/>
              <w:bottom w:val="single" w:color="auto" w:sz="4" w:space="0"/>
              <w:right w:val="single" w:color="auto" w:sz="4" w:space="0"/>
            </w:tcBorders>
            <w:vAlign w:val="center"/>
          </w:tcPr>
          <w:p>
            <w:pPr>
              <w:widowControl/>
              <w:numPr>
                <w:ilvl w:val="0"/>
                <w:numId w:val="20"/>
              </w:numPr>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矫形器专用聚乙烯板材：产品规格：长度×宽度</w:t>
            </w:r>
          </w:p>
          <w:p>
            <w:pPr>
              <w:widowControl/>
              <w:numPr>
                <w:ilvl w:val="0"/>
                <w:numId w:val="0"/>
              </w:numPr>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xml:space="preserve">2000mm×1000mm,厚度为3mm/4mm/5mm。                            </w:t>
            </w:r>
          </w:p>
          <w:p>
            <w:pPr>
              <w:widowControl/>
              <w:numPr>
                <w:ilvl w:val="0"/>
                <w:numId w:val="20"/>
              </w:numPr>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xml:space="preserve">矫形器内衬板:厚度3mm，有透气孔，带背胶。                                                                                     3.搭扣：塑料扣+不锈钢环。                                                              4.魔术贴粘带：规格：宽度2.0cm，有钩面和毛面。                                                       5.子母钉：规格：ø3.4×8×9 mm 不锈钢。                                                                                                                                                 6..石膏绷带：规格：150mm×4600mm。  </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例</w:t>
            </w:r>
          </w:p>
        </w:tc>
        <w:tc>
          <w:tcPr>
            <w:tcW w:w="9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600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6</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功能护腕</w:t>
            </w:r>
          </w:p>
        </w:tc>
        <w:tc>
          <w:tcPr>
            <w:tcW w:w="647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塑钢弧度，网状透气面料，分左右规格。</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例</w:t>
            </w:r>
          </w:p>
        </w:tc>
        <w:tc>
          <w:tcPr>
            <w:tcW w:w="9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600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7</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肩固定带</w:t>
            </w:r>
          </w:p>
        </w:tc>
        <w:tc>
          <w:tcPr>
            <w:tcW w:w="647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高分子材料，织物，金属；有可调节魔术贴。</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例</w:t>
            </w:r>
          </w:p>
        </w:tc>
        <w:tc>
          <w:tcPr>
            <w:tcW w:w="9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480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8</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足矫形器（定制鞋垫）</w:t>
            </w:r>
          </w:p>
        </w:tc>
        <w:tc>
          <w:tcPr>
            <w:tcW w:w="647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xml:space="preserve"> 1.通过2D/3D扫描仪，静态，动态压力检测仪，全方位分析诊断足部受力状况，以及下肢生物力学的异常。 </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2.数字化加工 。</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3.多种模块及表面覆盖材料可选。</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双</w:t>
            </w:r>
          </w:p>
        </w:tc>
        <w:tc>
          <w:tcPr>
            <w:tcW w:w="9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9</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足矫形器（成品鞋垫）</w:t>
            </w:r>
          </w:p>
        </w:tc>
        <w:tc>
          <w:tcPr>
            <w:tcW w:w="647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xml:space="preserve">1.透气功能材料，提供一定支持力                                                       2.规格：适合鞋码30-46码鞋                                                             </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双</w:t>
            </w:r>
          </w:p>
        </w:tc>
        <w:tc>
          <w:tcPr>
            <w:tcW w:w="9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10</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足矫形器（成品儿童矫正鞋）</w:t>
            </w:r>
          </w:p>
        </w:tc>
        <w:tc>
          <w:tcPr>
            <w:tcW w:w="647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1.材质：牛皮、优质橡胶；</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2.规格：适用足长从14cm—22cm，共8种规格，分左右脚；</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3.鞋子分高帮/低帮（根据症状需要而定）；矫形鞋后跟加厚；底前掌部上翘，鞋底为加厚软底，鞋底宽过足底</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双</w:t>
            </w:r>
          </w:p>
        </w:tc>
        <w:tc>
          <w:tcPr>
            <w:tcW w:w="9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680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11</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踝足矫形器（定制）</w:t>
            </w:r>
          </w:p>
        </w:tc>
        <w:tc>
          <w:tcPr>
            <w:tcW w:w="6472" w:type="dxa"/>
            <w:tcBorders>
              <w:top w:val="single" w:color="auto" w:sz="4" w:space="0"/>
              <w:left w:val="single" w:color="auto" w:sz="4" w:space="0"/>
              <w:bottom w:val="single" w:color="auto" w:sz="4" w:space="0"/>
              <w:right w:val="single" w:color="auto" w:sz="4" w:space="0"/>
            </w:tcBorders>
            <w:vAlign w:val="center"/>
          </w:tcPr>
          <w:p>
            <w:pPr>
              <w:widowControl/>
              <w:numPr>
                <w:ilvl w:val="0"/>
                <w:numId w:val="21"/>
              </w:numPr>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踝关节自由活动，合金材料，产品整体高度63-78mm，螺钉规格M5X6，关节不带支条连接；</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2.矫形器专用聚丙烯板材：产品规格：长度×宽度</w:t>
            </w:r>
          </w:p>
          <w:p>
            <w:pPr>
              <w:widowControl/>
              <w:numPr>
                <w:ilvl w:val="0"/>
                <w:numId w:val="0"/>
              </w:numPr>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2000mm×1000mm，厚度为3mm/4mm/5mm。</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3.内衬板：EVA发泡；硬度：邵氏18°；加热温度：110℃；厚度3/4/5mm；无孔。</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例</w:t>
            </w:r>
          </w:p>
        </w:tc>
        <w:tc>
          <w:tcPr>
            <w:tcW w:w="9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12</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踝足矫形器（成品静态AFO）</w:t>
            </w:r>
          </w:p>
        </w:tc>
        <w:tc>
          <w:tcPr>
            <w:tcW w:w="6472" w:type="dxa"/>
            <w:tcBorders>
              <w:top w:val="single" w:color="auto" w:sz="4" w:space="0"/>
              <w:left w:val="single" w:color="auto" w:sz="4" w:space="0"/>
              <w:bottom w:val="single" w:color="auto" w:sz="4" w:space="0"/>
              <w:right w:val="single" w:color="auto" w:sz="4" w:space="0"/>
            </w:tcBorders>
            <w:vAlign w:val="center"/>
          </w:tcPr>
          <w:p>
            <w:pPr>
              <w:widowControl/>
              <w:numPr>
                <w:ilvl w:val="0"/>
                <w:numId w:val="22"/>
              </w:numPr>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矫形器专用聚丙烯板材：产品规格：长度×宽度</w:t>
            </w:r>
          </w:p>
          <w:p>
            <w:pPr>
              <w:widowControl/>
              <w:numPr>
                <w:ilvl w:val="0"/>
                <w:numId w:val="0"/>
              </w:numPr>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xml:space="preserve">2000mm×1000mm，厚度为3mm/4mm/5mm。                            2.EVA矫形器内衬板:规格：有透气孔，带背胶。                                                                                     3.搭扣：塑料扣+不锈钢环。                                                              4.魔术贴粘带：规格：宽度2.0cm，有钩面和毛面。                                    5.子母钉：规格：ø3.4×8×9 mm 不锈钢。                                                                                                                                                                                                                                                                                                             6.铜铆钉（含垫片）：4×20mm                                                                    7.铝铆钉（含垫片）：4×20mm  </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例</w:t>
            </w:r>
          </w:p>
        </w:tc>
        <w:tc>
          <w:tcPr>
            <w:tcW w:w="9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680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13</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踝足矫形器(成品动态AFO)</w:t>
            </w:r>
          </w:p>
        </w:tc>
        <w:tc>
          <w:tcPr>
            <w:tcW w:w="647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1.内衬可拆洗；                                                             2.尺码（厘米） S  M  L</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3.适合鞋码&lt;37 38-43 &gt;43</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例</w:t>
            </w:r>
          </w:p>
        </w:tc>
        <w:tc>
          <w:tcPr>
            <w:tcW w:w="9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1400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14</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膝踝足矫形器（定制）</w:t>
            </w:r>
          </w:p>
        </w:tc>
        <w:tc>
          <w:tcPr>
            <w:tcW w:w="6472" w:type="dxa"/>
            <w:tcBorders>
              <w:top w:val="single" w:color="auto" w:sz="4" w:space="0"/>
              <w:left w:val="single" w:color="auto" w:sz="4" w:space="0"/>
              <w:bottom w:val="single" w:color="auto" w:sz="4" w:space="0"/>
              <w:right w:val="single" w:color="auto" w:sz="4" w:space="0"/>
            </w:tcBorders>
            <w:vAlign w:val="center"/>
          </w:tcPr>
          <w:p>
            <w:pPr>
              <w:widowControl/>
              <w:numPr>
                <w:ilvl w:val="0"/>
                <w:numId w:val="23"/>
              </w:numPr>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踝关节自由活动，合金材料，产品整体高度63-78mm，螺钉规格M5X6，关节不带支条连接；</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2.矫形器专用聚丙烯板材：聚丙烯材料，产品长度×宽度</w:t>
            </w:r>
          </w:p>
          <w:p>
            <w:pPr>
              <w:widowControl/>
              <w:numPr>
                <w:ilvl w:val="0"/>
                <w:numId w:val="0"/>
              </w:numPr>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2000mm×1000mm，厚度3mm/4mm/5mm；</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3.内衬板：EVA发泡；硬度：邵氏18°；加热温度：110℃；厚度3/4/5mm.无孔；</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4.材质：铝合金带关节支条、复合面料；</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5.规格：膝关节围长（cm）：28-31、31-35、35-39、39-43；</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6.落环锁膝关节合金钢材料，落环锁，上下支条长度220-410/250-390mm，支条宽度12-16mm，厚度3-5mm，铰链直径16-20mm。</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例</w:t>
            </w:r>
          </w:p>
        </w:tc>
        <w:tc>
          <w:tcPr>
            <w:tcW w:w="9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15</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髋矫形器（成品）</w:t>
            </w:r>
          </w:p>
        </w:tc>
        <w:tc>
          <w:tcPr>
            <w:tcW w:w="647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1.塑料板材制成，多种透气内衬可供患儿选择；</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2.可根据医师需求，将髋关节控制在单侧外展90°的角度；</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3.可根据患者实际情况，在产品的调节底板上选择合适的孔距，以改变外展角度；</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 xml:space="preserve">4.分为S/M/L码         </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例</w:t>
            </w:r>
          </w:p>
        </w:tc>
        <w:tc>
          <w:tcPr>
            <w:tcW w:w="9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1800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16</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default" w:ascii="宋体" w:hAnsi="宋体" w:eastAsia="宋体" w:cs="宋体"/>
                <w:color w:val="000000"/>
                <w:kern w:val="0"/>
                <w:szCs w:val="21"/>
                <w:lang w:val="en-US" w:eastAsia="zh-CN"/>
              </w:rPr>
              <w:t>髋矫形器（定制）</w:t>
            </w:r>
          </w:p>
        </w:tc>
        <w:tc>
          <w:tcPr>
            <w:tcW w:w="6472" w:type="dxa"/>
            <w:tcBorders>
              <w:top w:val="single" w:color="auto" w:sz="4" w:space="0"/>
              <w:left w:val="single" w:color="auto" w:sz="4" w:space="0"/>
              <w:bottom w:val="single" w:color="auto" w:sz="4" w:space="0"/>
              <w:right w:val="single" w:color="auto" w:sz="4" w:space="0"/>
            </w:tcBorders>
            <w:vAlign w:val="center"/>
          </w:tcPr>
          <w:p>
            <w:pPr>
              <w:widowControl/>
              <w:numPr>
                <w:ilvl w:val="0"/>
                <w:numId w:val="24"/>
              </w:numPr>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矫形器专用聚丙烯板材：产品规格：长度×宽度</w:t>
            </w:r>
          </w:p>
          <w:p>
            <w:pPr>
              <w:widowControl/>
              <w:numPr>
                <w:ilvl w:val="0"/>
                <w:numId w:val="0"/>
              </w:numPr>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xml:space="preserve">2000mm×1000mm，厚度为3mm/4mm/5mm。                            2.EVA矫形器内衬板:规格：厚度3mm，有透气孔，带背胶。                                                                                     3.搭扣：塑料扣+不锈钢环。                                                              4.魔术贴粘带：规格：宽度2.0cm，有钩面和毛面。                                      5.髋铰链：铝合金材质，可限位，可内收30度、外展150度、屈髋90度调节。                                                                                                                                                                                                                                                                                                        6.子母钉：规格：ø3.4×8×9 mm 不锈钢。                                                                                                                                                                                                                                                                                                             7.铜铆钉（含垫片）：4×20mm                                                                    8.铝铆钉（含垫片）：4×20mm                                                                9.假肢、矫形器专用石膏绷带：材质：石膏纤维合成。                                                                     </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例</w:t>
            </w:r>
          </w:p>
        </w:tc>
        <w:tc>
          <w:tcPr>
            <w:tcW w:w="9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17</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rPr>
            </w:pPr>
            <w:r>
              <w:rPr>
                <w:rFonts w:hint="default" w:ascii="宋体" w:hAnsi="宋体" w:eastAsia="宋体" w:cs="宋体"/>
                <w:color w:val="000000"/>
                <w:kern w:val="0"/>
                <w:szCs w:val="21"/>
                <w:lang w:val="en-US" w:eastAsia="zh-CN"/>
              </w:rPr>
              <w:t>硅胶半足</w:t>
            </w:r>
          </w:p>
        </w:tc>
        <w:tc>
          <w:tcPr>
            <w:tcW w:w="647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 材质：硅胶，定制成型</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2、 尺寸：适合足长为16-28cm，不同的宽度选择</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3、 颜色：4个肤色可供选择</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例</w:t>
            </w:r>
          </w:p>
        </w:tc>
        <w:tc>
          <w:tcPr>
            <w:tcW w:w="9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rPr>
            </w:pPr>
            <w:r>
              <w:rPr>
                <w:rFonts w:hint="default" w:ascii="宋体" w:hAnsi="宋体" w:eastAsia="宋体" w:cs="宋体"/>
                <w:color w:val="000000"/>
                <w:kern w:val="0"/>
                <w:szCs w:val="21"/>
                <w:lang w:val="en-US" w:eastAsia="zh-CN"/>
              </w:rPr>
              <w:t>3500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18</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rPr>
            </w:pPr>
            <w:r>
              <w:rPr>
                <w:rFonts w:hint="default" w:ascii="宋体" w:hAnsi="宋体" w:eastAsia="宋体" w:cs="宋体"/>
                <w:color w:val="000000"/>
                <w:kern w:val="0"/>
                <w:szCs w:val="21"/>
                <w:lang w:val="en-US" w:eastAsia="zh-CN"/>
              </w:rPr>
              <w:t>踝离断假肢</w:t>
            </w:r>
          </w:p>
        </w:tc>
        <w:tc>
          <w:tcPr>
            <w:tcW w:w="647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 塞姆脚板：假肢耐用并且稳定性高，聚氨酯材料制成，配备踝部粘合杨木踝，木踝根据残肢情况打磨雕刻并连接到脚板上，尺寸：23-28cm，重量：255-435g，系统高度：10mm，最大承重：100kg ；</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2、 树脂接受腔：主要树脂：丙烯酸材质，无异味，快速固化，制成品符合医用标准，对人体安全无害，可直接接触皮肤，规格：4.6kg/桶，粘度（20℃时）：350 mPa.s，最高发热温度：115℃，固化后邵氏硬度为85，产品通过CE认证 （提供相关CE认证证书）</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3、 其它材料包含：固化剂、颜色糊、丙纶、玻纤、成品PVA膜、碳纤维布、接受腔EVA内衬板材。</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例</w:t>
            </w:r>
          </w:p>
        </w:tc>
        <w:tc>
          <w:tcPr>
            <w:tcW w:w="9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rPr>
            </w:pPr>
            <w:r>
              <w:rPr>
                <w:rFonts w:hint="default" w:ascii="宋体" w:hAnsi="宋体" w:eastAsia="宋体" w:cs="宋体"/>
                <w:color w:val="000000"/>
                <w:kern w:val="0"/>
                <w:szCs w:val="21"/>
                <w:lang w:val="en-US" w:eastAsia="zh-CN"/>
              </w:rPr>
              <w:t>5000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19</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小腿假肢（普及型）动踝脚板</w:t>
            </w:r>
          </w:p>
        </w:tc>
        <w:tc>
          <w:tcPr>
            <w:tcW w:w="647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 xml:space="preserve">1、动踝脚板：假肢耐用并且稳定性高，，尺寸：21-28cm，重量：255-435g，系统高度：42-49mm，最大承重：100kg ；（提供第三方检测报告）                         </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 xml:space="preserve">2、动踝关节（自重≤200g，适用体重≥100Kg，适用于20cm-28cm的脚号，材质为合金；）；                                     3、锁紧管接头：零部件组件每套独立包装，自重≤80g，适用体重≥100Kg，管直径为30mm，材质为合金；                         </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 xml:space="preserve">4、四爪连接盘：零部件组件每套独立包装；自重≤55g，适用体重≥100Kg，材质为合金；                                   </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5、合金一体管：一体化连接管、管连接头为合金材料，自重≤170g；适用体重≥100Kg；合金管长度≧200mm，壁厚度≧2mm，直径30mm；连接器为合金材质；</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6、树脂接受腔：主要树脂：丙烯酸材质，无异味，快速固化，制成品符合医用标准，对人体安全无害，可直接接触皮肤，规格：4.6kg/桶，粘度（20℃时）：350 mPa.s，最高发热温度：115℃，固化后邵氏硬度为85，产品通过CE认证 （提供相关CE认证证书）</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其它材料包含：固化剂、颜色糊、丙纶、玻纤、成品PVA膜、碳纤维布、接受腔EVA内衬板材。                                                                          7、小腿海绵: 管直径:30和34cm，材料为PUR软性泡沫外套，长度：约55cm ，颜色米黄色。</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例</w:t>
            </w:r>
          </w:p>
        </w:tc>
        <w:tc>
          <w:tcPr>
            <w:tcW w:w="9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6000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20</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小腿假肢（功能型）碳纤脚板</w:t>
            </w:r>
          </w:p>
        </w:tc>
        <w:tc>
          <w:tcPr>
            <w:tcW w:w="647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1、碳纤脚板：高分子聚合物足跟，尺寸：22-28cm，脚皮：窄型（22-23cm），女士适用；普通型（24-28cm）重量：253g,系统高度：47mm,最大承重：125kg，包含脚皮（提供第三方检测报告）</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 xml:space="preserve">2、锁紧管接头：零部件组件每套独立包装，自重≤80g，适用体重≥100Kg，管直径为30mm，材质为合金；                         </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 xml:space="preserve">3、四爪连接盘：零部件组件每套独立包装；自重≤55g，适用体重≥100Kg，材质为合金；                                   </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4、合金一体管：一体化连接管、管连接头为合金材料，自重≤170g；适用体重≥100Kg；合金管长度≧200mm，壁厚度≧2mm，直径30mm；连接器为合金材质；</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5、树脂接受腔：主要树脂：丙烯酸材质，无异味，快速固化，制成品符合医用标准，对人体安全无害，可直接接触皮肤，规格：4.6kg/桶，粘度（20℃时）：350 mPa.s，最高发热温度：115℃，固化后邵氏硬度为85，产品通过CE认证 （提供相关CE认证证书）</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其它材料包含：固化剂、颜色糊、丙纶、玻纤、成品PVA膜、碳纤维布、接受腔EVA内衬板材。                                                               6、小腿海绵: 管直径:30和34cm，材料为PUR软性泡沫外套，长度：约55cm ，颜色米黄色。</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例</w:t>
            </w:r>
          </w:p>
        </w:tc>
        <w:tc>
          <w:tcPr>
            <w:tcW w:w="9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8000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21</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小腿假肢（功能型）动踝脚板+硅凝胶内衬套</w:t>
            </w:r>
          </w:p>
        </w:tc>
        <w:tc>
          <w:tcPr>
            <w:tcW w:w="647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xml:space="preserve">1、动踝脚板：尺寸：21-28cm，重量：255-435g，系统高度：42-49mm，最大承重：100kg ；（提供第三方检测报告）                         </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 xml:space="preserve">2、动踝关节（自重≤200g，适用体重≥100Kg，适用于20cm-28cm的脚号，材质为合金；）；                                     3、锁紧管接头：零部件组件每套独立包装，自重≤80g，适用体重≥100Kg，管直径为30mm，材质为合金；                         </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 xml:space="preserve">4、四爪连接盘：零部件组件每套独立包装；自重≤55g，适用体重≥100Kg，材质为合金；                                   </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5、合金一体管：一体化连接管、管连接头为合金材料，自重≤170g；适用体重≥100Kg；合金管长度≧200mm，壁厚度≧2mm，直径30mm；连接器为合金材质；</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6、树脂接受腔：主要树脂：丙烯酸材质，无异味，快速固化，制成品符合医用标准，对人体安全无害，可直接接触皮肤，规格：4.6kg/桶，粘度（20℃时）：350 mPa.s，最高发热温度：115℃，固化后邵氏硬度为85，产品通过CE认证 （提供相关CE认证证书）</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其它材料包含：固化剂、颜色糊、丙纶、玻纤、成品PVA膜、碳纤维布、接受腔EVA内衬板材。</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7、小腿硅胶（凝胶）内衬套：优选织物，优质硅凝胶，末端伞状结构，能适配不同的残肢形状，配套锁具，每套独立包装。                                                            8、小腿海绵: 管直径:30和34cm，材料为PUR软性泡沫外套，长度：约55cm ，颜色米黄色。</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例</w:t>
            </w:r>
          </w:p>
        </w:tc>
        <w:tc>
          <w:tcPr>
            <w:tcW w:w="9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8000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22</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小腿假肢（优越型）碳纤脚板+硅凝胶内衬套</w:t>
            </w:r>
          </w:p>
        </w:tc>
        <w:tc>
          <w:tcPr>
            <w:tcW w:w="647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 碳纤脚板：高分子聚合物足跟，尺寸：22-28cm，脚皮：窄型（22-23cm），女士适用；普通型（24-28cm）重量：253g,系统高度：47mm,最大承重：125kg，包含脚皮（提供第三方检测报告）</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 xml:space="preserve">2、锁紧管接头：零部件组件每套独立包装，自重≤80g，适用体重≥100Kg，管直径为30mm，材质为合金；                         </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 xml:space="preserve">3、四爪连接盘：零部件组件每套独立包装；自重≤55g，适用体重≥100Kg，材质为合金；                                   </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4、合金一体管：一体化连接管、管连接头为合金材料，自重≤170g；适用体重≥100Kg；合金管长度≧200mm，壁厚度≧2mm，直径30mm；连接器为合金材质；</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5、树脂接受腔：主要树脂：丙烯酸材质，无异味，快速固化，制成品符合医用标准，对人体安全无害，可直接接触皮肤，规格：4.6kg/桶，粘度（20℃时）：350 mPa.s，最高发热温度：115℃，固化后邵氏硬度为85，产品通过CE认证 （提供相关CE认证证书）</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其它材料包含：固化剂、颜色糊、丙纶、玻纤、成品PVA膜、碳纤维布、接受腔EVA内衬板材。                                                                  6、小腿硅胶（凝胶）内衬套：优选织物，优质硅凝胶，末端伞状结构，能适配不同的残肢形状，配套锁具，每套独立包装。                                                         7、小腿海绵: 管直径:30和34cm，材料为PUR软性泡沫外套，长度：约55cm ，颜色米黄色。</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例</w:t>
            </w:r>
          </w:p>
        </w:tc>
        <w:tc>
          <w:tcPr>
            <w:tcW w:w="9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23</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小腿假肢（优越型）碳纤脚板+硅凝胶内衬套</w:t>
            </w:r>
          </w:p>
        </w:tc>
        <w:tc>
          <w:tcPr>
            <w:tcW w:w="647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 碳纤脚板：  重量轻，强度高， 防尘、防污染、防溅水， 分趾碳纤仿生结构，安全稳定，左右弥补能力强，高分子聚合物足跟，尺寸：22-28cm，脚皮：窄型（22-23cm），女士适用；普通型（24-28cm）重量：352g,系统高度：53mm,最大承重：125kg（提供第三方检测报告）</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 xml:space="preserve">2.锁紧管接头：自重≤80g，适用体重≤100Kg，管直径为30mm，材质为合金；                         </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 xml:space="preserve">3.四爪连接盘：自重≤80g，适用体重≤100Kg，材质为合金；                                   </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4.小腿一体管：合金材料，自重≤170g，适用体重≤100Kg，长250mm±20mm，直径30mm；</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5.树脂接受腔：丙烯酸材质，无异味，快速固化，制成品符合医用标准，对人体安全无害，可直接接触皮肤，规格：4.6kg/桶，粘度（20℃时）：350 mPa.s，产品通过CE认证 （提供相关CE认证证书）</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 xml:space="preserve">其它材料包含：固化剂、颜色糊、丙纶、玻纤、成品PVA膜、碳纤维布、接受腔EVA内衬板材。                                                                          6.小腿海绵: 材料为PUR软性泡沫外套，肤色。                                  7.小腿包装袜：小腿外装饰袜子：锦纶丝材质，肤色。                            8.小腿残肢袜：纯棉材质。                                                   9.小腿硅胶内衬套（锁具型）：优选织物，优质硅凝胶，末端伞状结构，能适配不同的残肢形状，，每套独立包装。                                                                      </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例</w:t>
            </w:r>
          </w:p>
        </w:tc>
        <w:tc>
          <w:tcPr>
            <w:tcW w:w="9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15000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24</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default" w:ascii="宋体" w:hAnsi="宋体" w:eastAsia="宋体" w:cs="宋体"/>
                <w:color w:val="000000"/>
                <w:kern w:val="0"/>
                <w:szCs w:val="21"/>
                <w:lang w:val="en-US" w:eastAsia="zh-CN"/>
              </w:rPr>
              <w:t>膝离断假肢（普及型）机械关机+动踝脚板</w:t>
            </w:r>
          </w:p>
        </w:tc>
        <w:tc>
          <w:tcPr>
            <w:tcW w:w="647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1、四连杆机械膝离断关节：采用优质合金钢材料精密加工而成， 屈曲角度：110度，重量：655g，材质：合金钢，系统高度：99mm，最大承重：120kg。（提供第三方检测报告）</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 xml:space="preserve">2、动踝脚板：尺寸：21-28cm，重量：255-435g，系统高度：42-49mm，最大承重：100kg ；（提供第三方检测报告）                         </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 xml:space="preserve">3、动踝关节（自重≤200g，适用体重≥100Kg，适用于20cm-28cm的脚号，材质为合金；）；                                                                    4、锁紧管接头：零部件组件每套独立包装，自重≤80g，适用体重≥100Kg，管直径为30mm，材质为合金；                           </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5、大腿一体管：合金材料、自重≤280g、适用体重≥100Kg、铝合金管长度≧400mm，管壁厚度≧2mm，直径30mm；连接器为合金材料；两者连接牢固，不松动。</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6、树脂接受腔：主要树脂：丙烯酸材质，无异味，快速固化，制成品符合医用标准，对人体安全无害，可直接接触皮肤，规格：4.6kg/桶，粘度（20℃时）：350 mPa.s，最高发热温度：115℃，固化后邵氏硬度为85，产品通过CE认证（提供相关CE认证证书）</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 xml:space="preserve">其它材料包含：固化剂、颜色糊、丙纶、玻纤、成品PVA膜、碳纤维布、阀门弯管及自动排气阀门。                                                                            </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7、膝离断海绵：材料为PUR软性泡沫，分左右腿，长度94cm，颜色米黄色易于打磨，外形预成型。</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例</w:t>
            </w:r>
          </w:p>
        </w:tc>
        <w:tc>
          <w:tcPr>
            <w:tcW w:w="9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8000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25</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default" w:ascii="宋体" w:hAnsi="宋体" w:eastAsia="宋体" w:cs="宋体"/>
                <w:color w:val="000000"/>
                <w:kern w:val="0"/>
                <w:szCs w:val="21"/>
                <w:lang w:val="en-US" w:eastAsia="zh-CN"/>
              </w:rPr>
              <w:t>膝离断假肢（功能型）气压关机+动踝脚板</w:t>
            </w:r>
          </w:p>
        </w:tc>
        <w:tc>
          <w:tcPr>
            <w:tcW w:w="647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xml:space="preserve">1、新型双气压系统关节；关节质量稳定，功能齐全，容易调整； 材质颜色：关节为上部与下部铝镁合金材料，中部有灰色塑料包裹关节体，重量892g,屈曲角度：152°,高度：191mm,同样的关节可以分为3种连接方式a、四棱台连接：b、螺纹头连接：c、膝离断连接；  膝关节最小屈膝夹角可达22度；  膝关节包含管连接器，外径Ф30mm； 质量符合标准；（提供第三方检测报告）                             </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 xml:space="preserve">2、动踝脚板：假肢耐用并且稳定性高，尺寸：21-28cm，重量：255-435g，系统高度：42-49mm，最大承重：100kg ；（提供第三方检测报告）                         </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 xml:space="preserve">3、动踝关节（自重≤200g，适用体重≥100Kg，适用于20cm-28cm的脚号，材质为合金；）；                                                                   4、锁紧管接头：零部件组件每套独立包装，自重≤80g，适用体重≥100Kg，管直径为30mm，材质为合金；                         </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5、大腿一体管：合金材料、自重≤280g、适用体重≥100Kg、铝合金管长度≧400mm，管壁厚度≧2mm，直径30mm；连接器为合金材料；两者连接牢固，不松动。</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6、树脂接受腔：主要树脂：丙烯酸材质，无异味，快速固化，制成品符合医用标准，对人体安全无害，可直接接触皮肤，规格：4.6kg/桶，粘度（20℃时）：350 mPa.s，最高发热温度：115℃，固化后邵氏硬度为85，产品通过CE认证（提供相关CE认证证书）</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其它材料包含：固化剂、颜色糊、丙纶、玻纤、成品PVA膜、碳纤维布、阀门弯管及自动排气阀门。                                                                        7、膝离断腿海绵：材料为PUR软性泡沫，分左右腿，长度94cm，颜色米黄色易于打磨，外形预成型。</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例</w:t>
            </w:r>
          </w:p>
        </w:tc>
        <w:tc>
          <w:tcPr>
            <w:tcW w:w="9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5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4"/>
                <w:szCs w:val="24"/>
                <w:u w:val="none"/>
                <w:lang w:val="en-US" w:eastAsia="zh-CN" w:bidi="ar"/>
              </w:rPr>
              <w:t>26</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default" w:ascii="宋体" w:hAnsi="宋体" w:eastAsia="宋体" w:cs="宋体"/>
                <w:color w:val="000000"/>
                <w:kern w:val="0"/>
                <w:szCs w:val="21"/>
                <w:lang w:val="en-US" w:eastAsia="zh-CN"/>
              </w:rPr>
              <w:t>膝离断假肢（功能型）机械关节+碳纤脚板</w:t>
            </w:r>
          </w:p>
        </w:tc>
        <w:tc>
          <w:tcPr>
            <w:tcW w:w="6472" w:type="dxa"/>
            <w:tcBorders>
              <w:top w:val="single" w:color="auto" w:sz="4" w:space="0"/>
              <w:left w:val="single" w:color="auto" w:sz="4" w:space="0"/>
              <w:bottom w:val="single" w:color="auto" w:sz="4" w:space="0"/>
              <w:right w:val="single" w:color="auto" w:sz="4" w:space="0"/>
            </w:tcBorders>
            <w:vAlign w:val="center"/>
          </w:tcPr>
          <w:p>
            <w:pPr>
              <w:widowControl/>
              <w:numPr>
                <w:ilvl w:val="0"/>
                <w:numId w:val="25"/>
              </w:numPr>
              <w:spacing w:line="320" w:lineRule="exact"/>
              <w:jc w:val="left"/>
              <w:textAlignment w:val="center"/>
              <w:rPr>
                <w:rFonts w:hint="eastAsia"/>
                <w:lang w:val="en-US" w:eastAsia="zh-CN"/>
              </w:rPr>
            </w:pPr>
            <w:r>
              <w:rPr>
                <w:rFonts w:hint="eastAsia"/>
                <w:lang w:val="en-US" w:eastAsia="zh-CN"/>
              </w:rPr>
              <w:t>四连杆机械膝离断关节：采用优质合金钢材料精密加工而成， 通过调整膝轴摩擦力和伸展辅助装置来控制摆动期， 四连杆结构保证膝关节支撑期的稳定性， 关节带上端膝离断连接结构，屈曲角度：118度，重量：674g,材质：合金钢，系统高度：123mm,最大承重：120kg。（提供第三方检测报告）</w:t>
            </w:r>
            <w:r>
              <w:rPr>
                <w:rFonts w:hint="eastAsia"/>
                <w:lang w:val="en-US" w:eastAsia="zh-CN"/>
              </w:rPr>
              <w:br w:type="textWrapping"/>
            </w:r>
            <w:r>
              <w:rPr>
                <w:rFonts w:hint="eastAsia"/>
                <w:lang w:val="en-US" w:eastAsia="zh-CN"/>
              </w:rPr>
              <w:t xml:space="preserve">2、碳纤脚板：高分子聚合物足跟，尺寸：22-28cm，脚皮：窄型（22-23cm），女士适用；普通型（24-28cm）重量：253g,系统高度：47mm,最大承重：125kg，包含脚皮（提供第三方检测报告）                        </w:t>
            </w:r>
            <w:r>
              <w:rPr>
                <w:rFonts w:hint="eastAsia"/>
                <w:lang w:val="en-US" w:eastAsia="zh-CN"/>
              </w:rPr>
              <w:br w:type="textWrapping"/>
            </w:r>
            <w:r>
              <w:rPr>
                <w:rFonts w:hint="eastAsia"/>
                <w:lang w:val="en-US" w:eastAsia="zh-CN"/>
              </w:rPr>
              <w:t xml:space="preserve">3、锁紧管接头：零部件组件每套独立包装，自重≤80g，适用体重≥100Kg，管直径为30mm，材质为合金；                           </w:t>
            </w:r>
            <w:r>
              <w:rPr>
                <w:rFonts w:hint="eastAsia"/>
                <w:lang w:val="en-US" w:eastAsia="zh-CN"/>
              </w:rPr>
              <w:br w:type="textWrapping"/>
            </w:r>
            <w:r>
              <w:rPr>
                <w:rFonts w:hint="eastAsia"/>
                <w:lang w:val="en-US" w:eastAsia="zh-CN"/>
              </w:rPr>
              <w:t>4、大腿一体管：合金材料、自重≤280g、适用体重≥100Kg、铝合金管长度≧400mm，管壁厚度≧2mm，直径30mm；连接器为合金材料；两者连接牢固，不松动。</w:t>
            </w:r>
            <w:r>
              <w:rPr>
                <w:rFonts w:hint="eastAsia"/>
                <w:lang w:val="en-US" w:eastAsia="zh-CN"/>
              </w:rPr>
              <w:br w:type="textWrapping"/>
            </w:r>
            <w:r>
              <w:rPr>
                <w:rFonts w:hint="eastAsia"/>
                <w:lang w:val="en-US" w:eastAsia="zh-CN"/>
              </w:rPr>
              <w:t>5、树脂接受腔：主要树脂：丙烯酸材质，无异味，快速固化，制成品符合医用标准，对人体安全无害，可直接接触皮肤，规格：4.6kg/桶，粘度（20℃时）：350 mPa.s，最高发热温度：115℃，固化后邵氏硬度为85，产品通过CE认证（提供相关CE认证证书）</w:t>
            </w:r>
            <w:r>
              <w:rPr>
                <w:rFonts w:hint="eastAsia"/>
                <w:lang w:val="en-US" w:eastAsia="zh-CN"/>
              </w:rPr>
              <w:br w:type="textWrapping"/>
            </w:r>
            <w:r>
              <w:rPr>
                <w:rFonts w:hint="eastAsia"/>
                <w:lang w:val="en-US" w:eastAsia="zh-CN"/>
              </w:rPr>
              <w:t>其它材料包含：固化剂、颜色糊、丙纶、玻纤、成品PVA膜、碳纤维布、阀门弯管及自动排气阀门。                                                                        6、膝离断海绵：材料为PUR软性泡沫，分左右腿，长度94cm，颜色米黄色易于打磨，外形预成型。</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例</w:t>
            </w:r>
          </w:p>
        </w:tc>
        <w:tc>
          <w:tcPr>
            <w:tcW w:w="9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default" w:ascii="宋体" w:hAnsi="宋体" w:eastAsia="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27</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highlight w:val="none"/>
                <w:lang w:val="en-US" w:eastAsia="zh-CN"/>
              </w:rPr>
            </w:pPr>
            <w:r>
              <w:rPr>
                <w:rFonts w:hint="eastAsia" w:ascii="宋体" w:hAnsi="宋体" w:eastAsia="宋体" w:cs="宋体"/>
                <w:color w:val="000000"/>
                <w:kern w:val="0"/>
                <w:szCs w:val="21"/>
                <w:highlight w:val="none"/>
                <w:lang w:val="en-US" w:eastAsia="zh-CN"/>
              </w:rPr>
              <w:t>膝离断假肢（优越性）气压关机+碳纤脚板</w:t>
            </w:r>
          </w:p>
        </w:tc>
        <w:tc>
          <w:tcPr>
            <w:tcW w:w="647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highlight w:val="none"/>
                <w:lang w:val="en-US" w:eastAsia="zh-CN"/>
              </w:rPr>
            </w:pPr>
            <w:r>
              <w:rPr>
                <w:rFonts w:hint="eastAsia" w:ascii="宋体" w:hAnsi="宋体" w:eastAsia="宋体" w:cs="宋体"/>
                <w:color w:val="000000"/>
                <w:kern w:val="0"/>
                <w:szCs w:val="21"/>
                <w:highlight w:val="none"/>
                <w:lang w:val="en-US" w:eastAsia="zh-CN"/>
              </w:rPr>
              <w:t>1、新型双气压系统关节；关节质量稳定，功能齐全，容易调整； 材质颜色：关节为上部与下部铝镁合金材料，中部有灰色塑料包裹关节体，重量892g,屈曲角度：152度，高度：191mm,同样的关节可以分为3种连接方式a、四棱台连接：适合正常截肢的大腿用户；b、螺纹头连接：适合长残肢的大腿用户c、膝离断连接：适合膝离断的截肢用户； 屈曲阻尼与伸展阻尼互不干扰调整后的摆动期阻尼控制比例及和谐的摆动期伸展限位缓冲功能使步态更加自然，减少了体能的消耗；残疾人穿戴舒适方便； 膝关节最小屈膝夹角可达22度；  膝关节包含管连接器，外径Ф30mm； 质量符合标准；（提供第三方检测报告）</w:t>
            </w:r>
          </w:p>
          <w:p>
            <w:pPr>
              <w:widowControl/>
              <w:spacing w:line="320" w:lineRule="exact"/>
              <w:jc w:val="left"/>
              <w:textAlignment w:val="center"/>
              <w:rPr>
                <w:rFonts w:hint="eastAsia" w:ascii="宋体" w:hAnsi="宋体" w:eastAsia="宋体" w:cs="宋体"/>
                <w:color w:val="000000"/>
                <w:kern w:val="0"/>
                <w:szCs w:val="21"/>
                <w:highlight w:val="none"/>
                <w:lang w:val="en-US" w:eastAsia="zh-CN"/>
              </w:rPr>
            </w:pPr>
            <w:r>
              <w:rPr>
                <w:rFonts w:hint="eastAsia" w:ascii="宋体" w:hAnsi="宋体" w:eastAsia="宋体" w:cs="宋体"/>
                <w:color w:val="000000"/>
                <w:kern w:val="0"/>
                <w:szCs w:val="21"/>
                <w:highlight w:val="none"/>
                <w:lang w:val="en-US" w:eastAsia="zh-CN"/>
              </w:rPr>
              <w:t>2、碳纤脚板：高分子聚合物足跟，尺寸：22-28cm，脚皮：窄型（22-23cm），女士适用；普通型（24-28cm）重量：253g,系统高度：47mm,最大承重：125kg，包含脚皮（提供第三方检测报告）</w:t>
            </w:r>
          </w:p>
          <w:p>
            <w:pPr>
              <w:widowControl/>
              <w:spacing w:line="320" w:lineRule="exact"/>
              <w:jc w:val="left"/>
              <w:textAlignment w:val="center"/>
              <w:rPr>
                <w:rFonts w:hint="eastAsia" w:ascii="宋体" w:hAnsi="宋体" w:eastAsia="宋体" w:cs="宋体"/>
                <w:color w:val="000000"/>
                <w:kern w:val="0"/>
                <w:szCs w:val="21"/>
                <w:highlight w:val="none"/>
                <w:lang w:val="en-US" w:eastAsia="zh-CN"/>
              </w:rPr>
            </w:pPr>
            <w:r>
              <w:rPr>
                <w:rFonts w:hint="eastAsia" w:ascii="宋体" w:hAnsi="宋体" w:eastAsia="宋体" w:cs="宋体"/>
                <w:color w:val="000000"/>
                <w:kern w:val="0"/>
                <w:szCs w:val="21"/>
                <w:highlight w:val="none"/>
                <w:lang w:val="en-US" w:eastAsia="zh-CN"/>
              </w:rPr>
              <w:t xml:space="preserve">3、锁紧管接头：零部件组件每套独立包装，自重≤80g，适用体重≥100Kg，管直径为30mm，材质为合金；                           </w:t>
            </w:r>
          </w:p>
          <w:p>
            <w:pPr>
              <w:widowControl/>
              <w:spacing w:line="320" w:lineRule="exact"/>
              <w:jc w:val="left"/>
              <w:textAlignment w:val="center"/>
              <w:rPr>
                <w:rFonts w:hint="eastAsia" w:ascii="宋体" w:hAnsi="宋体" w:eastAsia="宋体" w:cs="宋体"/>
                <w:color w:val="000000"/>
                <w:kern w:val="0"/>
                <w:szCs w:val="21"/>
                <w:highlight w:val="none"/>
                <w:lang w:val="en-US" w:eastAsia="zh-CN"/>
              </w:rPr>
            </w:pPr>
            <w:r>
              <w:rPr>
                <w:rFonts w:hint="eastAsia" w:ascii="宋体" w:hAnsi="宋体" w:eastAsia="宋体" w:cs="宋体"/>
                <w:color w:val="000000"/>
                <w:kern w:val="0"/>
                <w:szCs w:val="21"/>
                <w:highlight w:val="none"/>
                <w:lang w:val="en-US" w:eastAsia="zh-CN"/>
              </w:rPr>
              <w:t>4、大腿一体管：合金材料、自重≤280g、适用体重≥100Kg、铝合金管长度≧400mm，管壁厚度≧2mm，直径30mm；连接器为合金材料；两者连接牢固，不松动。</w:t>
            </w:r>
          </w:p>
          <w:p>
            <w:pPr>
              <w:widowControl/>
              <w:spacing w:line="320" w:lineRule="exact"/>
              <w:jc w:val="left"/>
              <w:textAlignment w:val="center"/>
              <w:rPr>
                <w:rFonts w:hint="eastAsia" w:ascii="宋体" w:hAnsi="宋体" w:eastAsia="宋体" w:cs="宋体"/>
                <w:color w:val="000000"/>
                <w:kern w:val="0"/>
                <w:szCs w:val="21"/>
                <w:highlight w:val="none"/>
                <w:lang w:val="en-US" w:eastAsia="zh-CN"/>
              </w:rPr>
            </w:pPr>
            <w:r>
              <w:rPr>
                <w:rFonts w:hint="eastAsia" w:ascii="宋体" w:hAnsi="宋体" w:eastAsia="宋体" w:cs="宋体"/>
                <w:color w:val="000000"/>
                <w:kern w:val="0"/>
                <w:szCs w:val="21"/>
                <w:highlight w:val="none"/>
                <w:lang w:val="en-US" w:eastAsia="zh-CN"/>
              </w:rPr>
              <w:t>5、树脂接受腔：主要树脂：丙烯酸材质，无异味，快速固化，制成品符合医用标准，对人体安全无害，可直接接触皮肤，规格：4.6kg/桶，粘度（20℃时）：350 mPa.s，最高发热温度：115℃，固化后邵氏硬度为85。 其它材料包含：固化剂、颜色糊、丙纶、玻纤、成品PVA膜、碳纤维布、阀门弯管及自动排气阀门。                                                                        6、膝离断海绵：材料为PUR软性泡沫，分左右腿，长度94cm，颜色米黄色易于打磨，外形预成型。</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highlight w:val="none"/>
                <w:lang w:val="en-US" w:eastAsia="zh-CN"/>
              </w:rPr>
            </w:pPr>
            <w:r>
              <w:rPr>
                <w:rFonts w:hint="eastAsia" w:ascii="宋体" w:hAnsi="宋体" w:eastAsia="宋体" w:cs="宋体"/>
                <w:color w:val="000000"/>
                <w:kern w:val="0"/>
                <w:szCs w:val="21"/>
                <w:highlight w:val="none"/>
                <w:lang w:val="en-US" w:eastAsia="zh-CN"/>
              </w:rPr>
              <w:t>例</w:t>
            </w:r>
          </w:p>
        </w:tc>
        <w:tc>
          <w:tcPr>
            <w:tcW w:w="9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highlight w:val="none"/>
                <w:lang w:val="en-US" w:eastAsia="zh-CN"/>
              </w:rPr>
            </w:pPr>
            <w:r>
              <w:rPr>
                <w:rFonts w:hint="eastAsia" w:ascii="宋体" w:hAnsi="宋体" w:eastAsia="宋体" w:cs="宋体"/>
                <w:color w:val="000000"/>
                <w:kern w:val="0"/>
                <w:szCs w:val="21"/>
                <w:highlight w:val="none"/>
                <w:lang w:val="en-US" w:eastAsia="zh-CN"/>
              </w:rPr>
              <w:t>15000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highlight w:val="none"/>
                <w:lang w:val="en-US" w:eastAsia="zh-CN"/>
              </w:rPr>
            </w:pPr>
            <w:r>
              <w:rPr>
                <w:rFonts w:hint="eastAsia" w:ascii="宋体" w:hAnsi="宋体" w:eastAsia="宋体" w:cs="宋体"/>
                <w:color w:val="000000"/>
                <w:kern w:val="0"/>
                <w:szCs w:val="21"/>
                <w:highlight w:val="none"/>
                <w:lang w:val="en-US" w:eastAsia="zh-CN"/>
              </w:rPr>
              <w:t>28</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highlight w:val="none"/>
                <w:lang w:val="en-US" w:eastAsia="zh-CN"/>
              </w:rPr>
            </w:pPr>
            <w:r>
              <w:rPr>
                <w:rFonts w:hint="eastAsia" w:ascii="宋体" w:hAnsi="宋体" w:eastAsia="宋体" w:cs="宋体"/>
                <w:color w:val="000000"/>
                <w:kern w:val="0"/>
                <w:szCs w:val="21"/>
                <w:highlight w:val="none"/>
                <w:lang w:val="en-US" w:eastAsia="zh-CN"/>
              </w:rPr>
              <w:t>大腿假肢（普及型）：机械膝关机+动踝脚板</w:t>
            </w:r>
          </w:p>
        </w:tc>
        <w:tc>
          <w:tcPr>
            <w:tcW w:w="647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highlight w:val="none"/>
                <w:lang w:val="en-US" w:eastAsia="zh-CN"/>
              </w:rPr>
            </w:pPr>
            <w:r>
              <w:rPr>
                <w:rFonts w:hint="eastAsia" w:ascii="宋体" w:hAnsi="宋体" w:eastAsia="宋体" w:cs="宋体"/>
                <w:color w:val="000000"/>
                <w:kern w:val="0"/>
                <w:szCs w:val="21"/>
                <w:highlight w:val="none"/>
                <w:lang w:val="en-US" w:eastAsia="zh-CN"/>
              </w:rPr>
              <w:t>1、四连杆机械关节：采用优质合金钢材料精密加工而成，屈曲角度136度，重量：671g,材质：合金钢，系统高度：41-88mm，最大承重：100kg。（提供第三方检测报告）</w:t>
            </w:r>
            <w:r>
              <w:rPr>
                <w:rFonts w:hint="eastAsia" w:ascii="宋体" w:hAnsi="宋体" w:eastAsia="宋体" w:cs="宋体"/>
                <w:color w:val="000000"/>
                <w:kern w:val="0"/>
                <w:szCs w:val="21"/>
                <w:highlight w:val="none"/>
                <w:lang w:val="en-US" w:eastAsia="zh-CN"/>
              </w:rPr>
              <w:br w:type="textWrapping"/>
            </w:r>
            <w:r>
              <w:rPr>
                <w:rFonts w:hint="eastAsia" w:ascii="宋体" w:hAnsi="宋体" w:eastAsia="宋体" w:cs="宋体"/>
                <w:color w:val="000000"/>
                <w:kern w:val="0"/>
                <w:szCs w:val="21"/>
                <w:highlight w:val="none"/>
                <w:lang w:val="en-US" w:eastAsia="zh-CN"/>
              </w:rPr>
              <w:t xml:space="preserve">2、动踝脚板：假肢耐用并且稳定性高，尺寸：21-28cm，重量：255-435g，系统高度：42-49mm，最大承重：100kg ；（提供第三方检测报告）                         </w:t>
            </w:r>
            <w:r>
              <w:rPr>
                <w:rFonts w:hint="eastAsia" w:ascii="宋体" w:hAnsi="宋体" w:eastAsia="宋体" w:cs="宋体"/>
                <w:color w:val="000000"/>
                <w:kern w:val="0"/>
                <w:szCs w:val="21"/>
                <w:highlight w:val="none"/>
                <w:lang w:val="en-US" w:eastAsia="zh-CN"/>
              </w:rPr>
              <w:br w:type="textWrapping"/>
            </w:r>
            <w:r>
              <w:rPr>
                <w:rFonts w:hint="eastAsia" w:ascii="宋体" w:hAnsi="宋体" w:eastAsia="宋体" w:cs="宋体"/>
                <w:color w:val="000000"/>
                <w:kern w:val="0"/>
                <w:szCs w:val="21"/>
                <w:highlight w:val="none"/>
                <w:lang w:val="en-US" w:eastAsia="zh-CN"/>
              </w:rPr>
              <w:t xml:space="preserve">3、动踝关节（自重≤200g，适用体重≥100Kg，适用于20cm-28cm的脚号，材质为合金；）；                                                4、锁紧管接头：零部件组件每套独立包装，自重≤80g，适用体重≥100Kg，管直径为30mm，材质为合金；                         </w:t>
            </w:r>
            <w:r>
              <w:rPr>
                <w:rFonts w:hint="eastAsia" w:ascii="宋体" w:hAnsi="宋体" w:eastAsia="宋体" w:cs="宋体"/>
                <w:color w:val="000000"/>
                <w:kern w:val="0"/>
                <w:szCs w:val="21"/>
                <w:highlight w:val="none"/>
                <w:lang w:val="en-US" w:eastAsia="zh-CN"/>
              </w:rPr>
              <w:br w:type="textWrapping"/>
            </w:r>
            <w:r>
              <w:rPr>
                <w:rFonts w:hint="eastAsia" w:ascii="宋体" w:hAnsi="宋体" w:eastAsia="宋体" w:cs="宋体"/>
                <w:color w:val="000000"/>
                <w:kern w:val="0"/>
                <w:szCs w:val="21"/>
                <w:highlight w:val="none"/>
                <w:lang w:val="en-US" w:eastAsia="zh-CN"/>
              </w:rPr>
              <w:t xml:space="preserve">5、三爪连接盘：零部件组件每套独立包装；自重≤180g、适用体重≥100Kg、不锈钢材质；                                   </w:t>
            </w:r>
            <w:r>
              <w:rPr>
                <w:rFonts w:hint="eastAsia" w:ascii="宋体" w:hAnsi="宋体" w:eastAsia="宋体" w:cs="宋体"/>
                <w:color w:val="000000"/>
                <w:kern w:val="0"/>
                <w:szCs w:val="21"/>
                <w:highlight w:val="none"/>
                <w:lang w:val="en-US" w:eastAsia="zh-CN"/>
              </w:rPr>
              <w:br w:type="textWrapping"/>
            </w:r>
            <w:r>
              <w:rPr>
                <w:rFonts w:hint="eastAsia" w:ascii="宋体" w:hAnsi="宋体" w:eastAsia="宋体" w:cs="宋体"/>
                <w:color w:val="000000"/>
                <w:kern w:val="0"/>
                <w:szCs w:val="21"/>
                <w:highlight w:val="none"/>
                <w:lang w:val="en-US" w:eastAsia="zh-CN"/>
              </w:rPr>
              <w:t>6、大腿一体管：合金材料、自重≤280g、适用体重≥100Kg、铝合金管长度≧400mm，管壁厚度≧2mm，直径30mm；连接器为合金材料；两者连接牢固，不松动。</w:t>
            </w:r>
            <w:r>
              <w:rPr>
                <w:rFonts w:hint="eastAsia" w:ascii="宋体" w:hAnsi="宋体" w:eastAsia="宋体" w:cs="宋体"/>
                <w:color w:val="000000"/>
                <w:kern w:val="0"/>
                <w:szCs w:val="21"/>
                <w:highlight w:val="none"/>
                <w:lang w:val="en-US" w:eastAsia="zh-CN"/>
              </w:rPr>
              <w:br w:type="textWrapping"/>
            </w:r>
            <w:r>
              <w:rPr>
                <w:rFonts w:hint="eastAsia" w:ascii="宋体" w:hAnsi="宋体" w:eastAsia="宋体" w:cs="宋体"/>
                <w:color w:val="000000"/>
                <w:kern w:val="0"/>
                <w:szCs w:val="21"/>
                <w:highlight w:val="none"/>
                <w:lang w:val="en-US" w:eastAsia="zh-CN"/>
              </w:rPr>
              <w:t>7、树脂接受腔：主要树脂：丙烯酸材质，无异味，快速固化，制成品符合医用标准，对人体安全无害，可直接接触皮肤，规格：4.6kg/桶，粘度（20℃时）：350 mPa.s，最高发热温度：115℃，固化后邵氏硬度为85，产品通过CE认证（提供相关CE认证证书）</w:t>
            </w:r>
            <w:r>
              <w:rPr>
                <w:rFonts w:hint="eastAsia" w:ascii="宋体" w:hAnsi="宋体" w:eastAsia="宋体" w:cs="宋体"/>
                <w:color w:val="000000"/>
                <w:kern w:val="0"/>
                <w:szCs w:val="21"/>
                <w:highlight w:val="none"/>
                <w:lang w:val="en-US" w:eastAsia="zh-CN"/>
              </w:rPr>
              <w:br w:type="textWrapping"/>
            </w:r>
            <w:r>
              <w:rPr>
                <w:rFonts w:hint="eastAsia" w:ascii="宋体" w:hAnsi="宋体" w:eastAsia="宋体" w:cs="宋体"/>
                <w:color w:val="000000"/>
                <w:kern w:val="0"/>
                <w:szCs w:val="21"/>
                <w:highlight w:val="none"/>
                <w:lang w:val="en-US" w:eastAsia="zh-CN"/>
              </w:rPr>
              <w:t>其它材料包含：固化剂、颜色糊、丙纶、玻纤、成品PVA膜、碳纤维布、阀门弯管及自动排气阀门。</w:t>
            </w:r>
            <w:r>
              <w:rPr>
                <w:rFonts w:hint="eastAsia" w:ascii="宋体" w:hAnsi="宋体" w:eastAsia="宋体" w:cs="宋体"/>
                <w:color w:val="000000"/>
                <w:kern w:val="0"/>
                <w:szCs w:val="21"/>
                <w:highlight w:val="none"/>
                <w:lang w:val="en-US" w:eastAsia="zh-CN"/>
              </w:rPr>
              <w:br w:type="textWrapping"/>
            </w:r>
            <w:r>
              <w:rPr>
                <w:rFonts w:hint="eastAsia" w:ascii="宋体" w:hAnsi="宋体" w:eastAsia="宋体" w:cs="宋体"/>
                <w:color w:val="000000"/>
                <w:kern w:val="0"/>
                <w:szCs w:val="21"/>
                <w:highlight w:val="none"/>
                <w:lang w:val="en-US" w:eastAsia="zh-CN"/>
              </w:rPr>
              <w:t>8、大腿海绵：材料为PUR软性泡沫，分左右腿，长度94cm，颜色米黄色易于打磨，外形预成型。</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highlight w:val="none"/>
                <w:lang w:val="en-US" w:eastAsia="zh-CN"/>
              </w:rPr>
            </w:pPr>
            <w:r>
              <w:rPr>
                <w:rFonts w:hint="eastAsia" w:ascii="宋体" w:hAnsi="宋体" w:eastAsia="宋体" w:cs="宋体"/>
                <w:color w:val="000000"/>
                <w:kern w:val="0"/>
                <w:szCs w:val="21"/>
                <w:highlight w:val="none"/>
                <w:lang w:val="en-US" w:eastAsia="zh-CN"/>
              </w:rPr>
              <w:t>例</w:t>
            </w:r>
          </w:p>
        </w:tc>
        <w:tc>
          <w:tcPr>
            <w:tcW w:w="9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highlight w:val="none"/>
                <w:lang w:val="en-US" w:eastAsia="zh-CN"/>
              </w:rPr>
            </w:pPr>
            <w:r>
              <w:rPr>
                <w:rFonts w:hint="eastAsia" w:ascii="宋体" w:hAnsi="宋体" w:eastAsia="宋体" w:cs="宋体"/>
                <w:color w:val="000000"/>
                <w:kern w:val="0"/>
                <w:szCs w:val="21"/>
                <w:highlight w:val="none"/>
                <w:lang w:val="en-US" w:eastAsia="zh-CN"/>
              </w:rPr>
              <w:t>8000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29</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大腿假肢（功能型）气压膝关节+动踝脚板</w:t>
            </w:r>
          </w:p>
        </w:tc>
        <w:tc>
          <w:tcPr>
            <w:tcW w:w="647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新型双气压系统关节；材质颜色：关节为上部与下部铝镁合金材料，中部有灰色塑料包裹关节体，重量892g,屈曲角度：152度，高度：191mm,同样的关节可以分为3种连接方式a、四棱台连接：适合正常截肢的大腿用户；b、螺纹头连接：适合长残肢的大腿用户c、膝离断连接：适合膝离断的截肢用户； 膝关节最小屈膝夹角可达22度；  膝关节包含管连接器，外径Ф30mm； 质量符合标准；（提供第三方检测报告）</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 xml:space="preserve">2、动踝脚板：假肢耐用并且稳定性高，适合小腿、大腿截肢、髋离断等用户以及肌力较弱的中老年用户和女性用户，尺寸：21-28cm，重量：255-435g，系统高度：42-49mm，最大承重：100kg ；（提供第三方检测报告）                         </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 xml:space="preserve">3、动踝关节（自重≤200g，适用体重≥100Kg，适用于20cm-28cm的脚号，材质为合金；）；                                                       4、锁紧管接头：零部件组件每套独立包装，自重≤80g，适用体重≥100Kg，管直径为30mm，材质为合金；                         </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 xml:space="preserve">5、三爪连接盘：零部件组件每套独立包装；自重≤180g、适用体重≥100Kg、不锈钢材质；                                   </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6、大腿一体管：合金材料、自重≤280g、适用体重≥100Kg、铝合金管长度≧400mm，管壁厚度≧2mm，直径30mm；连接器为合金材料；两者连接牢固，不松动。</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7、树脂接受腔：主要树脂：丙烯酸材质，无异味，快速固化，制成品符合医用标准，对人体安全无害，可直接接触皮肤，规格：4.6kg/桶，粘度（20℃时）：350 mPa.s，最高发热温度：115℃，固化后邵氏硬度为85，产品通过CE认证（提供相关CE认证证书）</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其它材料包含：固化剂、颜色糊、丙纶、玻纤、成品PVA膜、碳纤维布、阀门弯管及自动排气阀门。                                                                         8、大腿海绵：材料为PUR软性泡沫，分左右腿，长度94cm，颜色米黄色易于打磨，外形预成型。</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例</w:t>
            </w:r>
          </w:p>
        </w:tc>
        <w:tc>
          <w:tcPr>
            <w:tcW w:w="9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30</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大腿假肢（功能型）机械膝关节+碳纤脚板</w:t>
            </w:r>
          </w:p>
        </w:tc>
        <w:tc>
          <w:tcPr>
            <w:tcW w:w="647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1、四连杆机械关节：采用优质合金钢材料精密加工而成， 四连杆结构保证膝关节支撑期的稳定性，屈曲角度：136度，重量：671g,材质：合金钢，系统高度：88mm,最大承重：100kg。（提供第三方检测报告）</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 xml:space="preserve">2、碳纤脚板：高分子聚合物足跟，尺寸：22-28cm，脚皮：窄型（22-23cm），女士适用；普通型（24-28cm）重量：253g,系统高度：47mm,最大承重：125kg，包含脚皮（提供第三方检测报告）                        </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 xml:space="preserve">3、锁紧管接头：零部件组件每套独立包装，自重≤80g，适用体重≥100Kg，管直径为30mm，材质为合金；                         </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 xml:space="preserve">4、三爪连接盘：零部件组件每套独立包装；自重≤180g、适用体重≥100Kg、不锈钢材质；                                   </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5、大腿一体管：合金材料、自重≤280g、适用体重≥100Kg、铝合金管长度≧400mm，管壁厚度≧2mm，直径30mm；连接器为合金材料；两者连接牢固，不松动。</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6、树脂接受腔：主要树脂：丙烯酸材质，无异味，快速固化，制成品符合医用标准，对人体安全无害，可直接接触皮肤，规格：4.6kg/桶，粘度（20℃时）：350 mPa.s，最高发热温度：115℃，固化后邵氏硬度为85，产品通过CE认证（提供相关CE认证证书）</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其它材料包含：固化剂、颜色糊、丙纶、玻纤、成品PVA膜、碳纤维布、阀门弯管及自动排气阀门。</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7、大腿海绵：材料为PUR软性泡沫，分左右腿，长度94cm，颜色米黄色易于打磨，外形预成型。</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例</w:t>
            </w:r>
          </w:p>
        </w:tc>
        <w:tc>
          <w:tcPr>
            <w:tcW w:w="9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31</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大腿假肢（优越型）气压膝关节+碳纤脚板</w:t>
            </w:r>
          </w:p>
        </w:tc>
        <w:tc>
          <w:tcPr>
            <w:tcW w:w="647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xml:space="preserve">1、新型双气压系统关节； 材质颜色：关节为上部与下部铝镁合金材料，中部有灰色塑料包裹关节体，重量892g,屈曲角度：152度，高度：191mm,同样的关节可以分为3种连接方式a、四棱台连接：适合正常截肢的大腿用户；b、螺纹头连接：适合长残肢的大腿用户c、膝离断连接：适合膝离断的截肢用户； 膝关节最小屈膝夹角可达22度；  膝关节包含管连接器，外径Ф30mm； 质量符合标准；（提供第三方检测报告） </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 xml:space="preserve">2、碳纤脚板：高分子聚合物足跟，尺寸：22-28cm，脚皮：窄型（22-23cm），女士适用；普通型（24-28cm）重量：253g,系统高度：47mm,最大承重：125kg，包含脚皮（提供第三方检测报告）                       </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 xml:space="preserve">3、锁紧管接头：零部件组件每套独立包装，自重≤80g，适用体重≥100Kg，管直径为30mm，材质为合金；                         </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 xml:space="preserve">4、三爪连接盘：零部件组件每套独立包装；自重≤180g、适用体重≥100Kg、不锈钢材质；                                   </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5、大腿一体管：合金材料、自重≤280g、适用体重≥100Kg、铝合金管长度≧400mm，管壁厚度≧2mm，直径30mm；连接器为合金材料；两者连接牢固，不松动。</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6、树脂接受腔：主要树脂：丙烯酸材质，无异味，快速固化，制成品符合医用标准，对人体安全无害，可直接接触皮肤，规格：4.6kg/桶，粘度（20℃时）：350 mPa.s，最高发热温度：115℃，固化后邵氏硬度为85，产品通过CE认证（提供相关CE认证证书）</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其它材料包含：固化剂、颜色糊、丙纶、玻纤、成品PVA膜、碳纤维布、阀门弯管及自动排气阀门。</w:t>
            </w:r>
            <w:r>
              <w:rPr>
                <w:rFonts w:hint="eastAsia" w:ascii="宋体" w:hAnsi="宋体" w:eastAsia="宋体" w:cs="宋体"/>
                <w:color w:val="000000"/>
                <w:kern w:val="0"/>
                <w:szCs w:val="21"/>
                <w:lang w:val="en-US" w:eastAsia="zh-CN"/>
              </w:rPr>
              <w:br w:type="textWrapping"/>
            </w:r>
            <w:r>
              <w:rPr>
                <w:rFonts w:hint="eastAsia" w:ascii="宋体" w:hAnsi="宋体" w:cs="宋体"/>
                <w:color w:val="000000"/>
                <w:kern w:val="0"/>
                <w:szCs w:val="21"/>
                <w:lang w:val="en-US" w:eastAsia="zh-CN"/>
              </w:rPr>
              <w:t>7</w:t>
            </w:r>
            <w:r>
              <w:rPr>
                <w:rFonts w:hint="eastAsia" w:ascii="宋体" w:hAnsi="宋体" w:eastAsia="宋体" w:cs="宋体"/>
                <w:color w:val="000000"/>
                <w:kern w:val="0"/>
                <w:szCs w:val="21"/>
                <w:lang w:val="en-US" w:eastAsia="zh-CN"/>
              </w:rPr>
              <w:t>、大腿海绵：材料为PUR软性泡沫，分左右腿，长度94cm，颜色米黄色易于打磨，外形预成型。</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例</w:t>
            </w:r>
          </w:p>
        </w:tc>
        <w:tc>
          <w:tcPr>
            <w:tcW w:w="9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15000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32</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大腿假肢（优越舒适型）气压膝关节+碳纤脚板+硅胶内衬套</w:t>
            </w:r>
          </w:p>
        </w:tc>
        <w:tc>
          <w:tcPr>
            <w:tcW w:w="6472"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xml:space="preserve">1、新型双气压系统关节； 材质颜色：关节为上部与下部铝镁合金材料，中部有灰色塑料包裹关节体，重量892g,屈曲角度：152度，高度：191mm,同样的关节可以分为3种连接方式a、四棱台连接：适合正常截肢的大腿用户；b、螺纹头连接：适合长残肢的大腿用户c、膝离断连接：适合膝离断的截肢用户；膝关节最小屈膝夹角可达22度；  膝关节包含管连接器，外径Ф30mm；质量符合标准；（提供第三方检测报告） </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 xml:space="preserve">2、碳纤脚板：重量轻，强度高， 防尘、防污染、防溅水， 分趾碳纤仿生结构，高分子聚合物足跟， 尺寸：22-28cm，脚皮：窄型（22-23cm），女士适用；普通型（24-28cm）重量：253g,系统高度：47mm,最大承重：125kg（提供第三方检测报告）                           </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 xml:space="preserve">3、锁紧管接头：零部件组件每套独立包装，自重≤80g，适用体重≥100Kg，管直径为30mm，材质为合金；                         </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 xml:space="preserve">4、三爪连接盘：零部件组件每套独立包装；自重≤180g、适用体重≥100Kg、不锈钢材质；                                   </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5、大腿一体管：合金材料、自重≤280g、适用体重≥100Kg、铝合金管长度≧400mm，管壁厚度≧2mm，直径30mm；连接器为合金材料；两者连接牢固，不松动。</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6、树脂接受腔：主要树脂：丙烯酸材质，无异味，快速固化，制成品符合医用标准，对人体安全无害，可直接接触皮肤，规格：4.6kg/桶，粘度（20℃时）：350 mPa.s，最高发热温度：115℃，固化后邵氏硬度为85，产品通过CE认证（提供相关CE认证证书）</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其它材料包含：固化剂、颜色糊、丙纶、玻纤、成品PVA膜、碳纤维布、阀门弯管及自动排气阀门。</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 xml:space="preserve">7、大腿硅胶内衬套（锁具型）：优选织物，单向拉伸织物相对末端矩阵更有效的防止残肢窜动，在限制内衬套纵向拉伸的同时保证围长的伸展，易于适配不同的残肢形状。对称型剖面：远端厚度和近端厚度不一样，穿戴和屈膝更加舒适；配套锁具。每套独立包装                </w:t>
            </w:r>
          </w:p>
          <w:p>
            <w:pPr>
              <w:widowControl/>
              <w:numPr>
                <w:ilvl w:val="0"/>
                <w:numId w:val="0"/>
              </w:numPr>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8、大腿海绵：材料为PUR软性泡沫，分左右腿，长度94cm，颜色米黄色易于打磨，外形预成型。</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腿假肢（优越舒适型）气压膝关节+碳纤脚板+硅胶内衬套</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例</w:t>
            </w:r>
          </w:p>
        </w:tc>
        <w:tc>
          <w:tcPr>
            <w:tcW w:w="9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33</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髋离断假肢（普及型）机械髋关节+机械膝关节+动踝脚板</w:t>
            </w:r>
          </w:p>
        </w:tc>
        <w:tc>
          <w:tcPr>
            <w:tcW w:w="6472"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1、单轴轻金属带行动控制装置的下支撑式髋关节：可适合配合安全稳定的四连杆膝关节和静踝或动踝脚板， 带有助伸装置，控制摆动期， 稳定性好，可调性强，体能消耗低，屈曲角度：120度，重量：940g，最小系统高度：170mm，最大系统高度：360mm，最大承重：100kg                                                                      2、四连杆机械关节：采用优质合金钢材料精密加工而成，屈曲角度：136度，重量：671g材质：合金钢，系统高度：41-88mm，最大承重：100kg。（提供第三方检测报告）</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 xml:space="preserve">3、动踝脚板：尺寸：21-28cm，重量：255-435g，系统高度：42-49mm，最大承重：100kg ；（提供第三方检测报告）                         </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 xml:space="preserve">4、动踝关节（自重≤200g，适用体重≥100Kg，适用于20cm-28cm的脚号，材质为合金；）；                                                                      5、锁紧管接头：零部件组件每套独立包装，自重≤80g，适用体重≥100Kg，管直径为30mm，材质为合金；                         </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 xml:space="preserve">6、三爪连接盘：零部件组件每套独立包装；自重≤180g、适用体重≥100Kg、不锈钢材质；                                   </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7、大腿一体管：合金材料、自重≤280g、适用体重≥100Kg、铝合金管长度≧400mm，管壁厚度≧2mm，直径30mm；连接器为合金材料；两者连接牢固，不松动。</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8、树脂接受腔：主要树脂：丙烯酸材质，无异味，快速固化，制成品符合医用标准，对人体安全无害，可直接接触皮肤，规格：4.6kg/桶，粘度（20℃时）：350 mPa.s，最高发热温度：115℃，固化后邵氏硬度为85，产品通过CE认证（提供相关CE认证证书）</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其它材料包含：固化剂、颜色糊、丙纶、玻纤、成品PVA膜、碳纤维布、阀门弯管及自动排气阀门。</w:t>
            </w:r>
            <w:r>
              <w:rPr>
                <w:rFonts w:hint="eastAsia" w:ascii="宋体" w:hAnsi="宋体" w:eastAsia="宋体" w:cs="宋体"/>
                <w:color w:val="000000"/>
                <w:kern w:val="0"/>
                <w:szCs w:val="21"/>
                <w:lang w:val="en-US" w:eastAsia="zh-CN"/>
              </w:rPr>
              <w:br w:type="textWrapping"/>
            </w:r>
            <w:r>
              <w:rPr>
                <w:rFonts w:hint="eastAsia" w:ascii="宋体" w:hAnsi="宋体" w:cs="宋体"/>
                <w:color w:val="000000"/>
                <w:kern w:val="0"/>
                <w:szCs w:val="21"/>
                <w:lang w:val="en-US" w:eastAsia="zh-CN"/>
              </w:rPr>
              <w:t>9</w:t>
            </w:r>
            <w:r>
              <w:rPr>
                <w:rFonts w:hint="eastAsia" w:ascii="宋体" w:hAnsi="宋体" w:eastAsia="宋体" w:cs="宋体"/>
                <w:color w:val="000000"/>
                <w:kern w:val="0"/>
                <w:szCs w:val="21"/>
                <w:lang w:val="en-US" w:eastAsia="zh-CN"/>
              </w:rPr>
              <w:t>、髋离断海绵：材料为PUR软性泡沫，分左右腿，长度94cm，颜色米黄色易于打磨，外形预成型。</w:t>
            </w:r>
          </w:p>
        </w:tc>
        <w:tc>
          <w:tcPr>
            <w:tcW w:w="810"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例</w:t>
            </w:r>
          </w:p>
        </w:tc>
        <w:tc>
          <w:tcPr>
            <w:tcW w:w="982"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34</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jc w:val="left"/>
              <w:textAlignment w:val="center"/>
              <w:rPr>
                <w:rFonts w:hint="eastAsia" w:ascii="宋体" w:hAnsi="宋体" w:eastAsia="宋体" w:cs="宋体"/>
                <w:color w:val="000000"/>
                <w:kern w:val="0"/>
                <w:szCs w:val="21"/>
                <w:lang w:val="en-US" w:eastAsia="zh-CN"/>
              </w:rPr>
            </w:pPr>
            <w:r>
              <w:rPr>
                <w:rFonts w:hint="default" w:ascii="宋体" w:hAnsi="宋体" w:eastAsia="宋体" w:cs="宋体"/>
                <w:color w:val="000000"/>
                <w:kern w:val="0"/>
                <w:szCs w:val="21"/>
                <w:lang w:val="en-US" w:eastAsia="zh-CN"/>
              </w:rPr>
              <w:t>手部假肢</w:t>
            </w:r>
          </w:p>
        </w:tc>
        <w:tc>
          <w:tcPr>
            <w:tcW w:w="6472"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1、装饰手皮：聚氨酯加硅胶材料，</w:t>
            </w:r>
          </w:p>
        </w:tc>
        <w:tc>
          <w:tcPr>
            <w:tcW w:w="810"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例</w:t>
            </w:r>
          </w:p>
        </w:tc>
        <w:tc>
          <w:tcPr>
            <w:tcW w:w="982"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35</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jc w:val="left"/>
              <w:textAlignment w:val="center"/>
              <w:rPr>
                <w:rFonts w:hint="eastAsia" w:ascii="宋体" w:hAnsi="宋体" w:eastAsia="宋体" w:cs="宋体"/>
                <w:color w:val="000000"/>
                <w:kern w:val="0"/>
                <w:szCs w:val="21"/>
                <w:lang w:val="en-US" w:eastAsia="zh-CN"/>
              </w:rPr>
            </w:pPr>
            <w:r>
              <w:rPr>
                <w:rFonts w:hint="default" w:ascii="宋体" w:hAnsi="宋体" w:eastAsia="宋体" w:cs="宋体"/>
                <w:color w:val="000000"/>
                <w:kern w:val="0"/>
                <w:szCs w:val="21"/>
                <w:lang w:val="en-US" w:eastAsia="zh-CN"/>
              </w:rPr>
              <w:t>前臂假肢</w:t>
            </w:r>
          </w:p>
        </w:tc>
        <w:tc>
          <w:tcPr>
            <w:tcW w:w="6472"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 手头张开距离85mm</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2. 手指捏力5N</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3. 腕关节直径Ф45mm</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4. 大拇指尖到腕关节底部的距离为149mm</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5. 大拇指可扳动打开</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6. 手头重量210g（含指套）含内外硅胶双层手皮</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7. 手头骨架采用优质合金铝，表面采用阳极处理耐腐蚀</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8. 手指头配有指套，手掌部分配有掌套，</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9. 手头规格分为男士、女士及左、右</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11. 质保三年。</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12.树脂接受腔：主要材料树脂：丙烯酸材质，无异味，快速固化，制成品符合医用标准，对人体安全无害，可直接接触皮肤，规格：4.6kg/桶，粘度（20℃时）：350 mPa.s，最高发热温度：115℃，固化后邵氏硬度为85，产品通过CE认证 （提供相关CE认证证书）</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其它材料包含：固化剂、颜色糊、丙纶、玻纤、成品PVA膜、碳纤维布</w:t>
            </w:r>
          </w:p>
        </w:tc>
        <w:tc>
          <w:tcPr>
            <w:tcW w:w="810"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例</w:t>
            </w:r>
          </w:p>
        </w:tc>
        <w:tc>
          <w:tcPr>
            <w:tcW w:w="982"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4500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36</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jc w:val="left"/>
              <w:textAlignment w:val="center"/>
              <w:rPr>
                <w:rFonts w:hint="eastAsia" w:ascii="宋体" w:hAnsi="宋体" w:eastAsia="宋体" w:cs="宋体"/>
                <w:color w:val="000000"/>
                <w:kern w:val="0"/>
                <w:szCs w:val="21"/>
                <w:lang w:val="en-US" w:eastAsia="zh-CN"/>
              </w:rPr>
            </w:pPr>
            <w:r>
              <w:rPr>
                <w:rFonts w:hint="default" w:ascii="宋体" w:hAnsi="宋体" w:eastAsia="宋体" w:cs="宋体"/>
                <w:color w:val="000000"/>
                <w:kern w:val="0"/>
                <w:szCs w:val="21"/>
                <w:lang w:val="en-US" w:eastAsia="zh-CN"/>
              </w:rPr>
              <w:t>腕离断假肢</w:t>
            </w:r>
          </w:p>
        </w:tc>
        <w:tc>
          <w:tcPr>
            <w:tcW w:w="6472"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 手头张开距离85mm</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2. 手指捏力5N</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3. 腕关节直径Ф45mm</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4. 大拇指尖到腕关节底部的距离为149mm</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5. 大拇指可扳动打开</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6. 手头重量210g（含指套）含内外硅胶双层手皮</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7. 手头骨架采用优质合金铝，表面采用阳极处理耐腐蚀</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8. 手指头配有指套，手掌部分配有掌套，可起到保护手套作用，安全美观</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10. 手头规格分为男士、女士及左、右</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11. 质保三年。</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12.树脂接受腔：主要材料树脂：丙烯酸材质，无异味，快速固化，制成品符合医用标准，对人体安全无害，可直接接触皮肤，规格：4.6kg/桶，粘度（20℃时）：350 mPa.s，最高发热温度：115℃，固化后邵氏硬度为85，产品通过CE认证 （提供相关CE认证证书）</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其它材料包含：固化剂、颜色糊、丙纶、玻纤、成品PVA膜、碳纤维布</w:t>
            </w:r>
          </w:p>
        </w:tc>
        <w:tc>
          <w:tcPr>
            <w:tcW w:w="810"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例</w:t>
            </w:r>
          </w:p>
        </w:tc>
        <w:tc>
          <w:tcPr>
            <w:tcW w:w="982"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5000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37</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rPr>
            </w:pPr>
            <w:r>
              <w:rPr>
                <w:rFonts w:hint="default" w:ascii="宋体" w:hAnsi="宋体" w:eastAsia="宋体" w:cs="宋体"/>
                <w:color w:val="000000"/>
                <w:kern w:val="0"/>
                <w:szCs w:val="21"/>
                <w:lang w:val="en-US" w:eastAsia="zh-CN"/>
              </w:rPr>
              <w:t>前臂肌电假肢</w:t>
            </w:r>
          </w:p>
        </w:tc>
        <w:tc>
          <w:tcPr>
            <w:tcW w:w="647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1.接受腔采用树脂，外形为圆锥形，外观光泽、壁厚均匀；物理性能：韧性好、强度大、耐冲击强度高、1. 手头张开距离95mm</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2. 手指捏力30N</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3. 腕关节直径Ф45mm</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4. 大拇指尖到腕关节底部的距离为140mm</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5. 噪音25分贝；</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6. 手头重量280g</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7. 肌电控制手指动作</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8. 含电极、内置锂电池（标配两块电池）</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9. 能耗1.3J</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10. 外观：金属件有防锈处理，表面光滑无毛刺、鼓泡、剥落、麻点、漏底等。</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11. 多功能电池座</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12. 硅胶手套，分男式女式，具有耐高温，耐腐蚀，不易老化，容易清洗的特性</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13. 质保两年（电池质保半年）                                14.树脂接受腔：主要材料树脂：丙烯酸材质，无异味，快速固化，制成品符合医用标准，对人体安全无害，可直接接触皮肤，规格：4.6kg/桶，粘度（20℃时）：350 mPa.s，最高发热温度：115℃，固化后邵氏硬度为85，产品通过CE认证 （提供相关CE认证证书）</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其它材料包含：固化剂、颜色糊、丙纶、玻纤、成品PVA膜、碳纤维布</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例</w:t>
            </w:r>
          </w:p>
        </w:tc>
        <w:tc>
          <w:tcPr>
            <w:tcW w:w="9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15000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38</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default" w:ascii="宋体" w:hAnsi="宋体" w:eastAsia="宋体" w:cs="宋体"/>
                <w:color w:val="000000"/>
                <w:kern w:val="0"/>
                <w:szCs w:val="21"/>
                <w:lang w:val="en-US" w:eastAsia="zh-CN"/>
              </w:rPr>
              <w:t>上臂假肢</w:t>
            </w:r>
          </w:p>
        </w:tc>
        <w:tc>
          <w:tcPr>
            <w:tcW w:w="6472" w:type="dxa"/>
            <w:tcBorders>
              <w:top w:val="single" w:color="auto" w:sz="4" w:space="0"/>
              <w:left w:val="single" w:color="auto" w:sz="4" w:space="0"/>
              <w:bottom w:val="single" w:color="auto" w:sz="4" w:space="0"/>
              <w:right w:val="single" w:color="auto" w:sz="4" w:space="0"/>
            </w:tcBorders>
            <w:vAlign w:val="center"/>
          </w:tcPr>
          <w:p>
            <w:pPr>
              <w:widowControl/>
              <w:numPr>
                <w:ilvl w:val="0"/>
                <w:numId w:val="26"/>
              </w:numPr>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手头张开距离85mm</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2. 手指捏力5N</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3. 腕关节直径Ф45mm</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4. 大拇指尖到腕关节底部的距离为149mm</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5. 大拇指可扳动打开</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6. 前臂被动旋转，肘关节被动伸屈</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7. 含内外硅胶双层手皮</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8. 手头及骨架采用优质合金铝，表面经阳极处理，耐腐蚀。</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9. 肘关节采用不锈钢制作，拨动手柄可多角度被动自锁。</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10. 手指头配有指套，手掌部分配有掌套。</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11. 手头规格分为男士、女士及左、右</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 xml:space="preserve">12. 质保三年。                                    </w:t>
            </w:r>
          </w:p>
          <w:p>
            <w:pPr>
              <w:widowControl/>
              <w:numPr>
                <w:ilvl w:val="0"/>
                <w:numId w:val="0"/>
              </w:numPr>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13.</w:t>
            </w:r>
            <w:r>
              <w:rPr>
                <w:rFonts w:hint="eastAsia" w:ascii="宋体" w:hAnsi="宋体" w:eastAsia="宋体" w:cs="宋体"/>
                <w:color w:val="000000"/>
                <w:kern w:val="0"/>
                <w:szCs w:val="21"/>
                <w:lang w:val="en-US" w:eastAsia="zh-CN"/>
              </w:rPr>
              <w:t>树脂接受腔：主要材料树脂：丙烯酸材质，无异味，快速固化，制成品符合医用标准，对人体安全无害，可直接接触皮肤，规格：4.6kg/桶，粘度（20℃时）：350 mPa.s，最高发热温度：115℃，固化后邵氏硬度为85，产品通过CE认证 （提供相关CE认证证书）</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其它材料包含：固化剂、颜色糊、丙纶、玻纤、成品PVA膜、碳纤维布</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例</w:t>
            </w:r>
          </w:p>
        </w:tc>
        <w:tc>
          <w:tcPr>
            <w:tcW w:w="9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6000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39</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default" w:ascii="宋体" w:hAnsi="宋体" w:eastAsia="宋体" w:cs="宋体"/>
                <w:color w:val="000000"/>
                <w:kern w:val="0"/>
                <w:szCs w:val="21"/>
                <w:lang w:val="en-US" w:eastAsia="zh-CN"/>
              </w:rPr>
              <w:t>肘离断假肢</w:t>
            </w:r>
          </w:p>
        </w:tc>
        <w:tc>
          <w:tcPr>
            <w:tcW w:w="647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 手头张开距离85mm</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2. 手指捏力5N</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3. 腕关节直径Ф45mm</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4. 大拇指尖到腕关节底部的距离为149mm</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5. 大拇指可扳动打开</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6. 前臂被动旋转，肘关节被动伸屈</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7. 含内外硅胶双层手皮</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8. 手头及骨架采用优质合金铝，表面经阳极处理，耐腐蚀。</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9. 肘关节采用不锈钢制作，拨动手柄可多角度被动自锁。</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10. 手指头配有指套，手掌部分配有掌套。</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11. 手头规格分为男士、女士及左、右</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12. 上臂连接部分可选用支条或圆盘连接方式。</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13. 质保三年。</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14.树脂接受腔：主要材料树脂：丙烯酸材质，无异味，快速固化，制成品符合医用标准，对人体安全无害，可直接接触皮肤，规格：4.6kg/桶，粘度（20℃时）：350 mPa.s，最高发热温度：115℃，固化后邵氏硬度为85，产品通过CE认证 （提供相关CE认证证书）</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其它材料包含：固化剂、颜色糊、丙纶、玻纤、成品PVA膜、碳纤维布</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例</w:t>
            </w:r>
          </w:p>
        </w:tc>
        <w:tc>
          <w:tcPr>
            <w:tcW w:w="9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6000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40</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肩离断假肢</w:t>
            </w:r>
          </w:p>
        </w:tc>
        <w:tc>
          <w:tcPr>
            <w:tcW w:w="647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 手头张开距离85mm</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2. 手指捏力5N</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3. 腕关节直径Ф45mm</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4. 大拇指尖到腕关节底部的距离为149mm</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5. 大拇指可扳动打开</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6. 前臂被动旋转，肘关节被动伸屈，肩关节前后左右被动伸展。含内外硅胶双层手皮</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7. 手头及骨架采用优质合金铝，表面经阳极处理，耐腐蚀。</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8. 肘关节采用不锈钢制作，拨动手柄可多角度被动自锁。</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9. 手指头配有指套，手掌部分配有掌套，安全美观</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10. 手头规格分为男士、女士及左、右。</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11. 质保三年。</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12.树脂接受腔：主要材料树脂：丙烯酸材质，无异味，快速固化，制成品符合医用标准，对人体安全无害，可直接接触皮肤，规格：4.6kg/桶，粘度（20℃时）：350 mPa.s，最高发热温度：115℃，固化后邵氏硬度为85，产品通过CE认证 （提供相关CE认证证书）</w:t>
            </w:r>
            <w:r>
              <w:rPr>
                <w:rFonts w:hint="eastAsia" w:ascii="宋体" w:hAnsi="宋体" w:eastAsia="宋体" w:cs="宋体"/>
                <w:color w:val="000000"/>
                <w:kern w:val="0"/>
                <w:szCs w:val="21"/>
                <w:lang w:val="en-US" w:eastAsia="zh-CN"/>
              </w:rPr>
              <w:br w:type="textWrapping"/>
            </w:r>
            <w:r>
              <w:rPr>
                <w:rFonts w:hint="eastAsia" w:ascii="宋体" w:hAnsi="宋体" w:eastAsia="宋体" w:cs="宋体"/>
                <w:color w:val="000000"/>
                <w:kern w:val="0"/>
                <w:szCs w:val="21"/>
                <w:lang w:val="en-US" w:eastAsia="zh-CN"/>
              </w:rPr>
              <w:t>其它材料包含：固化剂、颜色糊、丙纶、玻纤、成品PVA膜、碳纤维布</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例</w:t>
            </w:r>
          </w:p>
        </w:tc>
        <w:tc>
          <w:tcPr>
            <w:tcW w:w="9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8000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72" w:type="dxa"/>
            <w:gridSpan w:val="6"/>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b/>
                <w:color w:val="000000"/>
                <w:szCs w:val="21"/>
              </w:rPr>
            </w:pPr>
            <w:r>
              <w:rPr>
                <w:rFonts w:hint="eastAsia" w:ascii="宋体" w:hAnsi="宋体" w:cs="宋体"/>
                <w:b/>
                <w:color w:val="000000"/>
                <w:szCs w:val="21"/>
              </w:rPr>
              <w:t>二、</w:t>
            </w:r>
            <w:r>
              <w:rPr>
                <w:rFonts w:hint="eastAsia"/>
                <w:szCs w:val="21"/>
              </w:rPr>
              <w:t>▲</w:t>
            </w:r>
            <w:r>
              <w:rPr>
                <w:rFonts w:hint="eastAsia" w:ascii="宋体" w:hAnsi="宋体" w:cs="宋体"/>
                <w:b/>
                <w:color w:val="000000"/>
                <w:szCs w:val="21"/>
              </w:rPr>
              <w:t>商务要求表</w:t>
            </w:r>
            <w:r>
              <w:rPr>
                <w:rFonts w:hint="eastAsia" w:hAnsi="宋体"/>
                <w:b/>
                <w:szCs w:val="21"/>
              </w:rPr>
              <w:t>（投标人商务响应表与售后服务承诺同一内容不相符的，以低计算）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08"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color w:val="000000"/>
                <w:szCs w:val="21"/>
              </w:rPr>
            </w:pPr>
            <w:r>
              <w:rPr>
                <w:rFonts w:hint="eastAsia" w:ascii="宋体" w:hAnsi="宋体" w:cs="宋体"/>
                <w:color w:val="000000"/>
                <w:szCs w:val="21"/>
              </w:rPr>
              <w:t>质保期</w:t>
            </w:r>
          </w:p>
        </w:tc>
        <w:tc>
          <w:tcPr>
            <w:tcW w:w="8264"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color w:val="000000"/>
                <w:szCs w:val="21"/>
              </w:rPr>
            </w:pPr>
            <w:r>
              <w:rPr>
                <w:rFonts w:hint="eastAsia" w:ascii="宋体" w:hAnsi="宋体" w:cs="宋体"/>
                <w:color w:val="000000"/>
                <w:szCs w:val="21"/>
              </w:rPr>
              <w:t>按国家有关产品“三包”规定执行“三包”，最短不得少于2年，自设备验收合格之日起计算。终身维护。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0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售后技术服务要求</w:t>
            </w:r>
          </w:p>
        </w:tc>
        <w:tc>
          <w:tcPr>
            <w:tcW w:w="8264" w:type="dxa"/>
            <w:gridSpan w:val="3"/>
            <w:tcBorders>
              <w:top w:val="single" w:color="auto" w:sz="4" w:space="0"/>
              <w:left w:val="single" w:color="auto" w:sz="4" w:space="0"/>
              <w:bottom w:val="single" w:color="auto" w:sz="4" w:space="0"/>
              <w:right w:val="single" w:color="auto" w:sz="4" w:space="0"/>
            </w:tcBorders>
          </w:tcPr>
          <w:p>
            <w:pPr>
              <w:spacing w:line="400" w:lineRule="exact"/>
              <w:rPr>
                <w:color w:val="auto"/>
                <w:szCs w:val="21"/>
              </w:rPr>
            </w:pPr>
            <w:r>
              <w:rPr>
                <w:rFonts w:hint="eastAsia"/>
                <w:color w:val="auto"/>
                <w:szCs w:val="21"/>
              </w:rPr>
              <w:t>质保期内免费维修、免费更换零部件，服务内容如下：</w:t>
            </w:r>
          </w:p>
          <w:p>
            <w:pPr>
              <w:spacing w:line="400" w:lineRule="exact"/>
              <w:rPr>
                <w:color w:val="auto"/>
                <w:szCs w:val="21"/>
              </w:rPr>
            </w:pPr>
            <w:r>
              <w:rPr>
                <w:rFonts w:hint="eastAsia"/>
                <w:color w:val="auto"/>
                <w:szCs w:val="21"/>
              </w:rPr>
              <w:t>（1）免费送货至交货地点、免费调试货物到最佳状态、免费培训操作人员。</w:t>
            </w:r>
          </w:p>
          <w:p>
            <w:pPr>
              <w:spacing w:line="400" w:lineRule="exact"/>
              <w:rPr>
                <w:color w:val="auto"/>
                <w:szCs w:val="21"/>
              </w:rPr>
            </w:pPr>
            <w:r>
              <w:rPr>
                <w:rFonts w:hint="eastAsia"/>
                <w:color w:val="auto"/>
                <w:szCs w:val="21"/>
              </w:rPr>
              <w:t>（2）维修响应：中标供应商在接到用户维修电话后3小时内响应，24小时内到达现场修理解决，并免费更换有缺陷的货物或零部件，48小时内恢复正常使用，若不能修复则应有合理应对方案。</w:t>
            </w:r>
          </w:p>
          <w:p>
            <w:pPr>
              <w:spacing w:line="400" w:lineRule="exact"/>
              <w:rPr>
                <w:color w:val="auto"/>
                <w:szCs w:val="21"/>
              </w:rPr>
            </w:pPr>
            <w:r>
              <w:rPr>
                <w:rFonts w:hint="eastAsia"/>
                <w:color w:val="auto"/>
                <w:szCs w:val="21"/>
              </w:rPr>
              <w:t>（3）中标人除承担运输、验收与培训等义务外，还将为采购人提供技术支持，包括保修期外的修理及技术指导、配件供应等。</w:t>
            </w:r>
          </w:p>
          <w:p>
            <w:pPr>
              <w:spacing w:line="400" w:lineRule="exact"/>
              <w:jc w:val="left"/>
              <w:rPr>
                <w:color w:val="auto"/>
                <w:szCs w:val="21"/>
              </w:rPr>
            </w:pPr>
            <w:r>
              <w:rPr>
                <w:rFonts w:hint="eastAsia" w:ascii="宋体" w:hAnsi="宋体" w:cs="宋体"/>
                <w:color w:val="auto"/>
                <w:szCs w:val="21"/>
              </w:rPr>
              <w:t>（4）</w:t>
            </w:r>
            <w:r>
              <w:rPr>
                <w:rFonts w:hint="eastAsia" w:ascii="宋体" w:hAnsi="宋体"/>
                <w:b/>
                <w:color w:val="auto"/>
                <w:szCs w:val="21"/>
              </w:rPr>
              <w:t>本地化服务：本项目服务的对象涉及广西全区，为保证及时提供售后服务，投标人在广西区内应自设或委托至少2家具有相应资质条件的售后服务机构或服务网点（投标文件中必须提供有效的证明文件，如营业执照或房屋租赁合同复印件，委托服务的还须提供双方签字盖章的委托协议书，协议服务期限至少2年以上；提供服务机构或服务网点的场地及设备图片清单、联系人、联系电话），每个自设或委托具有相应资质条件的售后服务机构或服务网点配备辅具专业技术服务人员不少于 2名；投标文件中必须提供专业技术人员名单、身份证、专业技术证书</w:t>
            </w:r>
            <w:r>
              <w:rPr>
                <w:rFonts w:hint="eastAsia" w:ascii="宋体" w:hAnsi="宋体"/>
                <w:b/>
                <w:color w:val="auto"/>
                <w:szCs w:val="21"/>
                <w:lang w:eastAsia="zh-CN"/>
              </w:rPr>
              <w:t>、</w:t>
            </w:r>
            <w:r>
              <w:rPr>
                <w:rFonts w:hint="eastAsia" w:ascii="宋体" w:hAnsi="宋体"/>
                <w:b/>
                <w:color w:val="auto"/>
                <w:szCs w:val="21"/>
                <w:highlight w:val="none"/>
                <w:lang w:val="en-US" w:eastAsia="zh-CN"/>
              </w:rPr>
              <w:t>社保缴费证明</w:t>
            </w:r>
            <w:r>
              <w:rPr>
                <w:rFonts w:hint="eastAsia" w:ascii="宋体" w:hAnsi="宋体"/>
                <w:b/>
                <w:color w:val="auto"/>
                <w:szCs w:val="21"/>
                <w:highlight w:val="none"/>
              </w:rPr>
              <w:t>加盖公章</w:t>
            </w:r>
            <w:r>
              <w:rPr>
                <w:rFonts w:hint="eastAsia" w:ascii="宋体" w:hAnsi="宋体"/>
                <w:b/>
                <w:color w:val="auto"/>
                <w:szCs w:val="21"/>
              </w:rPr>
              <w:t>和劳动合同复印件加盖公章。（原件备查）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03" w:hRule="atLeast"/>
        </w:trPr>
        <w:tc>
          <w:tcPr>
            <w:tcW w:w="180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交货时间及地点</w:t>
            </w:r>
          </w:p>
        </w:tc>
        <w:tc>
          <w:tcPr>
            <w:tcW w:w="826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1、交货时间：</w:t>
            </w:r>
            <w:r>
              <w:rPr>
                <w:rFonts w:hint="eastAsia" w:ascii="宋体" w:hAnsi="宋体"/>
                <w:bCs/>
                <w:color w:val="auto"/>
                <w:szCs w:val="21"/>
              </w:rPr>
              <w:t>中标人接到采购人每次发出的订单后20个工作日内交付货物并验收合格</w:t>
            </w:r>
            <w:r>
              <w:rPr>
                <w:rFonts w:hint="eastAsia" w:ascii="宋体" w:hAnsi="宋体" w:cs="宋体"/>
                <w:color w:val="auto"/>
                <w:szCs w:val="21"/>
              </w:rPr>
              <w:t>。</w:t>
            </w:r>
          </w:p>
          <w:p>
            <w:pPr>
              <w:spacing w:line="400" w:lineRule="exact"/>
              <w:rPr>
                <w:rFonts w:ascii="宋体" w:hAnsi="宋体" w:cs="宋体"/>
                <w:color w:val="auto"/>
                <w:szCs w:val="21"/>
              </w:rPr>
            </w:pPr>
            <w:r>
              <w:rPr>
                <w:rFonts w:hint="eastAsia" w:ascii="宋体" w:hAnsi="宋体" w:cs="宋体"/>
                <w:color w:val="auto"/>
                <w:szCs w:val="21"/>
              </w:rPr>
              <w:t>2、交货地点：采购单位县（市、区）残联指定的县（市、区）或乡镇（街道），后续配送入户由县（市、区）残联和乡镇（街道）残联负责组织完成。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59" w:hRule="atLeast"/>
        </w:trPr>
        <w:tc>
          <w:tcPr>
            <w:tcW w:w="180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付款方式</w:t>
            </w:r>
          </w:p>
        </w:tc>
        <w:tc>
          <w:tcPr>
            <w:tcW w:w="826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由中标供应商与广西壮族自治区残疾人联合会签订总合同，并与采购单位县（市、区）残联签订分合同。乙方根据县（市、区）残联需求按订单供货，每次订单的货物经交付验收合格后十个工作日内，由甲方按乙方中标标的物的中标单价和实际供货数量计算，以转帐方式一次性付清订单货款（无预付款）。乙方自收到货款之日起五个工作日内开具发票给甲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59" w:hRule="atLeast"/>
        </w:trPr>
        <w:tc>
          <w:tcPr>
            <w:tcW w:w="180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投标报价</w:t>
            </w:r>
          </w:p>
        </w:tc>
        <w:tc>
          <w:tcPr>
            <w:tcW w:w="8264"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ind w:firstLine="420" w:firstLineChars="200"/>
              <w:rPr>
                <w:rFonts w:ascii="宋体" w:hAnsi="宋体" w:cs="宋体"/>
                <w:color w:val="auto"/>
                <w:szCs w:val="21"/>
              </w:rPr>
            </w:pPr>
            <w:r>
              <w:rPr>
                <w:rFonts w:hint="eastAsia" w:ascii="宋体" w:hAnsi="宋体" w:cs="宋体"/>
                <w:color w:val="auto"/>
                <w:szCs w:val="21"/>
              </w:rPr>
              <w:t>投标人按折让率进行报价，本项目折让率允许范围20%（含）以内，超出范围不予接受，作无效投标处理；本项目不接受零折让率的报价（例如：九折的折让率为10%；八折的折让率为20%），投标折让率必须是固定的（如10%），不得存在区间值（如：5%~10%），统一对本项目报一个投标折让率，不接受有选择的报价，且所报的投标折让率应当适用于本项目的所有投标产品。投标人报价时应充分把实施项目过程中所产生的</w:t>
            </w:r>
            <w:r>
              <w:rPr>
                <w:rFonts w:hint="eastAsia" w:asciiTheme="minorEastAsia" w:hAnsiTheme="minorEastAsia" w:eastAsiaTheme="minorEastAsia" w:cstheme="minorEastAsia"/>
                <w:color w:val="auto"/>
                <w:szCs w:val="21"/>
              </w:rPr>
              <w:t>筛查评估、原材料、取模、制作、装配调试、患者及一名陪护人员往返交通以及适应性训练期间的食宿、跟踪回访和质保服务。及其它所有相关费用列入投标报价中。采购人不再</w:t>
            </w:r>
            <w:r>
              <w:rPr>
                <w:rFonts w:hint="eastAsia" w:ascii="宋体" w:hAnsi="宋体" w:cs="宋体"/>
                <w:color w:val="auto"/>
                <w:szCs w:val="21"/>
              </w:rPr>
              <w:t>针对本项目另行支付其他费用。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7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b/>
                <w:color w:val="auto"/>
                <w:szCs w:val="21"/>
              </w:rPr>
              <w:t>三、投标人的资信要求表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4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政策性加分条件</w:t>
            </w:r>
          </w:p>
        </w:tc>
        <w:tc>
          <w:tcPr>
            <w:tcW w:w="8423"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符合节能环保等国家政策要求。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7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b/>
                <w:color w:val="auto"/>
                <w:szCs w:val="21"/>
              </w:rPr>
              <w:t>四、采购人对项目的特殊要求及说明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49"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color w:val="auto"/>
                <w:szCs w:val="21"/>
              </w:rPr>
            </w:pPr>
            <w:r>
              <w:rPr>
                <w:rFonts w:hint="eastAsia" w:ascii="宋体" w:hAnsi="宋体" w:cs="宋体"/>
                <w:color w:val="auto"/>
                <w:szCs w:val="21"/>
              </w:rPr>
              <w:t>产品资料说明文件</w:t>
            </w:r>
          </w:p>
        </w:tc>
        <w:tc>
          <w:tcPr>
            <w:tcW w:w="8423" w:type="dxa"/>
            <w:gridSpan w:val="4"/>
            <w:tcBorders>
              <w:top w:val="single" w:color="auto" w:sz="4" w:space="0"/>
              <w:left w:val="single" w:color="auto" w:sz="4" w:space="0"/>
              <w:bottom w:val="single" w:color="auto" w:sz="4" w:space="0"/>
              <w:right w:val="single" w:color="auto" w:sz="4" w:space="0"/>
            </w:tcBorders>
          </w:tcPr>
          <w:p>
            <w:pPr>
              <w:numPr>
                <w:ilvl w:val="0"/>
                <w:numId w:val="27"/>
              </w:numPr>
              <w:spacing w:line="400" w:lineRule="exact"/>
              <w:rPr>
                <w:color w:val="auto"/>
                <w:szCs w:val="21"/>
              </w:rPr>
            </w:pPr>
            <w:r>
              <w:rPr>
                <w:rFonts w:hint="eastAsia"/>
                <w:color w:val="auto"/>
                <w:szCs w:val="21"/>
              </w:rPr>
              <w:t>招标文件要求提供有效检测报告复印件必须满足，评标时当技术响应表中的参数与检测报告不一致时，以检测报告为准。</w:t>
            </w:r>
          </w:p>
          <w:p>
            <w:pPr>
              <w:spacing w:line="400" w:lineRule="exact"/>
              <w:rPr>
                <w:color w:val="auto"/>
                <w:szCs w:val="21"/>
              </w:rPr>
            </w:pPr>
            <w:r>
              <w:rPr>
                <w:rFonts w:hint="eastAsia"/>
                <w:color w:val="auto"/>
                <w:szCs w:val="21"/>
              </w:rPr>
              <w:t>▲2、投标产品中涉及国家专项审批的，投标人在投标文件中需提供产品生产厂家相关医疗器械生产许可证和医疗器械注册证明细表复印件。</w:t>
            </w:r>
          </w:p>
          <w:p>
            <w:pPr>
              <w:spacing w:line="400" w:lineRule="exact"/>
              <w:rPr>
                <w:color w:val="auto"/>
                <w:szCs w:val="21"/>
              </w:rPr>
            </w:pPr>
            <w:r>
              <w:rPr>
                <w:rFonts w:hint="eastAsia"/>
                <w:color w:val="auto"/>
                <w:szCs w:val="21"/>
              </w:rPr>
              <w:t>▲3、提供所有投标单个产品的照片，照片拍摄要求：单个产品正面左前方45度方位，俯视30度拍摄的照片一张，白底，JPEG格式，图像清晰，像素≧5M，并按照“生产厂家+品名+规格型号+主要材料”内容顺序，逐项作书面说明，A4纸单面限于两个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4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采购人的特殊要求及说明</w:t>
            </w:r>
          </w:p>
        </w:tc>
        <w:tc>
          <w:tcPr>
            <w:tcW w:w="8423" w:type="dxa"/>
            <w:gridSpan w:val="4"/>
            <w:tcBorders>
              <w:top w:val="single" w:color="auto" w:sz="4" w:space="0"/>
              <w:left w:val="single" w:color="auto" w:sz="4" w:space="0"/>
              <w:bottom w:val="single" w:color="auto" w:sz="4" w:space="0"/>
              <w:right w:val="single" w:color="auto" w:sz="4" w:space="0"/>
            </w:tcBorders>
            <w:vAlign w:val="center"/>
          </w:tcPr>
          <w:p>
            <w:pPr>
              <w:pStyle w:val="13"/>
              <w:spacing w:line="400" w:lineRule="exact"/>
              <w:rPr>
                <w:rFonts w:hint="eastAsia" w:ascii="宋体" w:hAnsi="宋体" w:cs="宋体"/>
                <w:color w:val="auto"/>
                <w:szCs w:val="21"/>
              </w:rPr>
            </w:pPr>
            <w:r>
              <w:rPr>
                <w:rFonts w:hint="eastAsia" w:ascii="宋体" w:hAnsi="宋体" w:cs="宋体"/>
                <w:color w:val="auto"/>
                <w:szCs w:val="21"/>
              </w:rPr>
              <w:t>▲本项目未办理进口产品的相关审批手续，不接受进口产品（即通过中国海关报关验放进入中国境内且产自关境外的产品）参与投标，如有此类产品参与投标的，作无效投标处理。</w:t>
            </w:r>
          </w:p>
          <w:p>
            <w:pPr>
              <w:pStyle w:val="13"/>
              <w:spacing w:line="400" w:lineRule="exact"/>
              <w:rPr>
                <w:rFonts w:hint="eastAsia" w:ascii="宋体" w:hAnsi="宋体" w:cs="宋体"/>
                <w:color w:val="auto"/>
                <w:szCs w:val="21"/>
              </w:rPr>
            </w:pPr>
            <w:r>
              <w:rPr>
                <w:rFonts w:hint="eastAsia" w:ascii="宋体" w:hAnsi="宋体" w:cs="宋体"/>
                <w:color w:val="auto"/>
                <w:szCs w:val="21"/>
              </w:rPr>
              <w:t>▲本项目具体采购的暂估数量是采购人为了便于评标先拟定的暂估数量，在实际合同执行过程中，由采购人根据工作中发生的实际数量定，采购人按实际数量结算，投标人必须接受这一情况。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1" w:hRule="atLeast"/>
        </w:trPr>
        <w:tc>
          <w:tcPr>
            <w:tcW w:w="164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其他要求</w:t>
            </w:r>
          </w:p>
        </w:tc>
        <w:tc>
          <w:tcPr>
            <w:tcW w:w="8423" w:type="dxa"/>
            <w:gridSpan w:val="4"/>
            <w:tcBorders>
              <w:top w:val="single" w:color="auto" w:sz="4" w:space="0"/>
              <w:left w:val="single" w:color="auto" w:sz="4" w:space="0"/>
              <w:bottom w:val="single" w:color="auto" w:sz="4" w:space="0"/>
              <w:right w:val="single" w:color="auto" w:sz="4" w:space="0"/>
            </w:tcBorders>
            <w:vAlign w:val="center"/>
          </w:tcPr>
          <w:p>
            <w:pPr>
              <w:numPr>
                <w:ilvl w:val="0"/>
                <w:numId w:val="28"/>
              </w:numPr>
              <w:spacing w:line="400" w:lineRule="exact"/>
              <w:rPr>
                <w:color w:val="auto"/>
                <w:szCs w:val="21"/>
              </w:rPr>
            </w:pPr>
            <w:r>
              <w:rPr>
                <w:rFonts w:hint="eastAsia"/>
                <w:color w:val="auto"/>
                <w:szCs w:val="21"/>
              </w:rPr>
              <w:t>▲第</w:t>
            </w:r>
            <w:r>
              <w:rPr>
                <w:rFonts w:hint="eastAsia"/>
                <w:color w:val="auto"/>
                <w:szCs w:val="21"/>
                <w:lang w:val="en-US" w:eastAsia="zh-CN"/>
              </w:rPr>
              <w:t>23</w:t>
            </w:r>
            <w:r>
              <w:rPr>
                <w:rFonts w:hint="eastAsia"/>
                <w:color w:val="auto"/>
                <w:szCs w:val="21"/>
              </w:rPr>
              <w:t>项投标产品为核心产品，核心产品品牌相同的，视为提供相同品牌产品。提供相同品牌产品的不同投标人参加同一合同项下投标的，按一家投标人计算，以其中通过资格审查、符合性审查的不同投标人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10"/>
              <w:spacing w:line="360" w:lineRule="exact"/>
              <w:ind w:firstLine="0"/>
              <w:rPr>
                <w:color w:val="auto"/>
                <w:szCs w:val="21"/>
              </w:rPr>
            </w:pPr>
            <w:r>
              <w:rPr>
                <w:rFonts w:hint="eastAsia"/>
                <w:color w:val="auto"/>
                <w:szCs w:val="21"/>
              </w:rPr>
              <w:t>2、▲提供3名注册执业假肢制作师、注册执业矫形器制作师职业资格证书和身份证、</w:t>
            </w:r>
            <w:r>
              <w:rPr>
                <w:rFonts w:hint="eastAsia"/>
                <w:color w:val="auto"/>
                <w:szCs w:val="21"/>
                <w:lang w:val="en-US" w:eastAsia="zh-CN"/>
              </w:rPr>
              <w:t>社保证明加盖公章和</w:t>
            </w:r>
            <w:r>
              <w:rPr>
                <w:rFonts w:hint="eastAsia"/>
                <w:color w:val="auto"/>
                <w:szCs w:val="21"/>
              </w:rPr>
              <w:t>劳动合同复印件加盖公章（原件备查）</w:t>
            </w:r>
          </w:p>
          <w:p>
            <w:pPr>
              <w:pStyle w:val="8"/>
              <w:jc w:val="both"/>
              <w:rPr>
                <w:color w:val="auto"/>
              </w:rPr>
            </w:pPr>
            <w:r>
              <w:rPr>
                <w:rFonts w:hint="eastAsia" w:ascii="Times New Roman" w:hAnsi="Times New Roman" w:eastAsia="宋体" w:cs="Times New Roman"/>
                <w:color w:val="auto"/>
                <w:kern w:val="2"/>
                <w:sz w:val="21"/>
                <w:szCs w:val="21"/>
                <w:lang w:val="en-US" w:eastAsia="zh-CN" w:bidi="ar-SA"/>
              </w:rPr>
              <w:t>3、▲提供第三方民政部门出具的假肢生产装配或矫形器生产装配或假肢矫形器生产装配企业资格的认定文件复印件加盖公章（原件备查）。</w:t>
            </w:r>
          </w:p>
        </w:tc>
      </w:tr>
    </w:tbl>
    <w:p>
      <w:pPr>
        <w:spacing w:line="428" w:lineRule="exact"/>
        <w:ind w:left="119"/>
        <w:rPr>
          <w:color w:val="auto"/>
        </w:rPr>
      </w:pPr>
    </w:p>
    <w:p>
      <w:pPr>
        <w:spacing w:line="428" w:lineRule="exact"/>
        <w:ind w:left="119"/>
        <w:rPr>
          <w:color w:val="auto"/>
        </w:rPr>
      </w:pPr>
    </w:p>
    <w:p>
      <w:pPr>
        <w:spacing w:line="428" w:lineRule="exact"/>
        <w:ind w:left="119"/>
        <w:outlineLvl w:val="1"/>
        <w:rPr>
          <w:rFonts w:hint="eastAsia"/>
          <w:b/>
          <w:bCs/>
          <w:color w:val="auto"/>
          <w:lang w:val="en-US" w:eastAsia="zh-CN"/>
        </w:rPr>
      </w:pPr>
      <w:r>
        <w:rPr>
          <w:rFonts w:hint="eastAsia"/>
          <w:b/>
          <w:bCs/>
          <w:color w:val="auto"/>
          <w:lang w:val="en-US" w:eastAsia="zh-CN"/>
        </w:rPr>
        <w:t>F分标：</w:t>
      </w:r>
    </w:p>
    <w:tbl>
      <w:tblPr>
        <w:tblStyle w:val="24"/>
        <w:tblW w:w="960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992"/>
        <w:gridCol w:w="86"/>
        <w:gridCol w:w="55"/>
        <w:gridCol w:w="6198"/>
        <w:gridCol w:w="690"/>
        <w:gridCol w:w="9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600" w:type="dxa"/>
            <w:gridSpan w:val="7"/>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b/>
                <w:color w:val="auto"/>
                <w:szCs w:val="21"/>
              </w:rPr>
            </w:pPr>
            <w:r>
              <w:rPr>
                <w:rFonts w:hint="eastAsia" w:ascii="宋体" w:hAnsi="宋体" w:cs="宋体"/>
                <w:b/>
                <w:color w:val="auto"/>
                <w:szCs w:val="21"/>
              </w:rPr>
              <w:t>一、项目要求及技术需求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项号</w:t>
            </w:r>
          </w:p>
        </w:tc>
        <w:tc>
          <w:tcPr>
            <w:tcW w:w="113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货物名称</w:t>
            </w:r>
          </w:p>
        </w:tc>
        <w:tc>
          <w:tcPr>
            <w:tcW w:w="61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技术参数及性能（配置）要求</w:t>
            </w:r>
          </w:p>
        </w:tc>
        <w:tc>
          <w:tcPr>
            <w:tcW w:w="6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单位</w:t>
            </w:r>
          </w:p>
        </w:tc>
        <w:tc>
          <w:tcPr>
            <w:tcW w:w="9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val="en-US" w:eastAsia="zh-CN"/>
              </w:rPr>
              <w:t>1</w:t>
            </w:r>
          </w:p>
        </w:tc>
        <w:tc>
          <w:tcPr>
            <w:tcW w:w="1133"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val="en-US" w:eastAsia="zh-CN"/>
              </w:rPr>
              <w:t>助听器基础款（耳背式大功率、含电池）</w:t>
            </w:r>
          </w:p>
        </w:tc>
        <w:tc>
          <w:tcPr>
            <w:tcW w:w="619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1.全数字信号处理耳背机</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2.双麦克风技术</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 xml:space="preserve">3.*软件可见可调独立通道数≥16个      </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4.聆听程序设置：≥4个</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5.自动声反馈抑制功能</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6.风噪声抑制功能</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7.*饱和声压级：≥135 dBSPL</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8.*满档增益：≥75dB</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9.*等效输入噪声：≤15dB</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10.*总谐波失真：≤3%</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11.感应拾音线圈最大灵敏度：≥100dB</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12.*频率范围至少在：200-6500Hz</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13.*电流量：≤1.2mA</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14.防尘防水级别：≥IP67级</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15.可选择验配公式数：≥4个</w:t>
            </w:r>
          </w:p>
          <w:p>
            <w:pPr>
              <w:widowControl/>
              <w:spacing w:line="300" w:lineRule="exact"/>
              <w:jc w:val="left"/>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val="en-US" w:eastAsia="zh-CN"/>
              </w:rPr>
              <w:t>16.兼容FM系统</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val="en-US" w:eastAsia="zh-CN"/>
              </w:rPr>
              <w:t>台</w:t>
            </w:r>
          </w:p>
        </w:tc>
        <w:tc>
          <w:tcPr>
            <w:tcW w:w="9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val="en-US" w:eastAsia="zh-CN"/>
              </w:rPr>
              <w:t>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val="en-US" w:eastAsia="zh-CN"/>
              </w:rPr>
              <w:t>2</w:t>
            </w:r>
          </w:p>
        </w:tc>
        <w:tc>
          <w:tcPr>
            <w:tcW w:w="1133"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val="en-US" w:eastAsia="zh-CN"/>
              </w:rPr>
              <w:t>助听器升级款（耳背式大功率、含电池）</w:t>
            </w:r>
          </w:p>
        </w:tc>
        <w:tc>
          <w:tcPr>
            <w:tcW w:w="619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1.全数字信号处理耳背机</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2.双麦克风技术</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 xml:space="preserve">3.*软件可见可调独立通道数≥16个      </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4.聆听程序设置：≥6个</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5.自动声反馈抑制功能</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6.风噪声抑制功能</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7.*饱和声压级：≥136 dBSPL</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8.*满档增益：≥75dB</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9.*等效输入噪声：≤12dB</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10.总谐波失真：≤3%</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11.感应拾音线圈最大灵敏度：≥115dB</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12.*频率范围至少在：200-6500Hz</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13.*电流量：≤1.2mA</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14.防尘防水级别：≥IP68级</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15.兼容FM系统</w:t>
            </w:r>
          </w:p>
          <w:p>
            <w:pPr>
              <w:widowControl/>
              <w:spacing w:line="300" w:lineRule="exact"/>
              <w:jc w:val="left"/>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val="en-US" w:eastAsia="zh-CN"/>
              </w:rPr>
              <w:t>16.可选择验配公式数：≥4个</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val="en-US" w:eastAsia="zh-CN"/>
              </w:rPr>
              <w:t>台</w:t>
            </w:r>
          </w:p>
        </w:tc>
        <w:tc>
          <w:tcPr>
            <w:tcW w:w="9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val="en-US" w:eastAsia="zh-CN"/>
              </w:rPr>
              <w:t>2800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3</w:t>
            </w:r>
          </w:p>
        </w:tc>
        <w:tc>
          <w:tcPr>
            <w:tcW w:w="1133"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助听器基础款（耳背式超大功率、含电池）</w:t>
            </w:r>
          </w:p>
        </w:tc>
        <w:tc>
          <w:tcPr>
            <w:tcW w:w="619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1.全数字信号处理耳背机</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2.双麦克风技术</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 xml:space="preserve">3.*软件可见可调独立通道数≥16个      </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4.聆听程序设置：≥6个</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5.自动声反馈抑制功能</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6.风噪声抑制功能</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7.*饱和声压级：≥136 dBSPL</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8.*满档增益：≥80dB</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9.*等效输入噪声：≤10dB</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10.总谐波失真：≤3%</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11.感应拾音线圈最大灵敏度：≥110dB</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12.*频率范围至少在：200-6300Hz</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13.*电流量：≤1.2mA</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14.防尘防水级别：≥IP67级</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15.兼容FM系统</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16.频率转移功能</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17.可选择验配公式数：≥5个</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台</w:t>
            </w:r>
          </w:p>
        </w:tc>
        <w:tc>
          <w:tcPr>
            <w:tcW w:w="9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2200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4</w:t>
            </w:r>
          </w:p>
        </w:tc>
        <w:tc>
          <w:tcPr>
            <w:tcW w:w="1133"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助听器升级款（耳背式超大功率、含电池）</w:t>
            </w:r>
          </w:p>
        </w:tc>
        <w:tc>
          <w:tcPr>
            <w:tcW w:w="619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1.全数字信号处理耳背机</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2.双麦克风技术</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 xml:space="preserve">3.*软件可见可调独立通道数≥16个      </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4.聆听程序设置：≥6个</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5.自动声反馈抑制功能</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6.风噪声抑制功能</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7.*饱和声压级：≥139 dBSPL</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8.*满档增益：≥80dB</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9.*等效输入噪声：≤13dB</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10.总谐波失真：≤3%</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11.感应拾音线圈最大灵敏度：≥115dB</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12.*频率范围至少在：200-6200Hz</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13.*电流量：≤1.2mA</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14.防尘防水级别：≥IP68级</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15.兼容FM系统</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16.频率转移功能</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17.可选择验配公式数：≥6个</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台</w:t>
            </w:r>
          </w:p>
        </w:tc>
        <w:tc>
          <w:tcPr>
            <w:tcW w:w="9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3000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5</w:t>
            </w:r>
          </w:p>
        </w:tc>
        <w:tc>
          <w:tcPr>
            <w:tcW w:w="1133"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耳内式助听器（基础款）</w:t>
            </w:r>
          </w:p>
        </w:tc>
        <w:tc>
          <w:tcPr>
            <w:tcW w:w="619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1.全数字信号处理定制机</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2.双麦克风技术</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 xml:space="preserve">3.*软件可见可调独立通道数≥16个      </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4.聆听程序设置：≥4个</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5.自动声反馈抑制功能</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6.风噪声抑制功能</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7.*饱和声压级：≥120 dBSPL</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8.*满档增益：≥60dB</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9.*等效输入噪声：≤15dB</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10.总谐波失真：≤2%</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11.感应拾音线圈最大灵敏度：≥110dB</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12.*频率范围至少在：200-6200Hz</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13.*电流量：≤1.2mA</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14.内置监听功能</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15.兼容FM系统</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16.频率转移功能</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17.可选择验配公式数：≥3个</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台</w:t>
            </w:r>
          </w:p>
        </w:tc>
        <w:tc>
          <w:tcPr>
            <w:tcW w:w="9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2800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6</w:t>
            </w:r>
          </w:p>
        </w:tc>
        <w:tc>
          <w:tcPr>
            <w:tcW w:w="1133"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耳内式助听器（升级款）</w:t>
            </w:r>
          </w:p>
        </w:tc>
        <w:tc>
          <w:tcPr>
            <w:tcW w:w="619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1.全数字信号处理定制机</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2.双麦克风技术</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 xml:space="preserve">3.*软件可见可调独立通道数≥20个      </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4.聆听程序设置：≥5个</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5.自动声反馈抑制功能</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6.风噪声抑制功能</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7.*饱和声压级：≥120 dBSPL</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8.*满档增益：≥60dB</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9.*等效输入噪声：≤11dB</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10.总谐波失真：≤3%</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11.感应拾音线圈最大灵敏度：≥96dB</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12.*频率范围至少在：200-6000Hz</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 xml:space="preserve">13.*电流量：≤1.5mA </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14.内置监听功能</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15.兼容FM系统</w:t>
            </w:r>
          </w:p>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16.可选择验配公式数：≥3个</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台</w:t>
            </w:r>
          </w:p>
        </w:tc>
        <w:tc>
          <w:tcPr>
            <w:tcW w:w="9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3800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600" w:type="dxa"/>
            <w:gridSpan w:val="7"/>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b/>
                <w:color w:val="auto"/>
                <w:szCs w:val="21"/>
              </w:rPr>
            </w:pPr>
            <w:r>
              <w:rPr>
                <w:rFonts w:hint="eastAsia" w:ascii="宋体" w:hAnsi="宋体" w:cs="宋体"/>
                <w:b/>
                <w:color w:val="auto"/>
                <w:szCs w:val="21"/>
              </w:rPr>
              <w:t>二、</w:t>
            </w:r>
            <w:r>
              <w:rPr>
                <w:rFonts w:hint="eastAsia"/>
                <w:color w:val="auto"/>
                <w:szCs w:val="21"/>
              </w:rPr>
              <w:t>▲</w:t>
            </w:r>
            <w:r>
              <w:rPr>
                <w:rFonts w:hint="eastAsia" w:ascii="宋体" w:hAnsi="宋体" w:cs="宋体"/>
                <w:b/>
                <w:color w:val="auto"/>
                <w:szCs w:val="21"/>
              </w:rPr>
              <w:t>商务要求表</w:t>
            </w:r>
            <w:r>
              <w:rPr>
                <w:rFonts w:hint="eastAsia" w:hAnsi="宋体"/>
                <w:b/>
                <w:color w:val="auto"/>
                <w:szCs w:val="21"/>
              </w:rPr>
              <w:t>（投标人商务响应表与售后服务承诺同一内容不相符的，以低计算）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67"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color w:val="auto"/>
                <w:szCs w:val="21"/>
              </w:rPr>
            </w:pPr>
            <w:r>
              <w:rPr>
                <w:rFonts w:hint="eastAsia" w:ascii="宋体" w:hAnsi="宋体" w:cs="宋体"/>
                <w:color w:val="auto"/>
                <w:szCs w:val="21"/>
              </w:rPr>
              <w:t>质保期</w:t>
            </w:r>
          </w:p>
        </w:tc>
        <w:tc>
          <w:tcPr>
            <w:tcW w:w="7933" w:type="dxa"/>
            <w:gridSpan w:val="5"/>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color w:val="auto"/>
                <w:szCs w:val="21"/>
              </w:rPr>
            </w:pPr>
            <w:r>
              <w:rPr>
                <w:rFonts w:hint="eastAsia" w:ascii="宋体" w:hAnsi="宋体" w:cs="宋体"/>
                <w:color w:val="auto"/>
                <w:szCs w:val="21"/>
              </w:rPr>
              <w:t>按国家有关产品“三包”规定执行“三包”，最短不得少于2年，自设备验收合格之日起计算。终身维护。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6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售后技术服务要求</w:t>
            </w:r>
          </w:p>
        </w:tc>
        <w:tc>
          <w:tcPr>
            <w:tcW w:w="7933" w:type="dxa"/>
            <w:gridSpan w:val="5"/>
            <w:tcBorders>
              <w:top w:val="single" w:color="auto" w:sz="4" w:space="0"/>
              <w:left w:val="single" w:color="auto" w:sz="4" w:space="0"/>
              <w:bottom w:val="single" w:color="auto" w:sz="4" w:space="0"/>
              <w:right w:val="single" w:color="auto" w:sz="4" w:space="0"/>
            </w:tcBorders>
          </w:tcPr>
          <w:p>
            <w:pPr>
              <w:spacing w:line="400" w:lineRule="exact"/>
              <w:rPr>
                <w:color w:val="auto"/>
                <w:szCs w:val="21"/>
              </w:rPr>
            </w:pPr>
            <w:r>
              <w:rPr>
                <w:rFonts w:hint="eastAsia"/>
                <w:color w:val="auto"/>
                <w:szCs w:val="21"/>
              </w:rPr>
              <w:t>质保期内免费维修、免费更换零部件，服务内容如下：</w:t>
            </w:r>
          </w:p>
          <w:p>
            <w:pPr>
              <w:spacing w:line="400" w:lineRule="exact"/>
              <w:rPr>
                <w:color w:val="auto"/>
                <w:szCs w:val="21"/>
              </w:rPr>
            </w:pPr>
            <w:r>
              <w:rPr>
                <w:rFonts w:hint="eastAsia"/>
                <w:color w:val="auto"/>
                <w:szCs w:val="21"/>
              </w:rPr>
              <w:t>（1）免费送货至交货地点、免费调试货物到最佳状态、免费培训操作人员。</w:t>
            </w:r>
          </w:p>
          <w:p>
            <w:pPr>
              <w:spacing w:line="400" w:lineRule="exact"/>
              <w:rPr>
                <w:color w:val="auto"/>
                <w:szCs w:val="21"/>
              </w:rPr>
            </w:pPr>
            <w:r>
              <w:rPr>
                <w:rFonts w:hint="eastAsia"/>
                <w:color w:val="auto"/>
                <w:szCs w:val="21"/>
              </w:rPr>
              <w:t>（2）维修响应：中标供应商在接到用户维修电话后3小时内响应，24小时内到达现场修理解决，并免费更换有缺陷的货物或零部件，48小时内恢复正常使用，若不能修复则应有合理应对方案。</w:t>
            </w:r>
          </w:p>
          <w:p>
            <w:pPr>
              <w:spacing w:line="400" w:lineRule="exact"/>
              <w:rPr>
                <w:color w:val="auto"/>
                <w:szCs w:val="21"/>
              </w:rPr>
            </w:pPr>
            <w:r>
              <w:rPr>
                <w:rFonts w:hint="eastAsia"/>
                <w:color w:val="auto"/>
                <w:szCs w:val="21"/>
              </w:rPr>
              <w:t>（3）中标人除承担运输、验收与培训等义务外，还将为采购人提供技术支持，包括保修期外的修理及技术指导、配件供应等。</w:t>
            </w:r>
          </w:p>
          <w:p>
            <w:pPr>
              <w:spacing w:line="400" w:lineRule="exact"/>
              <w:jc w:val="left"/>
              <w:rPr>
                <w:color w:val="auto"/>
                <w:szCs w:val="21"/>
              </w:rPr>
            </w:pPr>
            <w:r>
              <w:rPr>
                <w:rFonts w:hint="eastAsia" w:ascii="宋体" w:hAnsi="宋体" w:cs="宋体"/>
                <w:color w:val="auto"/>
                <w:szCs w:val="21"/>
              </w:rPr>
              <w:t>（4）</w:t>
            </w:r>
            <w:r>
              <w:rPr>
                <w:rFonts w:hint="eastAsia" w:ascii="宋体" w:hAnsi="宋体"/>
                <w:b/>
                <w:color w:val="auto"/>
                <w:szCs w:val="21"/>
              </w:rPr>
              <w:t>本地化服务：本项目服务的对象涉及广西全区，为保证及时提供售后服务，</w:t>
            </w:r>
            <w:r>
              <w:rPr>
                <w:rFonts w:hint="eastAsia" w:ascii="宋体" w:hAnsi="宋体" w:cs="宋体"/>
                <w:color w:val="auto"/>
                <w:szCs w:val="21"/>
              </w:rPr>
              <w:t>在本地自设或委托不少于2家具有相应资质条件的服务机构，</w:t>
            </w:r>
            <w:r>
              <w:rPr>
                <w:rFonts w:hint="eastAsia" w:ascii="宋体" w:hAnsi="宋体"/>
                <w:b/>
                <w:color w:val="auto"/>
                <w:szCs w:val="21"/>
              </w:rPr>
              <w:t>做好助听器验配售后服务，委托服务的还须提供双方签字盖章的委托协议书，协议服务期限至少2年以上，每家售后服务机构要在广西各地设有不少于7家服务网点，每家服务网点必须具备营业执照，第二类医疗器械经营备案凭证(备案范围要包含“6846”等内容) 和至少一名以上助听器验配师。</w:t>
            </w:r>
            <w:r>
              <w:rPr>
                <w:rFonts w:hint="eastAsia" w:ascii="宋体" w:hAnsi="宋体" w:cs="宋体"/>
                <w:color w:val="auto"/>
                <w:szCs w:val="21"/>
              </w:rPr>
              <w:t>需提供助听器验配师</w:t>
            </w:r>
            <w:r>
              <w:rPr>
                <w:rFonts w:hint="eastAsia"/>
                <w:color w:val="auto"/>
                <w:szCs w:val="21"/>
              </w:rPr>
              <w:t>资格证书和身份证、</w:t>
            </w:r>
            <w:r>
              <w:rPr>
                <w:rFonts w:hint="eastAsia"/>
                <w:color w:val="auto"/>
                <w:szCs w:val="21"/>
                <w:lang w:val="en-US" w:eastAsia="zh-CN"/>
              </w:rPr>
              <w:t>社保证明加盖公章及</w:t>
            </w:r>
            <w:r>
              <w:rPr>
                <w:rFonts w:hint="eastAsia"/>
                <w:color w:val="auto"/>
                <w:szCs w:val="21"/>
              </w:rPr>
              <w:t>劳动合同复印件加盖公章</w:t>
            </w:r>
            <w:r>
              <w:rPr>
                <w:rFonts w:hint="eastAsia" w:ascii="宋体" w:hAnsi="宋体"/>
                <w:b/>
                <w:color w:val="auto"/>
                <w:szCs w:val="21"/>
              </w:rPr>
              <w:t>。(原件备查)。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03" w:hRule="atLeast"/>
        </w:trPr>
        <w:tc>
          <w:tcPr>
            <w:tcW w:w="166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交货时间及地点</w:t>
            </w:r>
          </w:p>
        </w:tc>
        <w:tc>
          <w:tcPr>
            <w:tcW w:w="7933"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1、交货时间：</w:t>
            </w:r>
            <w:r>
              <w:rPr>
                <w:rFonts w:hint="eastAsia" w:ascii="宋体" w:hAnsi="宋体"/>
                <w:bCs/>
                <w:color w:val="auto"/>
                <w:szCs w:val="21"/>
              </w:rPr>
              <w:t>中标人接到采购人每次发出的订单后20个工作日内交付货物并验收合格</w:t>
            </w:r>
            <w:r>
              <w:rPr>
                <w:rFonts w:hint="eastAsia" w:ascii="宋体" w:hAnsi="宋体" w:cs="宋体"/>
                <w:color w:val="auto"/>
                <w:szCs w:val="21"/>
              </w:rPr>
              <w:t>。</w:t>
            </w:r>
          </w:p>
          <w:p>
            <w:pPr>
              <w:spacing w:line="400" w:lineRule="exact"/>
              <w:rPr>
                <w:rFonts w:ascii="宋体" w:hAnsi="宋体" w:cs="宋体"/>
                <w:color w:val="auto"/>
                <w:szCs w:val="21"/>
              </w:rPr>
            </w:pPr>
            <w:r>
              <w:rPr>
                <w:rFonts w:hint="eastAsia" w:ascii="宋体" w:hAnsi="宋体" w:cs="宋体"/>
                <w:color w:val="auto"/>
                <w:szCs w:val="21"/>
              </w:rPr>
              <w:t>2、交货地点：采购单位县（市、区）残联指定的县（市、区）或乡镇（街道），后续配送入户由县（市、区）残联和乡镇（街道）残联负责组织完成。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59" w:hRule="atLeast"/>
        </w:trPr>
        <w:tc>
          <w:tcPr>
            <w:tcW w:w="166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付款方式</w:t>
            </w:r>
          </w:p>
        </w:tc>
        <w:tc>
          <w:tcPr>
            <w:tcW w:w="7933"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由中标供应商与广西壮族自治区残疾人联合会签订总合同，并与采购单位县（市、区）残联签订分合同。乙方根据县（市、区）残联需求按订单供货，每次订单的货物经交付验收合格后十个工作日内，由甲方按乙方中标标的物的中标单价和实际供货数量计算，以转帐方式一次性付清订单货款（无预付款）。乙方自收到货款之日起五个工作日内开具发票给甲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59" w:hRule="atLeast"/>
        </w:trPr>
        <w:tc>
          <w:tcPr>
            <w:tcW w:w="166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投标报价</w:t>
            </w:r>
          </w:p>
        </w:tc>
        <w:tc>
          <w:tcPr>
            <w:tcW w:w="7933"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投标人按折让率进行报价，本项目折让率允许范围20%（含）以内，超出范围不予接受，作无效投标处理；本项目不接受零折让率的报价（例如：九折的折让率为10%；八折的折让率为20%），投标折让率必须是固定的（如10%），不得存在区间值（如：5%~10%），统一对本项目报一个投标折让率，不接受有选择的报价，且所报的投标折让率应当适用于本项目的所有投标产品。投标人报价时应充分把实施项目过程中所产生的筛查评估、成品助听器、检测、耳模制作、试带调试、使用指导、零配件（每台配备干燥盒1个、30粒专用电池）、跟踪回访和质保服务。及其它所有相关费用列入投标报价中。采购人不再针对本项目另行支付其他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0" w:hRule="atLeast"/>
        </w:trPr>
        <w:tc>
          <w:tcPr>
            <w:tcW w:w="9600"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szCs w:val="21"/>
              </w:rPr>
            </w:pPr>
            <w:r>
              <w:rPr>
                <w:rFonts w:hint="eastAsia" w:ascii="宋体" w:hAnsi="宋体" w:cs="宋体"/>
                <w:b/>
                <w:color w:val="000000"/>
                <w:szCs w:val="21"/>
              </w:rPr>
              <w:t>三、投标人的资信要求表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5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szCs w:val="21"/>
              </w:rPr>
            </w:pPr>
            <w:r>
              <w:rPr>
                <w:rFonts w:hint="eastAsia" w:ascii="宋体" w:hAnsi="宋体" w:cs="宋体"/>
                <w:color w:val="000000"/>
                <w:szCs w:val="21"/>
              </w:rPr>
              <w:t>政策性加分条件</w:t>
            </w:r>
          </w:p>
        </w:tc>
        <w:tc>
          <w:tcPr>
            <w:tcW w:w="7847"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szCs w:val="21"/>
              </w:rPr>
            </w:pPr>
            <w:r>
              <w:rPr>
                <w:rFonts w:hint="eastAsia" w:ascii="宋体" w:hAnsi="宋体" w:cs="宋体"/>
                <w:color w:val="000000"/>
                <w:szCs w:val="21"/>
              </w:rPr>
              <w:t>符合节能环保等国家政策要求。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600"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szCs w:val="21"/>
              </w:rPr>
            </w:pPr>
            <w:r>
              <w:rPr>
                <w:rFonts w:hint="eastAsia" w:ascii="宋体" w:hAnsi="宋体" w:cs="宋体"/>
                <w:b/>
                <w:color w:val="000000"/>
                <w:szCs w:val="21"/>
              </w:rPr>
              <w:t>四、采购人对项目的特殊要求及说明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53"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color w:val="000000"/>
                <w:szCs w:val="21"/>
              </w:rPr>
            </w:pPr>
            <w:r>
              <w:rPr>
                <w:rFonts w:hint="eastAsia" w:ascii="宋体" w:hAnsi="宋体" w:cs="宋体"/>
                <w:color w:val="000000"/>
                <w:szCs w:val="21"/>
              </w:rPr>
              <w:t>产品资料说明文件</w:t>
            </w:r>
          </w:p>
        </w:tc>
        <w:tc>
          <w:tcPr>
            <w:tcW w:w="7847" w:type="dxa"/>
            <w:gridSpan w:val="4"/>
            <w:tcBorders>
              <w:top w:val="single" w:color="auto" w:sz="4" w:space="0"/>
              <w:left w:val="single" w:color="auto" w:sz="4" w:space="0"/>
              <w:bottom w:val="single" w:color="auto" w:sz="4" w:space="0"/>
              <w:right w:val="single" w:color="auto" w:sz="4" w:space="0"/>
            </w:tcBorders>
          </w:tcPr>
          <w:p>
            <w:pPr>
              <w:spacing w:line="400" w:lineRule="exact"/>
              <w:rPr>
                <w:szCs w:val="21"/>
              </w:rPr>
            </w:pPr>
            <w:r>
              <w:rPr>
                <w:rFonts w:hint="eastAsia"/>
                <w:szCs w:val="21"/>
              </w:rPr>
              <w:t>1、招标文件要求提供有效检测报告复印件必须满足，评标时当技术响应表中的参数与检测报告不一致时，以检测报告为准。</w:t>
            </w:r>
          </w:p>
          <w:p>
            <w:pPr>
              <w:spacing w:line="400" w:lineRule="exact"/>
              <w:rPr>
                <w:szCs w:val="21"/>
              </w:rPr>
            </w:pPr>
            <w:r>
              <w:rPr>
                <w:rFonts w:hint="eastAsia"/>
                <w:szCs w:val="21"/>
              </w:rPr>
              <w:t>▲2、投标产品中涉及国家专项审批的，投标人在投标文件中需提供产品生产厂家相关医疗器械生产许可证和医疗器械注册证明细表复印件。</w:t>
            </w:r>
          </w:p>
          <w:p>
            <w:pPr>
              <w:spacing w:line="400" w:lineRule="exact"/>
              <w:rPr>
                <w:szCs w:val="21"/>
              </w:rPr>
            </w:pPr>
            <w:r>
              <w:rPr>
                <w:rFonts w:hint="eastAsia"/>
                <w:szCs w:val="21"/>
              </w:rPr>
              <w:t>▲3、提供所有投标单个产品的照片，照片拍摄要求：单个产品正面左前方45度方位，俯视30度拍摄的照片一张，白底，JPEG格式，图像清晰，像素≧5M，并按照“生产厂家+品名+规格型号+主要材料”内容顺序，逐项作书面说明，A4纸单面限于两个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5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采购人的特殊要求及说明</w:t>
            </w:r>
          </w:p>
        </w:tc>
        <w:tc>
          <w:tcPr>
            <w:tcW w:w="7847" w:type="dxa"/>
            <w:gridSpan w:val="4"/>
            <w:tcBorders>
              <w:top w:val="single" w:color="auto" w:sz="4" w:space="0"/>
              <w:left w:val="single" w:color="auto" w:sz="4" w:space="0"/>
              <w:bottom w:val="single" w:color="auto" w:sz="4" w:space="0"/>
              <w:right w:val="single" w:color="auto" w:sz="4" w:space="0"/>
            </w:tcBorders>
            <w:vAlign w:val="center"/>
          </w:tcPr>
          <w:p>
            <w:pPr>
              <w:pStyle w:val="13"/>
              <w:spacing w:line="400" w:lineRule="exact"/>
              <w:rPr>
                <w:rFonts w:hint="eastAsia" w:ascii="宋体" w:hAnsi="宋体" w:cs="宋体"/>
                <w:color w:val="auto"/>
                <w:szCs w:val="21"/>
              </w:rPr>
            </w:pPr>
            <w:r>
              <w:rPr>
                <w:rFonts w:hint="eastAsia" w:ascii="宋体" w:hAnsi="宋体" w:cs="宋体"/>
                <w:color w:val="auto"/>
                <w:szCs w:val="21"/>
              </w:rPr>
              <w:t>▲本项目未办理进口产品的相关审批手续，不接受进口产品（即通过中国海关报关验放进入中国境内且产自关境外的产品）参与投标，如有此类产品参与投标的，作无效投标处理。</w:t>
            </w:r>
          </w:p>
          <w:p>
            <w:pPr>
              <w:pStyle w:val="13"/>
              <w:spacing w:line="400" w:lineRule="exact"/>
              <w:rPr>
                <w:rFonts w:hint="eastAsia" w:ascii="宋体" w:hAnsi="宋体" w:cs="宋体"/>
                <w:color w:val="auto"/>
                <w:szCs w:val="21"/>
              </w:rPr>
            </w:pPr>
            <w:r>
              <w:rPr>
                <w:rFonts w:hint="eastAsia" w:ascii="宋体" w:hAnsi="宋体" w:cs="宋体"/>
                <w:color w:val="auto"/>
                <w:szCs w:val="21"/>
              </w:rPr>
              <w:t>▲本项目具体采购的暂估数量是采购人为了便于评标先拟定的暂估数量，在实际合同执行过程中，由采购人根据工作中发生的实际数量定，采购人按实际数量结算，投标人必须接受这一情况。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1" w:hRule="atLeast"/>
        </w:trPr>
        <w:tc>
          <w:tcPr>
            <w:tcW w:w="175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其他要求</w:t>
            </w:r>
          </w:p>
        </w:tc>
        <w:tc>
          <w:tcPr>
            <w:tcW w:w="7847"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color w:val="auto"/>
                <w:szCs w:val="21"/>
              </w:rPr>
            </w:pPr>
            <w:r>
              <w:rPr>
                <w:rFonts w:hint="eastAsia"/>
                <w:color w:val="auto"/>
                <w:szCs w:val="21"/>
              </w:rPr>
              <w:t>1、▲第二项投标产品为核心产品，核心产品品牌相同的，视为提供相同品牌产品。提供相同品牌产品的不同投标人参加同一合同项下投标的，按一家投标人计算，以其中通过资格审查、符合性审查的不同投标人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10"/>
              <w:spacing w:line="400" w:lineRule="exact"/>
              <w:ind w:firstLine="0"/>
              <w:rPr>
                <w:rFonts w:ascii="宋体" w:hAnsi="宋体" w:cs="宋体"/>
                <w:color w:val="auto"/>
                <w:szCs w:val="21"/>
              </w:rPr>
            </w:pPr>
            <w:r>
              <w:rPr>
                <w:rFonts w:hint="eastAsia"/>
                <w:color w:val="auto"/>
                <w:szCs w:val="21"/>
              </w:rPr>
              <w:t>2、▲</w:t>
            </w:r>
            <w:r>
              <w:rPr>
                <w:rFonts w:hint="eastAsia" w:ascii="宋体" w:hAnsi="宋体" w:cs="宋体"/>
                <w:color w:val="auto"/>
                <w:szCs w:val="21"/>
              </w:rPr>
              <w:t>投标人所投助听器机型应为2020年</w:t>
            </w:r>
            <w:r>
              <w:rPr>
                <w:rFonts w:hint="eastAsia" w:ascii="宋体" w:hAnsi="宋体" w:cs="宋体"/>
                <w:color w:val="auto"/>
                <w:szCs w:val="21"/>
                <w:lang w:val="en-US" w:eastAsia="zh-CN"/>
              </w:rPr>
              <w:t>及以后</w:t>
            </w:r>
            <w:r>
              <w:rPr>
                <w:rFonts w:hint="eastAsia" w:ascii="宋体" w:hAnsi="宋体" w:cs="宋体"/>
                <w:color w:val="auto"/>
                <w:szCs w:val="21"/>
              </w:rPr>
              <w:t>上市产品。</w:t>
            </w:r>
          </w:p>
          <w:p>
            <w:pPr>
              <w:pStyle w:val="10"/>
              <w:spacing w:line="400" w:lineRule="exact"/>
              <w:ind w:firstLine="0"/>
              <w:rPr>
                <w:rFonts w:ascii="宋体" w:hAnsi="宋体" w:cs="宋体"/>
                <w:color w:val="auto"/>
                <w:szCs w:val="21"/>
              </w:rPr>
            </w:pPr>
            <w:r>
              <w:rPr>
                <w:rFonts w:hint="eastAsia" w:ascii="宋体" w:hAnsi="宋体" w:cs="宋体"/>
                <w:color w:val="auto"/>
                <w:szCs w:val="21"/>
              </w:rPr>
              <w:t>3、</w:t>
            </w:r>
            <w:r>
              <w:rPr>
                <w:rFonts w:hint="eastAsia"/>
                <w:color w:val="auto"/>
                <w:szCs w:val="21"/>
              </w:rPr>
              <w:t>▲</w:t>
            </w:r>
            <w:r>
              <w:rPr>
                <w:rFonts w:hint="eastAsia" w:ascii="宋体" w:hAnsi="宋体" w:cs="宋体"/>
                <w:color w:val="auto"/>
                <w:szCs w:val="21"/>
              </w:rPr>
              <w:t>第1-</w:t>
            </w:r>
            <w:r>
              <w:rPr>
                <w:rFonts w:hint="eastAsia" w:ascii="宋体" w:hAnsi="宋体" w:cs="宋体"/>
                <w:color w:val="auto"/>
                <w:szCs w:val="21"/>
                <w:lang w:val="en-US" w:eastAsia="zh-CN"/>
              </w:rPr>
              <w:t>6</w:t>
            </w:r>
            <w:r>
              <w:rPr>
                <w:rFonts w:hint="eastAsia" w:ascii="宋体" w:hAnsi="宋体" w:cs="宋体"/>
                <w:color w:val="auto"/>
                <w:szCs w:val="21"/>
              </w:rPr>
              <w:t>项投标产品需提供</w:t>
            </w:r>
            <w:r>
              <w:rPr>
                <w:rFonts w:hint="eastAsia" w:ascii="宋体" w:hAnsi="宋体" w:cs="宋体"/>
                <w:color w:val="auto"/>
                <w:szCs w:val="21"/>
                <w:lang w:val="en-US" w:eastAsia="zh-CN"/>
              </w:rPr>
              <w:t>省级及以上相关专业质量监督检验部门出具的检测报告</w:t>
            </w:r>
            <w:r>
              <w:rPr>
                <w:rFonts w:hint="eastAsia" w:ascii="宋体" w:hAnsi="宋体" w:cs="宋体"/>
                <w:color w:val="auto"/>
                <w:szCs w:val="21"/>
              </w:rPr>
              <w:t>，检测报告的检测时间为</w:t>
            </w:r>
            <w:r>
              <w:rPr>
                <w:rFonts w:hint="eastAsia" w:ascii="宋体" w:hAnsi="宋体" w:cs="宋体"/>
                <w:color w:val="auto"/>
                <w:szCs w:val="21"/>
                <w:lang w:val="en-US" w:eastAsia="zh-CN"/>
              </w:rPr>
              <w:t>三</w:t>
            </w:r>
            <w:r>
              <w:rPr>
                <w:rFonts w:hint="eastAsia" w:ascii="宋体" w:hAnsi="宋体" w:cs="宋体"/>
                <w:color w:val="auto"/>
                <w:szCs w:val="21"/>
              </w:rPr>
              <w:t>年（2020年、2021年</w:t>
            </w:r>
            <w:r>
              <w:rPr>
                <w:rFonts w:hint="eastAsia" w:ascii="宋体" w:hAnsi="宋体" w:cs="宋体"/>
                <w:color w:val="auto"/>
                <w:szCs w:val="21"/>
                <w:lang w:eastAsia="zh-CN"/>
              </w:rPr>
              <w:t>、</w:t>
            </w:r>
            <w:r>
              <w:rPr>
                <w:rFonts w:hint="eastAsia" w:ascii="宋体" w:hAnsi="宋体" w:cs="宋体"/>
                <w:color w:val="auto"/>
                <w:szCs w:val="21"/>
                <w:lang w:val="en-US" w:eastAsia="zh-CN"/>
              </w:rPr>
              <w:t>2022年</w:t>
            </w:r>
            <w:r>
              <w:rPr>
                <w:rFonts w:hint="eastAsia" w:ascii="宋体" w:hAnsi="宋体" w:cs="宋体"/>
                <w:color w:val="auto"/>
                <w:szCs w:val="21"/>
              </w:rPr>
              <w:t>）。且不得晚于招标项目参数公示日之后</w:t>
            </w:r>
            <w:r>
              <w:rPr>
                <w:rFonts w:hint="eastAsia" w:ascii="宋体" w:hAnsi="宋体" w:cs="宋体"/>
                <w:b w:val="0"/>
                <w:bCs w:val="0"/>
                <w:color w:val="auto"/>
                <w:szCs w:val="21"/>
                <w:highlight w:val="none"/>
              </w:rPr>
              <w:t>，原件备查。</w:t>
            </w:r>
          </w:p>
          <w:p>
            <w:pPr>
              <w:pStyle w:val="10"/>
              <w:spacing w:line="400" w:lineRule="exact"/>
              <w:ind w:firstLine="0"/>
              <w:rPr>
                <w:rFonts w:ascii="宋体" w:hAnsi="宋体" w:cs="宋体"/>
                <w:color w:val="auto"/>
                <w:szCs w:val="21"/>
              </w:rPr>
            </w:pPr>
            <w:r>
              <w:rPr>
                <w:rFonts w:hint="eastAsia" w:ascii="宋体" w:hAnsi="宋体" w:cs="宋体"/>
                <w:color w:val="auto"/>
                <w:szCs w:val="21"/>
              </w:rPr>
              <w:t>4、</w:t>
            </w:r>
            <w:r>
              <w:rPr>
                <w:rFonts w:hint="eastAsia"/>
                <w:color w:val="auto"/>
                <w:szCs w:val="21"/>
              </w:rPr>
              <w:t>▲每台助听器零配件需提供干燥盒1个、30粒专用电池。</w:t>
            </w:r>
          </w:p>
        </w:tc>
      </w:tr>
    </w:tbl>
    <w:p>
      <w:pPr>
        <w:spacing w:line="428" w:lineRule="exact"/>
        <w:rPr>
          <w:rFonts w:ascii="Arial Unicode MS" w:hAnsi="Arial Unicode MS" w:eastAsia="Arial Unicode MS" w:cs="Arial Unicode MS"/>
          <w:color w:val="000000"/>
          <w:sz w:val="32"/>
          <w:szCs w:val="32"/>
        </w:rPr>
      </w:pPr>
      <w:r>
        <w:rPr>
          <w:color w:val="000000"/>
        </w:rPr>
        <w:br w:type="page"/>
      </w:r>
      <w:r>
        <w:rPr>
          <w:rFonts w:hint="eastAsia" w:ascii="黑体" w:hAnsi="黑体" w:eastAsia="黑体" w:cs="黑体"/>
          <w:color w:val="000000"/>
          <w:sz w:val="32"/>
          <w:szCs w:val="32"/>
        </w:rPr>
        <w:t>附件：</w:t>
      </w:r>
    </w:p>
    <w:p>
      <w:pPr>
        <w:spacing w:before="7"/>
        <w:rPr>
          <w:rFonts w:hint="eastAsia" w:ascii="Arial Unicode MS" w:hAnsi="Arial Unicode MS" w:eastAsia="Arial Unicode MS" w:cs="Arial Unicode MS"/>
          <w:color w:val="000000"/>
          <w:sz w:val="17"/>
          <w:szCs w:val="17"/>
        </w:rPr>
      </w:pPr>
    </w:p>
    <w:p>
      <w:pPr>
        <w:spacing w:line="528" w:lineRule="exact"/>
        <w:ind w:left="1871"/>
        <w:rPr>
          <w:rFonts w:hint="eastAsia" w:ascii="Arial Unicode MS" w:hAnsi="Arial Unicode MS" w:eastAsia="Arial Unicode MS" w:cs="Arial Unicode MS"/>
          <w:color w:val="000000"/>
          <w:sz w:val="40"/>
          <w:szCs w:val="40"/>
        </w:rPr>
      </w:pPr>
      <w:r>
        <w:rPr>
          <w:rFonts w:hint="eastAsia" w:ascii="方正小标宋简体" w:hAnsi="方正小标宋简体" w:eastAsia="方正小标宋简体" w:cs="方正小标宋简体"/>
          <w:color w:val="000000"/>
          <w:sz w:val="44"/>
          <w:szCs w:val="44"/>
        </w:rPr>
        <w:t>节能产品政府采购品目清单</w:t>
      </w:r>
    </w:p>
    <w:p>
      <w:pPr>
        <w:rPr>
          <w:rFonts w:hint="eastAsia" w:ascii="Arial Unicode MS" w:hAnsi="Arial Unicode MS" w:eastAsia="Arial Unicode MS" w:cs="Arial Unicode MS"/>
          <w:color w:val="000000"/>
          <w:sz w:val="20"/>
          <w:szCs w:val="20"/>
        </w:rPr>
      </w:pPr>
    </w:p>
    <w:tbl>
      <w:tblPr>
        <w:tblStyle w:val="24"/>
        <w:tblW w:w="8422" w:type="dxa"/>
        <w:jc w:val="center"/>
        <w:tblInd w:w="0" w:type="dxa"/>
        <w:tblLayout w:type="fixed"/>
        <w:tblCellMar>
          <w:top w:w="0" w:type="dxa"/>
          <w:left w:w="0" w:type="dxa"/>
          <w:bottom w:w="0" w:type="dxa"/>
          <w:right w:w="0" w:type="dxa"/>
        </w:tblCellMar>
      </w:tblPr>
      <w:tblGrid>
        <w:gridCol w:w="574"/>
        <w:gridCol w:w="1166"/>
        <w:gridCol w:w="1800"/>
        <w:gridCol w:w="1916"/>
        <w:gridCol w:w="2966"/>
      </w:tblGrid>
      <w:tr>
        <w:tblPrEx>
          <w:tblLayout w:type="fixed"/>
          <w:tblCellMar>
            <w:top w:w="0" w:type="dxa"/>
            <w:left w:w="0" w:type="dxa"/>
            <w:bottom w:w="0" w:type="dxa"/>
            <w:right w:w="0" w:type="dxa"/>
          </w:tblCellMar>
        </w:tblPrEx>
        <w:trPr>
          <w:trHeight w:val="782" w:hRule="exact"/>
          <w:jc w:val="center"/>
        </w:trPr>
        <w:tc>
          <w:tcPr>
            <w:tcW w:w="574" w:type="dxa"/>
            <w:tcBorders>
              <w:top w:val="single" w:color="000000" w:sz="4" w:space="0"/>
              <w:left w:val="single" w:color="000000" w:sz="4" w:space="0"/>
              <w:bottom w:val="single" w:color="000000" w:sz="4" w:space="0"/>
              <w:right w:val="single" w:color="000000" w:sz="4" w:space="0"/>
            </w:tcBorders>
            <w:vAlign w:val="top"/>
          </w:tcPr>
          <w:p>
            <w:pPr>
              <w:pStyle w:val="25"/>
              <w:spacing w:before="57" w:line="254" w:lineRule="auto"/>
              <w:ind w:left="59" w:right="60"/>
              <w:rPr>
                <w:rFonts w:ascii="宋体" w:hAnsi="宋体" w:cs="宋体"/>
              </w:rPr>
            </w:pPr>
            <w:r>
              <w:rPr>
                <w:rFonts w:hint="eastAsia" w:ascii="宋体" w:hAnsi="宋体" w:cs="宋体"/>
                <w:b/>
                <w:bCs/>
                <w:w w:val="99"/>
              </w:rPr>
              <w:t>品目序号</w:t>
            </w:r>
          </w:p>
        </w:tc>
        <w:tc>
          <w:tcPr>
            <w:tcW w:w="4882" w:type="dxa"/>
            <w:gridSpan w:val="3"/>
            <w:tcBorders>
              <w:top w:val="single" w:color="000000" w:sz="4" w:space="0"/>
              <w:left w:val="single" w:color="000000" w:sz="4" w:space="0"/>
              <w:bottom w:val="single" w:color="000000" w:sz="4" w:space="0"/>
              <w:right w:val="single" w:color="000000" w:sz="4" w:space="0"/>
            </w:tcBorders>
            <w:vAlign w:val="top"/>
          </w:tcPr>
          <w:p>
            <w:pPr>
              <w:pStyle w:val="25"/>
              <w:spacing w:before="4"/>
              <w:rPr>
                <w:rFonts w:ascii="宋体" w:hAnsi="宋体" w:cs="宋体"/>
                <w:sz w:val="16"/>
                <w:szCs w:val="16"/>
              </w:rPr>
            </w:pPr>
          </w:p>
          <w:p>
            <w:pPr>
              <w:pStyle w:val="25"/>
              <w:jc w:val="center"/>
              <w:rPr>
                <w:rFonts w:ascii="宋体" w:hAnsi="宋体" w:cs="宋体"/>
              </w:rPr>
            </w:pPr>
            <w:r>
              <w:rPr>
                <w:rFonts w:hint="eastAsia" w:ascii="宋体" w:hAnsi="宋体" w:cs="宋体"/>
                <w:b/>
                <w:bCs/>
                <w:w w:val="99"/>
              </w:rPr>
              <w:t>名称</w:t>
            </w:r>
          </w:p>
        </w:tc>
        <w:tc>
          <w:tcPr>
            <w:tcW w:w="2966" w:type="dxa"/>
            <w:tcBorders>
              <w:top w:val="single" w:color="000000" w:sz="4" w:space="0"/>
              <w:left w:val="single" w:color="000000" w:sz="4" w:space="0"/>
              <w:bottom w:val="single" w:color="000000" w:sz="4" w:space="0"/>
              <w:right w:val="single" w:color="000000" w:sz="4" w:space="0"/>
            </w:tcBorders>
            <w:vAlign w:val="top"/>
          </w:tcPr>
          <w:p>
            <w:pPr>
              <w:pStyle w:val="25"/>
              <w:spacing w:before="4"/>
              <w:rPr>
                <w:rFonts w:ascii="宋体" w:hAnsi="宋体" w:cs="宋体"/>
                <w:sz w:val="16"/>
                <w:szCs w:val="16"/>
              </w:rPr>
            </w:pPr>
          </w:p>
          <w:p>
            <w:pPr>
              <w:pStyle w:val="25"/>
              <w:ind w:left="926"/>
              <w:rPr>
                <w:rFonts w:ascii="宋体" w:hAnsi="宋体" w:cs="宋体"/>
              </w:rPr>
            </w:pPr>
            <w:r>
              <w:rPr>
                <w:rFonts w:hint="eastAsia" w:ascii="宋体" w:hAnsi="宋体" w:cs="宋体"/>
                <w:b/>
                <w:bCs/>
                <w:w w:val="99"/>
              </w:rPr>
              <w:t>依据的标准</w:t>
            </w:r>
          </w:p>
        </w:tc>
      </w:tr>
      <w:tr>
        <w:tblPrEx>
          <w:tblLayout w:type="fixed"/>
          <w:tblCellMar>
            <w:top w:w="0" w:type="dxa"/>
            <w:left w:w="0" w:type="dxa"/>
            <w:bottom w:w="0" w:type="dxa"/>
            <w:right w:w="0" w:type="dxa"/>
          </w:tblCellMar>
        </w:tblPrEx>
        <w:trPr>
          <w:trHeight w:val="821" w:hRule="exact"/>
          <w:jc w:val="center"/>
        </w:trPr>
        <w:tc>
          <w:tcPr>
            <w:tcW w:w="574" w:type="dxa"/>
            <w:vMerge w:val="restart"/>
            <w:tcBorders>
              <w:top w:val="single" w:color="000000" w:sz="4" w:space="0"/>
              <w:left w:val="single" w:color="000000" w:sz="4" w:space="0"/>
              <w:bottom w:val="single" w:color="000000" w:sz="4" w:space="0"/>
              <w:right w:val="single" w:color="000000" w:sz="4" w:space="0"/>
            </w:tcBorders>
            <w:vAlign w:val="top"/>
          </w:tcPr>
          <w:p>
            <w:pPr>
              <w:pStyle w:val="25"/>
              <w:rPr>
                <w:rFonts w:ascii="宋体" w:hAnsi="宋体" w:cs="宋体"/>
                <w:sz w:val="20"/>
                <w:szCs w:val="20"/>
              </w:rPr>
            </w:pPr>
          </w:p>
          <w:p>
            <w:pPr>
              <w:pStyle w:val="25"/>
              <w:rPr>
                <w:rFonts w:hint="eastAsia" w:ascii="宋体" w:hAnsi="宋体" w:cs="宋体"/>
                <w:sz w:val="20"/>
                <w:szCs w:val="20"/>
              </w:rPr>
            </w:pPr>
          </w:p>
          <w:p>
            <w:pPr>
              <w:pStyle w:val="25"/>
              <w:rPr>
                <w:rFonts w:hint="eastAsia" w:ascii="宋体" w:hAnsi="宋体" w:cs="宋体"/>
                <w:sz w:val="20"/>
                <w:szCs w:val="20"/>
              </w:rPr>
            </w:pPr>
          </w:p>
          <w:p>
            <w:pPr>
              <w:pStyle w:val="25"/>
              <w:spacing w:before="11"/>
              <w:rPr>
                <w:rFonts w:hint="eastAsia" w:ascii="宋体" w:hAnsi="宋体" w:cs="宋体"/>
                <w:sz w:val="15"/>
                <w:szCs w:val="15"/>
              </w:rPr>
            </w:pPr>
          </w:p>
          <w:p>
            <w:pPr>
              <w:pStyle w:val="25"/>
              <w:ind w:right="1"/>
              <w:jc w:val="center"/>
              <w:rPr>
                <w:rFonts w:ascii="宋体" w:hAnsi="宋体" w:cs="宋体"/>
                <w:sz w:val="20"/>
                <w:szCs w:val="20"/>
              </w:rPr>
            </w:pPr>
            <w:r>
              <w:rPr>
                <w:rFonts w:hint="eastAsia" w:ascii="宋体"/>
                <w:w w:val="99"/>
                <w:sz w:val="20"/>
              </w:rPr>
              <w:t>1</w:t>
            </w:r>
          </w:p>
        </w:tc>
        <w:tc>
          <w:tcPr>
            <w:tcW w:w="1166" w:type="dxa"/>
            <w:vMerge w:val="restart"/>
            <w:tcBorders>
              <w:top w:val="single" w:color="000000" w:sz="4" w:space="0"/>
              <w:left w:val="single" w:color="000000" w:sz="4" w:space="0"/>
              <w:bottom w:val="single" w:color="000000" w:sz="4" w:space="0"/>
              <w:right w:val="single" w:color="000000" w:sz="4" w:space="0"/>
            </w:tcBorders>
            <w:vAlign w:val="top"/>
          </w:tcPr>
          <w:p>
            <w:pPr>
              <w:pStyle w:val="25"/>
              <w:rPr>
                <w:rFonts w:ascii="宋体" w:hAnsi="宋体" w:cs="宋体"/>
                <w:sz w:val="20"/>
                <w:szCs w:val="20"/>
              </w:rPr>
            </w:pPr>
          </w:p>
          <w:p>
            <w:pPr>
              <w:pStyle w:val="25"/>
              <w:rPr>
                <w:rFonts w:hint="eastAsia" w:ascii="宋体" w:hAnsi="宋体" w:cs="宋体"/>
                <w:sz w:val="20"/>
                <w:szCs w:val="20"/>
              </w:rPr>
            </w:pPr>
          </w:p>
          <w:p>
            <w:pPr>
              <w:pStyle w:val="25"/>
              <w:spacing w:before="12"/>
              <w:rPr>
                <w:rFonts w:hint="eastAsia" w:ascii="宋体" w:hAnsi="宋体" w:cs="宋体"/>
                <w:sz w:val="23"/>
                <w:szCs w:val="23"/>
              </w:rPr>
            </w:pPr>
          </w:p>
          <w:p>
            <w:pPr>
              <w:pStyle w:val="25"/>
              <w:ind w:left="7"/>
              <w:rPr>
                <w:rFonts w:hint="eastAsia"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01</w:t>
            </w:r>
            <w:r>
              <w:rPr>
                <w:rFonts w:hint="eastAsia" w:ascii="宋体" w:hAnsi="宋体" w:cs="宋体"/>
                <w:spacing w:val="1"/>
                <w:w w:val="99"/>
                <w:sz w:val="20"/>
                <w:szCs w:val="20"/>
              </w:rPr>
              <w:t>0</w:t>
            </w:r>
            <w:r>
              <w:rPr>
                <w:rFonts w:hint="eastAsia" w:ascii="宋体" w:hAnsi="宋体" w:cs="宋体"/>
                <w:w w:val="99"/>
                <w:sz w:val="20"/>
                <w:szCs w:val="20"/>
              </w:rPr>
              <w:t>1计算</w:t>
            </w:r>
          </w:p>
          <w:p>
            <w:pPr>
              <w:pStyle w:val="25"/>
              <w:spacing w:before="50"/>
              <w:ind w:left="7"/>
              <w:rPr>
                <w:rFonts w:ascii="宋体" w:hAnsi="宋体" w:cs="宋体"/>
                <w:sz w:val="20"/>
                <w:szCs w:val="20"/>
              </w:rPr>
            </w:pPr>
            <w:r>
              <w:rPr>
                <w:rFonts w:hint="eastAsia" w:ascii="宋体" w:hAnsi="宋体" w:cs="宋体"/>
                <w:w w:val="99"/>
                <w:sz w:val="20"/>
                <w:szCs w:val="20"/>
              </w:rPr>
              <w:t>机设备</w:t>
            </w:r>
          </w:p>
        </w:tc>
        <w:tc>
          <w:tcPr>
            <w:tcW w:w="1800" w:type="dxa"/>
            <w:tcBorders>
              <w:top w:val="single" w:color="000000" w:sz="4" w:space="0"/>
              <w:left w:val="single" w:color="000000" w:sz="4" w:space="0"/>
              <w:bottom w:val="single" w:color="000000" w:sz="4" w:space="0"/>
              <w:right w:val="single" w:color="000000" w:sz="4" w:space="0"/>
            </w:tcBorders>
            <w:vAlign w:val="top"/>
          </w:tcPr>
          <w:p>
            <w:pPr>
              <w:pStyle w:val="25"/>
              <w:spacing w:before="93" w:line="280" w:lineRule="auto"/>
              <w:ind w:left="7" w:right="5"/>
              <w:rPr>
                <w:rFonts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A020</w:t>
            </w:r>
            <w:r>
              <w:rPr>
                <w:rFonts w:hint="eastAsia" w:ascii="宋体" w:hAnsi="宋体" w:cs="宋体"/>
                <w:w w:val="99"/>
                <w:sz w:val="20"/>
                <w:szCs w:val="20"/>
              </w:rPr>
              <w:t>10</w:t>
            </w:r>
            <w:r>
              <w:rPr>
                <w:rFonts w:hint="eastAsia" w:ascii="宋体" w:hAnsi="宋体" w:cs="宋体"/>
                <w:spacing w:val="1"/>
                <w:w w:val="99"/>
                <w:sz w:val="20"/>
                <w:szCs w:val="20"/>
              </w:rPr>
              <w:t>1</w:t>
            </w:r>
            <w:r>
              <w:rPr>
                <w:rFonts w:hint="eastAsia" w:ascii="宋体" w:hAnsi="宋体" w:cs="宋体"/>
                <w:w w:val="99"/>
                <w:sz w:val="20"/>
                <w:szCs w:val="20"/>
              </w:rPr>
              <w:t>04台式计算机</w:t>
            </w:r>
          </w:p>
        </w:tc>
        <w:tc>
          <w:tcPr>
            <w:tcW w:w="1916" w:type="dxa"/>
            <w:tcBorders>
              <w:top w:val="single" w:color="000000" w:sz="4" w:space="0"/>
              <w:left w:val="single" w:color="000000" w:sz="4" w:space="0"/>
              <w:bottom w:val="single" w:color="000000" w:sz="4" w:space="0"/>
              <w:right w:val="single" w:color="000000" w:sz="4" w:space="0"/>
            </w:tcBorders>
            <w:vAlign w:val="top"/>
          </w:tcPr>
          <w:p>
            <w:pPr>
              <w:rPr>
                <w:rFonts w:ascii="Calibri" w:hAnsi="Calibri"/>
                <w:sz w:val="22"/>
                <w:szCs w:val="22"/>
              </w:rPr>
            </w:pPr>
          </w:p>
        </w:tc>
        <w:tc>
          <w:tcPr>
            <w:tcW w:w="2966" w:type="dxa"/>
            <w:tcBorders>
              <w:top w:val="single" w:color="000000" w:sz="4" w:space="0"/>
              <w:left w:val="single" w:color="000000" w:sz="4" w:space="0"/>
              <w:bottom w:val="single" w:color="000000" w:sz="4" w:space="0"/>
              <w:right w:val="single" w:color="000000" w:sz="4" w:space="0"/>
            </w:tcBorders>
            <w:vAlign w:val="top"/>
          </w:tcPr>
          <w:p>
            <w:pPr>
              <w:pStyle w:val="25"/>
              <w:spacing w:before="93" w:line="280" w:lineRule="auto"/>
              <w:ind w:left="7" w:right="4"/>
              <w:rPr>
                <w:rFonts w:ascii="宋体" w:hAnsi="宋体" w:cs="宋体"/>
                <w:sz w:val="20"/>
                <w:szCs w:val="20"/>
                <w:lang w:eastAsia="zh-CN"/>
              </w:rPr>
            </w:pPr>
            <w:r>
              <w:rPr>
                <w:rFonts w:hint="eastAsia" w:ascii="宋体" w:hAnsi="宋体" w:cs="宋体"/>
                <w:spacing w:val="12"/>
                <w:w w:val="99"/>
                <w:sz w:val="20"/>
                <w:szCs w:val="20"/>
                <w:lang w:eastAsia="zh-CN"/>
              </w:rPr>
              <w:t>《微型计算机能效限定</w:t>
            </w:r>
            <w:r>
              <w:rPr>
                <w:rFonts w:hint="eastAsia" w:ascii="宋体" w:hAnsi="宋体" w:cs="宋体"/>
                <w:spacing w:val="9"/>
                <w:w w:val="99"/>
                <w:sz w:val="20"/>
                <w:szCs w:val="20"/>
                <w:lang w:eastAsia="zh-CN"/>
              </w:rPr>
              <w:t>值</w:t>
            </w:r>
            <w:r>
              <w:rPr>
                <w:rFonts w:hint="eastAsia" w:ascii="宋体" w:hAnsi="宋体" w:cs="宋体"/>
                <w:spacing w:val="12"/>
                <w:w w:val="99"/>
                <w:sz w:val="20"/>
                <w:szCs w:val="20"/>
                <w:lang w:eastAsia="zh-CN"/>
              </w:rPr>
              <w:t>及能</w:t>
            </w:r>
            <w:r>
              <w:rPr>
                <w:rFonts w:hint="eastAsia" w:ascii="宋体" w:hAnsi="宋体" w:cs="宋体"/>
                <w:w w:val="99"/>
                <w:sz w:val="20"/>
                <w:szCs w:val="20"/>
                <w:lang w:eastAsia="zh-CN"/>
              </w:rPr>
              <w:t>效等级》（</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28380</w:t>
            </w:r>
            <w:r>
              <w:rPr>
                <w:rFonts w:hint="eastAsia" w:ascii="宋体" w:hAnsi="宋体" w:cs="宋体"/>
                <w:w w:val="99"/>
                <w:sz w:val="20"/>
                <w:szCs w:val="20"/>
                <w:lang w:eastAsia="zh-CN"/>
              </w:rPr>
              <w:t>）</w:t>
            </w:r>
          </w:p>
        </w:tc>
      </w:tr>
      <w:tr>
        <w:tblPrEx>
          <w:tblLayout w:type="fixed"/>
          <w:tblCellMar>
            <w:top w:w="0" w:type="dxa"/>
            <w:left w:w="0" w:type="dxa"/>
            <w:bottom w:w="0" w:type="dxa"/>
            <w:right w:w="0" w:type="dxa"/>
          </w:tblCellMar>
        </w:tblPrEx>
        <w:trPr>
          <w:trHeight w:val="727" w:hRule="exact"/>
          <w:jc w:val="center"/>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11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top"/>
          </w:tcPr>
          <w:p>
            <w:pPr>
              <w:pStyle w:val="25"/>
              <w:spacing w:before="44" w:line="280" w:lineRule="auto"/>
              <w:ind w:left="7" w:right="5"/>
              <w:rPr>
                <w:rFonts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A020</w:t>
            </w:r>
            <w:r>
              <w:rPr>
                <w:rFonts w:hint="eastAsia" w:ascii="宋体" w:hAnsi="宋体" w:cs="宋体"/>
                <w:w w:val="99"/>
                <w:sz w:val="20"/>
                <w:szCs w:val="20"/>
              </w:rPr>
              <w:t>10</w:t>
            </w:r>
            <w:r>
              <w:rPr>
                <w:rFonts w:hint="eastAsia" w:ascii="宋体" w:hAnsi="宋体" w:cs="宋体"/>
                <w:spacing w:val="1"/>
                <w:w w:val="99"/>
                <w:sz w:val="20"/>
                <w:szCs w:val="20"/>
              </w:rPr>
              <w:t>1</w:t>
            </w:r>
            <w:r>
              <w:rPr>
                <w:rFonts w:hint="eastAsia" w:ascii="宋体" w:hAnsi="宋体" w:cs="宋体"/>
                <w:w w:val="99"/>
                <w:sz w:val="20"/>
                <w:szCs w:val="20"/>
              </w:rPr>
              <w:t>05便携式计算机</w:t>
            </w:r>
          </w:p>
        </w:tc>
        <w:tc>
          <w:tcPr>
            <w:tcW w:w="1916" w:type="dxa"/>
            <w:tcBorders>
              <w:top w:val="single" w:color="000000" w:sz="4" w:space="0"/>
              <w:left w:val="single" w:color="000000" w:sz="4" w:space="0"/>
              <w:bottom w:val="single" w:color="000000" w:sz="4" w:space="0"/>
              <w:right w:val="single" w:color="000000" w:sz="4" w:space="0"/>
            </w:tcBorders>
            <w:vAlign w:val="top"/>
          </w:tcPr>
          <w:p>
            <w:pPr>
              <w:rPr>
                <w:rFonts w:ascii="Calibri" w:hAnsi="Calibri"/>
                <w:sz w:val="22"/>
                <w:szCs w:val="22"/>
              </w:rPr>
            </w:pPr>
          </w:p>
        </w:tc>
        <w:tc>
          <w:tcPr>
            <w:tcW w:w="2966" w:type="dxa"/>
            <w:tcBorders>
              <w:top w:val="single" w:color="000000" w:sz="4" w:space="0"/>
              <w:left w:val="single" w:color="000000" w:sz="4" w:space="0"/>
              <w:bottom w:val="single" w:color="000000" w:sz="4" w:space="0"/>
              <w:right w:val="single" w:color="000000" w:sz="4" w:space="0"/>
            </w:tcBorders>
            <w:vAlign w:val="top"/>
          </w:tcPr>
          <w:p>
            <w:pPr>
              <w:pStyle w:val="25"/>
              <w:spacing w:before="44" w:line="280" w:lineRule="auto"/>
              <w:ind w:left="7" w:right="4"/>
              <w:rPr>
                <w:rFonts w:ascii="宋体" w:hAnsi="宋体" w:cs="宋体"/>
                <w:sz w:val="20"/>
                <w:szCs w:val="20"/>
                <w:lang w:eastAsia="zh-CN"/>
              </w:rPr>
            </w:pPr>
            <w:r>
              <w:rPr>
                <w:rFonts w:hint="eastAsia" w:ascii="宋体" w:hAnsi="宋体" w:cs="宋体"/>
                <w:spacing w:val="12"/>
                <w:w w:val="99"/>
                <w:sz w:val="20"/>
                <w:szCs w:val="20"/>
                <w:lang w:eastAsia="zh-CN"/>
              </w:rPr>
              <w:t>《微型计算机能效限定</w:t>
            </w:r>
            <w:r>
              <w:rPr>
                <w:rFonts w:hint="eastAsia" w:ascii="宋体" w:hAnsi="宋体" w:cs="宋体"/>
                <w:spacing w:val="9"/>
                <w:w w:val="99"/>
                <w:sz w:val="20"/>
                <w:szCs w:val="20"/>
                <w:lang w:eastAsia="zh-CN"/>
              </w:rPr>
              <w:t>值</w:t>
            </w:r>
            <w:r>
              <w:rPr>
                <w:rFonts w:hint="eastAsia" w:ascii="宋体" w:hAnsi="宋体" w:cs="宋体"/>
                <w:spacing w:val="12"/>
                <w:w w:val="99"/>
                <w:sz w:val="20"/>
                <w:szCs w:val="20"/>
                <w:lang w:eastAsia="zh-CN"/>
              </w:rPr>
              <w:t>及能</w:t>
            </w:r>
            <w:r>
              <w:rPr>
                <w:rFonts w:hint="eastAsia" w:ascii="宋体" w:hAnsi="宋体" w:cs="宋体"/>
                <w:w w:val="99"/>
                <w:sz w:val="20"/>
                <w:szCs w:val="20"/>
                <w:lang w:eastAsia="zh-CN"/>
              </w:rPr>
              <w:t>效等级》（</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28380</w:t>
            </w:r>
            <w:r>
              <w:rPr>
                <w:rFonts w:hint="eastAsia" w:ascii="宋体" w:hAnsi="宋体" w:cs="宋体"/>
                <w:w w:val="99"/>
                <w:sz w:val="20"/>
                <w:szCs w:val="20"/>
                <w:lang w:eastAsia="zh-CN"/>
              </w:rPr>
              <w:t>）</w:t>
            </w:r>
          </w:p>
        </w:tc>
      </w:tr>
      <w:tr>
        <w:tblPrEx>
          <w:tblLayout w:type="fixed"/>
          <w:tblCellMar>
            <w:top w:w="0" w:type="dxa"/>
            <w:left w:w="0" w:type="dxa"/>
            <w:bottom w:w="0" w:type="dxa"/>
            <w:right w:w="0" w:type="dxa"/>
          </w:tblCellMar>
        </w:tblPrEx>
        <w:trPr>
          <w:trHeight w:val="763" w:hRule="exact"/>
          <w:jc w:val="center"/>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11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top"/>
          </w:tcPr>
          <w:p>
            <w:pPr>
              <w:pStyle w:val="25"/>
              <w:spacing w:before="64" w:line="280" w:lineRule="auto"/>
              <w:ind w:left="7" w:right="5"/>
              <w:rPr>
                <w:rFonts w:ascii="宋体" w:hAnsi="宋体" w:cs="宋体"/>
                <w:sz w:val="20"/>
                <w:szCs w:val="20"/>
                <w:lang w:eastAsia="zh-CN"/>
              </w:rPr>
            </w:pPr>
            <w:r>
              <w:rPr>
                <w:rFonts w:hint="eastAsia" w:ascii="宋体" w:hAnsi="宋体" w:cs="宋体"/>
                <w:w w:val="99"/>
                <w:sz w:val="20"/>
                <w:szCs w:val="20"/>
                <w:lang w:eastAsia="zh-CN"/>
              </w:rPr>
              <w:t>★</w:t>
            </w:r>
            <w:r>
              <w:rPr>
                <w:rFonts w:hint="eastAsia" w:ascii="宋体" w:hAnsi="宋体" w:cs="宋体"/>
                <w:spacing w:val="1"/>
                <w:w w:val="99"/>
                <w:sz w:val="20"/>
                <w:szCs w:val="20"/>
                <w:lang w:eastAsia="zh-CN"/>
              </w:rPr>
              <w:t>A020</w:t>
            </w:r>
            <w:r>
              <w:rPr>
                <w:rFonts w:hint="eastAsia" w:ascii="宋体" w:hAnsi="宋体" w:cs="宋体"/>
                <w:w w:val="99"/>
                <w:sz w:val="20"/>
                <w:szCs w:val="20"/>
                <w:lang w:eastAsia="zh-CN"/>
              </w:rPr>
              <w:t>10</w:t>
            </w:r>
            <w:r>
              <w:rPr>
                <w:rFonts w:hint="eastAsia" w:ascii="宋体" w:hAnsi="宋体" w:cs="宋体"/>
                <w:spacing w:val="1"/>
                <w:w w:val="99"/>
                <w:sz w:val="20"/>
                <w:szCs w:val="20"/>
                <w:lang w:eastAsia="zh-CN"/>
              </w:rPr>
              <w:t>1</w:t>
            </w:r>
            <w:r>
              <w:rPr>
                <w:rFonts w:hint="eastAsia" w:ascii="宋体" w:hAnsi="宋体" w:cs="宋体"/>
                <w:w w:val="99"/>
                <w:sz w:val="20"/>
                <w:szCs w:val="20"/>
                <w:lang w:eastAsia="zh-CN"/>
              </w:rPr>
              <w:t>07平板式微型计</w:t>
            </w:r>
            <w:r>
              <w:rPr>
                <w:rFonts w:hint="eastAsia" w:ascii="宋体" w:hAnsi="宋体" w:cs="宋体"/>
                <w:spacing w:val="2"/>
                <w:w w:val="99"/>
                <w:sz w:val="20"/>
                <w:szCs w:val="20"/>
                <w:lang w:eastAsia="zh-CN"/>
              </w:rPr>
              <w:t>算</w:t>
            </w:r>
            <w:r>
              <w:rPr>
                <w:rFonts w:hint="eastAsia" w:ascii="宋体" w:hAnsi="宋体" w:cs="宋体"/>
                <w:w w:val="99"/>
                <w:sz w:val="20"/>
                <w:szCs w:val="20"/>
                <w:lang w:eastAsia="zh-CN"/>
              </w:rPr>
              <w:t>机</w:t>
            </w:r>
          </w:p>
        </w:tc>
        <w:tc>
          <w:tcPr>
            <w:tcW w:w="1916" w:type="dxa"/>
            <w:tcBorders>
              <w:top w:val="single" w:color="000000" w:sz="4" w:space="0"/>
              <w:left w:val="single" w:color="000000" w:sz="4" w:space="0"/>
              <w:bottom w:val="single" w:color="000000" w:sz="4" w:space="0"/>
              <w:right w:val="single" w:color="000000" w:sz="4" w:space="0"/>
            </w:tcBorders>
            <w:vAlign w:val="top"/>
          </w:tcPr>
          <w:p>
            <w:pPr>
              <w:rPr>
                <w:rFonts w:ascii="Calibri" w:hAnsi="Calibri"/>
                <w:sz w:val="22"/>
                <w:szCs w:val="22"/>
              </w:rPr>
            </w:pPr>
          </w:p>
        </w:tc>
        <w:tc>
          <w:tcPr>
            <w:tcW w:w="2966" w:type="dxa"/>
            <w:tcBorders>
              <w:top w:val="single" w:color="000000" w:sz="4" w:space="0"/>
              <w:left w:val="single" w:color="000000" w:sz="4" w:space="0"/>
              <w:bottom w:val="single" w:color="000000" w:sz="4" w:space="0"/>
              <w:right w:val="single" w:color="000000" w:sz="4" w:space="0"/>
            </w:tcBorders>
            <w:vAlign w:val="top"/>
          </w:tcPr>
          <w:p>
            <w:pPr>
              <w:pStyle w:val="25"/>
              <w:spacing w:before="64" w:line="280" w:lineRule="auto"/>
              <w:ind w:left="7" w:right="4"/>
              <w:rPr>
                <w:rFonts w:ascii="宋体" w:hAnsi="宋体" w:cs="宋体"/>
                <w:sz w:val="20"/>
                <w:szCs w:val="20"/>
                <w:lang w:eastAsia="zh-CN"/>
              </w:rPr>
            </w:pPr>
            <w:r>
              <w:rPr>
                <w:rFonts w:hint="eastAsia" w:ascii="宋体" w:hAnsi="宋体" w:cs="宋体"/>
                <w:spacing w:val="12"/>
                <w:w w:val="99"/>
                <w:sz w:val="20"/>
                <w:szCs w:val="20"/>
                <w:lang w:eastAsia="zh-CN"/>
              </w:rPr>
              <w:t>《微型计算机能效限定</w:t>
            </w:r>
            <w:r>
              <w:rPr>
                <w:rFonts w:hint="eastAsia" w:ascii="宋体" w:hAnsi="宋体" w:cs="宋体"/>
                <w:spacing w:val="9"/>
                <w:w w:val="99"/>
                <w:sz w:val="20"/>
                <w:szCs w:val="20"/>
                <w:lang w:eastAsia="zh-CN"/>
              </w:rPr>
              <w:t>值</w:t>
            </w:r>
            <w:r>
              <w:rPr>
                <w:rFonts w:hint="eastAsia" w:ascii="宋体" w:hAnsi="宋体" w:cs="宋体"/>
                <w:spacing w:val="12"/>
                <w:w w:val="99"/>
                <w:sz w:val="20"/>
                <w:szCs w:val="20"/>
                <w:lang w:eastAsia="zh-CN"/>
              </w:rPr>
              <w:t>及能</w:t>
            </w:r>
            <w:r>
              <w:rPr>
                <w:rFonts w:hint="eastAsia" w:ascii="宋体" w:hAnsi="宋体" w:cs="宋体"/>
                <w:w w:val="99"/>
                <w:sz w:val="20"/>
                <w:szCs w:val="20"/>
                <w:lang w:eastAsia="zh-CN"/>
              </w:rPr>
              <w:t>效等级》（</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28380</w:t>
            </w:r>
            <w:r>
              <w:rPr>
                <w:rFonts w:hint="eastAsia" w:ascii="宋体" w:hAnsi="宋体" w:cs="宋体"/>
                <w:w w:val="99"/>
                <w:sz w:val="20"/>
                <w:szCs w:val="20"/>
                <w:lang w:eastAsia="zh-CN"/>
              </w:rPr>
              <w:t>）</w:t>
            </w:r>
          </w:p>
        </w:tc>
      </w:tr>
      <w:tr>
        <w:tblPrEx>
          <w:tblLayout w:type="fixed"/>
          <w:tblCellMar>
            <w:top w:w="0" w:type="dxa"/>
            <w:left w:w="0" w:type="dxa"/>
            <w:bottom w:w="0" w:type="dxa"/>
            <w:right w:w="0" w:type="dxa"/>
          </w:tblCellMar>
        </w:tblPrEx>
        <w:trPr>
          <w:trHeight w:val="742" w:hRule="exact"/>
          <w:jc w:val="center"/>
        </w:trPr>
        <w:tc>
          <w:tcPr>
            <w:tcW w:w="574" w:type="dxa"/>
            <w:vMerge w:val="restart"/>
            <w:tcBorders>
              <w:top w:val="single" w:color="000000" w:sz="4" w:space="0"/>
              <w:left w:val="single" w:color="000000" w:sz="4" w:space="0"/>
              <w:bottom w:val="single" w:color="000000" w:sz="4" w:space="0"/>
              <w:right w:val="single" w:color="000000" w:sz="4" w:space="0"/>
            </w:tcBorders>
            <w:vAlign w:val="top"/>
          </w:tcPr>
          <w:p>
            <w:pPr>
              <w:pStyle w:val="25"/>
              <w:rPr>
                <w:rFonts w:ascii="宋体" w:hAnsi="宋体" w:cs="宋体"/>
                <w:sz w:val="20"/>
                <w:szCs w:val="20"/>
                <w:lang w:eastAsia="zh-CN"/>
              </w:rPr>
            </w:pPr>
          </w:p>
          <w:p>
            <w:pPr>
              <w:pStyle w:val="25"/>
              <w:rPr>
                <w:rFonts w:hint="eastAsia" w:ascii="宋体" w:hAnsi="宋体" w:cs="宋体"/>
                <w:sz w:val="20"/>
                <w:szCs w:val="20"/>
                <w:lang w:eastAsia="zh-CN"/>
              </w:rPr>
            </w:pPr>
          </w:p>
          <w:p>
            <w:pPr>
              <w:pStyle w:val="25"/>
              <w:rPr>
                <w:rFonts w:hint="eastAsia" w:ascii="宋体" w:hAnsi="宋体" w:cs="宋体"/>
                <w:sz w:val="20"/>
                <w:szCs w:val="20"/>
                <w:lang w:eastAsia="zh-CN"/>
              </w:rPr>
            </w:pPr>
          </w:p>
          <w:p>
            <w:pPr>
              <w:pStyle w:val="25"/>
              <w:rPr>
                <w:rFonts w:hint="eastAsia" w:ascii="宋体" w:hAnsi="宋体" w:cs="宋体"/>
                <w:sz w:val="20"/>
                <w:szCs w:val="20"/>
                <w:lang w:eastAsia="zh-CN"/>
              </w:rPr>
            </w:pPr>
          </w:p>
          <w:p>
            <w:pPr>
              <w:pStyle w:val="25"/>
              <w:rPr>
                <w:rFonts w:hint="eastAsia" w:ascii="宋体" w:hAnsi="宋体" w:cs="宋体"/>
                <w:sz w:val="20"/>
                <w:szCs w:val="20"/>
                <w:lang w:eastAsia="zh-CN"/>
              </w:rPr>
            </w:pPr>
          </w:p>
          <w:p>
            <w:pPr>
              <w:pStyle w:val="25"/>
              <w:rPr>
                <w:rFonts w:hint="eastAsia" w:ascii="宋体" w:hAnsi="宋体" w:cs="宋体"/>
                <w:sz w:val="20"/>
                <w:szCs w:val="20"/>
                <w:lang w:eastAsia="zh-CN"/>
              </w:rPr>
            </w:pPr>
          </w:p>
          <w:p>
            <w:pPr>
              <w:pStyle w:val="25"/>
              <w:rPr>
                <w:rFonts w:hint="eastAsia" w:ascii="宋体" w:hAnsi="宋体" w:cs="宋体"/>
                <w:sz w:val="20"/>
                <w:szCs w:val="20"/>
                <w:lang w:eastAsia="zh-CN"/>
              </w:rPr>
            </w:pPr>
          </w:p>
          <w:p>
            <w:pPr>
              <w:pStyle w:val="25"/>
              <w:spacing w:before="2"/>
              <w:rPr>
                <w:rFonts w:hint="eastAsia" w:ascii="宋体" w:hAnsi="宋体" w:cs="宋体"/>
                <w:sz w:val="14"/>
                <w:szCs w:val="14"/>
                <w:lang w:eastAsia="zh-CN"/>
              </w:rPr>
            </w:pPr>
          </w:p>
          <w:p>
            <w:pPr>
              <w:pStyle w:val="25"/>
              <w:ind w:right="1"/>
              <w:jc w:val="center"/>
              <w:rPr>
                <w:rFonts w:ascii="宋体" w:hAnsi="宋体" w:cs="宋体"/>
                <w:sz w:val="20"/>
                <w:szCs w:val="20"/>
              </w:rPr>
            </w:pPr>
            <w:r>
              <w:rPr>
                <w:rFonts w:hint="eastAsia" w:ascii="宋体"/>
                <w:w w:val="99"/>
                <w:sz w:val="20"/>
              </w:rPr>
              <w:t>2</w:t>
            </w:r>
          </w:p>
        </w:tc>
        <w:tc>
          <w:tcPr>
            <w:tcW w:w="1166" w:type="dxa"/>
            <w:vMerge w:val="restart"/>
            <w:tcBorders>
              <w:top w:val="single" w:color="000000" w:sz="4" w:space="0"/>
              <w:left w:val="single" w:color="000000" w:sz="4" w:space="0"/>
              <w:bottom w:val="single" w:color="000000" w:sz="4" w:space="0"/>
              <w:right w:val="single" w:color="000000" w:sz="4" w:space="0"/>
            </w:tcBorders>
            <w:vAlign w:val="top"/>
          </w:tcPr>
          <w:p>
            <w:pPr>
              <w:pStyle w:val="25"/>
              <w:rPr>
                <w:rFonts w:ascii="宋体" w:hAnsi="宋体" w:cs="宋体"/>
                <w:sz w:val="20"/>
                <w:szCs w:val="20"/>
              </w:rPr>
            </w:pPr>
          </w:p>
          <w:p>
            <w:pPr>
              <w:pStyle w:val="25"/>
              <w:rPr>
                <w:rFonts w:hint="eastAsia" w:ascii="宋体" w:hAnsi="宋体" w:cs="宋体"/>
                <w:sz w:val="20"/>
                <w:szCs w:val="20"/>
              </w:rPr>
            </w:pPr>
          </w:p>
          <w:p>
            <w:pPr>
              <w:pStyle w:val="25"/>
              <w:rPr>
                <w:rFonts w:hint="eastAsia" w:ascii="宋体" w:hAnsi="宋体" w:cs="宋体"/>
                <w:sz w:val="20"/>
                <w:szCs w:val="20"/>
              </w:rPr>
            </w:pPr>
          </w:p>
          <w:p>
            <w:pPr>
              <w:pStyle w:val="25"/>
              <w:rPr>
                <w:rFonts w:hint="eastAsia" w:ascii="宋体" w:hAnsi="宋体" w:cs="宋体"/>
                <w:sz w:val="20"/>
                <w:szCs w:val="20"/>
              </w:rPr>
            </w:pPr>
          </w:p>
          <w:p>
            <w:pPr>
              <w:pStyle w:val="25"/>
              <w:rPr>
                <w:rFonts w:hint="eastAsia" w:ascii="宋体" w:hAnsi="宋体" w:cs="宋体"/>
                <w:sz w:val="20"/>
                <w:szCs w:val="20"/>
              </w:rPr>
            </w:pPr>
          </w:p>
          <w:p>
            <w:pPr>
              <w:pStyle w:val="25"/>
              <w:rPr>
                <w:rFonts w:hint="eastAsia" w:ascii="宋体" w:hAnsi="宋体" w:cs="宋体"/>
                <w:sz w:val="20"/>
                <w:szCs w:val="20"/>
              </w:rPr>
            </w:pPr>
          </w:p>
          <w:p>
            <w:pPr>
              <w:pStyle w:val="25"/>
              <w:spacing w:before="3"/>
              <w:rPr>
                <w:rFonts w:hint="eastAsia" w:ascii="宋体" w:hAnsi="宋体" w:cs="宋体"/>
              </w:rPr>
            </w:pPr>
          </w:p>
          <w:p>
            <w:pPr>
              <w:pStyle w:val="25"/>
              <w:ind w:left="7"/>
              <w:rPr>
                <w:rFonts w:hint="eastAsia"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01</w:t>
            </w:r>
            <w:r>
              <w:rPr>
                <w:rFonts w:hint="eastAsia" w:ascii="宋体" w:hAnsi="宋体" w:cs="宋体"/>
                <w:spacing w:val="1"/>
                <w:w w:val="99"/>
                <w:sz w:val="20"/>
                <w:szCs w:val="20"/>
              </w:rPr>
              <w:t>0</w:t>
            </w:r>
            <w:r>
              <w:rPr>
                <w:rFonts w:hint="eastAsia" w:ascii="宋体" w:hAnsi="宋体" w:cs="宋体"/>
                <w:w w:val="99"/>
                <w:sz w:val="20"/>
                <w:szCs w:val="20"/>
              </w:rPr>
              <w:t>6输入</w:t>
            </w:r>
          </w:p>
          <w:p>
            <w:pPr>
              <w:pStyle w:val="25"/>
              <w:spacing w:before="50"/>
              <w:ind w:left="7"/>
              <w:rPr>
                <w:rFonts w:ascii="宋体" w:hAnsi="宋体" w:cs="宋体"/>
                <w:sz w:val="20"/>
                <w:szCs w:val="20"/>
              </w:rPr>
            </w:pPr>
            <w:r>
              <w:rPr>
                <w:rFonts w:hint="eastAsia" w:ascii="宋体" w:hAnsi="宋体" w:cs="宋体"/>
                <w:w w:val="99"/>
                <w:sz w:val="20"/>
                <w:szCs w:val="20"/>
              </w:rPr>
              <w:t>输出设备</w:t>
            </w:r>
          </w:p>
        </w:tc>
        <w:tc>
          <w:tcPr>
            <w:tcW w:w="1800" w:type="dxa"/>
            <w:vMerge w:val="restart"/>
            <w:tcBorders>
              <w:top w:val="single" w:color="000000" w:sz="4" w:space="0"/>
              <w:left w:val="single" w:color="000000" w:sz="4" w:space="0"/>
              <w:bottom w:val="single" w:color="000000" w:sz="4" w:space="0"/>
              <w:right w:val="single" w:color="000000" w:sz="4" w:space="0"/>
            </w:tcBorders>
            <w:vAlign w:val="top"/>
          </w:tcPr>
          <w:p>
            <w:pPr>
              <w:pStyle w:val="25"/>
              <w:rPr>
                <w:rFonts w:ascii="宋体" w:hAnsi="宋体" w:cs="宋体"/>
                <w:sz w:val="20"/>
                <w:szCs w:val="20"/>
              </w:rPr>
            </w:pPr>
          </w:p>
          <w:p>
            <w:pPr>
              <w:pStyle w:val="25"/>
              <w:rPr>
                <w:rFonts w:hint="eastAsia" w:ascii="宋体" w:hAnsi="宋体" w:cs="宋体"/>
                <w:sz w:val="20"/>
                <w:szCs w:val="20"/>
              </w:rPr>
            </w:pPr>
          </w:p>
          <w:p>
            <w:pPr>
              <w:pStyle w:val="25"/>
              <w:rPr>
                <w:rFonts w:hint="eastAsia" w:ascii="宋体" w:hAnsi="宋体" w:cs="宋体"/>
                <w:sz w:val="20"/>
                <w:szCs w:val="20"/>
              </w:rPr>
            </w:pPr>
          </w:p>
          <w:p>
            <w:pPr>
              <w:pStyle w:val="25"/>
              <w:spacing w:before="164"/>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01</w:t>
            </w:r>
            <w:r>
              <w:rPr>
                <w:rFonts w:hint="eastAsia" w:ascii="宋体" w:hAnsi="宋体" w:cs="宋体"/>
                <w:spacing w:val="1"/>
                <w:w w:val="99"/>
                <w:sz w:val="20"/>
                <w:szCs w:val="20"/>
              </w:rPr>
              <w:t>0</w:t>
            </w:r>
            <w:r>
              <w:rPr>
                <w:rFonts w:hint="eastAsia" w:ascii="宋体" w:hAnsi="宋体" w:cs="宋体"/>
                <w:w w:val="99"/>
                <w:sz w:val="20"/>
                <w:szCs w:val="20"/>
              </w:rPr>
              <w:t>601打印设备</w:t>
            </w:r>
          </w:p>
        </w:tc>
        <w:tc>
          <w:tcPr>
            <w:tcW w:w="1916" w:type="dxa"/>
            <w:tcBorders>
              <w:top w:val="single" w:color="000000" w:sz="4" w:space="0"/>
              <w:left w:val="single" w:color="000000" w:sz="4" w:space="0"/>
              <w:bottom w:val="single" w:color="000000" w:sz="4" w:space="0"/>
              <w:right w:val="single" w:color="000000" w:sz="4" w:space="0"/>
            </w:tcBorders>
            <w:vAlign w:val="top"/>
          </w:tcPr>
          <w:p>
            <w:pPr>
              <w:pStyle w:val="25"/>
              <w:spacing w:before="52"/>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01</w:t>
            </w:r>
            <w:r>
              <w:rPr>
                <w:rFonts w:hint="eastAsia" w:ascii="宋体" w:hAnsi="宋体" w:cs="宋体"/>
                <w:spacing w:val="1"/>
                <w:w w:val="99"/>
                <w:sz w:val="20"/>
                <w:szCs w:val="20"/>
              </w:rPr>
              <w:t>0</w:t>
            </w:r>
            <w:r>
              <w:rPr>
                <w:rFonts w:hint="eastAsia" w:ascii="宋体" w:hAnsi="宋体" w:cs="宋体"/>
                <w:w w:val="99"/>
                <w:sz w:val="20"/>
                <w:szCs w:val="20"/>
              </w:rPr>
              <w:t>60</w:t>
            </w:r>
            <w:r>
              <w:rPr>
                <w:rFonts w:hint="eastAsia" w:ascii="宋体" w:hAnsi="宋体" w:cs="宋体"/>
                <w:spacing w:val="1"/>
                <w:w w:val="99"/>
                <w:sz w:val="20"/>
                <w:szCs w:val="20"/>
              </w:rPr>
              <w:t>10</w:t>
            </w:r>
            <w:r>
              <w:rPr>
                <w:rFonts w:hint="eastAsia" w:ascii="宋体" w:hAnsi="宋体" w:cs="宋体"/>
                <w:w w:val="99"/>
                <w:sz w:val="20"/>
                <w:szCs w:val="20"/>
              </w:rPr>
              <w:t>1喷墨打</w:t>
            </w:r>
          </w:p>
          <w:p>
            <w:pPr>
              <w:pStyle w:val="25"/>
              <w:spacing w:before="50"/>
              <w:ind w:left="7"/>
              <w:rPr>
                <w:rFonts w:ascii="宋体" w:hAnsi="宋体" w:cs="宋体"/>
                <w:sz w:val="20"/>
                <w:szCs w:val="20"/>
              </w:rPr>
            </w:pPr>
            <w:r>
              <w:rPr>
                <w:rFonts w:hint="eastAsia" w:ascii="宋体" w:hAnsi="宋体" w:cs="宋体"/>
                <w:w w:val="99"/>
                <w:sz w:val="20"/>
                <w:szCs w:val="20"/>
              </w:rPr>
              <w:t>印机</w:t>
            </w:r>
          </w:p>
        </w:tc>
        <w:tc>
          <w:tcPr>
            <w:tcW w:w="2966" w:type="dxa"/>
            <w:tcBorders>
              <w:top w:val="single" w:color="000000" w:sz="4" w:space="0"/>
              <w:left w:val="single" w:color="000000" w:sz="4" w:space="0"/>
              <w:bottom w:val="single" w:color="000000" w:sz="4" w:space="0"/>
              <w:right w:val="single" w:color="000000" w:sz="4" w:space="0"/>
            </w:tcBorders>
            <w:vAlign w:val="top"/>
          </w:tcPr>
          <w:p>
            <w:pPr>
              <w:pStyle w:val="25"/>
              <w:spacing w:before="52" w:line="280" w:lineRule="auto"/>
              <w:ind w:left="7" w:right="7"/>
              <w:rPr>
                <w:rFonts w:ascii="宋体" w:hAnsi="宋体" w:cs="宋体"/>
                <w:sz w:val="20"/>
                <w:szCs w:val="20"/>
                <w:lang w:eastAsia="zh-CN"/>
              </w:rPr>
            </w:pPr>
            <w:r>
              <w:rPr>
                <w:rFonts w:hint="eastAsia" w:ascii="宋体" w:hAnsi="宋体" w:cs="宋体"/>
                <w:w w:val="99"/>
                <w:sz w:val="20"/>
                <w:szCs w:val="20"/>
                <w:lang w:eastAsia="zh-CN"/>
              </w:rPr>
              <w:t>《复印</w:t>
            </w:r>
            <w:r>
              <w:rPr>
                <w:rFonts w:hint="eastAsia" w:ascii="宋体" w:hAnsi="宋体" w:cs="宋体"/>
                <w:spacing w:val="2"/>
                <w:w w:val="99"/>
                <w:sz w:val="20"/>
                <w:szCs w:val="20"/>
                <w:lang w:eastAsia="zh-CN"/>
              </w:rPr>
              <w:t>机</w:t>
            </w:r>
            <w:r>
              <w:rPr>
                <w:rFonts w:hint="eastAsia" w:ascii="宋体" w:hAnsi="宋体" w:cs="宋体"/>
                <w:spacing w:val="-58"/>
                <w:w w:val="99"/>
                <w:sz w:val="20"/>
                <w:szCs w:val="20"/>
                <w:lang w:eastAsia="zh-CN"/>
              </w:rPr>
              <w:t>、</w:t>
            </w:r>
            <w:r>
              <w:rPr>
                <w:rFonts w:hint="eastAsia" w:ascii="宋体" w:hAnsi="宋体" w:cs="宋体"/>
                <w:spacing w:val="2"/>
                <w:w w:val="99"/>
                <w:sz w:val="20"/>
                <w:szCs w:val="20"/>
                <w:lang w:eastAsia="zh-CN"/>
              </w:rPr>
              <w:t>打</w:t>
            </w:r>
            <w:r>
              <w:rPr>
                <w:rFonts w:hint="eastAsia" w:ascii="宋体" w:hAnsi="宋体" w:cs="宋体"/>
                <w:w w:val="99"/>
                <w:sz w:val="20"/>
                <w:szCs w:val="20"/>
                <w:lang w:eastAsia="zh-CN"/>
              </w:rPr>
              <w:t>印机</w:t>
            </w:r>
            <w:r>
              <w:rPr>
                <w:rFonts w:hint="eastAsia" w:ascii="宋体" w:hAnsi="宋体" w:cs="宋体"/>
                <w:spacing w:val="2"/>
                <w:w w:val="99"/>
                <w:sz w:val="20"/>
                <w:szCs w:val="20"/>
                <w:lang w:eastAsia="zh-CN"/>
              </w:rPr>
              <w:t>和</w:t>
            </w:r>
            <w:r>
              <w:rPr>
                <w:rFonts w:hint="eastAsia" w:ascii="宋体" w:hAnsi="宋体" w:cs="宋体"/>
                <w:w w:val="99"/>
                <w:sz w:val="20"/>
                <w:szCs w:val="20"/>
                <w:lang w:eastAsia="zh-CN"/>
              </w:rPr>
              <w:t>传真</w:t>
            </w:r>
            <w:r>
              <w:rPr>
                <w:rFonts w:hint="eastAsia" w:ascii="宋体" w:hAnsi="宋体" w:cs="宋体"/>
                <w:spacing w:val="2"/>
                <w:w w:val="99"/>
                <w:sz w:val="20"/>
                <w:szCs w:val="20"/>
                <w:lang w:eastAsia="zh-CN"/>
              </w:rPr>
              <w:t>机</w:t>
            </w:r>
            <w:r>
              <w:rPr>
                <w:rFonts w:hint="eastAsia" w:ascii="宋体" w:hAnsi="宋体" w:cs="宋体"/>
                <w:w w:val="99"/>
                <w:sz w:val="20"/>
                <w:szCs w:val="20"/>
                <w:lang w:eastAsia="zh-CN"/>
              </w:rPr>
              <w:t>能效限定值及</w:t>
            </w:r>
            <w:r>
              <w:rPr>
                <w:rFonts w:hint="eastAsia" w:ascii="宋体" w:hAnsi="宋体" w:cs="宋体"/>
                <w:spacing w:val="2"/>
                <w:w w:val="99"/>
                <w:sz w:val="20"/>
                <w:szCs w:val="20"/>
                <w:lang w:eastAsia="zh-CN"/>
              </w:rPr>
              <w:t>能</w:t>
            </w:r>
            <w:r>
              <w:rPr>
                <w:rFonts w:hint="eastAsia" w:ascii="宋体" w:hAnsi="宋体" w:cs="宋体"/>
                <w:w w:val="99"/>
                <w:sz w:val="20"/>
                <w:szCs w:val="20"/>
                <w:lang w:eastAsia="zh-CN"/>
              </w:rPr>
              <w:t>效等</w:t>
            </w:r>
            <w:r>
              <w:rPr>
                <w:rFonts w:hint="eastAsia" w:ascii="宋体" w:hAnsi="宋体" w:cs="宋体"/>
                <w:spacing w:val="2"/>
                <w:w w:val="99"/>
                <w:sz w:val="20"/>
                <w:szCs w:val="20"/>
                <w:lang w:eastAsia="zh-CN"/>
              </w:rPr>
              <w:t>级</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21</w:t>
            </w:r>
            <w:r>
              <w:rPr>
                <w:rFonts w:hint="eastAsia" w:ascii="宋体" w:hAnsi="宋体" w:cs="宋体"/>
                <w:w w:val="99"/>
                <w:sz w:val="20"/>
                <w:szCs w:val="20"/>
                <w:lang w:eastAsia="zh-CN"/>
              </w:rPr>
              <w:t>52</w:t>
            </w:r>
            <w:r>
              <w:rPr>
                <w:rFonts w:hint="eastAsia" w:ascii="宋体" w:hAnsi="宋体" w:cs="宋体"/>
                <w:spacing w:val="1"/>
                <w:w w:val="99"/>
                <w:sz w:val="20"/>
                <w:szCs w:val="20"/>
                <w:lang w:eastAsia="zh-CN"/>
              </w:rPr>
              <w:t>1</w:t>
            </w:r>
            <w:r>
              <w:rPr>
                <w:rFonts w:hint="eastAsia" w:ascii="宋体" w:hAnsi="宋体" w:cs="宋体"/>
                <w:w w:val="99"/>
                <w:sz w:val="20"/>
                <w:szCs w:val="20"/>
                <w:lang w:eastAsia="zh-CN"/>
              </w:rPr>
              <w:t>）</w:t>
            </w:r>
          </w:p>
        </w:tc>
      </w:tr>
      <w:tr>
        <w:tblPrEx>
          <w:tblLayout w:type="fixed"/>
          <w:tblCellMar>
            <w:top w:w="0" w:type="dxa"/>
            <w:left w:w="0" w:type="dxa"/>
            <w:bottom w:w="0" w:type="dxa"/>
            <w:right w:w="0" w:type="dxa"/>
          </w:tblCellMar>
        </w:tblPrEx>
        <w:trPr>
          <w:trHeight w:val="742" w:hRule="exact"/>
          <w:jc w:val="center"/>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11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18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1916" w:type="dxa"/>
            <w:tcBorders>
              <w:top w:val="single" w:color="000000" w:sz="4" w:space="0"/>
              <w:left w:val="single" w:color="000000" w:sz="4" w:space="0"/>
              <w:bottom w:val="single" w:color="000000" w:sz="4" w:space="0"/>
              <w:right w:val="single" w:color="000000" w:sz="4" w:space="0"/>
            </w:tcBorders>
            <w:vAlign w:val="top"/>
          </w:tcPr>
          <w:p>
            <w:pPr>
              <w:pStyle w:val="25"/>
              <w:spacing w:before="52"/>
              <w:ind w:left="7"/>
              <w:rPr>
                <w:rFonts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A02</w:t>
            </w:r>
            <w:r>
              <w:rPr>
                <w:rFonts w:hint="eastAsia" w:ascii="宋体" w:hAnsi="宋体" w:cs="宋体"/>
                <w:w w:val="99"/>
                <w:sz w:val="20"/>
                <w:szCs w:val="20"/>
              </w:rPr>
              <w:t>01</w:t>
            </w:r>
            <w:r>
              <w:rPr>
                <w:rFonts w:hint="eastAsia" w:ascii="宋体" w:hAnsi="宋体" w:cs="宋体"/>
                <w:spacing w:val="1"/>
                <w:w w:val="99"/>
                <w:sz w:val="20"/>
                <w:szCs w:val="20"/>
              </w:rPr>
              <w:t>0</w:t>
            </w:r>
            <w:r>
              <w:rPr>
                <w:rFonts w:hint="eastAsia" w:ascii="宋体" w:hAnsi="宋体" w:cs="宋体"/>
                <w:w w:val="99"/>
                <w:sz w:val="20"/>
                <w:szCs w:val="20"/>
              </w:rPr>
              <w:t>60</w:t>
            </w:r>
            <w:r>
              <w:rPr>
                <w:rFonts w:hint="eastAsia" w:ascii="宋体" w:hAnsi="宋体" w:cs="宋体"/>
                <w:spacing w:val="1"/>
                <w:w w:val="99"/>
                <w:sz w:val="20"/>
                <w:szCs w:val="20"/>
              </w:rPr>
              <w:t>1</w:t>
            </w:r>
            <w:r>
              <w:rPr>
                <w:rFonts w:hint="eastAsia" w:ascii="宋体" w:hAnsi="宋体" w:cs="宋体"/>
                <w:w w:val="99"/>
                <w:sz w:val="20"/>
                <w:szCs w:val="20"/>
              </w:rPr>
              <w:t>02激光</w:t>
            </w:r>
          </w:p>
          <w:p>
            <w:pPr>
              <w:pStyle w:val="25"/>
              <w:spacing w:before="50"/>
              <w:ind w:left="7"/>
              <w:rPr>
                <w:rFonts w:ascii="宋体" w:hAnsi="宋体" w:cs="宋体"/>
                <w:sz w:val="20"/>
                <w:szCs w:val="20"/>
              </w:rPr>
            </w:pPr>
            <w:r>
              <w:rPr>
                <w:rFonts w:hint="eastAsia" w:ascii="宋体" w:hAnsi="宋体" w:cs="宋体"/>
                <w:w w:val="99"/>
                <w:sz w:val="20"/>
                <w:szCs w:val="20"/>
              </w:rPr>
              <w:t>打印机</w:t>
            </w:r>
          </w:p>
        </w:tc>
        <w:tc>
          <w:tcPr>
            <w:tcW w:w="2966" w:type="dxa"/>
            <w:tcBorders>
              <w:top w:val="single" w:color="000000" w:sz="4" w:space="0"/>
              <w:left w:val="single" w:color="000000" w:sz="4" w:space="0"/>
              <w:bottom w:val="single" w:color="000000" w:sz="4" w:space="0"/>
              <w:right w:val="single" w:color="000000" w:sz="4" w:space="0"/>
            </w:tcBorders>
            <w:vAlign w:val="top"/>
          </w:tcPr>
          <w:p>
            <w:pPr>
              <w:pStyle w:val="25"/>
              <w:spacing w:before="52" w:line="280" w:lineRule="auto"/>
              <w:ind w:left="7" w:right="7"/>
              <w:rPr>
                <w:rFonts w:ascii="宋体" w:hAnsi="宋体" w:cs="宋体"/>
                <w:sz w:val="20"/>
                <w:szCs w:val="20"/>
                <w:lang w:eastAsia="zh-CN"/>
              </w:rPr>
            </w:pPr>
            <w:r>
              <w:rPr>
                <w:rFonts w:hint="eastAsia" w:ascii="宋体" w:hAnsi="宋体" w:cs="宋体"/>
                <w:w w:val="99"/>
                <w:sz w:val="20"/>
                <w:szCs w:val="20"/>
                <w:lang w:eastAsia="zh-CN"/>
              </w:rPr>
              <w:t>《复印</w:t>
            </w:r>
            <w:r>
              <w:rPr>
                <w:rFonts w:hint="eastAsia" w:ascii="宋体" w:hAnsi="宋体" w:cs="宋体"/>
                <w:spacing w:val="2"/>
                <w:w w:val="99"/>
                <w:sz w:val="20"/>
                <w:szCs w:val="20"/>
                <w:lang w:eastAsia="zh-CN"/>
              </w:rPr>
              <w:t>机</w:t>
            </w:r>
            <w:r>
              <w:rPr>
                <w:rFonts w:hint="eastAsia" w:ascii="宋体" w:hAnsi="宋体" w:cs="宋体"/>
                <w:spacing w:val="-58"/>
                <w:w w:val="99"/>
                <w:sz w:val="20"/>
                <w:szCs w:val="20"/>
                <w:lang w:eastAsia="zh-CN"/>
              </w:rPr>
              <w:t>、</w:t>
            </w:r>
            <w:r>
              <w:rPr>
                <w:rFonts w:hint="eastAsia" w:ascii="宋体" w:hAnsi="宋体" w:cs="宋体"/>
                <w:spacing w:val="2"/>
                <w:w w:val="99"/>
                <w:sz w:val="20"/>
                <w:szCs w:val="20"/>
                <w:lang w:eastAsia="zh-CN"/>
              </w:rPr>
              <w:t>打</w:t>
            </w:r>
            <w:r>
              <w:rPr>
                <w:rFonts w:hint="eastAsia" w:ascii="宋体" w:hAnsi="宋体" w:cs="宋体"/>
                <w:w w:val="99"/>
                <w:sz w:val="20"/>
                <w:szCs w:val="20"/>
                <w:lang w:eastAsia="zh-CN"/>
              </w:rPr>
              <w:t>印机</w:t>
            </w:r>
            <w:r>
              <w:rPr>
                <w:rFonts w:hint="eastAsia" w:ascii="宋体" w:hAnsi="宋体" w:cs="宋体"/>
                <w:spacing w:val="2"/>
                <w:w w:val="99"/>
                <w:sz w:val="20"/>
                <w:szCs w:val="20"/>
                <w:lang w:eastAsia="zh-CN"/>
              </w:rPr>
              <w:t>和</w:t>
            </w:r>
            <w:r>
              <w:rPr>
                <w:rFonts w:hint="eastAsia" w:ascii="宋体" w:hAnsi="宋体" w:cs="宋体"/>
                <w:w w:val="99"/>
                <w:sz w:val="20"/>
                <w:szCs w:val="20"/>
                <w:lang w:eastAsia="zh-CN"/>
              </w:rPr>
              <w:t>传真</w:t>
            </w:r>
            <w:r>
              <w:rPr>
                <w:rFonts w:hint="eastAsia" w:ascii="宋体" w:hAnsi="宋体" w:cs="宋体"/>
                <w:spacing w:val="2"/>
                <w:w w:val="99"/>
                <w:sz w:val="20"/>
                <w:szCs w:val="20"/>
                <w:lang w:eastAsia="zh-CN"/>
              </w:rPr>
              <w:t>机</w:t>
            </w:r>
            <w:r>
              <w:rPr>
                <w:rFonts w:hint="eastAsia" w:ascii="宋体" w:hAnsi="宋体" w:cs="宋体"/>
                <w:w w:val="99"/>
                <w:sz w:val="20"/>
                <w:szCs w:val="20"/>
                <w:lang w:eastAsia="zh-CN"/>
              </w:rPr>
              <w:t>能效限定值及</w:t>
            </w:r>
            <w:r>
              <w:rPr>
                <w:rFonts w:hint="eastAsia" w:ascii="宋体" w:hAnsi="宋体" w:cs="宋体"/>
                <w:spacing w:val="2"/>
                <w:w w:val="99"/>
                <w:sz w:val="20"/>
                <w:szCs w:val="20"/>
                <w:lang w:eastAsia="zh-CN"/>
              </w:rPr>
              <w:t>能</w:t>
            </w:r>
            <w:r>
              <w:rPr>
                <w:rFonts w:hint="eastAsia" w:ascii="宋体" w:hAnsi="宋体" w:cs="宋体"/>
                <w:w w:val="99"/>
                <w:sz w:val="20"/>
                <w:szCs w:val="20"/>
                <w:lang w:eastAsia="zh-CN"/>
              </w:rPr>
              <w:t>效等</w:t>
            </w:r>
            <w:r>
              <w:rPr>
                <w:rFonts w:hint="eastAsia" w:ascii="宋体" w:hAnsi="宋体" w:cs="宋体"/>
                <w:spacing w:val="2"/>
                <w:w w:val="99"/>
                <w:sz w:val="20"/>
                <w:szCs w:val="20"/>
                <w:lang w:eastAsia="zh-CN"/>
              </w:rPr>
              <w:t>级</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21</w:t>
            </w:r>
            <w:r>
              <w:rPr>
                <w:rFonts w:hint="eastAsia" w:ascii="宋体" w:hAnsi="宋体" w:cs="宋体"/>
                <w:w w:val="99"/>
                <w:sz w:val="20"/>
                <w:szCs w:val="20"/>
                <w:lang w:eastAsia="zh-CN"/>
              </w:rPr>
              <w:t>52</w:t>
            </w:r>
            <w:r>
              <w:rPr>
                <w:rFonts w:hint="eastAsia" w:ascii="宋体" w:hAnsi="宋体" w:cs="宋体"/>
                <w:spacing w:val="1"/>
                <w:w w:val="99"/>
                <w:sz w:val="20"/>
                <w:szCs w:val="20"/>
                <w:lang w:eastAsia="zh-CN"/>
              </w:rPr>
              <w:t>1</w:t>
            </w:r>
            <w:r>
              <w:rPr>
                <w:rFonts w:hint="eastAsia" w:ascii="宋体" w:hAnsi="宋体" w:cs="宋体"/>
                <w:w w:val="99"/>
                <w:sz w:val="20"/>
                <w:szCs w:val="20"/>
                <w:lang w:eastAsia="zh-CN"/>
              </w:rPr>
              <w:t>）</w:t>
            </w:r>
          </w:p>
        </w:tc>
      </w:tr>
      <w:tr>
        <w:tblPrEx>
          <w:tblLayout w:type="fixed"/>
          <w:tblCellMar>
            <w:top w:w="0" w:type="dxa"/>
            <w:left w:w="0" w:type="dxa"/>
            <w:bottom w:w="0" w:type="dxa"/>
            <w:right w:w="0" w:type="dxa"/>
          </w:tblCellMar>
        </w:tblPrEx>
        <w:trPr>
          <w:trHeight w:val="742" w:hRule="exact"/>
          <w:jc w:val="center"/>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11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18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1916" w:type="dxa"/>
            <w:tcBorders>
              <w:top w:val="single" w:color="000000" w:sz="4" w:space="0"/>
              <w:left w:val="single" w:color="000000" w:sz="4" w:space="0"/>
              <w:bottom w:val="single" w:color="000000" w:sz="4" w:space="0"/>
              <w:right w:val="single" w:color="000000" w:sz="4" w:space="0"/>
            </w:tcBorders>
            <w:vAlign w:val="top"/>
          </w:tcPr>
          <w:p>
            <w:pPr>
              <w:pStyle w:val="25"/>
              <w:spacing w:before="52"/>
              <w:ind w:left="7"/>
              <w:rPr>
                <w:rFonts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A02</w:t>
            </w:r>
            <w:r>
              <w:rPr>
                <w:rFonts w:hint="eastAsia" w:ascii="宋体" w:hAnsi="宋体" w:cs="宋体"/>
                <w:w w:val="99"/>
                <w:sz w:val="20"/>
                <w:szCs w:val="20"/>
              </w:rPr>
              <w:t>01</w:t>
            </w:r>
            <w:r>
              <w:rPr>
                <w:rFonts w:hint="eastAsia" w:ascii="宋体" w:hAnsi="宋体" w:cs="宋体"/>
                <w:spacing w:val="1"/>
                <w:w w:val="99"/>
                <w:sz w:val="20"/>
                <w:szCs w:val="20"/>
              </w:rPr>
              <w:t>0</w:t>
            </w:r>
            <w:r>
              <w:rPr>
                <w:rFonts w:hint="eastAsia" w:ascii="宋体" w:hAnsi="宋体" w:cs="宋体"/>
                <w:w w:val="99"/>
                <w:sz w:val="20"/>
                <w:szCs w:val="20"/>
              </w:rPr>
              <w:t>60</w:t>
            </w:r>
            <w:r>
              <w:rPr>
                <w:rFonts w:hint="eastAsia" w:ascii="宋体" w:hAnsi="宋体" w:cs="宋体"/>
                <w:spacing w:val="1"/>
                <w:w w:val="99"/>
                <w:sz w:val="20"/>
                <w:szCs w:val="20"/>
              </w:rPr>
              <w:t>1</w:t>
            </w:r>
            <w:r>
              <w:rPr>
                <w:rFonts w:hint="eastAsia" w:ascii="宋体" w:hAnsi="宋体" w:cs="宋体"/>
                <w:w w:val="99"/>
                <w:sz w:val="20"/>
                <w:szCs w:val="20"/>
              </w:rPr>
              <w:t>04针式</w:t>
            </w:r>
          </w:p>
          <w:p>
            <w:pPr>
              <w:pStyle w:val="25"/>
              <w:spacing w:before="50"/>
              <w:ind w:left="7"/>
              <w:rPr>
                <w:rFonts w:ascii="宋体" w:hAnsi="宋体" w:cs="宋体"/>
                <w:sz w:val="20"/>
                <w:szCs w:val="20"/>
              </w:rPr>
            </w:pPr>
            <w:r>
              <w:rPr>
                <w:rFonts w:hint="eastAsia" w:ascii="宋体" w:hAnsi="宋体" w:cs="宋体"/>
                <w:w w:val="99"/>
                <w:sz w:val="20"/>
                <w:szCs w:val="20"/>
              </w:rPr>
              <w:t>打印机</w:t>
            </w:r>
          </w:p>
        </w:tc>
        <w:tc>
          <w:tcPr>
            <w:tcW w:w="2966" w:type="dxa"/>
            <w:tcBorders>
              <w:top w:val="single" w:color="000000" w:sz="4" w:space="0"/>
              <w:left w:val="single" w:color="000000" w:sz="4" w:space="0"/>
              <w:bottom w:val="single" w:color="000000" w:sz="4" w:space="0"/>
              <w:right w:val="single" w:color="000000" w:sz="4" w:space="0"/>
            </w:tcBorders>
            <w:vAlign w:val="top"/>
          </w:tcPr>
          <w:p>
            <w:pPr>
              <w:pStyle w:val="25"/>
              <w:spacing w:before="52" w:line="280" w:lineRule="auto"/>
              <w:ind w:left="7" w:right="7"/>
              <w:rPr>
                <w:rFonts w:ascii="宋体" w:hAnsi="宋体" w:cs="宋体"/>
                <w:sz w:val="20"/>
                <w:szCs w:val="20"/>
                <w:lang w:eastAsia="zh-CN"/>
              </w:rPr>
            </w:pPr>
            <w:r>
              <w:rPr>
                <w:rFonts w:hint="eastAsia" w:ascii="宋体" w:hAnsi="宋体" w:cs="宋体"/>
                <w:w w:val="99"/>
                <w:sz w:val="20"/>
                <w:szCs w:val="20"/>
                <w:lang w:eastAsia="zh-CN"/>
              </w:rPr>
              <w:t>《复印</w:t>
            </w:r>
            <w:r>
              <w:rPr>
                <w:rFonts w:hint="eastAsia" w:ascii="宋体" w:hAnsi="宋体" w:cs="宋体"/>
                <w:spacing w:val="2"/>
                <w:w w:val="99"/>
                <w:sz w:val="20"/>
                <w:szCs w:val="20"/>
                <w:lang w:eastAsia="zh-CN"/>
              </w:rPr>
              <w:t>机</w:t>
            </w:r>
            <w:r>
              <w:rPr>
                <w:rFonts w:hint="eastAsia" w:ascii="宋体" w:hAnsi="宋体" w:cs="宋体"/>
                <w:spacing w:val="-58"/>
                <w:w w:val="99"/>
                <w:sz w:val="20"/>
                <w:szCs w:val="20"/>
                <w:lang w:eastAsia="zh-CN"/>
              </w:rPr>
              <w:t>、</w:t>
            </w:r>
            <w:r>
              <w:rPr>
                <w:rFonts w:hint="eastAsia" w:ascii="宋体" w:hAnsi="宋体" w:cs="宋体"/>
                <w:spacing w:val="2"/>
                <w:w w:val="99"/>
                <w:sz w:val="20"/>
                <w:szCs w:val="20"/>
                <w:lang w:eastAsia="zh-CN"/>
              </w:rPr>
              <w:t>打</w:t>
            </w:r>
            <w:r>
              <w:rPr>
                <w:rFonts w:hint="eastAsia" w:ascii="宋体" w:hAnsi="宋体" w:cs="宋体"/>
                <w:w w:val="99"/>
                <w:sz w:val="20"/>
                <w:szCs w:val="20"/>
                <w:lang w:eastAsia="zh-CN"/>
              </w:rPr>
              <w:t>印机</w:t>
            </w:r>
            <w:r>
              <w:rPr>
                <w:rFonts w:hint="eastAsia" w:ascii="宋体" w:hAnsi="宋体" w:cs="宋体"/>
                <w:spacing w:val="2"/>
                <w:w w:val="99"/>
                <w:sz w:val="20"/>
                <w:szCs w:val="20"/>
                <w:lang w:eastAsia="zh-CN"/>
              </w:rPr>
              <w:t>和</w:t>
            </w:r>
            <w:r>
              <w:rPr>
                <w:rFonts w:hint="eastAsia" w:ascii="宋体" w:hAnsi="宋体" w:cs="宋体"/>
                <w:w w:val="99"/>
                <w:sz w:val="20"/>
                <w:szCs w:val="20"/>
                <w:lang w:eastAsia="zh-CN"/>
              </w:rPr>
              <w:t>传真</w:t>
            </w:r>
            <w:r>
              <w:rPr>
                <w:rFonts w:hint="eastAsia" w:ascii="宋体" w:hAnsi="宋体" w:cs="宋体"/>
                <w:spacing w:val="2"/>
                <w:w w:val="99"/>
                <w:sz w:val="20"/>
                <w:szCs w:val="20"/>
                <w:lang w:eastAsia="zh-CN"/>
              </w:rPr>
              <w:t>机</w:t>
            </w:r>
            <w:r>
              <w:rPr>
                <w:rFonts w:hint="eastAsia" w:ascii="宋体" w:hAnsi="宋体" w:cs="宋体"/>
                <w:w w:val="99"/>
                <w:sz w:val="20"/>
                <w:szCs w:val="20"/>
                <w:lang w:eastAsia="zh-CN"/>
              </w:rPr>
              <w:t>能效限定值及</w:t>
            </w:r>
            <w:r>
              <w:rPr>
                <w:rFonts w:hint="eastAsia" w:ascii="宋体" w:hAnsi="宋体" w:cs="宋体"/>
                <w:spacing w:val="2"/>
                <w:w w:val="99"/>
                <w:sz w:val="20"/>
                <w:szCs w:val="20"/>
                <w:lang w:eastAsia="zh-CN"/>
              </w:rPr>
              <w:t>能</w:t>
            </w:r>
            <w:r>
              <w:rPr>
                <w:rFonts w:hint="eastAsia" w:ascii="宋体" w:hAnsi="宋体" w:cs="宋体"/>
                <w:w w:val="99"/>
                <w:sz w:val="20"/>
                <w:szCs w:val="20"/>
                <w:lang w:eastAsia="zh-CN"/>
              </w:rPr>
              <w:t>效等</w:t>
            </w:r>
            <w:r>
              <w:rPr>
                <w:rFonts w:hint="eastAsia" w:ascii="宋体" w:hAnsi="宋体" w:cs="宋体"/>
                <w:spacing w:val="2"/>
                <w:w w:val="99"/>
                <w:sz w:val="20"/>
                <w:szCs w:val="20"/>
                <w:lang w:eastAsia="zh-CN"/>
              </w:rPr>
              <w:t>级</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21</w:t>
            </w:r>
            <w:r>
              <w:rPr>
                <w:rFonts w:hint="eastAsia" w:ascii="宋体" w:hAnsi="宋体" w:cs="宋体"/>
                <w:w w:val="99"/>
                <w:sz w:val="20"/>
                <w:szCs w:val="20"/>
                <w:lang w:eastAsia="zh-CN"/>
              </w:rPr>
              <w:t>52</w:t>
            </w:r>
            <w:r>
              <w:rPr>
                <w:rFonts w:hint="eastAsia" w:ascii="宋体" w:hAnsi="宋体" w:cs="宋体"/>
                <w:spacing w:val="1"/>
                <w:w w:val="99"/>
                <w:sz w:val="20"/>
                <w:szCs w:val="20"/>
                <w:lang w:eastAsia="zh-CN"/>
              </w:rPr>
              <w:t>1</w:t>
            </w:r>
            <w:r>
              <w:rPr>
                <w:rFonts w:hint="eastAsia" w:ascii="宋体" w:hAnsi="宋体" w:cs="宋体"/>
                <w:w w:val="99"/>
                <w:sz w:val="20"/>
                <w:szCs w:val="20"/>
                <w:lang w:eastAsia="zh-CN"/>
              </w:rPr>
              <w:t>）</w:t>
            </w:r>
          </w:p>
        </w:tc>
      </w:tr>
      <w:tr>
        <w:tblPrEx>
          <w:tblLayout w:type="fixed"/>
          <w:tblCellMar>
            <w:top w:w="0" w:type="dxa"/>
            <w:left w:w="0" w:type="dxa"/>
            <w:bottom w:w="0" w:type="dxa"/>
            <w:right w:w="0" w:type="dxa"/>
          </w:tblCellMar>
        </w:tblPrEx>
        <w:trPr>
          <w:trHeight w:val="773" w:hRule="exact"/>
          <w:jc w:val="center"/>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11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top"/>
          </w:tcPr>
          <w:p>
            <w:pPr>
              <w:pStyle w:val="25"/>
              <w:spacing w:before="2"/>
              <w:rPr>
                <w:rFonts w:ascii="宋体" w:hAnsi="宋体" w:cs="宋体"/>
                <w:sz w:val="17"/>
                <w:szCs w:val="17"/>
                <w:lang w:eastAsia="zh-CN"/>
              </w:rPr>
            </w:pPr>
          </w:p>
          <w:p>
            <w:pPr>
              <w:pStyle w:val="25"/>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01</w:t>
            </w:r>
            <w:r>
              <w:rPr>
                <w:rFonts w:hint="eastAsia" w:ascii="宋体" w:hAnsi="宋体" w:cs="宋体"/>
                <w:spacing w:val="1"/>
                <w:w w:val="99"/>
                <w:sz w:val="20"/>
                <w:szCs w:val="20"/>
              </w:rPr>
              <w:t>0</w:t>
            </w:r>
            <w:r>
              <w:rPr>
                <w:rFonts w:hint="eastAsia" w:ascii="宋体" w:hAnsi="宋体" w:cs="宋体"/>
                <w:w w:val="99"/>
                <w:sz w:val="20"/>
                <w:szCs w:val="20"/>
              </w:rPr>
              <w:t>604显示设备</w:t>
            </w:r>
          </w:p>
        </w:tc>
        <w:tc>
          <w:tcPr>
            <w:tcW w:w="1916" w:type="dxa"/>
            <w:tcBorders>
              <w:top w:val="single" w:color="000000" w:sz="4" w:space="0"/>
              <w:left w:val="single" w:color="000000" w:sz="4" w:space="0"/>
              <w:bottom w:val="single" w:color="000000" w:sz="4" w:space="0"/>
              <w:right w:val="single" w:color="000000" w:sz="4" w:space="0"/>
            </w:tcBorders>
            <w:vAlign w:val="top"/>
          </w:tcPr>
          <w:p>
            <w:pPr>
              <w:pStyle w:val="25"/>
              <w:spacing w:before="68"/>
              <w:ind w:left="7"/>
              <w:rPr>
                <w:rFonts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A02</w:t>
            </w:r>
            <w:r>
              <w:rPr>
                <w:rFonts w:hint="eastAsia" w:ascii="宋体" w:hAnsi="宋体" w:cs="宋体"/>
                <w:w w:val="99"/>
                <w:sz w:val="20"/>
                <w:szCs w:val="20"/>
              </w:rPr>
              <w:t>01</w:t>
            </w:r>
            <w:r>
              <w:rPr>
                <w:rFonts w:hint="eastAsia" w:ascii="宋体" w:hAnsi="宋体" w:cs="宋体"/>
                <w:spacing w:val="1"/>
                <w:w w:val="99"/>
                <w:sz w:val="20"/>
                <w:szCs w:val="20"/>
              </w:rPr>
              <w:t>0</w:t>
            </w:r>
            <w:r>
              <w:rPr>
                <w:rFonts w:hint="eastAsia" w:ascii="宋体" w:hAnsi="宋体" w:cs="宋体"/>
                <w:w w:val="99"/>
                <w:sz w:val="20"/>
                <w:szCs w:val="20"/>
              </w:rPr>
              <w:t>60</w:t>
            </w:r>
            <w:r>
              <w:rPr>
                <w:rFonts w:hint="eastAsia" w:ascii="宋体" w:hAnsi="宋体" w:cs="宋体"/>
                <w:spacing w:val="1"/>
                <w:w w:val="99"/>
                <w:sz w:val="20"/>
                <w:szCs w:val="20"/>
              </w:rPr>
              <w:t>4</w:t>
            </w:r>
            <w:r>
              <w:rPr>
                <w:rFonts w:hint="eastAsia" w:ascii="宋体" w:hAnsi="宋体" w:cs="宋体"/>
                <w:w w:val="99"/>
                <w:sz w:val="20"/>
                <w:szCs w:val="20"/>
              </w:rPr>
              <w:t>01液晶</w:t>
            </w:r>
          </w:p>
          <w:p>
            <w:pPr>
              <w:pStyle w:val="25"/>
              <w:spacing w:before="50"/>
              <w:ind w:left="7"/>
              <w:rPr>
                <w:rFonts w:ascii="宋体" w:hAnsi="宋体" w:cs="宋体"/>
                <w:sz w:val="20"/>
                <w:szCs w:val="20"/>
              </w:rPr>
            </w:pPr>
            <w:r>
              <w:rPr>
                <w:rFonts w:hint="eastAsia" w:ascii="宋体" w:hAnsi="宋体" w:cs="宋体"/>
                <w:w w:val="99"/>
                <w:sz w:val="20"/>
                <w:szCs w:val="20"/>
              </w:rPr>
              <w:t>显示器</w:t>
            </w:r>
          </w:p>
        </w:tc>
        <w:tc>
          <w:tcPr>
            <w:tcW w:w="2966" w:type="dxa"/>
            <w:tcBorders>
              <w:top w:val="single" w:color="000000" w:sz="4" w:space="0"/>
              <w:left w:val="single" w:color="000000" w:sz="4" w:space="0"/>
              <w:bottom w:val="single" w:color="000000" w:sz="4" w:space="0"/>
              <w:right w:val="single" w:color="000000" w:sz="4" w:space="0"/>
            </w:tcBorders>
            <w:vAlign w:val="top"/>
          </w:tcPr>
          <w:p>
            <w:pPr>
              <w:pStyle w:val="25"/>
              <w:spacing w:before="68" w:line="280" w:lineRule="auto"/>
              <w:ind w:left="7" w:right="4"/>
              <w:rPr>
                <w:rFonts w:ascii="宋体" w:hAnsi="宋体" w:cs="宋体"/>
                <w:sz w:val="20"/>
                <w:szCs w:val="20"/>
                <w:lang w:eastAsia="zh-CN"/>
              </w:rPr>
            </w:pPr>
            <w:r>
              <w:rPr>
                <w:rFonts w:hint="eastAsia" w:ascii="宋体" w:hAnsi="宋体" w:cs="宋体"/>
                <w:spacing w:val="12"/>
                <w:w w:val="99"/>
                <w:sz w:val="20"/>
                <w:szCs w:val="20"/>
                <w:lang w:eastAsia="zh-CN"/>
              </w:rPr>
              <w:t>《计算机显示器能效限</w:t>
            </w:r>
            <w:r>
              <w:rPr>
                <w:rFonts w:hint="eastAsia" w:ascii="宋体" w:hAnsi="宋体" w:cs="宋体"/>
                <w:spacing w:val="9"/>
                <w:w w:val="99"/>
                <w:sz w:val="20"/>
                <w:szCs w:val="20"/>
                <w:lang w:eastAsia="zh-CN"/>
              </w:rPr>
              <w:t>定</w:t>
            </w:r>
            <w:r>
              <w:rPr>
                <w:rFonts w:hint="eastAsia" w:ascii="宋体" w:hAnsi="宋体" w:cs="宋体"/>
                <w:spacing w:val="12"/>
                <w:w w:val="99"/>
                <w:sz w:val="20"/>
                <w:szCs w:val="20"/>
                <w:lang w:eastAsia="zh-CN"/>
              </w:rPr>
              <w:t>值及</w:t>
            </w:r>
            <w:r>
              <w:rPr>
                <w:rFonts w:hint="eastAsia" w:ascii="宋体" w:hAnsi="宋体" w:cs="宋体"/>
                <w:w w:val="99"/>
                <w:sz w:val="20"/>
                <w:szCs w:val="20"/>
                <w:lang w:eastAsia="zh-CN"/>
              </w:rPr>
              <w:t>能效等级</w:t>
            </w:r>
            <w:r>
              <w:rPr>
                <w:rFonts w:hint="eastAsia" w:ascii="宋体" w:hAnsi="宋体" w:cs="宋体"/>
                <w:spacing w:val="2"/>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21</w:t>
            </w:r>
            <w:r>
              <w:rPr>
                <w:rFonts w:hint="eastAsia" w:ascii="宋体" w:hAnsi="宋体" w:cs="宋体"/>
                <w:w w:val="99"/>
                <w:sz w:val="20"/>
                <w:szCs w:val="20"/>
                <w:lang w:eastAsia="zh-CN"/>
              </w:rPr>
              <w:t>52</w:t>
            </w:r>
            <w:r>
              <w:rPr>
                <w:rFonts w:hint="eastAsia" w:ascii="宋体" w:hAnsi="宋体" w:cs="宋体"/>
                <w:spacing w:val="1"/>
                <w:w w:val="99"/>
                <w:sz w:val="20"/>
                <w:szCs w:val="20"/>
                <w:lang w:eastAsia="zh-CN"/>
              </w:rPr>
              <w:t>0</w:t>
            </w:r>
            <w:r>
              <w:rPr>
                <w:rFonts w:hint="eastAsia" w:ascii="宋体" w:hAnsi="宋体" w:cs="宋体"/>
                <w:w w:val="99"/>
                <w:sz w:val="20"/>
                <w:szCs w:val="20"/>
                <w:lang w:eastAsia="zh-CN"/>
              </w:rPr>
              <w:t>）</w:t>
            </w:r>
          </w:p>
        </w:tc>
      </w:tr>
      <w:tr>
        <w:tblPrEx>
          <w:tblLayout w:type="fixed"/>
          <w:tblCellMar>
            <w:top w:w="0" w:type="dxa"/>
            <w:left w:w="0" w:type="dxa"/>
            <w:bottom w:w="0" w:type="dxa"/>
            <w:right w:w="0" w:type="dxa"/>
          </w:tblCellMar>
        </w:tblPrEx>
        <w:trPr>
          <w:trHeight w:val="1361" w:hRule="exact"/>
          <w:jc w:val="center"/>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11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top"/>
          </w:tcPr>
          <w:p>
            <w:pPr>
              <w:pStyle w:val="25"/>
              <w:spacing w:before="8"/>
              <w:rPr>
                <w:rFonts w:ascii="宋体" w:hAnsi="宋体" w:cs="宋体"/>
                <w:sz w:val="27"/>
                <w:szCs w:val="27"/>
                <w:lang w:eastAsia="zh-CN"/>
              </w:rPr>
            </w:pPr>
          </w:p>
          <w:p>
            <w:pPr>
              <w:pStyle w:val="25"/>
              <w:spacing w:line="280" w:lineRule="auto"/>
              <w:ind w:left="7" w:right="5"/>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01</w:t>
            </w:r>
            <w:r>
              <w:rPr>
                <w:rFonts w:hint="eastAsia" w:ascii="宋体" w:hAnsi="宋体" w:cs="宋体"/>
                <w:spacing w:val="1"/>
                <w:w w:val="99"/>
                <w:sz w:val="20"/>
                <w:szCs w:val="20"/>
              </w:rPr>
              <w:t>0</w:t>
            </w:r>
            <w:r>
              <w:rPr>
                <w:rFonts w:hint="eastAsia" w:ascii="宋体" w:hAnsi="宋体" w:cs="宋体"/>
                <w:w w:val="99"/>
                <w:sz w:val="20"/>
                <w:szCs w:val="20"/>
              </w:rPr>
              <w:t>609图形图像输入设备</w:t>
            </w:r>
          </w:p>
        </w:tc>
        <w:tc>
          <w:tcPr>
            <w:tcW w:w="1916" w:type="dxa"/>
            <w:tcBorders>
              <w:top w:val="single" w:color="000000" w:sz="4" w:space="0"/>
              <w:left w:val="single" w:color="000000" w:sz="4" w:space="0"/>
              <w:bottom w:val="single" w:color="000000" w:sz="4" w:space="0"/>
              <w:right w:val="single" w:color="000000" w:sz="4" w:space="0"/>
            </w:tcBorders>
            <w:vAlign w:val="top"/>
          </w:tcPr>
          <w:p>
            <w:pPr>
              <w:pStyle w:val="25"/>
              <w:rPr>
                <w:rFonts w:ascii="宋体" w:hAnsi="宋体" w:cs="宋体"/>
                <w:sz w:val="20"/>
                <w:szCs w:val="20"/>
              </w:rPr>
            </w:pPr>
          </w:p>
          <w:p>
            <w:pPr>
              <w:pStyle w:val="25"/>
              <w:spacing w:before="7"/>
              <w:rPr>
                <w:rFonts w:hint="eastAsia" w:ascii="宋体" w:hAnsi="宋体" w:cs="宋体"/>
                <w:sz w:val="19"/>
                <w:szCs w:val="19"/>
              </w:rPr>
            </w:pPr>
          </w:p>
          <w:p>
            <w:pPr>
              <w:pStyle w:val="25"/>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01</w:t>
            </w:r>
            <w:r>
              <w:rPr>
                <w:rFonts w:hint="eastAsia" w:ascii="宋体" w:hAnsi="宋体" w:cs="宋体"/>
                <w:spacing w:val="1"/>
                <w:w w:val="99"/>
                <w:sz w:val="20"/>
                <w:szCs w:val="20"/>
              </w:rPr>
              <w:t>0</w:t>
            </w:r>
            <w:r>
              <w:rPr>
                <w:rFonts w:hint="eastAsia" w:ascii="宋体" w:hAnsi="宋体" w:cs="宋体"/>
                <w:w w:val="99"/>
                <w:sz w:val="20"/>
                <w:szCs w:val="20"/>
              </w:rPr>
              <w:t>60</w:t>
            </w:r>
            <w:r>
              <w:rPr>
                <w:rFonts w:hint="eastAsia" w:ascii="宋体" w:hAnsi="宋体" w:cs="宋体"/>
                <w:spacing w:val="1"/>
                <w:w w:val="99"/>
                <w:sz w:val="20"/>
                <w:szCs w:val="20"/>
              </w:rPr>
              <w:t>9</w:t>
            </w:r>
            <w:r>
              <w:rPr>
                <w:rFonts w:hint="eastAsia" w:ascii="宋体" w:hAnsi="宋体" w:cs="宋体"/>
                <w:w w:val="99"/>
                <w:sz w:val="20"/>
                <w:szCs w:val="20"/>
              </w:rPr>
              <w:t>01扫描仪</w:t>
            </w:r>
          </w:p>
        </w:tc>
        <w:tc>
          <w:tcPr>
            <w:tcW w:w="2966" w:type="dxa"/>
            <w:tcBorders>
              <w:top w:val="single" w:color="000000" w:sz="4" w:space="0"/>
              <w:left w:val="single" w:color="000000" w:sz="4" w:space="0"/>
              <w:bottom w:val="single" w:color="000000" w:sz="4" w:space="0"/>
              <w:right w:val="single" w:color="000000" w:sz="4" w:space="0"/>
            </w:tcBorders>
            <w:vAlign w:val="top"/>
          </w:tcPr>
          <w:p>
            <w:pPr>
              <w:pStyle w:val="25"/>
              <w:spacing w:before="49" w:line="280" w:lineRule="auto"/>
              <w:ind w:left="7" w:right="7"/>
              <w:rPr>
                <w:rFonts w:ascii="宋体" w:hAnsi="宋体" w:cs="宋体"/>
                <w:sz w:val="20"/>
                <w:szCs w:val="20"/>
                <w:lang w:eastAsia="zh-CN"/>
              </w:rPr>
            </w:pPr>
            <w:r>
              <w:rPr>
                <w:rFonts w:hint="eastAsia" w:ascii="宋体" w:hAnsi="宋体" w:cs="宋体"/>
                <w:w w:val="99"/>
                <w:sz w:val="20"/>
                <w:szCs w:val="20"/>
                <w:lang w:eastAsia="zh-CN"/>
              </w:rPr>
              <w:t>参</w:t>
            </w:r>
            <w:r>
              <w:rPr>
                <w:rFonts w:hint="eastAsia" w:ascii="宋体" w:hAnsi="宋体" w:cs="宋体"/>
                <w:spacing w:val="-29"/>
                <w:w w:val="99"/>
                <w:sz w:val="20"/>
                <w:szCs w:val="20"/>
                <w:lang w:eastAsia="zh-CN"/>
              </w:rPr>
              <w:t>照</w:t>
            </w:r>
            <w:r>
              <w:rPr>
                <w:rFonts w:hint="eastAsia" w:ascii="宋体" w:hAnsi="宋体" w:cs="宋体"/>
                <w:w w:val="99"/>
                <w:sz w:val="20"/>
                <w:szCs w:val="20"/>
                <w:lang w:eastAsia="zh-CN"/>
              </w:rPr>
              <w:t>《</w:t>
            </w:r>
            <w:r>
              <w:rPr>
                <w:rFonts w:hint="eastAsia" w:ascii="宋体" w:hAnsi="宋体" w:cs="宋体"/>
                <w:spacing w:val="2"/>
                <w:w w:val="99"/>
                <w:sz w:val="20"/>
                <w:szCs w:val="20"/>
                <w:lang w:eastAsia="zh-CN"/>
              </w:rPr>
              <w:t>复</w:t>
            </w:r>
            <w:r>
              <w:rPr>
                <w:rFonts w:hint="eastAsia" w:ascii="宋体" w:hAnsi="宋体" w:cs="宋体"/>
                <w:w w:val="99"/>
                <w:sz w:val="20"/>
                <w:szCs w:val="20"/>
                <w:lang w:eastAsia="zh-CN"/>
              </w:rPr>
              <w:t>印</w:t>
            </w:r>
            <w:r>
              <w:rPr>
                <w:rFonts w:hint="eastAsia" w:ascii="宋体" w:hAnsi="宋体" w:cs="宋体"/>
                <w:spacing w:val="2"/>
                <w:w w:val="99"/>
                <w:sz w:val="20"/>
                <w:szCs w:val="20"/>
                <w:lang w:eastAsia="zh-CN"/>
              </w:rPr>
              <w:t>机</w:t>
            </w:r>
            <w:r>
              <w:rPr>
                <w:rFonts w:hint="eastAsia" w:ascii="宋体" w:hAnsi="宋体" w:cs="宋体"/>
                <w:spacing w:val="-29"/>
                <w:w w:val="99"/>
                <w:sz w:val="20"/>
                <w:szCs w:val="20"/>
                <w:lang w:eastAsia="zh-CN"/>
              </w:rPr>
              <w:t>、</w:t>
            </w:r>
            <w:r>
              <w:rPr>
                <w:rFonts w:hint="eastAsia" w:ascii="宋体" w:hAnsi="宋体" w:cs="宋体"/>
                <w:w w:val="99"/>
                <w:sz w:val="20"/>
                <w:szCs w:val="20"/>
                <w:lang w:eastAsia="zh-CN"/>
              </w:rPr>
              <w:t>打</w:t>
            </w:r>
            <w:r>
              <w:rPr>
                <w:rFonts w:hint="eastAsia" w:ascii="宋体" w:hAnsi="宋体" w:cs="宋体"/>
                <w:spacing w:val="2"/>
                <w:w w:val="99"/>
                <w:sz w:val="20"/>
                <w:szCs w:val="20"/>
                <w:lang w:eastAsia="zh-CN"/>
              </w:rPr>
              <w:t>印</w:t>
            </w:r>
            <w:r>
              <w:rPr>
                <w:rFonts w:hint="eastAsia" w:ascii="宋体" w:hAnsi="宋体" w:cs="宋体"/>
                <w:w w:val="99"/>
                <w:sz w:val="20"/>
                <w:szCs w:val="20"/>
                <w:lang w:eastAsia="zh-CN"/>
              </w:rPr>
              <w:t>机和</w:t>
            </w:r>
            <w:r>
              <w:rPr>
                <w:rFonts w:hint="eastAsia" w:ascii="宋体" w:hAnsi="宋体" w:cs="宋体"/>
                <w:spacing w:val="2"/>
                <w:w w:val="99"/>
                <w:sz w:val="20"/>
                <w:szCs w:val="20"/>
                <w:lang w:eastAsia="zh-CN"/>
              </w:rPr>
              <w:t>传</w:t>
            </w:r>
            <w:r>
              <w:rPr>
                <w:rFonts w:hint="eastAsia" w:ascii="宋体" w:hAnsi="宋体" w:cs="宋体"/>
                <w:w w:val="99"/>
                <w:sz w:val="20"/>
                <w:szCs w:val="20"/>
                <w:lang w:eastAsia="zh-CN"/>
              </w:rPr>
              <w:t>真机能效限定</w:t>
            </w:r>
            <w:r>
              <w:rPr>
                <w:rFonts w:hint="eastAsia" w:ascii="宋体" w:hAnsi="宋体" w:cs="宋体"/>
                <w:spacing w:val="2"/>
                <w:w w:val="99"/>
                <w:sz w:val="20"/>
                <w:szCs w:val="20"/>
                <w:lang w:eastAsia="zh-CN"/>
              </w:rPr>
              <w:t>值</w:t>
            </w:r>
            <w:r>
              <w:rPr>
                <w:rFonts w:hint="eastAsia" w:ascii="宋体" w:hAnsi="宋体" w:cs="宋体"/>
                <w:w w:val="99"/>
                <w:sz w:val="20"/>
                <w:szCs w:val="20"/>
                <w:lang w:eastAsia="zh-CN"/>
              </w:rPr>
              <w:t>及能</w:t>
            </w:r>
            <w:r>
              <w:rPr>
                <w:rFonts w:hint="eastAsia" w:ascii="宋体" w:hAnsi="宋体" w:cs="宋体"/>
                <w:spacing w:val="2"/>
                <w:w w:val="99"/>
                <w:sz w:val="20"/>
                <w:szCs w:val="20"/>
                <w:lang w:eastAsia="zh-CN"/>
              </w:rPr>
              <w:t>效</w:t>
            </w:r>
            <w:r>
              <w:rPr>
                <w:rFonts w:hint="eastAsia" w:ascii="宋体" w:hAnsi="宋体" w:cs="宋体"/>
                <w:w w:val="99"/>
                <w:sz w:val="20"/>
                <w:szCs w:val="20"/>
                <w:lang w:eastAsia="zh-CN"/>
              </w:rPr>
              <w:t>等级</w:t>
            </w:r>
            <w:r>
              <w:rPr>
                <w:rFonts w:hint="eastAsia" w:ascii="宋体" w:hAnsi="宋体" w:cs="宋体"/>
                <w:spacing w:val="-106"/>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2152</w:t>
            </w:r>
            <w:r>
              <w:rPr>
                <w:rFonts w:hint="eastAsia" w:ascii="宋体" w:hAnsi="宋体" w:cs="宋体"/>
                <w:w w:val="99"/>
                <w:sz w:val="20"/>
                <w:szCs w:val="20"/>
                <w:lang w:eastAsia="zh-CN"/>
              </w:rPr>
              <w:t>1）</w:t>
            </w:r>
          </w:p>
          <w:p>
            <w:pPr>
              <w:pStyle w:val="25"/>
              <w:spacing w:before="12" w:line="280" w:lineRule="auto"/>
              <w:ind w:left="7" w:right="5"/>
              <w:rPr>
                <w:rFonts w:ascii="宋体" w:hAnsi="宋体" w:cs="宋体"/>
                <w:sz w:val="20"/>
                <w:szCs w:val="20"/>
                <w:lang w:eastAsia="zh-CN"/>
              </w:rPr>
            </w:pPr>
            <w:r>
              <w:rPr>
                <w:rFonts w:hint="eastAsia" w:ascii="宋体" w:hAnsi="宋体" w:cs="宋体"/>
                <w:spacing w:val="2"/>
                <w:w w:val="99"/>
                <w:sz w:val="20"/>
                <w:szCs w:val="20"/>
                <w:lang w:eastAsia="zh-CN"/>
              </w:rPr>
              <w:t>中</w:t>
            </w:r>
            <w:r>
              <w:rPr>
                <w:rFonts w:hint="eastAsia" w:ascii="宋体" w:hAnsi="宋体" w:cs="宋体"/>
                <w:spacing w:val="4"/>
                <w:w w:val="99"/>
                <w:sz w:val="20"/>
                <w:szCs w:val="20"/>
                <w:lang w:eastAsia="zh-CN"/>
              </w:rPr>
              <w:t>打印速</w:t>
            </w:r>
            <w:r>
              <w:rPr>
                <w:rFonts w:hint="eastAsia" w:ascii="宋体" w:hAnsi="宋体" w:cs="宋体"/>
                <w:spacing w:val="2"/>
                <w:w w:val="99"/>
                <w:sz w:val="20"/>
                <w:szCs w:val="20"/>
                <w:lang w:eastAsia="zh-CN"/>
              </w:rPr>
              <w:t>度</w:t>
            </w:r>
            <w:r>
              <w:rPr>
                <w:rFonts w:hint="eastAsia" w:ascii="宋体" w:hAnsi="宋体" w:cs="宋体"/>
                <w:w w:val="99"/>
                <w:sz w:val="20"/>
                <w:szCs w:val="20"/>
                <w:lang w:eastAsia="zh-CN"/>
              </w:rPr>
              <w:t>为</w:t>
            </w:r>
            <w:r>
              <w:rPr>
                <w:rFonts w:hint="eastAsia" w:ascii="宋体" w:hAnsi="宋体" w:cs="宋体"/>
                <w:spacing w:val="1"/>
                <w:w w:val="99"/>
                <w:sz w:val="20"/>
                <w:szCs w:val="20"/>
                <w:lang w:eastAsia="zh-CN"/>
              </w:rPr>
              <w:t>1</w:t>
            </w:r>
            <w:r>
              <w:rPr>
                <w:rFonts w:hint="eastAsia" w:ascii="宋体" w:hAnsi="宋体" w:cs="宋体"/>
                <w:w w:val="99"/>
                <w:sz w:val="20"/>
                <w:szCs w:val="20"/>
                <w:lang w:eastAsia="zh-CN"/>
              </w:rPr>
              <w:t>5</w:t>
            </w:r>
            <w:r>
              <w:rPr>
                <w:rFonts w:hint="eastAsia" w:ascii="宋体" w:hAnsi="宋体" w:cs="宋体"/>
                <w:spacing w:val="2"/>
                <w:w w:val="99"/>
                <w:sz w:val="20"/>
                <w:szCs w:val="20"/>
                <w:lang w:eastAsia="zh-CN"/>
              </w:rPr>
              <w:t>页</w:t>
            </w:r>
            <w:r>
              <w:rPr>
                <w:rFonts w:hint="eastAsia" w:ascii="宋体" w:hAnsi="宋体" w:cs="宋体"/>
                <w:spacing w:val="5"/>
                <w:w w:val="99"/>
                <w:sz w:val="20"/>
                <w:szCs w:val="20"/>
                <w:lang w:eastAsia="zh-CN"/>
              </w:rPr>
              <w:t>/</w:t>
            </w:r>
            <w:r>
              <w:rPr>
                <w:rFonts w:hint="eastAsia" w:ascii="宋体" w:hAnsi="宋体" w:cs="宋体"/>
                <w:spacing w:val="4"/>
                <w:w w:val="99"/>
                <w:sz w:val="20"/>
                <w:szCs w:val="20"/>
                <w:lang w:eastAsia="zh-CN"/>
              </w:rPr>
              <w:t>分的</w:t>
            </w:r>
            <w:r>
              <w:rPr>
                <w:rFonts w:hint="eastAsia" w:ascii="宋体" w:hAnsi="宋体" w:cs="宋体"/>
                <w:spacing w:val="2"/>
                <w:w w:val="99"/>
                <w:sz w:val="20"/>
                <w:szCs w:val="20"/>
                <w:lang w:eastAsia="zh-CN"/>
              </w:rPr>
              <w:t>针</w:t>
            </w:r>
            <w:r>
              <w:rPr>
                <w:rFonts w:hint="eastAsia" w:ascii="宋体" w:hAnsi="宋体" w:cs="宋体"/>
                <w:spacing w:val="4"/>
                <w:w w:val="99"/>
                <w:sz w:val="20"/>
                <w:szCs w:val="20"/>
                <w:lang w:eastAsia="zh-CN"/>
              </w:rPr>
              <w:t>式</w:t>
            </w:r>
            <w:r>
              <w:rPr>
                <w:rFonts w:hint="eastAsia" w:ascii="宋体" w:hAnsi="宋体" w:cs="宋体"/>
                <w:w w:val="99"/>
                <w:sz w:val="20"/>
                <w:szCs w:val="20"/>
                <w:lang w:eastAsia="zh-CN"/>
              </w:rPr>
              <w:t>打印机相</w:t>
            </w:r>
            <w:r>
              <w:rPr>
                <w:rFonts w:hint="eastAsia" w:ascii="宋体" w:hAnsi="宋体" w:cs="宋体"/>
                <w:spacing w:val="2"/>
                <w:w w:val="99"/>
                <w:sz w:val="20"/>
                <w:szCs w:val="20"/>
                <w:lang w:eastAsia="zh-CN"/>
              </w:rPr>
              <w:t>关</w:t>
            </w:r>
            <w:r>
              <w:rPr>
                <w:rFonts w:hint="eastAsia" w:ascii="宋体" w:hAnsi="宋体" w:cs="宋体"/>
                <w:w w:val="99"/>
                <w:sz w:val="20"/>
                <w:szCs w:val="20"/>
                <w:lang w:eastAsia="zh-CN"/>
              </w:rPr>
              <w:t>要求</w:t>
            </w:r>
          </w:p>
        </w:tc>
      </w:tr>
      <w:tr>
        <w:tblPrEx>
          <w:tblLayout w:type="fixed"/>
          <w:tblCellMar>
            <w:top w:w="0" w:type="dxa"/>
            <w:left w:w="0" w:type="dxa"/>
            <w:bottom w:w="0" w:type="dxa"/>
            <w:right w:w="0" w:type="dxa"/>
          </w:tblCellMar>
        </w:tblPrEx>
        <w:trPr>
          <w:trHeight w:val="684" w:hRule="exact"/>
          <w:jc w:val="center"/>
        </w:trPr>
        <w:tc>
          <w:tcPr>
            <w:tcW w:w="574" w:type="dxa"/>
            <w:tcBorders>
              <w:top w:val="single" w:color="000000" w:sz="4" w:space="0"/>
              <w:left w:val="single" w:color="000000" w:sz="4" w:space="0"/>
              <w:bottom w:val="single" w:color="000000" w:sz="4" w:space="0"/>
              <w:right w:val="single" w:color="000000" w:sz="4" w:space="0"/>
            </w:tcBorders>
            <w:vAlign w:val="top"/>
          </w:tcPr>
          <w:p>
            <w:pPr>
              <w:pStyle w:val="25"/>
              <w:spacing w:before="179"/>
              <w:ind w:right="1"/>
              <w:jc w:val="center"/>
              <w:rPr>
                <w:rFonts w:ascii="宋体" w:hAnsi="宋体" w:cs="宋体"/>
                <w:sz w:val="20"/>
                <w:szCs w:val="20"/>
              </w:rPr>
            </w:pPr>
            <w:r>
              <w:rPr>
                <w:rFonts w:hint="eastAsia" w:ascii="宋体"/>
                <w:w w:val="99"/>
                <w:sz w:val="20"/>
              </w:rPr>
              <w:t>3</w:t>
            </w:r>
          </w:p>
        </w:tc>
        <w:tc>
          <w:tcPr>
            <w:tcW w:w="1166" w:type="dxa"/>
            <w:tcBorders>
              <w:top w:val="single" w:color="000000" w:sz="4" w:space="0"/>
              <w:left w:val="single" w:color="000000" w:sz="4" w:space="0"/>
              <w:bottom w:val="single" w:color="000000" w:sz="4" w:space="0"/>
              <w:right w:val="single" w:color="000000" w:sz="4" w:space="0"/>
            </w:tcBorders>
            <w:vAlign w:val="top"/>
          </w:tcPr>
          <w:p>
            <w:pPr>
              <w:pStyle w:val="25"/>
              <w:spacing w:before="23"/>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02</w:t>
            </w:r>
            <w:r>
              <w:rPr>
                <w:rFonts w:hint="eastAsia" w:ascii="宋体" w:hAnsi="宋体" w:cs="宋体"/>
                <w:spacing w:val="1"/>
                <w:w w:val="99"/>
                <w:sz w:val="20"/>
                <w:szCs w:val="20"/>
              </w:rPr>
              <w:t>0</w:t>
            </w:r>
            <w:r>
              <w:rPr>
                <w:rFonts w:hint="eastAsia" w:ascii="宋体" w:hAnsi="宋体" w:cs="宋体"/>
                <w:w w:val="99"/>
                <w:sz w:val="20"/>
                <w:szCs w:val="20"/>
              </w:rPr>
              <w:t>2投影</w:t>
            </w:r>
          </w:p>
          <w:p>
            <w:pPr>
              <w:pStyle w:val="25"/>
              <w:spacing w:before="50"/>
              <w:ind w:left="7"/>
              <w:rPr>
                <w:rFonts w:ascii="宋体" w:hAnsi="宋体" w:cs="宋体"/>
                <w:sz w:val="20"/>
                <w:szCs w:val="20"/>
              </w:rPr>
            </w:pPr>
            <w:r>
              <w:rPr>
                <w:rFonts w:hint="eastAsia" w:ascii="宋体" w:hAnsi="宋体" w:cs="宋体"/>
                <w:w w:val="99"/>
                <w:sz w:val="20"/>
                <w:szCs w:val="20"/>
              </w:rPr>
              <w:t>仪</w:t>
            </w:r>
          </w:p>
        </w:tc>
        <w:tc>
          <w:tcPr>
            <w:tcW w:w="1800" w:type="dxa"/>
            <w:tcBorders>
              <w:top w:val="single" w:color="000000" w:sz="4" w:space="0"/>
              <w:left w:val="single" w:color="000000" w:sz="4" w:space="0"/>
              <w:bottom w:val="single" w:color="000000" w:sz="4" w:space="0"/>
              <w:right w:val="single" w:color="000000" w:sz="4" w:space="0"/>
            </w:tcBorders>
            <w:vAlign w:val="top"/>
          </w:tcPr>
          <w:p>
            <w:pPr>
              <w:rPr>
                <w:rFonts w:ascii="Calibri" w:hAnsi="Calibri"/>
                <w:sz w:val="22"/>
                <w:szCs w:val="22"/>
              </w:rPr>
            </w:pPr>
          </w:p>
        </w:tc>
        <w:tc>
          <w:tcPr>
            <w:tcW w:w="1916" w:type="dxa"/>
            <w:tcBorders>
              <w:top w:val="single" w:color="000000" w:sz="4" w:space="0"/>
              <w:left w:val="single" w:color="000000" w:sz="4" w:space="0"/>
              <w:bottom w:val="single" w:color="000000" w:sz="4" w:space="0"/>
              <w:right w:val="single" w:color="000000" w:sz="4" w:space="0"/>
            </w:tcBorders>
            <w:vAlign w:val="top"/>
          </w:tcPr>
          <w:p>
            <w:pPr>
              <w:rPr>
                <w:rFonts w:ascii="Calibri" w:hAnsi="Calibri"/>
                <w:sz w:val="22"/>
                <w:szCs w:val="22"/>
              </w:rPr>
            </w:pPr>
          </w:p>
        </w:tc>
        <w:tc>
          <w:tcPr>
            <w:tcW w:w="2966" w:type="dxa"/>
            <w:tcBorders>
              <w:top w:val="single" w:color="000000" w:sz="4" w:space="0"/>
              <w:left w:val="single" w:color="000000" w:sz="4" w:space="0"/>
              <w:bottom w:val="single" w:color="000000" w:sz="4" w:space="0"/>
              <w:right w:val="single" w:color="000000" w:sz="4" w:space="0"/>
            </w:tcBorders>
            <w:vAlign w:val="top"/>
          </w:tcPr>
          <w:p>
            <w:pPr>
              <w:pStyle w:val="25"/>
              <w:spacing w:before="23"/>
              <w:ind w:left="7"/>
              <w:rPr>
                <w:rFonts w:ascii="宋体" w:hAnsi="宋体" w:cs="宋体"/>
                <w:sz w:val="20"/>
                <w:szCs w:val="20"/>
                <w:lang w:eastAsia="zh-CN"/>
              </w:rPr>
            </w:pPr>
            <w:r>
              <w:rPr>
                <w:rFonts w:hint="eastAsia" w:ascii="宋体" w:hAnsi="宋体" w:cs="宋体"/>
                <w:w w:val="99"/>
                <w:sz w:val="20"/>
                <w:szCs w:val="20"/>
                <w:lang w:eastAsia="zh-CN"/>
              </w:rPr>
              <w:t>《投影</w:t>
            </w:r>
            <w:r>
              <w:rPr>
                <w:rFonts w:hint="eastAsia" w:ascii="宋体" w:hAnsi="宋体" w:cs="宋体"/>
                <w:spacing w:val="2"/>
                <w:w w:val="99"/>
                <w:sz w:val="20"/>
                <w:szCs w:val="20"/>
                <w:lang w:eastAsia="zh-CN"/>
              </w:rPr>
              <w:t>机</w:t>
            </w:r>
            <w:r>
              <w:rPr>
                <w:rFonts w:hint="eastAsia" w:ascii="宋体" w:hAnsi="宋体" w:cs="宋体"/>
                <w:w w:val="99"/>
                <w:sz w:val="20"/>
                <w:szCs w:val="20"/>
                <w:lang w:eastAsia="zh-CN"/>
              </w:rPr>
              <w:t>能效</w:t>
            </w:r>
            <w:r>
              <w:rPr>
                <w:rFonts w:hint="eastAsia" w:ascii="宋体" w:hAnsi="宋体" w:cs="宋体"/>
                <w:spacing w:val="2"/>
                <w:w w:val="99"/>
                <w:sz w:val="20"/>
                <w:szCs w:val="20"/>
                <w:lang w:eastAsia="zh-CN"/>
              </w:rPr>
              <w:t>限</w:t>
            </w:r>
            <w:r>
              <w:rPr>
                <w:rFonts w:hint="eastAsia" w:ascii="宋体" w:hAnsi="宋体" w:cs="宋体"/>
                <w:w w:val="99"/>
                <w:sz w:val="20"/>
                <w:szCs w:val="20"/>
                <w:lang w:eastAsia="zh-CN"/>
              </w:rPr>
              <w:t>定值</w:t>
            </w:r>
            <w:r>
              <w:rPr>
                <w:rFonts w:hint="eastAsia" w:ascii="宋体" w:hAnsi="宋体" w:cs="宋体"/>
                <w:spacing w:val="2"/>
                <w:w w:val="99"/>
                <w:sz w:val="20"/>
                <w:szCs w:val="20"/>
                <w:lang w:eastAsia="zh-CN"/>
              </w:rPr>
              <w:t>及</w:t>
            </w:r>
            <w:r>
              <w:rPr>
                <w:rFonts w:hint="eastAsia" w:ascii="宋体" w:hAnsi="宋体" w:cs="宋体"/>
                <w:w w:val="99"/>
                <w:sz w:val="20"/>
                <w:szCs w:val="20"/>
                <w:lang w:eastAsia="zh-CN"/>
              </w:rPr>
              <w:t>能</w:t>
            </w:r>
            <w:r>
              <w:rPr>
                <w:rFonts w:hint="eastAsia" w:ascii="宋体" w:hAnsi="宋体" w:cs="宋体"/>
                <w:spacing w:val="2"/>
                <w:w w:val="99"/>
                <w:sz w:val="20"/>
                <w:szCs w:val="20"/>
                <w:lang w:eastAsia="zh-CN"/>
              </w:rPr>
              <w:t>效</w:t>
            </w:r>
            <w:r>
              <w:rPr>
                <w:rFonts w:hint="eastAsia" w:ascii="宋体" w:hAnsi="宋体" w:cs="宋体"/>
                <w:w w:val="99"/>
                <w:sz w:val="20"/>
                <w:szCs w:val="20"/>
                <w:lang w:eastAsia="zh-CN"/>
              </w:rPr>
              <w:t>等级》</w:t>
            </w:r>
          </w:p>
          <w:p>
            <w:pPr>
              <w:pStyle w:val="25"/>
              <w:spacing w:before="50"/>
              <w:ind w:left="7"/>
              <w:rPr>
                <w:rFonts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G</w:t>
            </w:r>
            <w:r>
              <w:rPr>
                <w:rFonts w:hint="eastAsia" w:ascii="宋体" w:hAnsi="宋体" w:cs="宋体"/>
                <w:w w:val="99"/>
                <w:sz w:val="20"/>
                <w:szCs w:val="20"/>
              </w:rPr>
              <w:t>B</w:t>
            </w:r>
            <w:r>
              <w:rPr>
                <w:rFonts w:hint="eastAsia" w:ascii="宋体" w:hAnsi="宋体" w:cs="宋体"/>
                <w:spacing w:val="1"/>
                <w:w w:val="99"/>
                <w:sz w:val="20"/>
                <w:szCs w:val="20"/>
              </w:rPr>
              <w:t>3</w:t>
            </w:r>
            <w:r>
              <w:rPr>
                <w:rFonts w:hint="eastAsia" w:ascii="宋体" w:hAnsi="宋体" w:cs="宋体"/>
                <w:w w:val="99"/>
                <w:sz w:val="20"/>
                <w:szCs w:val="20"/>
              </w:rPr>
              <w:t>20</w:t>
            </w:r>
            <w:r>
              <w:rPr>
                <w:rFonts w:hint="eastAsia" w:ascii="宋体" w:hAnsi="宋体" w:cs="宋体"/>
                <w:spacing w:val="1"/>
                <w:w w:val="99"/>
                <w:sz w:val="20"/>
                <w:szCs w:val="20"/>
              </w:rPr>
              <w:t>28</w:t>
            </w:r>
            <w:r>
              <w:rPr>
                <w:rFonts w:hint="eastAsia" w:ascii="宋体" w:hAnsi="宋体" w:cs="宋体"/>
                <w:w w:val="99"/>
                <w:sz w:val="20"/>
                <w:szCs w:val="20"/>
              </w:rPr>
              <w:t>）</w:t>
            </w:r>
          </w:p>
        </w:tc>
      </w:tr>
      <w:tr>
        <w:tblPrEx>
          <w:tblLayout w:type="fixed"/>
          <w:tblCellMar>
            <w:top w:w="0" w:type="dxa"/>
            <w:left w:w="0" w:type="dxa"/>
            <w:bottom w:w="0" w:type="dxa"/>
            <w:right w:w="0" w:type="dxa"/>
          </w:tblCellMar>
        </w:tblPrEx>
        <w:trPr>
          <w:trHeight w:val="770" w:hRule="exact"/>
          <w:jc w:val="center"/>
        </w:trPr>
        <w:tc>
          <w:tcPr>
            <w:tcW w:w="574" w:type="dxa"/>
            <w:tcBorders>
              <w:top w:val="single" w:color="000000" w:sz="4" w:space="0"/>
              <w:left w:val="single" w:color="000000" w:sz="4" w:space="0"/>
              <w:bottom w:val="single" w:color="000000" w:sz="4" w:space="0"/>
              <w:right w:val="single" w:color="000000" w:sz="4" w:space="0"/>
            </w:tcBorders>
            <w:vAlign w:val="top"/>
          </w:tcPr>
          <w:p>
            <w:pPr>
              <w:pStyle w:val="25"/>
              <w:spacing w:before="13"/>
              <w:rPr>
                <w:rFonts w:ascii="宋体" w:hAnsi="宋体" w:cs="宋体"/>
                <w:sz w:val="16"/>
                <w:szCs w:val="16"/>
              </w:rPr>
            </w:pPr>
          </w:p>
          <w:p>
            <w:pPr>
              <w:pStyle w:val="25"/>
              <w:ind w:right="1"/>
              <w:jc w:val="center"/>
              <w:rPr>
                <w:rFonts w:ascii="宋体" w:hAnsi="宋体" w:cs="宋体"/>
                <w:sz w:val="20"/>
                <w:szCs w:val="20"/>
              </w:rPr>
            </w:pPr>
            <w:r>
              <w:rPr>
                <w:rFonts w:hint="eastAsia" w:ascii="宋体"/>
                <w:w w:val="99"/>
                <w:sz w:val="20"/>
              </w:rPr>
              <w:t>4</w:t>
            </w:r>
          </w:p>
        </w:tc>
        <w:tc>
          <w:tcPr>
            <w:tcW w:w="1166" w:type="dxa"/>
            <w:tcBorders>
              <w:top w:val="single" w:color="000000" w:sz="4" w:space="0"/>
              <w:left w:val="single" w:color="000000" w:sz="4" w:space="0"/>
              <w:bottom w:val="single" w:color="000000" w:sz="4" w:space="0"/>
              <w:right w:val="single" w:color="000000" w:sz="4" w:space="0"/>
            </w:tcBorders>
            <w:vAlign w:val="top"/>
          </w:tcPr>
          <w:p>
            <w:pPr>
              <w:pStyle w:val="25"/>
              <w:spacing w:before="66"/>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02</w:t>
            </w:r>
            <w:r>
              <w:rPr>
                <w:rFonts w:hint="eastAsia" w:ascii="宋体" w:hAnsi="宋体" w:cs="宋体"/>
                <w:spacing w:val="1"/>
                <w:w w:val="99"/>
                <w:sz w:val="20"/>
                <w:szCs w:val="20"/>
              </w:rPr>
              <w:t>0</w:t>
            </w:r>
            <w:r>
              <w:rPr>
                <w:rFonts w:hint="eastAsia" w:ascii="宋体" w:hAnsi="宋体" w:cs="宋体"/>
                <w:w w:val="99"/>
                <w:sz w:val="20"/>
                <w:szCs w:val="20"/>
              </w:rPr>
              <w:t>4多功</w:t>
            </w:r>
          </w:p>
          <w:p>
            <w:pPr>
              <w:pStyle w:val="25"/>
              <w:spacing w:before="50"/>
              <w:ind w:left="7"/>
              <w:rPr>
                <w:rFonts w:ascii="宋体" w:hAnsi="宋体" w:cs="宋体"/>
                <w:sz w:val="20"/>
                <w:szCs w:val="20"/>
              </w:rPr>
            </w:pPr>
            <w:r>
              <w:rPr>
                <w:rFonts w:hint="eastAsia" w:ascii="宋体" w:hAnsi="宋体" w:cs="宋体"/>
                <w:w w:val="99"/>
                <w:sz w:val="20"/>
                <w:szCs w:val="20"/>
              </w:rPr>
              <w:t>能一体机</w:t>
            </w:r>
          </w:p>
        </w:tc>
        <w:tc>
          <w:tcPr>
            <w:tcW w:w="1800" w:type="dxa"/>
            <w:tcBorders>
              <w:top w:val="single" w:color="000000" w:sz="4" w:space="0"/>
              <w:left w:val="single" w:color="000000" w:sz="4" w:space="0"/>
              <w:bottom w:val="single" w:color="000000" w:sz="4" w:space="0"/>
              <w:right w:val="single" w:color="000000" w:sz="4" w:space="0"/>
            </w:tcBorders>
            <w:vAlign w:val="top"/>
          </w:tcPr>
          <w:p>
            <w:pPr>
              <w:rPr>
                <w:rFonts w:ascii="Calibri" w:hAnsi="Calibri"/>
                <w:sz w:val="22"/>
                <w:szCs w:val="22"/>
              </w:rPr>
            </w:pPr>
          </w:p>
        </w:tc>
        <w:tc>
          <w:tcPr>
            <w:tcW w:w="1916" w:type="dxa"/>
            <w:tcBorders>
              <w:top w:val="single" w:color="000000" w:sz="4" w:space="0"/>
              <w:left w:val="single" w:color="000000" w:sz="4" w:space="0"/>
              <w:bottom w:val="single" w:color="000000" w:sz="4" w:space="0"/>
              <w:right w:val="single" w:color="000000" w:sz="4" w:space="0"/>
            </w:tcBorders>
            <w:vAlign w:val="top"/>
          </w:tcPr>
          <w:p>
            <w:pPr>
              <w:rPr>
                <w:rFonts w:ascii="Calibri" w:hAnsi="Calibri"/>
                <w:sz w:val="22"/>
                <w:szCs w:val="22"/>
              </w:rPr>
            </w:pPr>
          </w:p>
        </w:tc>
        <w:tc>
          <w:tcPr>
            <w:tcW w:w="2966" w:type="dxa"/>
            <w:tcBorders>
              <w:top w:val="single" w:color="000000" w:sz="4" w:space="0"/>
              <w:left w:val="single" w:color="000000" w:sz="4" w:space="0"/>
              <w:bottom w:val="single" w:color="000000" w:sz="4" w:space="0"/>
              <w:right w:val="single" w:color="000000" w:sz="4" w:space="0"/>
            </w:tcBorders>
            <w:vAlign w:val="top"/>
          </w:tcPr>
          <w:p>
            <w:pPr>
              <w:pStyle w:val="25"/>
              <w:spacing w:before="66" w:line="280" w:lineRule="auto"/>
              <w:ind w:left="7" w:right="7"/>
              <w:rPr>
                <w:rFonts w:ascii="宋体" w:hAnsi="宋体" w:cs="宋体"/>
                <w:sz w:val="20"/>
                <w:szCs w:val="20"/>
                <w:lang w:eastAsia="zh-CN"/>
              </w:rPr>
            </w:pPr>
            <w:r>
              <w:rPr>
                <w:rFonts w:hint="eastAsia" w:ascii="宋体" w:hAnsi="宋体" w:cs="宋体"/>
                <w:w w:val="99"/>
                <w:sz w:val="20"/>
                <w:szCs w:val="20"/>
                <w:lang w:eastAsia="zh-CN"/>
              </w:rPr>
              <w:t>《复印</w:t>
            </w:r>
            <w:r>
              <w:rPr>
                <w:rFonts w:hint="eastAsia" w:ascii="宋体" w:hAnsi="宋体" w:cs="宋体"/>
                <w:spacing w:val="2"/>
                <w:w w:val="99"/>
                <w:sz w:val="20"/>
                <w:szCs w:val="20"/>
                <w:lang w:eastAsia="zh-CN"/>
              </w:rPr>
              <w:t>机</w:t>
            </w:r>
            <w:r>
              <w:rPr>
                <w:rFonts w:hint="eastAsia" w:ascii="宋体" w:hAnsi="宋体" w:cs="宋体"/>
                <w:spacing w:val="-58"/>
                <w:w w:val="99"/>
                <w:sz w:val="20"/>
                <w:szCs w:val="20"/>
                <w:lang w:eastAsia="zh-CN"/>
              </w:rPr>
              <w:t>、</w:t>
            </w:r>
            <w:r>
              <w:rPr>
                <w:rFonts w:hint="eastAsia" w:ascii="宋体" w:hAnsi="宋体" w:cs="宋体"/>
                <w:spacing w:val="2"/>
                <w:w w:val="99"/>
                <w:sz w:val="20"/>
                <w:szCs w:val="20"/>
                <w:lang w:eastAsia="zh-CN"/>
              </w:rPr>
              <w:t>打</w:t>
            </w:r>
            <w:r>
              <w:rPr>
                <w:rFonts w:hint="eastAsia" w:ascii="宋体" w:hAnsi="宋体" w:cs="宋体"/>
                <w:w w:val="99"/>
                <w:sz w:val="20"/>
                <w:szCs w:val="20"/>
                <w:lang w:eastAsia="zh-CN"/>
              </w:rPr>
              <w:t>印机</w:t>
            </w:r>
            <w:r>
              <w:rPr>
                <w:rFonts w:hint="eastAsia" w:ascii="宋体" w:hAnsi="宋体" w:cs="宋体"/>
                <w:spacing w:val="2"/>
                <w:w w:val="99"/>
                <w:sz w:val="20"/>
                <w:szCs w:val="20"/>
                <w:lang w:eastAsia="zh-CN"/>
              </w:rPr>
              <w:t>和</w:t>
            </w:r>
            <w:r>
              <w:rPr>
                <w:rFonts w:hint="eastAsia" w:ascii="宋体" w:hAnsi="宋体" w:cs="宋体"/>
                <w:w w:val="99"/>
                <w:sz w:val="20"/>
                <w:szCs w:val="20"/>
                <w:lang w:eastAsia="zh-CN"/>
              </w:rPr>
              <w:t>传真</w:t>
            </w:r>
            <w:r>
              <w:rPr>
                <w:rFonts w:hint="eastAsia" w:ascii="宋体" w:hAnsi="宋体" w:cs="宋体"/>
                <w:spacing w:val="2"/>
                <w:w w:val="99"/>
                <w:sz w:val="20"/>
                <w:szCs w:val="20"/>
                <w:lang w:eastAsia="zh-CN"/>
              </w:rPr>
              <w:t>机</w:t>
            </w:r>
            <w:r>
              <w:rPr>
                <w:rFonts w:hint="eastAsia" w:ascii="宋体" w:hAnsi="宋体" w:cs="宋体"/>
                <w:w w:val="99"/>
                <w:sz w:val="20"/>
                <w:szCs w:val="20"/>
                <w:lang w:eastAsia="zh-CN"/>
              </w:rPr>
              <w:t>能效限定值及</w:t>
            </w:r>
            <w:r>
              <w:rPr>
                <w:rFonts w:hint="eastAsia" w:ascii="宋体" w:hAnsi="宋体" w:cs="宋体"/>
                <w:spacing w:val="2"/>
                <w:w w:val="99"/>
                <w:sz w:val="20"/>
                <w:szCs w:val="20"/>
                <w:lang w:eastAsia="zh-CN"/>
              </w:rPr>
              <w:t>能</w:t>
            </w:r>
            <w:r>
              <w:rPr>
                <w:rFonts w:hint="eastAsia" w:ascii="宋体" w:hAnsi="宋体" w:cs="宋体"/>
                <w:w w:val="99"/>
                <w:sz w:val="20"/>
                <w:szCs w:val="20"/>
                <w:lang w:eastAsia="zh-CN"/>
              </w:rPr>
              <w:t>效等</w:t>
            </w:r>
            <w:r>
              <w:rPr>
                <w:rFonts w:hint="eastAsia" w:ascii="宋体" w:hAnsi="宋体" w:cs="宋体"/>
                <w:spacing w:val="2"/>
                <w:w w:val="99"/>
                <w:sz w:val="20"/>
                <w:szCs w:val="20"/>
                <w:lang w:eastAsia="zh-CN"/>
              </w:rPr>
              <w:t>级</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21</w:t>
            </w:r>
            <w:r>
              <w:rPr>
                <w:rFonts w:hint="eastAsia" w:ascii="宋体" w:hAnsi="宋体" w:cs="宋体"/>
                <w:w w:val="99"/>
                <w:sz w:val="20"/>
                <w:szCs w:val="20"/>
                <w:lang w:eastAsia="zh-CN"/>
              </w:rPr>
              <w:t>52</w:t>
            </w:r>
            <w:r>
              <w:rPr>
                <w:rFonts w:hint="eastAsia" w:ascii="宋体" w:hAnsi="宋体" w:cs="宋体"/>
                <w:spacing w:val="1"/>
                <w:w w:val="99"/>
                <w:sz w:val="20"/>
                <w:szCs w:val="20"/>
                <w:lang w:eastAsia="zh-CN"/>
              </w:rPr>
              <w:t>1</w:t>
            </w:r>
            <w:r>
              <w:rPr>
                <w:rFonts w:hint="eastAsia" w:ascii="宋体" w:hAnsi="宋体" w:cs="宋体"/>
                <w:w w:val="99"/>
                <w:sz w:val="20"/>
                <w:szCs w:val="20"/>
                <w:lang w:eastAsia="zh-CN"/>
              </w:rPr>
              <w:t>）</w:t>
            </w:r>
          </w:p>
        </w:tc>
      </w:tr>
      <w:tr>
        <w:tblPrEx>
          <w:tblLayout w:type="fixed"/>
          <w:tblCellMar>
            <w:top w:w="0" w:type="dxa"/>
            <w:left w:w="0" w:type="dxa"/>
            <w:bottom w:w="0" w:type="dxa"/>
            <w:right w:w="0" w:type="dxa"/>
          </w:tblCellMar>
        </w:tblPrEx>
        <w:trPr>
          <w:trHeight w:val="646" w:hRule="exact"/>
          <w:jc w:val="center"/>
        </w:trPr>
        <w:tc>
          <w:tcPr>
            <w:tcW w:w="574" w:type="dxa"/>
            <w:tcBorders>
              <w:top w:val="single" w:color="000000" w:sz="4" w:space="0"/>
              <w:left w:val="single" w:color="000000" w:sz="4" w:space="0"/>
              <w:bottom w:val="single" w:color="000000" w:sz="4" w:space="0"/>
              <w:right w:val="single" w:color="000000" w:sz="4" w:space="0"/>
            </w:tcBorders>
            <w:vAlign w:val="top"/>
          </w:tcPr>
          <w:p>
            <w:pPr>
              <w:pStyle w:val="25"/>
              <w:spacing w:before="160"/>
              <w:ind w:right="1"/>
              <w:jc w:val="center"/>
              <w:rPr>
                <w:rFonts w:ascii="宋体" w:hAnsi="宋体" w:cs="宋体"/>
                <w:sz w:val="20"/>
                <w:szCs w:val="20"/>
              </w:rPr>
            </w:pPr>
            <w:r>
              <w:rPr>
                <w:rFonts w:hint="eastAsia" w:ascii="宋体"/>
                <w:w w:val="99"/>
                <w:sz w:val="20"/>
              </w:rPr>
              <w:t>5</w:t>
            </w:r>
          </w:p>
        </w:tc>
        <w:tc>
          <w:tcPr>
            <w:tcW w:w="1166" w:type="dxa"/>
            <w:tcBorders>
              <w:top w:val="single" w:color="000000" w:sz="4" w:space="0"/>
              <w:left w:val="single" w:color="000000" w:sz="4" w:space="0"/>
              <w:bottom w:val="single" w:color="000000" w:sz="4" w:space="0"/>
              <w:right w:val="single" w:color="000000" w:sz="4" w:space="0"/>
            </w:tcBorders>
            <w:vAlign w:val="top"/>
          </w:tcPr>
          <w:p>
            <w:pPr>
              <w:pStyle w:val="25"/>
              <w:spacing w:before="160"/>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05</w:t>
            </w:r>
            <w:r>
              <w:rPr>
                <w:rFonts w:hint="eastAsia" w:ascii="宋体" w:hAnsi="宋体" w:cs="宋体"/>
                <w:spacing w:val="1"/>
                <w:w w:val="99"/>
                <w:sz w:val="20"/>
                <w:szCs w:val="20"/>
              </w:rPr>
              <w:t>1</w:t>
            </w:r>
            <w:r>
              <w:rPr>
                <w:rFonts w:hint="eastAsia" w:ascii="宋体" w:hAnsi="宋体" w:cs="宋体"/>
                <w:w w:val="99"/>
                <w:sz w:val="20"/>
                <w:szCs w:val="20"/>
              </w:rPr>
              <w:t>9泵</w:t>
            </w:r>
          </w:p>
        </w:tc>
        <w:tc>
          <w:tcPr>
            <w:tcW w:w="1800" w:type="dxa"/>
            <w:tcBorders>
              <w:top w:val="single" w:color="000000" w:sz="4" w:space="0"/>
              <w:left w:val="single" w:color="000000" w:sz="4" w:space="0"/>
              <w:bottom w:val="single" w:color="000000" w:sz="4" w:space="0"/>
              <w:right w:val="single" w:color="000000" w:sz="4" w:space="0"/>
            </w:tcBorders>
            <w:vAlign w:val="top"/>
          </w:tcPr>
          <w:p>
            <w:pPr>
              <w:pStyle w:val="25"/>
              <w:spacing w:before="160"/>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05</w:t>
            </w:r>
            <w:r>
              <w:rPr>
                <w:rFonts w:hint="eastAsia" w:ascii="宋体" w:hAnsi="宋体" w:cs="宋体"/>
                <w:spacing w:val="1"/>
                <w:w w:val="99"/>
                <w:sz w:val="20"/>
                <w:szCs w:val="20"/>
              </w:rPr>
              <w:t>1</w:t>
            </w:r>
            <w:r>
              <w:rPr>
                <w:rFonts w:hint="eastAsia" w:ascii="宋体" w:hAnsi="宋体" w:cs="宋体"/>
                <w:w w:val="99"/>
                <w:sz w:val="20"/>
                <w:szCs w:val="20"/>
              </w:rPr>
              <w:t>901离心泵</w:t>
            </w:r>
          </w:p>
        </w:tc>
        <w:tc>
          <w:tcPr>
            <w:tcW w:w="1916" w:type="dxa"/>
            <w:tcBorders>
              <w:top w:val="single" w:color="000000" w:sz="4" w:space="0"/>
              <w:left w:val="single" w:color="000000" w:sz="4" w:space="0"/>
              <w:bottom w:val="single" w:color="000000" w:sz="4" w:space="0"/>
              <w:right w:val="single" w:color="000000" w:sz="4" w:space="0"/>
            </w:tcBorders>
            <w:vAlign w:val="top"/>
          </w:tcPr>
          <w:p>
            <w:pPr>
              <w:rPr>
                <w:rFonts w:ascii="Calibri" w:hAnsi="Calibri"/>
                <w:sz w:val="22"/>
                <w:szCs w:val="22"/>
              </w:rPr>
            </w:pPr>
          </w:p>
        </w:tc>
        <w:tc>
          <w:tcPr>
            <w:tcW w:w="2966" w:type="dxa"/>
            <w:tcBorders>
              <w:top w:val="single" w:color="000000" w:sz="4" w:space="0"/>
              <w:left w:val="single" w:color="000000" w:sz="4" w:space="0"/>
              <w:bottom w:val="single" w:color="000000" w:sz="4" w:space="0"/>
              <w:right w:val="single" w:color="000000" w:sz="4" w:space="0"/>
            </w:tcBorders>
            <w:vAlign w:val="top"/>
          </w:tcPr>
          <w:p>
            <w:pPr>
              <w:pStyle w:val="25"/>
              <w:spacing w:before="4" w:line="280" w:lineRule="auto"/>
              <w:ind w:left="7" w:right="4"/>
              <w:rPr>
                <w:rFonts w:ascii="宋体" w:hAnsi="宋体" w:cs="宋体"/>
                <w:sz w:val="20"/>
                <w:szCs w:val="20"/>
                <w:lang w:eastAsia="zh-CN"/>
              </w:rPr>
            </w:pPr>
            <w:r>
              <w:rPr>
                <w:rFonts w:hint="eastAsia" w:ascii="宋体" w:hAnsi="宋体" w:cs="宋体"/>
                <w:spacing w:val="12"/>
                <w:w w:val="99"/>
                <w:sz w:val="20"/>
                <w:szCs w:val="20"/>
                <w:lang w:eastAsia="zh-CN"/>
              </w:rPr>
              <w:t>《清水离心泵能效限定</w:t>
            </w:r>
            <w:r>
              <w:rPr>
                <w:rFonts w:hint="eastAsia" w:ascii="宋体" w:hAnsi="宋体" w:cs="宋体"/>
                <w:spacing w:val="9"/>
                <w:w w:val="99"/>
                <w:sz w:val="20"/>
                <w:szCs w:val="20"/>
                <w:lang w:eastAsia="zh-CN"/>
              </w:rPr>
              <w:t>值</w:t>
            </w:r>
            <w:r>
              <w:rPr>
                <w:rFonts w:hint="eastAsia" w:ascii="宋体" w:hAnsi="宋体" w:cs="宋体"/>
                <w:spacing w:val="12"/>
                <w:w w:val="99"/>
                <w:sz w:val="20"/>
                <w:szCs w:val="20"/>
                <w:lang w:eastAsia="zh-CN"/>
              </w:rPr>
              <w:t>及节</w:t>
            </w:r>
            <w:r>
              <w:rPr>
                <w:rFonts w:hint="eastAsia" w:ascii="宋体" w:hAnsi="宋体" w:cs="宋体"/>
                <w:w w:val="99"/>
                <w:sz w:val="20"/>
                <w:szCs w:val="20"/>
                <w:lang w:eastAsia="zh-CN"/>
              </w:rPr>
              <w:t>能评价值</w:t>
            </w:r>
            <w:r>
              <w:rPr>
                <w:rFonts w:hint="eastAsia" w:ascii="宋体" w:hAnsi="宋体" w:cs="宋体"/>
                <w:spacing w:val="2"/>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19</w:t>
            </w:r>
            <w:r>
              <w:rPr>
                <w:rFonts w:hint="eastAsia" w:ascii="宋体" w:hAnsi="宋体" w:cs="宋体"/>
                <w:w w:val="99"/>
                <w:sz w:val="20"/>
                <w:szCs w:val="20"/>
                <w:lang w:eastAsia="zh-CN"/>
              </w:rPr>
              <w:t>76</w:t>
            </w:r>
            <w:r>
              <w:rPr>
                <w:rFonts w:hint="eastAsia" w:ascii="宋体" w:hAnsi="宋体" w:cs="宋体"/>
                <w:spacing w:val="1"/>
                <w:w w:val="99"/>
                <w:sz w:val="20"/>
                <w:szCs w:val="20"/>
                <w:lang w:eastAsia="zh-CN"/>
              </w:rPr>
              <w:t>2</w:t>
            </w:r>
            <w:r>
              <w:rPr>
                <w:rFonts w:hint="eastAsia" w:ascii="宋体" w:hAnsi="宋体" w:cs="宋体"/>
                <w:w w:val="99"/>
                <w:sz w:val="20"/>
                <w:szCs w:val="20"/>
                <w:lang w:eastAsia="zh-CN"/>
              </w:rPr>
              <w:t>）</w:t>
            </w:r>
          </w:p>
        </w:tc>
      </w:tr>
      <w:tr>
        <w:tblPrEx>
          <w:tblLayout w:type="fixed"/>
          <w:tblCellMar>
            <w:top w:w="0" w:type="dxa"/>
            <w:left w:w="0" w:type="dxa"/>
            <w:bottom w:w="0" w:type="dxa"/>
            <w:right w:w="0" w:type="dxa"/>
          </w:tblCellMar>
        </w:tblPrEx>
        <w:trPr>
          <w:trHeight w:val="1322" w:hRule="exact"/>
          <w:jc w:val="center"/>
        </w:trPr>
        <w:tc>
          <w:tcPr>
            <w:tcW w:w="574" w:type="dxa"/>
            <w:vMerge w:val="restart"/>
            <w:tcBorders>
              <w:top w:val="single" w:color="000000" w:sz="4" w:space="0"/>
              <w:left w:val="single" w:color="000000" w:sz="4" w:space="0"/>
              <w:bottom w:val="single" w:color="000000" w:sz="4" w:space="0"/>
              <w:right w:val="single" w:color="000000" w:sz="4" w:space="0"/>
            </w:tcBorders>
            <w:vAlign w:val="top"/>
          </w:tcPr>
          <w:p>
            <w:pPr>
              <w:pStyle w:val="25"/>
              <w:rPr>
                <w:rFonts w:ascii="宋体" w:hAnsi="宋体" w:cs="宋体"/>
                <w:sz w:val="20"/>
                <w:szCs w:val="20"/>
                <w:lang w:eastAsia="zh-CN"/>
              </w:rPr>
            </w:pPr>
          </w:p>
          <w:p>
            <w:pPr>
              <w:pStyle w:val="25"/>
              <w:rPr>
                <w:rFonts w:hint="eastAsia" w:ascii="宋体" w:hAnsi="宋体" w:cs="宋体"/>
                <w:sz w:val="20"/>
                <w:szCs w:val="20"/>
                <w:lang w:eastAsia="zh-CN"/>
              </w:rPr>
            </w:pPr>
          </w:p>
          <w:p>
            <w:pPr>
              <w:pStyle w:val="25"/>
              <w:spacing w:before="7"/>
              <w:rPr>
                <w:rFonts w:hint="eastAsia" w:ascii="宋体" w:hAnsi="宋体" w:cs="宋体"/>
                <w:sz w:val="26"/>
                <w:szCs w:val="26"/>
                <w:lang w:eastAsia="zh-CN"/>
              </w:rPr>
            </w:pPr>
          </w:p>
          <w:p>
            <w:pPr>
              <w:pStyle w:val="25"/>
              <w:ind w:right="1"/>
              <w:jc w:val="center"/>
              <w:rPr>
                <w:rFonts w:ascii="宋体" w:hAnsi="宋体" w:cs="宋体"/>
                <w:sz w:val="20"/>
                <w:szCs w:val="20"/>
              </w:rPr>
            </w:pPr>
            <w:r>
              <w:rPr>
                <w:rFonts w:hint="eastAsia" w:ascii="宋体"/>
                <w:w w:val="99"/>
                <w:sz w:val="20"/>
              </w:rPr>
              <w:t>6</w:t>
            </w:r>
          </w:p>
        </w:tc>
        <w:tc>
          <w:tcPr>
            <w:tcW w:w="1166" w:type="dxa"/>
            <w:vMerge w:val="restart"/>
            <w:tcBorders>
              <w:top w:val="single" w:color="000000" w:sz="4" w:space="0"/>
              <w:left w:val="single" w:color="000000" w:sz="4" w:space="0"/>
              <w:bottom w:val="single" w:color="000000" w:sz="4" w:space="0"/>
              <w:right w:val="single" w:color="000000" w:sz="4" w:space="0"/>
            </w:tcBorders>
            <w:vAlign w:val="top"/>
          </w:tcPr>
          <w:p>
            <w:pPr>
              <w:pStyle w:val="25"/>
              <w:rPr>
                <w:rFonts w:ascii="宋体" w:hAnsi="宋体" w:cs="宋体"/>
                <w:sz w:val="20"/>
                <w:szCs w:val="20"/>
              </w:rPr>
            </w:pPr>
          </w:p>
          <w:p>
            <w:pPr>
              <w:pStyle w:val="25"/>
              <w:rPr>
                <w:rFonts w:hint="eastAsia" w:ascii="宋体" w:hAnsi="宋体" w:cs="宋体"/>
                <w:sz w:val="20"/>
                <w:szCs w:val="20"/>
              </w:rPr>
            </w:pPr>
          </w:p>
          <w:p>
            <w:pPr>
              <w:pStyle w:val="25"/>
              <w:spacing w:before="8"/>
              <w:rPr>
                <w:rFonts w:hint="eastAsia" w:ascii="宋体" w:hAnsi="宋体" w:cs="宋体"/>
                <w:sz w:val="14"/>
                <w:szCs w:val="14"/>
              </w:rPr>
            </w:pPr>
          </w:p>
          <w:p>
            <w:pPr>
              <w:pStyle w:val="25"/>
              <w:ind w:left="7"/>
              <w:rPr>
                <w:rFonts w:hint="eastAsia"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05</w:t>
            </w:r>
            <w:r>
              <w:rPr>
                <w:rFonts w:hint="eastAsia" w:ascii="宋体" w:hAnsi="宋体" w:cs="宋体"/>
                <w:spacing w:val="1"/>
                <w:w w:val="99"/>
                <w:sz w:val="20"/>
                <w:szCs w:val="20"/>
              </w:rPr>
              <w:t>2</w:t>
            </w:r>
            <w:r>
              <w:rPr>
                <w:rFonts w:hint="eastAsia" w:ascii="宋体" w:hAnsi="宋体" w:cs="宋体"/>
                <w:w w:val="99"/>
                <w:sz w:val="20"/>
                <w:szCs w:val="20"/>
              </w:rPr>
              <w:t>3制冷</w:t>
            </w:r>
          </w:p>
          <w:p>
            <w:pPr>
              <w:pStyle w:val="25"/>
              <w:spacing w:before="50"/>
              <w:ind w:left="7"/>
              <w:rPr>
                <w:rFonts w:ascii="宋体" w:hAnsi="宋体" w:cs="宋体"/>
                <w:sz w:val="20"/>
                <w:szCs w:val="20"/>
              </w:rPr>
            </w:pPr>
            <w:r>
              <w:rPr>
                <w:rFonts w:hint="eastAsia" w:ascii="宋体" w:hAnsi="宋体" w:cs="宋体"/>
                <w:w w:val="99"/>
                <w:sz w:val="20"/>
                <w:szCs w:val="20"/>
              </w:rPr>
              <w:t>空调设备</w:t>
            </w:r>
          </w:p>
        </w:tc>
        <w:tc>
          <w:tcPr>
            <w:tcW w:w="1800" w:type="dxa"/>
            <w:vMerge w:val="restart"/>
            <w:tcBorders>
              <w:top w:val="single" w:color="000000" w:sz="4" w:space="0"/>
              <w:left w:val="single" w:color="000000" w:sz="4" w:space="0"/>
              <w:bottom w:val="single" w:color="000000" w:sz="4" w:space="0"/>
              <w:right w:val="single" w:color="000000" w:sz="4" w:space="0"/>
            </w:tcBorders>
            <w:vAlign w:val="top"/>
          </w:tcPr>
          <w:p>
            <w:pPr>
              <w:pStyle w:val="25"/>
              <w:rPr>
                <w:rFonts w:ascii="宋体" w:hAnsi="宋体" w:cs="宋体"/>
                <w:sz w:val="20"/>
                <w:szCs w:val="20"/>
              </w:rPr>
            </w:pPr>
          </w:p>
          <w:p>
            <w:pPr>
              <w:pStyle w:val="25"/>
              <w:rPr>
                <w:rFonts w:hint="eastAsia" w:ascii="宋体" w:hAnsi="宋体" w:cs="宋体"/>
                <w:sz w:val="20"/>
                <w:szCs w:val="20"/>
              </w:rPr>
            </w:pPr>
          </w:p>
          <w:p>
            <w:pPr>
              <w:pStyle w:val="25"/>
              <w:spacing w:before="8"/>
              <w:rPr>
                <w:rFonts w:hint="eastAsia" w:ascii="宋体" w:hAnsi="宋体" w:cs="宋体"/>
                <w:sz w:val="14"/>
                <w:szCs w:val="14"/>
              </w:rPr>
            </w:pPr>
          </w:p>
          <w:p>
            <w:pPr>
              <w:pStyle w:val="25"/>
              <w:spacing w:line="280" w:lineRule="auto"/>
              <w:ind w:left="7" w:right="5"/>
              <w:rPr>
                <w:rFonts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A020</w:t>
            </w:r>
            <w:r>
              <w:rPr>
                <w:rFonts w:hint="eastAsia" w:ascii="宋体" w:hAnsi="宋体" w:cs="宋体"/>
                <w:w w:val="99"/>
                <w:sz w:val="20"/>
                <w:szCs w:val="20"/>
              </w:rPr>
              <w:t>52</w:t>
            </w:r>
            <w:r>
              <w:rPr>
                <w:rFonts w:hint="eastAsia" w:ascii="宋体" w:hAnsi="宋体" w:cs="宋体"/>
                <w:spacing w:val="1"/>
                <w:w w:val="99"/>
                <w:sz w:val="20"/>
                <w:szCs w:val="20"/>
              </w:rPr>
              <w:t>3</w:t>
            </w:r>
            <w:r>
              <w:rPr>
                <w:rFonts w:hint="eastAsia" w:ascii="宋体" w:hAnsi="宋体" w:cs="宋体"/>
                <w:w w:val="99"/>
                <w:sz w:val="20"/>
                <w:szCs w:val="20"/>
              </w:rPr>
              <w:t>01制冷压缩机</w:t>
            </w:r>
          </w:p>
        </w:tc>
        <w:tc>
          <w:tcPr>
            <w:tcW w:w="1916" w:type="dxa"/>
            <w:tcBorders>
              <w:top w:val="single" w:color="000000" w:sz="4" w:space="0"/>
              <w:left w:val="single" w:color="000000" w:sz="4" w:space="0"/>
              <w:bottom w:val="single" w:color="000000" w:sz="4" w:space="0"/>
              <w:right w:val="single" w:color="000000" w:sz="4" w:space="0"/>
            </w:tcBorders>
            <w:vAlign w:val="top"/>
          </w:tcPr>
          <w:p>
            <w:pPr>
              <w:pStyle w:val="25"/>
              <w:rPr>
                <w:rFonts w:ascii="宋体" w:hAnsi="宋体" w:cs="宋体"/>
                <w:sz w:val="20"/>
                <w:szCs w:val="20"/>
              </w:rPr>
            </w:pPr>
          </w:p>
          <w:p>
            <w:pPr>
              <w:pStyle w:val="25"/>
              <w:spacing w:before="1"/>
              <w:rPr>
                <w:rFonts w:hint="eastAsia" w:ascii="宋体" w:hAnsi="宋体" w:cs="宋体"/>
                <w:sz w:val="18"/>
                <w:szCs w:val="18"/>
              </w:rPr>
            </w:pPr>
          </w:p>
          <w:p>
            <w:pPr>
              <w:pStyle w:val="25"/>
              <w:ind w:left="7"/>
              <w:rPr>
                <w:rFonts w:ascii="宋体" w:hAnsi="宋体" w:cs="宋体"/>
                <w:sz w:val="20"/>
                <w:szCs w:val="20"/>
              </w:rPr>
            </w:pPr>
            <w:r>
              <w:rPr>
                <w:rFonts w:hint="eastAsia" w:ascii="宋体" w:hAnsi="宋体" w:cs="宋体"/>
                <w:w w:val="99"/>
                <w:sz w:val="20"/>
                <w:szCs w:val="20"/>
              </w:rPr>
              <w:t>冷水机组</w:t>
            </w:r>
          </w:p>
        </w:tc>
        <w:tc>
          <w:tcPr>
            <w:tcW w:w="2966" w:type="dxa"/>
            <w:tcBorders>
              <w:top w:val="single" w:color="000000" w:sz="4" w:space="0"/>
              <w:left w:val="single" w:color="000000" w:sz="4" w:space="0"/>
              <w:bottom w:val="single" w:color="000000" w:sz="4" w:space="0"/>
              <w:right w:val="single" w:color="000000" w:sz="4" w:space="0"/>
            </w:tcBorders>
            <w:vAlign w:val="top"/>
          </w:tcPr>
          <w:p>
            <w:pPr>
              <w:pStyle w:val="25"/>
              <w:spacing w:before="30" w:line="280" w:lineRule="auto"/>
              <w:ind w:left="7" w:right="4"/>
              <w:jc w:val="both"/>
              <w:rPr>
                <w:rFonts w:ascii="宋体" w:hAnsi="宋体" w:cs="宋体"/>
                <w:sz w:val="20"/>
                <w:szCs w:val="20"/>
                <w:lang w:eastAsia="zh-CN"/>
              </w:rPr>
            </w:pPr>
            <w:r>
              <w:rPr>
                <w:rFonts w:hint="eastAsia" w:ascii="宋体" w:hAnsi="宋体" w:cs="宋体"/>
                <w:spacing w:val="12"/>
                <w:w w:val="99"/>
                <w:sz w:val="20"/>
                <w:szCs w:val="20"/>
                <w:lang w:eastAsia="zh-CN"/>
              </w:rPr>
              <w:t>《冷水机组能效限定值</w:t>
            </w:r>
            <w:r>
              <w:rPr>
                <w:rFonts w:hint="eastAsia" w:ascii="宋体" w:hAnsi="宋体" w:cs="宋体"/>
                <w:spacing w:val="9"/>
                <w:w w:val="99"/>
                <w:sz w:val="20"/>
                <w:szCs w:val="20"/>
                <w:lang w:eastAsia="zh-CN"/>
              </w:rPr>
              <w:t>及</w:t>
            </w:r>
            <w:r>
              <w:rPr>
                <w:rFonts w:hint="eastAsia" w:ascii="宋体" w:hAnsi="宋体" w:cs="宋体"/>
                <w:spacing w:val="12"/>
                <w:w w:val="99"/>
                <w:sz w:val="20"/>
                <w:szCs w:val="20"/>
                <w:lang w:eastAsia="zh-CN"/>
              </w:rPr>
              <w:t>能效</w:t>
            </w:r>
            <w:r>
              <w:rPr>
                <w:rFonts w:hint="eastAsia" w:ascii="宋体" w:hAnsi="宋体" w:cs="宋体"/>
                <w:w w:val="99"/>
                <w:sz w:val="20"/>
                <w:szCs w:val="20"/>
                <w:lang w:eastAsia="zh-CN"/>
              </w:rPr>
              <w:t>等级</w:t>
            </w:r>
            <w:r>
              <w:rPr>
                <w:rFonts w:hint="eastAsia" w:ascii="宋体" w:hAnsi="宋体" w:cs="宋体"/>
                <w:spacing w:val="-3"/>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195</w:t>
            </w:r>
            <w:r>
              <w:rPr>
                <w:rFonts w:hint="eastAsia" w:ascii="宋体" w:hAnsi="宋体" w:cs="宋体"/>
                <w:w w:val="99"/>
                <w:sz w:val="20"/>
                <w:szCs w:val="20"/>
                <w:lang w:eastAsia="zh-CN"/>
              </w:rPr>
              <w:t>77</w:t>
            </w:r>
            <w:r>
              <w:rPr>
                <w:rFonts w:hint="eastAsia" w:ascii="宋体" w:hAnsi="宋体" w:cs="宋体"/>
                <w:spacing w:val="-3"/>
                <w:w w:val="99"/>
                <w:sz w:val="20"/>
                <w:szCs w:val="20"/>
                <w:lang w:eastAsia="zh-CN"/>
              </w:rPr>
              <w:t>），</w:t>
            </w:r>
            <w:r>
              <w:rPr>
                <w:rFonts w:hint="eastAsia" w:ascii="宋体" w:hAnsi="宋体" w:cs="宋体"/>
                <w:w w:val="99"/>
                <w:sz w:val="20"/>
                <w:szCs w:val="20"/>
                <w:lang w:eastAsia="zh-CN"/>
              </w:rPr>
              <w:t>《低</w:t>
            </w:r>
            <w:r>
              <w:rPr>
                <w:rFonts w:hint="eastAsia" w:ascii="宋体" w:hAnsi="宋体" w:cs="宋体"/>
                <w:spacing w:val="2"/>
                <w:w w:val="99"/>
                <w:sz w:val="20"/>
                <w:szCs w:val="20"/>
                <w:lang w:eastAsia="zh-CN"/>
              </w:rPr>
              <w:t>环</w:t>
            </w:r>
            <w:r>
              <w:rPr>
                <w:rFonts w:hint="eastAsia" w:ascii="宋体" w:hAnsi="宋体" w:cs="宋体"/>
                <w:w w:val="99"/>
                <w:sz w:val="20"/>
                <w:szCs w:val="20"/>
                <w:lang w:eastAsia="zh-CN"/>
              </w:rPr>
              <w:t>境温度空气源</w:t>
            </w:r>
            <w:r>
              <w:rPr>
                <w:rFonts w:hint="eastAsia" w:ascii="宋体" w:hAnsi="宋体" w:cs="宋体"/>
                <w:spacing w:val="2"/>
                <w:w w:val="99"/>
                <w:sz w:val="20"/>
                <w:szCs w:val="20"/>
                <w:lang w:eastAsia="zh-CN"/>
              </w:rPr>
              <w:t>热</w:t>
            </w:r>
            <w:r>
              <w:rPr>
                <w:rFonts w:hint="eastAsia" w:ascii="宋体" w:hAnsi="宋体" w:cs="宋体"/>
                <w:spacing w:val="-29"/>
                <w:w w:val="99"/>
                <w:sz w:val="20"/>
                <w:szCs w:val="20"/>
                <w:lang w:eastAsia="zh-CN"/>
              </w:rPr>
              <w:t>泵</w:t>
            </w:r>
            <w:r>
              <w:rPr>
                <w:rFonts w:hint="eastAsia" w:ascii="宋体" w:hAnsi="宋体" w:cs="宋体"/>
                <w:spacing w:val="2"/>
                <w:w w:val="99"/>
                <w:sz w:val="20"/>
                <w:szCs w:val="20"/>
                <w:lang w:eastAsia="zh-CN"/>
              </w:rPr>
              <w:t>（</w:t>
            </w:r>
            <w:r>
              <w:rPr>
                <w:rFonts w:hint="eastAsia" w:ascii="宋体" w:hAnsi="宋体" w:cs="宋体"/>
                <w:w w:val="99"/>
                <w:sz w:val="20"/>
                <w:szCs w:val="20"/>
                <w:lang w:eastAsia="zh-CN"/>
              </w:rPr>
              <w:t>冷水</w:t>
            </w:r>
            <w:r>
              <w:rPr>
                <w:rFonts w:hint="eastAsia" w:ascii="宋体" w:hAnsi="宋体" w:cs="宋体"/>
                <w:spacing w:val="-27"/>
                <w:w w:val="99"/>
                <w:sz w:val="20"/>
                <w:szCs w:val="20"/>
                <w:lang w:eastAsia="zh-CN"/>
              </w:rPr>
              <w:t>）</w:t>
            </w:r>
            <w:r>
              <w:rPr>
                <w:rFonts w:hint="eastAsia" w:ascii="宋体" w:hAnsi="宋体" w:cs="宋体"/>
                <w:w w:val="99"/>
                <w:sz w:val="20"/>
                <w:szCs w:val="20"/>
                <w:lang w:eastAsia="zh-CN"/>
              </w:rPr>
              <w:t>机组</w:t>
            </w:r>
            <w:r>
              <w:rPr>
                <w:rFonts w:hint="eastAsia" w:ascii="宋体" w:hAnsi="宋体" w:cs="宋体"/>
                <w:spacing w:val="2"/>
                <w:w w:val="99"/>
                <w:sz w:val="20"/>
                <w:szCs w:val="20"/>
                <w:lang w:eastAsia="zh-CN"/>
              </w:rPr>
              <w:t>能</w:t>
            </w:r>
            <w:r>
              <w:rPr>
                <w:rFonts w:hint="eastAsia" w:ascii="宋体" w:hAnsi="宋体" w:cs="宋体"/>
                <w:w w:val="99"/>
                <w:sz w:val="20"/>
                <w:szCs w:val="20"/>
                <w:lang w:eastAsia="zh-CN"/>
              </w:rPr>
              <w:t>效限定值及能</w:t>
            </w:r>
            <w:r>
              <w:rPr>
                <w:rFonts w:hint="eastAsia" w:ascii="宋体" w:hAnsi="宋体" w:cs="宋体"/>
                <w:spacing w:val="2"/>
                <w:w w:val="99"/>
                <w:sz w:val="20"/>
                <w:szCs w:val="20"/>
                <w:lang w:eastAsia="zh-CN"/>
              </w:rPr>
              <w:t>效</w:t>
            </w:r>
            <w:r>
              <w:rPr>
                <w:rFonts w:hint="eastAsia" w:ascii="宋体" w:hAnsi="宋体" w:cs="宋体"/>
                <w:w w:val="99"/>
                <w:sz w:val="20"/>
                <w:szCs w:val="20"/>
                <w:lang w:eastAsia="zh-CN"/>
              </w:rPr>
              <w:t>等级</w:t>
            </w:r>
            <w:r>
              <w:rPr>
                <w:rFonts w:hint="eastAsia" w:ascii="宋体" w:hAnsi="宋体" w:cs="宋体"/>
                <w:spacing w:val="2"/>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37</w:t>
            </w:r>
            <w:r>
              <w:rPr>
                <w:rFonts w:hint="eastAsia" w:ascii="宋体" w:hAnsi="宋体" w:cs="宋体"/>
                <w:w w:val="99"/>
                <w:sz w:val="20"/>
                <w:szCs w:val="20"/>
                <w:lang w:eastAsia="zh-CN"/>
              </w:rPr>
              <w:t>48</w:t>
            </w:r>
            <w:r>
              <w:rPr>
                <w:rFonts w:hint="eastAsia" w:ascii="宋体" w:hAnsi="宋体" w:cs="宋体"/>
                <w:spacing w:val="-2"/>
                <w:w w:val="99"/>
                <w:sz w:val="20"/>
                <w:szCs w:val="20"/>
                <w:lang w:eastAsia="zh-CN"/>
              </w:rPr>
              <w:t>0</w:t>
            </w:r>
            <w:r>
              <w:rPr>
                <w:rFonts w:hint="eastAsia" w:ascii="宋体" w:hAnsi="宋体" w:cs="宋体"/>
                <w:w w:val="99"/>
                <w:sz w:val="20"/>
                <w:szCs w:val="20"/>
                <w:lang w:eastAsia="zh-CN"/>
              </w:rPr>
              <w:t>）</w:t>
            </w:r>
          </w:p>
        </w:tc>
      </w:tr>
      <w:tr>
        <w:tblPrEx>
          <w:tblLayout w:type="fixed"/>
          <w:tblCellMar>
            <w:top w:w="0" w:type="dxa"/>
            <w:left w:w="0" w:type="dxa"/>
            <w:bottom w:w="0" w:type="dxa"/>
            <w:right w:w="0" w:type="dxa"/>
          </w:tblCellMar>
        </w:tblPrEx>
        <w:trPr>
          <w:trHeight w:val="744" w:hRule="exact"/>
          <w:jc w:val="center"/>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11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18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1916" w:type="dxa"/>
            <w:tcBorders>
              <w:top w:val="single" w:color="000000" w:sz="4" w:space="0"/>
              <w:left w:val="single" w:color="000000" w:sz="4" w:space="0"/>
              <w:bottom w:val="single" w:color="000000" w:sz="4" w:space="0"/>
              <w:right w:val="single" w:color="000000" w:sz="4" w:space="0"/>
            </w:tcBorders>
            <w:vAlign w:val="top"/>
          </w:tcPr>
          <w:p>
            <w:pPr>
              <w:pStyle w:val="25"/>
              <w:spacing w:before="12"/>
              <w:rPr>
                <w:rFonts w:ascii="宋体" w:hAnsi="宋体" w:cs="宋体"/>
                <w:sz w:val="15"/>
                <w:szCs w:val="15"/>
                <w:lang w:eastAsia="zh-CN"/>
              </w:rPr>
            </w:pPr>
          </w:p>
          <w:p>
            <w:pPr>
              <w:pStyle w:val="25"/>
              <w:ind w:left="7"/>
              <w:rPr>
                <w:rFonts w:ascii="宋体" w:hAnsi="宋体" w:cs="宋体"/>
                <w:sz w:val="20"/>
                <w:szCs w:val="20"/>
              </w:rPr>
            </w:pPr>
            <w:r>
              <w:rPr>
                <w:rFonts w:hint="eastAsia" w:ascii="宋体" w:hAnsi="宋体" w:cs="宋体"/>
                <w:w w:val="99"/>
                <w:sz w:val="20"/>
                <w:szCs w:val="20"/>
              </w:rPr>
              <w:t>水源热</w:t>
            </w:r>
            <w:r>
              <w:rPr>
                <w:rFonts w:hint="eastAsia" w:ascii="宋体" w:hAnsi="宋体" w:cs="宋体"/>
                <w:spacing w:val="2"/>
                <w:w w:val="99"/>
                <w:sz w:val="20"/>
                <w:szCs w:val="20"/>
              </w:rPr>
              <w:t>泵</w:t>
            </w:r>
            <w:r>
              <w:rPr>
                <w:rFonts w:hint="eastAsia" w:ascii="宋体" w:hAnsi="宋体" w:cs="宋体"/>
                <w:w w:val="99"/>
                <w:sz w:val="20"/>
                <w:szCs w:val="20"/>
              </w:rPr>
              <w:t>机组</w:t>
            </w:r>
          </w:p>
        </w:tc>
        <w:tc>
          <w:tcPr>
            <w:tcW w:w="2966" w:type="dxa"/>
            <w:tcBorders>
              <w:top w:val="single" w:color="000000" w:sz="4" w:space="0"/>
              <w:left w:val="single" w:color="000000" w:sz="4" w:space="0"/>
              <w:bottom w:val="single" w:color="000000" w:sz="4" w:space="0"/>
              <w:right w:val="single" w:color="000000" w:sz="4" w:space="0"/>
            </w:tcBorders>
            <w:vAlign w:val="top"/>
          </w:tcPr>
          <w:p>
            <w:pPr>
              <w:pStyle w:val="25"/>
              <w:spacing w:before="52" w:line="280" w:lineRule="auto"/>
              <w:ind w:left="7" w:right="7"/>
              <w:rPr>
                <w:rFonts w:ascii="宋体" w:hAnsi="宋体" w:cs="宋体"/>
                <w:sz w:val="20"/>
                <w:szCs w:val="20"/>
                <w:lang w:eastAsia="zh-CN"/>
              </w:rPr>
            </w:pPr>
            <w:r>
              <w:rPr>
                <w:rFonts w:hint="eastAsia" w:ascii="宋体" w:hAnsi="宋体" w:cs="宋体"/>
                <w:w w:val="99"/>
                <w:sz w:val="20"/>
                <w:szCs w:val="20"/>
                <w:lang w:eastAsia="zh-CN"/>
              </w:rPr>
              <w:t>《</w:t>
            </w:r>
            <w:r>
              <w:rPr>
                <w:rFonts w:hint="eastAsia" w:ascii="宋体" w:hAnsi="宋体" w:cs="宋体"/>
                <w:spacing w:val="-29"/>
                <w:w w:val="99"/>
                <w:sz w:val="20"/>
                <w:szCs w:val="20"/>
                <w:lang w:eastAsia="zh-CN"/>
              </w:rPr>
              <w:t>水</w:t>
            </w:r>
            <w:r>
              <w:rPr>
                <w:rFonts w:hint="eastAsia" w:ascii="宋体" w:hAnsi="宋体" w:cs="宋体"/>
                <w:w w:val="99"/>
                <w:sz w:val="20"/>
                <w:szCs w:val="20"/>
                <w:lang w:eastAsia="zh-CN"/>
              </w:rPr>
              <w:t>（</w:t>
            </w:r>
            <w:r>
              <w:rPr>
                <w:rFonts w:hint="eastAsia" w:ascii="宋体" w:hAnsi="宋体" w:cs="宋体"/>
                <w:spacing w:val="2"/>
                <w:w w:val="99"/>
                <w:sz w:val="20"/>
                <w:szCs w:val="20"/>
                <w:lang w:eastAsia="zh-CN"/>
              </w:rPr>
              <w:t>地</w:t>
            </w:r>
            <w:r>
              <w:rPr>
                <w:rFonts w:hint="eastAsia" w:ascii="宋体" w:hAnsi="宋体" w:cs="宋体"/>
                <w:spacing w:val="-29"/>
                <w:w w:val="99"/>
                <w:sz w:val="20"/>
                <w:szCs w:val="20"/>
                <w:lang w:eastAsia="zh-CN"/>
              </w:rPr>
              <w:t>）</w:t>
            </w:r>
            <w:r>
              <w:rPr>
                <w:rFonts w:hint="eastAsia" w:ascii="宋体" w:hAnsi="宋体" w:cs="宋体"/>
                <w:spacing w:val="2"/>
                <w:w w:val="99"/>
                <w:sz w:val="20"/>
                <w:szCs w:val="20"/>
                <w:lang w:eastAsia="zh-CN"/>
              </w:rPr>
              <w:t>源</w:t>
            </w:r>
            <w:r>
              <w:rPr>
                <w:rFonts w:hint="eastAsia" w:ascii="宋体" w:hAnsi="宋体" w:cs="宋体"/>
                <w:w w:val="99"/>
                <w:sz w:val="20"/>
                <w:szCs w:val="20"/>
                <w:lang w:eastAsia="zh-CN"/>
              </w:rPr>
              <w:t>热泵</w:t>
            </w:r>
            <w:r>
              <w:rPr>
                <w:rFonts w:hint="eastAsia" w:ascii="宋体" w:hAnsi="宋体" w:cs="宋体"/>
                <w:spacing w:val="2"/>
                <w:w w:val="99"/>
                <w:sz w:val="20"/>
                <w:szCs w:val="20"/>
                <w:lang w:eastAsia="zh-CN"/>
              </w:rPr>
              <w:t>机</w:t>
            </w:r>
            <w:r>
              <w:rPr>
                <w:rFonts w:hint="eastAsia" w:ascii="宋体" w:hAnsi="宋体" w:cs="宋体"/>
                <w:w w:val="99"/>
                <w:sz w:val="20"/>
                <w:szCs w:val="20"/>
                <w:lang w:eastAsia="zh-CN"/>
              </w:rPr>
              <w:t>组能</w:t>
            </w:r>
            <w:r>
              <w:rPr>
                <w:rFonts w:hint="eastAsia" w:ascii="宋体" w:hAnsi="宋体" w:cs="宋体"/>
                <w:spacing w:val="2"/>
                <w:w w:val="99"/>
                <w:sz w:val="20"/>
                <w:szCs w:val="20"/>
                <w:lang w:eastAsia="zh-CN"/>
              </w:rPr>
              <w:t>效</w:t>
            </w:r>
            <w:r>
              <w:rPr>
                <w:rFonts w:hint="eastAsia" w:ascii="宋体" w:hAnsi="宋体" w:cs="宋体"/>
                <w:w w:val="99"/>
                <w:sz w:val="20"/>
                <w:szCs w:val="20"/>
                <w:lang w:eastAsia="zh-CN"/>
              </w:rPr>
              <w:t>限定值及能效</w:t>
            </w:r>
            <w:r>
              <w:rPr>
                <w:rFonts w:hint="eastAsia" w:ascii="宋体" w:hAnsi="宋体" w:cs="宋体"/>
                <w:spacing w:val="2"/>
                <w:w w:val="99"/>
                <w:sz w:val="20"/>
                <w:szCs w:val="20"/>
                <w:lang w:eastAsia="zh-CN"/>
              </w:rPr>
              <w:t>等</w:t>
            </w:r>
            <w:r>
              <w:rPr>
                <w:rFonts w:hint="eastAsia" w:ascii="宋体" w:hAnsi="宋体" w:cs="宋体"/>
                <w:w w:val="99"/>
                <w:sz w:val="20"/>
                <w:szCs w:val="20"/>
                <w:lang w:eastAsia="zh-CN"/>
              </w:rPr>
              <w:t>级》（</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30721</w:t>
            </w:r>
            <w:r>
              <w:rPr>
                <w:rFonts w:hint="eastAsia" w:ascii="宋体" w:hAnsi="宋体" w:cs="宋体"/>
                <w:w w:val="99"/>
                <w:sz w:val="20"/>
                <w:szCs w:val="20"/>
                <w:lang w:eastAsia="zh-CN"/>
              </w:rPr>
              <w:t>）</w:t>
            </w:r>
          </w:p>
        </w:tc>
      </w:tr>
    </w:tbl>
    <w:p>
      <w:pPr>
        <w:spacing w:before="3"/>
        <w:rPr>
          <w:rFonts w:hint="eastAsia" w:ascii="宋体" w:hAnsi="宋体" w:cs="宋体"/>
          <w:color w:val="000000"/>
          <w:sz w:val="15"/>
          <w:szCs w:val="15"/>
        </w:rPr>
      </w:pPr>
    </w:p>
    <w:p>
      <w:pPr>
        <w:spacing w:before="37"/>
        <w:ind w:right="150"/>
        <w:jc w:val="right"/>
        <w:rPr>
          <w:rFonts w:ascii="宋体" w:hAnsi="宋体" w:cs="宋体"/>
          <w:color w:val="000000"/>
          <w:sz w:val="20"/>
          <w:szCs w:val="20"/>
        </w:rPr>
        <w:sectPr>
          <w:footerReference r:id="rId3" w:type="default"/>
          <w:pgSz w:w="11910" w:h="16840"/>
          <w:pgMar w:top="1440" w:right="1440" w:bottom="1440" w:left="1440" w:header="720" w:footer="720" w:gutter="0"/>
          <w:pgNumType w:start="0"/>
          <w:cols w:space="0" w:num="1"/>
          <w:titlePg/>
          <w:rtlGutter w:val="0"/>
          <w:docGrid w:linePitch="286" w:charSpace="0"/>
        </w:sectPr>
      </w:pPr>
    </w:p>
    <w:p>
      <w:pPr>
        <w:rPr>
          <w:rFonts w:hint="eastAsia" w:ascii="宋体" w:hAnsi="宋体" w:cs="宋体"/>
          <w:color w:val="000000"/>
          <w:sz w:val="20"/>
          <w:szCs w:val="20"/>
        </w:rPr>
      </w:pPr>
    </w:p>
    <w:tbl>
      <w:tblPr>
        <w:tblStyle w:val="24"/>
        <w:tblW w:w="8421" w:type="dxa"/>
        <w:jc w:val="center"/>
        <w:tblInd w:w="0" w:type="dxa"/>
        <w:tblLayout w:type="fixed"/>
        <w:tblCellMar>
          <w:top w:w="0" w:type="dxa"/>
          <w:left w:w="0" w:type="dxa"/>
          <w:bottom w:w="0" w:type="dxa"/>
          <w:right w:w="0" w:type="dxa"/>
        </w:tblCellMar>
      </w:tblPr>
      <w:tblGrid>
        <w:gridCol w:w="574"/>
        <w:gridCol w:w="1166"/>
        <w:gridCol w:w="1800"/>
        <w:gridCol w:w="1915"/>
        <w:gridCol w:w="2966"/>
      </w:tblGrid>
      <w:tr>
        <w:tblPrEx>
          <w:tblLayout w:type="fixed"/>
          <w:tblCellMar>
            <w:top w:w="0" w:type="dxa"/>
            <w:left w:w="0" w:type="dxa"/>
            <w:bottom w:w="0" w:type="dxa"/>
            <w:right w:w="0" w:type="dxa"/>
          </w:tblCellMar>
        </w:tblPrEx>
        <w:trPr>
          <w:trHeight w:val="416" w:hRule="exact"/>
          <w:jc w:val="center"/>
        </w:trPr>
        <w:tc>
          <w:tcPr>
            <w:tcW w:w="574" w:type="dxa"/>
            <w:vMerge w:val="restart"/>
            <w:tcBorders>
              <w:top w:val="single" w:color="000000" w:sz="4" w:space="0"/>
              <w:left w:val="single" w:color="000000" w:sz="4" w:space="0"/>
              <w:bottom w:val="single" w:color="000000" w:sz="4" w:space="0"/>
              <w:right w:val="single" w:color="000000" w:sz="4" w:space="0"/>
            </w:tcBorders>
            <w:vAlign w:val="top"/>
          </w:tcPr>
          <w:p>
            <w:pPr>
              <w:rPr>
                <w:rFonts w:ascii="Calibri" w:hAnsi="Calibri"/>
                <w:sz w:val="22"/>
                <w:szCs w:val="22"/>
              </w:rPr>
            </w:pPr>
          </w:p>
        </w:tc>
        <w:tc>
          <w:tcPr>
            <w:tcW w:w="1166" w:type="dxa"/>
            <w:vMerge w:val="restart"/>
            <w:tcBorders>
              <w:top w:val="single" w:color="000000" w:sz="4" w:space="0"/>
              <w:left w:val="single" w:color="000000" w:sz="4" w:space="0"/>
              <w:bottom w:val="single" w:color="000000" w:sz="4" w:space="0"/>
              <w:right w:val="single" w:color="000000" w:sz="4" w:space="0"/>
            </w:tcBorders>
            <w:vAlign w:val="top"/>
          </w:tcPr>
          <w:p>
            <w:pPr>
              <w:rPr>
                <w:rFonts w:ascii="Calibri" w:hAnsi="Calibri"/>
                <w:sz w:val="22"/>
                <w:szCs w:val="22"/>
              </w:rPr>
            </w:pPr>
          </w:p>
        </w:tc>
        <w:tc>
          <w:tcPr>
            <w:tcW w:w="1800" w:type="dxa"/>
            <w:vMerge w:val="restart"/>
            <w:tcBorders>
              <w:top w:val="single" w:color="000000" w:sz="4" w:space="0"/>
              <w:left w:val="single" w:color="000000" w:sz="4" w:space="0"/>
              <w:bottom w:val="single" w:color="000000" w:sz="4" w:space="0"/>
              <w:right w:val="single" w:color="000000" w:sz="4" w:space="0"/>
            </w:tcBorders>
            <w:vAlign w:val="top"/>
          </w:tcPr>
          <w:p>
            <w:pPr>
              <w:rPr>
                <w:rFonts w:ascii="Calibri" w:hAnsi="Calibri"/>
                <w:sz w:val="22"/>
                <w:szCs w:val="22"/>
              </w:rPr>
            </w:pPr>
          </w:p>
        </w:tc>
        <w:tc>
          <w:tcPr>
            <w:tcW w:w="1915" w:type="dxa"/>
            <w:tcBorders>
              <w:top w:val="single" w:color="000000" w:sz="4" w:space="0"/>
              <w:left w:val="single" w:color="000000" w:sz="4" w:space="0"/>
              <w:bottom w:val="nil"/>
              <w:right w:val="single" w:color="000000" w:sz="4" w:space="0"/>
            </w:tcBorders>
            <w:vAlign w:val="top"/>
          </w:tcPr>
          <w:p>
            <w:pPr>
              <w:pStyle w:val="25"/>
              <w:spacing w:before="93"/>
              <w:ind w:left="7"/>
              <w:rPr>
                <w:rFonts w:ascii="宋体" w:hAnsi="宋体" w:cs="宋体"/>
                <w:sz w:val="20"/>
                <w:szCs w:val="20"/>
              </w:rPr>
            </w:pPr>
            <w:r>
              <w:rPr>
                <w:rFonts w:hint="eastAsia" w:ascii="宋体" w:hAnsi="宋体" w:cs="宋体"/>
                <w:spacing w:val="12"/>
                <w:w w:val="99"/>
                <w:sz w:val="20"/>
                <w:szCs w:val="20"/>
              </w:rPr>
              <w:t>溴化锂吸收式冷水</w:t>
            </w:r>
            <w:r>
              <w:rPr>
                <w:rFonts w:hint="eastAsia" w:ascii="宋体" w:hAnsi="宋体" w:cs="宋体"/>
                <w:w w:val="99"/>
                <w:sz w:val="20"/>
                <w:szCs w:val="20"/>
              </w:rPr>
              <w:t>机</w:t>
            </w:r>
          </w:p>
        </w:tc>
        <w:tc>
          <w:tcPr>
            <w:tcW w:w="2966" w:type="dxa"/>
            <w:tcBorders>
              <w:top w:val="single" w:color="000000" w:sz="4" w:space="0"/>
              <w:left w:val="single" w:color="000000" w:sz="4" w:space="0"/>
              <w:bottom w:val="nil"/>
              <w:right w:val="single" w:color="000000" w:sz="4" w:space="0"/>
            </w:tcBorders>
            <w:vAlign w:val="top"/>
          </w:tcPr>
          <w:p>
            <w:pPr>
              <w:pStyle w:val="25"/>
              <w:spacing w:before="93"/>
              <w:ind w:left="7"/>
              <w:rPr>
                <w:rFonts w:ascii="宋体" w:hAnsi="宋体" w:cs="宋体"/>
                <w:sz w:val="20"/>
                <w:szCs w:val="20"/>
                <w:lang w:eastAsia="zh-CN"/>
              </w:rPr>
            </w:pPr>
            <w:r>
              <w:rPr>
                <w:rFonts w:hint="eastAsia" w:ascii="宋体" w:hAnsi="宋体" w:cs="宋体"/>
                <w:spacing w:val="12"/>
                <w:w w:val="99"/>
                <w:sz w:val="20"/>
                <w:szCs w:val="20"/>
                <w:lang w:eastAsia="zh-CN"/>
              </w:rPr>
              <w:t>《溴化锂吸收式冷水机</w:t>
            </w:r>
            <w:r>
              <w:rPr>
                <w:rFonts w:hint="eastAsia" w:ascii="宋体" w:hAnsi="宋体" w:cs="宋体"/>
                <w:spacing w:val="9"/>
                <w:w w:val="99"/>
                <w:sz w:val="20"/>
                <w:szCs w:val="20"/>
                <w:lang w:eastAsia="zh-CN"/>
              </w:rPr>
              <w:t>组</w:t>
            </w:r>
            <w:r>
              <w:rPr>
                <w:rFonts w:hint="eastAsia" w:ascii="宋体" w:hAnsi="宋体" w:cs="宋体"/>
                <w:spacing w:val="12"/>
                <w:w w:val="99"/>
                <w:sz w:val="20"/>
                <w:szCs w:val="20"/>
                <w:lang w:eastAsia="zh-CN"/>
              </w:rPr>
              <w:t>能效</w:t>
            </w:r>
            <w:r>
              <w:rPr>
                <w:rFonts w:hint="eastAsia" w:ascii="宋体" w:hAnsi="宋体" w:cs="宋体"/>
                <w:w w:val="99"/>
                <w:sz w:val="20"/>
                <w:szCs w:val="20"/>
                <w:lang w:eastAsia="zh-CN"/>
              </w:rPr>
              <w:t>限</w:t>
            </w:r>
          </w:p>
        </w:tc>
      </w:tr>
      <w:tr>
        <w:tblPrEx>
          <w:tblLayout w:type="fixed"/>
          <w:tblCellMar>
            <w:top w:w="0" w:type="dxa"/>
            <w:left w:w="0" w:type="dxa"/>
            <w:bottom w:w="0" w:type="dxa"/>
            <w:right w:w="0" w:type="dxa"/>
          </w:tblCellMar>
        </w:tblPrEx>
        <w:trPr>
          <w:trHeight w:val="408" w:hRule="exact"/>
          <w:jc w:val="center"/>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Times New Roman"/>
                <w:sz w:val="22"/>
                <w:szCs w:val="22"/>
              </w:rPr>
            </w:pPr>
          </w:p>
        </w:tc>
        <w:tc>
          <w:tcPr>
            <w:tcW w:w="11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Times New Roman"/>
                <w:sz w:val="22"/>
                <w:szCs w:val="22"/>
              </w:rPr>
            </w:pPr>
          </w:p>
        </w:tc>
        <w:tc>
          <w:tcPr>
            <w:tcW w:w="18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Times New Roman"/>
                <w:sz w:val="22"/>
                <w:szCs w:val="22"/>
              </w:rPr>
            </w:pPr>
          </w:p>
        </w:tc>
        <w:tc>
          <w:tcPr>
            <w:tcW w:w="1915" w:type="dxa"/>
            <w:tcBorders>
              <w:top w:val="nil"/>
              <w:left w:val="single" w:color="000000" w:sz="4" w:space="0"/>
              <w:bottom w:val="single" w:color="000000" w:sz="4" w:space="0"/>
              <w:right w:val="single" w:color="000000" w:sz="4" w:space="0"/>
            </w:tcBorders>
            <w:vAlign w:val="top"/>
          </w:tcPr>
          <w:p>
            <w:pPr>
              <w:pStyle w:val="25"/>
              <w:spacing w:line="256" w:lineRule="exact"/>
              <w:ind w:left="7"/>
              <w:rPr>
                <w:rFonts w:ascii="宋体" w:hAnsi="宋体" w:cs="宋体"/>
                <w:sz w:val="20"/>
                <w:szCs w:val="20"/>
              </w:rPr>
            </w:pPr>
            <w:r>
              <w:rPr>
                <w:rFonts w:hint="eastAsia" w:ascii="宋体" w:hAnsi="宋体" w:cs="宋体"/>
                <w:w w:val="99"/>
                <w:sz w:val="20"/>
                <w:szCs w:val="20"/>
              </w:rPr>
              <w:t>组</w:t>
            </w:r>
          </w:p>
        </w:tc>
        <w:tc>
          <w:tcPr>
            <w:tcW w:w="2966" w:type="dxa"/>
            <w:tcBorders>
              <w:top w:val="nil"/>
              <w:left w:val="single" w:color="000000" w:sz="4" w:space="0"/>
              <w:bottom w:val="single" w:color="000000" w:sz="4" w:space="0"/>
              <w:right w:val="single" w:color="000000" w:sz="4" w:space="0"/>
            </w:tcBorders>
            <w:vAlign w:val="top"/>
          </w:tcPr>
          <w:p>
            <w:pPr>
              <w:pStyle w:val="25"/>
              <w:spacing w:line="256" w:lineRule="exact"/>
              <w:ind w:left="7"/>
              <w:rPr>
                <w:rFonts w:ascii="宋体" w:hAnsi="宋体" w:cs="宋体"/>
                <w:sz w:val="20"/>
                <w:szCs w:val="20"/>
                <w:lang w:eastAsia="zh-CN"/>
              </w:rPr>
            </w:pPr>
            <w:r>
              <w:rPr>
                <w:rFonts w:hint="eastAsia" w:ascii="宋体" w:hAnsi="宋体" w:cs="宋体"/>
                <w:w w:val="99"/>
                <w:sz w:val="20"/>
                <w:szCs w:val="20"/>
                <w:lang w:eastAsia="zh-CN"/>
              </w:rPr>
              <w:t>定值及</w:t>
            </w:r>
            <w:r>
              <w:rPr>
                <w:rFonts w:hint="eastAsia" w:ascii="宋体" w:hAnsi="宋体" w:cs="宋体"/>
                <w:spacing w:val="2"/>
                <w:w w:val="99"/>
                <w:sz w:val="20"/>
                <w:szCs w:val="20"/>
                <w:lang w:eastAsia="zh-CN"/>
              </w:rPr>
              <w:t>能</w:t>
            </w:r>
            <w:r>
              <w:rPr>
                <w:rFonts w:hint="eastAsia" w:ascii="宋体" w:hAnsi="宋体" w:cs="宋体"/>
                <w:w w:val="99"/>
                <w:sz w:val="20"/>
                <w:szCs w:val="20"/>
                <w:lang w:eastAsia="zh-CN"/>
              </w:rPr>
              <w:t>效等</w:t>
            </w:r>
            <w:r>
              <w:rPr>
                <w:rFonts w:hint="eastAsia" w:ascii="宋体" w:hAnsi="宋体" w:cs="宋体"/>
                <w:spacing w:val="2"/>
                <w:w w:val="99"/>
                <w:sz w:val="20"/>
                <w:szCs w:val="20"/>
                <w:lang w:eastAsia="zh-CN"/>
              </w:rPr>
              <w:t>级</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29</w:t>
            </w:r>
            <w:r>
              <w:rPr>
                <w:rFonts w:hint="eastAsia" w:ascii="宋体" w:hAnsi="宋体" w:cs="宋体"/>
                <w:w w:val="99"/>
                <w:sz w:val="20"/>
                <w:szCs w:val="20"/>
                <w:lang w:eastAsia="zh-CN"/>
              </w:rPr>
              <w:t>54</w:t>
            </w:r>
            <w:r>
              <w:rPr>
                <w:rFonts w:hint="eastAsia" w:ascii="宋体" w:hAnsi="宋体" w:cs="宋体"/>
                <w:spacing w:val="1"/>
                <w:w w:val="99"/>
                <w:sz w:val="20"/>
                <w:szCs w:val="20"/>
                <w:lang w:eastAsia="zh-CN"/>
              </w:rPr>
              <w:t>0</w:t>
            </w:r>
            <w:r>
              <w:rPr>
                <w:rFonts w:hint="eastAsia" w:ascii="宋体" w:hAnsi="宋体" w:cs="宋体"/>
                <w:w w:val="99"/>
                <w:sz w:val="20"/>
                <w:szCs w:val="20"/>
                <w:lang w:eastAsia="zh-CN"/>
              </w:rPr>
              <w:t>）</w:t>
            </w:r>
          </w:p>
        </w:tc>
      </w:tr>
      <w:tr>
        <w:tblPrEx>
          <w:tblLayout w:type="fixed"/>
          <w:tblCellMar>
            <w:top w:w="0" w:type="dxa"/>
            <w:left w:w="0" w:type="dxa"/>
            <w:bottom w:w="0" w:type="dxa"/>
            <w:right w:w="0" w:type="dxa"/>
          </w:tblCellMar>
        </w:tblPrEx>
        <w:trPr>
          <w:trHeight w:val="958" w:hRule="exact"/>
          <w:jc w:val="center"/>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Times New Roman"/>
                <w:sz w:val="22"/>
                <w:szCs w:val="22"/>
              </w:rPr>
            </w:pPr>
          </w:p>
        </w:tc>
        <w:tc>
          <w:tcPr>
            <w:tcW w:w="11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Times New Roman"/>
                <w:sz w:val="22"/>
                <w:szCs w:val="22"/>
              </w:rPr>
            </w:pPr>
          </w:p>
        </w:tc>
        <w:tc>
          <w:tcPr>
            <w:tcW w:w="1800" w:type="dxa"/>
            <w:vMerge w:val="restart"/>
            <w:tcBorders>
              <w:top w:val="single" w:color="000000" w:sz="4" w:space="0"/>
              <w:left w:val="single" w:color="000000" w:sz="4" w:space="0"/>
              <w:bottom w:val="single" w:color="000000" w:sz="4" w:space="0"/>
              <w:right w:val="single" w:color="000000" w:sz="4" w:space="0"/>
            </w:tcBorders>
            <w:vAlign w:val="top"/>
          </w:tcPr>
          <w:p>
            <w:pPr>
              <w:pStyle w:val="25"/>
              <w:rPr>
                <w:rFonts w:ascii="宋体" w:hAnsi="宋体" w:cs="宋体"/>
                <w:sz w:val="20"/>
                <w:szCs w:val="20"/>
                <w:lang w:eastAsia="zh-CN"/>
              </w:rPr>
            </w:pPr>
          </w:p>
          <w:p>
            <w:pPr>
              <w:pStyle w:val="25"/>
              <w:rPr>
                <w:rFonts w:hint="eastAsia" w:ascii="宋体" w:hAnsi="宋体" w:cs="宋体"/>
                <w:sz w:val="20"/>
                <w:szCs w:val="20"/>
                <w:lang w:eastAsia="zh-CN"/>
              </w:rPr>
            </w:pPr>
          </w:p>
          <w:p>
            <w:pPr>
              <w:pStyle w:val="25"/>
              <w:spacing w:before="3"/>
              <w:rPr>
                <w:rFonts w:hint="eastAsia" w:ascii="宋体" w:hAnsi="宋体" w:cs="宋体"/>
                <w:sz w:val="21"/>
                <w:szCs w:val="21"/>
                <w:lang w:eastAsia="zh-CN"/>
              </w:rPr>
            </w:pPr>
          </w:p>
          <w:p>
            <w:pPr>
              <w:pStyle w:val="25"/>
              <w:spacing w:line="280" w:lineRule="auto"/>
              <w:ind w:left="7" w:right="5"/>
              <w:rPr>
                <w:rFonts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A020</w:t>
            </w:r>
            <w:r>
              <w:rPr>
                <w:rFonts w:hint="eastAsia" w:ascii="宋体" w:hAnsi="宋体" w:cs="宋体"/>
                <w:w w:val="99"/>
                <w:sz w:val="20"/>
                <w:szCs w:val="20"/>
              </w:rPr>
              <w:t>52</w:t>
            </w:r>
            <w:r>
              <w:rPr>
                <w:rFonts w:hint="eastAsia" w:ascii="宋体" w:hAnsi="宋体" w:cs="宋体"/>
                <w:spacing w:val="1"/>
                <w:w w:val="99"/>
                <w:sz w:val="20"/>
                <w:szCs w:val="20"/>
              </w:rPr>
              <w:t>3</w:t>
            </w:r>
            <w:r>
              <w:rPr>
                <w:rFonts w:hint="eastAsia" w:ascii="宋体" w:hAnsi="宋体" w:cs="宋体"/>
                <w:w w:val="99"/>
                <w:sz w:val="20"/>
                <w:szCs w:val="20"/>
              </w:rPr>
              <w:t>05空调机组</w:t>
            </w:r>
          </w:p>
        </w:tc>
        <w:tc>
          <w:tcPr>
            <w:tcW w:w="1915" w:type="dxa"/>
            <w:tcBorders>
              <w:top w:val="single" w:color="000000" w:sz="4" w:space="0"/>
              <w:left w:val="single" w:color="000000" w:sz="4" w:space="0"/>
              <w:bottom w:val="single" w:color="000000" w:sz="4" w:space="0"/>
              <w:right w:val="single" w:color="000000" w:sz="4" w:space="0"/>
            </w:tcBorders>
            <w:vAlign w:val="top"/>
          </w:tcPr>
          <w:p>
            <w:pPr>
              <w:pStyle w:val="25"/>
              <w:spacing w:before="4" w:line="280" w:lineRule="auto"/>
              <w:ind w:left="7" w:right="7"/>
              <w:jc w:val="both"/>
              <w:rPr>
                <w:rFonts w:ascii="宋体" w:hAnsi="宋体" w:cs="宋体"/>
                <w:sz w:val="20"/>
                <w:szCs w:val="20"/>
                <w:lang w:eastAsia="zh-CN"/>
              </w:rPr>
            </w:pPr>
            <w:r>
              <w:rPr>
                <w:rFonts w:hint="eastAsia" w:ascii="宋体" w:hAnsi="宋体" w:cs="宋体"/>
                <w:spacing w:val="12"/>
                <w:w w:val="99"/>
                <w:sz w:val="20"/>
                <w:szCs w:val="20"/>
                <w:lang w:eastAsia="zh-CN"/>
              </w:rPr>
              <w:t>多联式空</w:t>
            </w:r>
            <w:r>
              <w:rPr>
                <w:rFonts w:hint="eastAsia" w:ascii="宋体" w:hAnsi="宋体" w:cs="宋体"/>
                <w:spacing w:val="11"/>
                <w:w w:val="99"/>
                <w:sz w:val="20"/>
                <w:szCs w:val="20"/>
                <w:lang w:eastAsia="zh-CN"/>
              </w:rPr>
              <w:t>调（</w:t>
            </w:r>
            <w:r>
              <w:rPr>
                <w:rFonts w:hint="eastAsia" w:ascii="宋体" w:hAnsi="宋体" w:cs="宋体"/>
                <w:spacing w:val="12"/>
                <w:w w:val="99"/>
                <w:sz w:val="20"/>
                <w:szCs w:val="20"/>
                <w:lang w:eastAsia="zh-CN"/>
              </w:rPr>
              <w:t>热泵</w:t>
            </w:r>
            <w:r>
              <w:rPr>
                <w:rFonts w:hint="eastAsia" w:ascii="宋体" w:hAnsi="宋体" w:cs="宋体"/>
                <w:w w:val="99"/>
                <w:sz w:val="20"/>
                <w:szCs w:val="20"/>
                <w:lang w:eastAsia="zh-CN"/>
              </w:rPr>
              <w:t>）机组（制冷量</w:t>
            </w:r>
            <w:r>
              <w:rPr>
                <w:rFonts w:hint="eastAsia" w:ascii="宋体" w:hAnsi="宋体" w:cs="宋体"/>
                <w:spacing w:val="1"/>
                <w:w w:val="99"/>
                <w:sz w:val="20"/>
                <w:szCs w:val="20"/>
                <w:lang w:eastAsia="zh-CN"/>
              </w:rPr>
              <w:t>&gt;140</w:t>
            </w:r>
            <w:r>
              <w:rPr>
                <w:rFonts w:hint="eastAsia" w:ascii="宋体" w:hAnsi="宋体" w:cs="宋体"/>
                <w:w w:val="99"/>
                <w:sz w:val="20"/>
                <w:szCs w:val="20"/>
                <w:lang w:eastAsia="zh-CN"/>
              </w:rPr>
              <w:t>00</w:t>
            </w:r>
            <w:r>
              <w:rPr>
                <w:rFonts w:hint="eastAsia" w:ascii="宋体" w:hAnsi="宋体" w:cs="宋体"/>
                <w:spacing w:val="1"/>
                <w:w w:val="99"/>
                <w:sz w:val="20"/>
                <w:szCs w:val="20"/>
                <w:lang w:eastAsia="zh-CN"/>
              </w:rPr>
              <w:t>W</w:t>
            </w:r>
            <w:r>
              <w:rPr>
                <w:rFonts w:hint="eastAsia" w:ascii="宋体" w:hAnsi="宋体" w:cs="宋体"/>
                <w:w w:val="99"/>
                <w:sz w:val="20"/>
                <w:szCs w:val="20"/>
                <w:lang w:eastAsia="zh-CN"/>
              </w:rPr>
              <w:t>）</w:t>
            </w:r>
          </w:p>
        </w:tc>
        <w:tc>
          <w:tcPr>
            <w:tcW w:w="2966" w:type="dxa"/>
            <w:tcBorders>
              <w:top w:val="single" w:color="000000" w:sz="4" w:space="0"/>
              <w:left w:val="single" w:color="000000" w:sz="4" w:space="0"/>
              <w:bottom w:val="single" w:color="000000" w:sz="4" w:space="0"/>
              <w:right w:val="single" w:color="000000" w:sz="4" w:space="0"/>
            </w:tcBorders>
            <w:vAlign w:val="top"/>
          </w:tcPr>
          <w:p>
            <w:pPr>
              <w:pStyle w:val="25"/>
              <w:spacing w:before="160" w:line="280" w:lineRule="auto"/>
              <w:ind w:left="7" w:right="7"/>
              <w:rPr>
                <w:rFonts w:ascii="宋体" w:hAnsi="宋体" w:cs="宋体"/>
                <w:sz w:val="20"/>
                <w:szCs w:val="20"/>
                <w:lang w:eastAsia="zh-CN"/>
              </w:rPr>
            </w:pPr>
            <w:r>
              <w:rPr>
                <w:rFonts w:hint="eastAsia" w:ascii="宋体" w:hAnsi="宋体" w:cs="宋体"/>
                <w:w w:val="99"/>
                <w:sz w:val="20"/>
                <w:szCs w:val="20"/>
                <w:lang w:eastAsia="zh-CN"/>
              </w:rPr>
              <w:t>《多联</w:t>
            </w:r>
            <w:r>
              <w:rPr>
                <w:rFonts w:hint="eastAsia" w:ascii="宋体" w:hAnsi="宋体" w:cs="宋体"/>
                <w:spacing w:val="2"/>
                <w:w w:val="99"/>
                <w:sz w:val="20"/>
                <w:szCs w:val="20"/>
                <w:lang w:eastAsia="zh-CN"/>
              </w:rPr>
              <w:t>式</w:t>
            </w:r>
            <w:r>
              <w:rPr>
                <w:rFonts w:hint="eastAsia" w:ascii="宋体" w:hAnsi="宋体" w:cs="宋体"/>
                <w:w w:val="99"/>
                <w:sz w:val="20"/>
                <w:szCs w:val="20"/>
                <w:lang w:eastAsia="zh-CN"/>
              </w:rPr>
              <w:t>空</w:t>
            </w:r>
            <w:r>
              <w:rPr>
                <w:rFonts w:hint="eastAsia" w:ascii="宋体" w:hAnsi="宋体" w:cs="宋体"/>
                <w:spacing w:val="-27"/>
                <w:w w:val="99"/>
                <w:sz w:val="20"/>
                <w:szCs w:val="20"/>
                <w:lang w:eastAsia="zh-CN"/>
              </w:rPr>
              <w:t>调</w:t>
            </w:r>
            <w:r>
              <w:rPr>
                <w:rFonts w:hint="eastAsia" w:ascii="宋体" w:hAnsi="宋体" w:cs="宋体"/>
                <w:w w:val="99"/>
                <w:sz w:val="20"/>
                <w:szCs w:val="20"/>
                <w:lang w:eastAsia="zh-CN"/>
              </w:rPr>
              <w:t>（热</w:t>
            </w:r>
            <w:r>
              <w:rPr>
                <w:rFonts w:hint="eastAsia" w:ascii="宋体" w:hAnsi="宋体" w:cs="宋体"/>
                <w:spacing w:val="2"/>
                <w:w w:val="99"/>
                <w:sz w:val="20"/>
                <w:szCs w:val="20"/>
                <w:lang w:eastAsia="zh-CN"/>
              </w:rPr>
              <w:t>泵</w:t>
            </w:r>
            <w:r>
              <w:rPr>
                <w:rFonts w:hint="eastAsia" w:ascii="宋体" w:hAnsi="宋体" w:cs="宋体"/>
                <w:spacing w:val="-29"/>
                <w:w w:val="99"/>
                <w:sz w:val="20"/>
                <w:szCs w:val="20"/>
                <w:lang w:eastAsia="zh-CN"/>
              </w:rPr>
              <w:t>）</w:t>
            </w:r>
            <w:r>
              <w:rPr>
                <w:rFonts w:hint="eastAsia" w:ascii="宋体" w:hAnsi="宋体" w:cs="宋体"/>
                <w:w w:val="99"/>
                <w:sz w:val="20"/>
                <w:szCs w:val="20"/>
                <w:lang w:eastAsia="zh-CN"/>
              </w:rPr>
              <w:t>机</w:t>
            </w:r>
            <w:r>
              <w:rPr>
                <w:rFonts w:hint="eastAsia" w:ascii="宋体" w:hAnsi="宋体" w:cs="宋体"/>
                <w:spacing w:val="2"/>
                <w:w w:val="99"/>
                <w:sz w:val="20"/>
                <w:szCs w:val="20"/>
                <w:lang w:eastAsia="zh-CN"/>
              </w:rPr>
              <w:t>组</w:t>
            </w:r>
            <w:r>
              <w:rPr>
                <w:rFonts w:hint="eastAsia" w:ascii="宋体" w:hAnsi="宋体" w:cs="宋体"/>
                <w:w w:val="99"/>
                <w:sz w:val="20"/>
                <w:szCs w:val="20"/>
                <w:lang w:eastAsia="zh-CN"/>
              </w:rPr>
              <w:t>能效限定值及</w:t>
            </w:r>
            <w:r>
              <w:rPr>
                <w:rFonts w:hint="eastAsia" w:ascii="宋体" w:hAnsi="宋体" w:cs="宋体"/>
                <w:spacing w:val="2"/>
                <w:w w:val="99"/>
                <w:sz w:val="20"/>
                <w:szCs w:val="20"/>
                <w:lang w:eastAsia="zh-CN"/>
              </w:rPr>
              <w:t>能</w:t>
            </w:r>
            <w:r>
              <w:rPr>
                <w:rFonts w:hint="eastAsia" w:ascii="宋体" w:hAnsi="宋体" w:cs="宋体"/>
                <w:w w:val="99"/>
                <w:sz w:val="20"/>
                <w:szCs w:val="20"/>
                <w:lang w:eastAsia="zh-CN"/>
              </w:rPr>
              <w:t>源效</w:t>
            </w:r>
            <w:r>
              <w:rPr>
                <w:rFonts w:hint="eastAsia" w:ascii="宋体" w:hAnsi="宋体" w:cs="宋体"/>
                <w:spacing w:val="2"/>
                <w:w w:val="99"/>
                <w:sz w:val="20"/>
                <w:szCs w:val="20"/>
                <w:lang w:eastAsia="zh-CN"/>
              </w:rPr>
              <w:t>率</w:t>
            </w:r>
            <w:r>
              <w:rPr>
                <w:rFonts w:hint="eastAsia" w:ascii="宋体" w:hAnsi="宋体" w:cs="宋体"/>
                <w:w w:val="99"/>
                <w:sz w:val="20"/>
                <w:szCs w:val="20"/>
                <w:lang w:eastAsia="zh-CN"/>
              </w:rPr>
              <w:t>等级</w:t>
            </w:r>
            <w:r>
              <w:rPr>
                <w:rFonts w:hint="eastAsia" w:ascii="宋体" w:hAnsi="宋体" w:cs="宋体"/>
                <w:spacing w:val="-106"/>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2145</w:t>
            </w:r>
            <w:r>
              <w:rPr>
                <w:rFonts w:hint="eastAsia" w:ascii="宋体" w:hAnsi="宋体" w:cs="宋体"/>
                <w:w w:val="99"/>
                <w:sz w:val="20"/>
                <w:szCs w:val="20"/>
                <w:lang w:eastAsia="zh-CN"/>
              </w:rPr>
              <w:t>4</w:t>
            </w:r>
          </w:p>
        </w:tc>
      </w:tr>
      <w:tr>
        <w:tblPrEx>
          <w:tblLayout w:type="fixed"/>
          <w:tblCellMar>
            <w:top w:w="0" w:type="dxa"/>
            <w:left w:w="0" w:type="dxa"/>
            <w:bottom w:w="0" w:type="dxa"/>
            <w:right w:w="0" w:type="dxa"/>
          </w:tblCellMar>
        </w:tblPrEx>
        <w:trPr>
          <w:trHeight w:val="644" w:hRule="exact"/>
          <w:jc w:val="center"/>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Times New Roman"/>
                <w:sz w:val="22"/>
                <w:szCs w:val="22"/>
              </w:rPr>
            </w:pPr>
          </w:p>
        </w:tc>
        <w:tc>
          <w:tcPr>
            <w:tcW w:w="11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Times New Roman"/>
                <w:sz w:val="22"/>
                <w:szCs w:val="22"/>
              </w:rPr>
            </w:pPr>
          </w:p>
        </w:tc>
        <w:tc>
          <w:tcPr>
            <w:tcW w:w="18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1915" w:type="dxa"/>
            <w:tcBorders>
              <w:top w:val="single" w:color="000000" w:sz="4" w:space="0"/>
              <w:left w:val="single" w:color="000000" w:sz="4" w:space="0"/>
              <w:bottom w:val="nil"/>
              <w:right w:val="single" w:color="000000" w:sz="4" w:space="0"/>
            </w:tcBorders>
            <w:vAlign w:val="top"/>
          </w:tcPr>
          <w:p>
            <w:pPr>
              <w:pStyle w:val="25"/>
              <w:spacing w:before="7"/>
              <w:rPr>
                <w:rFonts w:ascii="宋体" w:hAnsi="宋体" w:cs="宋体"/>
                <w:sz w:val="24"/>
                <w:szCs w:val="24"/>
                <w:lang w:eastAsia="zh-CN"/>
              </w:rPr>
            </w:pPr>
          </w:p>
          <w:p>
            <w:pPr>
              <w:pStyle w:val="25"/>
              <w:ind w:left="7"/>
              <w:rPr>
                <w:rFonts w:ascii="宋体" w:hAnsi="宋体" w:cs="宋体"/>
                <w:sz w:val="20"/>
                <w:szCs w:val="20"/>
              </w:rPr>
            </w:pPr>
            <w:r>
              <w:rPr>
                <w:rFonts w:hint="eastAsia" w:ascii="宋体" w:hAnsi="宋体" w:cs="宋体"/>
                <w:w w:val="99"/>
                <w:sz w:val="20"/>
                <w:szCs w:val="20"/>
              </w:rPr>
              <w:t>单元式空气调节机</w:t>
            </w:r>
          </w:p>
        </w:tc>
        <w:tc>
          <w:tcPr>
            <w:tcW w:w="2966" w:type="dxa"/>
            <w:tcBorders>
              <w:top w:val="single" w:color="000000" w:sz="4" w:space="0"/>
              <w:left w:val="single" w:color="000000" w:sz="4" w:space="0"/>
              <w:bottom w:val="nil"/>
              <w:right w:val="single" w:color="000000" w:sz="4" w:space="0"/>
            </w:tcBorders>
            <w:vAlign w:val="top"/>
          </w:tcPr>
          <w:p>
            <w:pPr>
              <w:pStyle w:val="25"/>
              <w:spacing w:before="9" w:line="280" w:lineRule="auto"/>
              <w:ind w:left="7" w:right="4"/>
              <w:rPr>
                <w:rFonts w:ascii="宋体" w:hAnsi="宋体" w:cs="宋体"/>
                <w:sz w:val="20"/>
                <w:szCs w:val="20"/>
                <w:lang w:eastAsia="zh-CN"/>
              </w:rPr>
            </w:pPr>
            <w:r>
              <w:rPr>
                <w:rFonts w:hint="eastAsia" w:ascii="宋体" w:hAnsi="宋体" w:cs="宋体"/>
                <w:spacing w:val="12"/>
                <w:w w:val="99"/>
                <w:sz w:val="20"/>
                <w:szCs w:val="20"/>
                <w:lang w:eastAsia="zh-CN"/>
              </w:rPr>
              <w:t>《单元式空气调节机能</w:t>
            </w:r>
            <w:r>
              <w:rPr>
                <w:rFonts w:hint="eastAsia" w:ascii="宋体" w:hAnsi="宋体" w:cs="宋体"/>
                <w:spacing w:val="9"/>
                <w:w w:val="99"/>
                <w:sz w:val="20"/>
                <w:szCs w:val="20"/>
                <w:lang w:eastAsia="zh-CN"/>
              </w:rPr>
              <w:t>效</w:t>
            </w:r>
            <w:r>
              <w:rPr>
                <w:rFonts w:hint="eastAsia" w:ascii="宋体" w:hAnsi="宋体" w:cs="宋体"/>
                <w:spacing w:val="12"/>
                <w:w w:val="99"/>
                <w:sz w:val="20"/>
                <w:szCs w:val="20"/>
                <w:lang w:eastAsia="zh-CN"/>
              </w:rPr>
              <w:t>限定</w:t>
            </w:r>
            <w:r>
              <w:rPr>
                <w:rFonts w:hint="eastAsia" w:ascii="宋体" w:hAnsi="宋体" w:cs="宋体"/>
                <w:w w:val="99"/>
                <w:sz w:val="20"/>
                <w:szCs w:val="20"/>
                <w:lang w:eastAsia="zh-CN"/>
              </w:rPr>
              <w:t>值及能效</w:t>
            </w:r>
            <w:r>
              <w:rPr>
                <w:rFonts w:hint="eastAsia" w:ascii="宋体" w:hAnsi="宋体" w:cs="宋体"/>
                <w:spacing w:val="2"/>
                <w:w w:val="99"/>
                <w:sz w:val="20"/>
                <w:szCs w:val="20"/>
                <w:lang w:eastAsia="zh-CN"/>
              </w:rPr>
              <w:t>等</w:t>
            </w:r>
            <w:r>
              <w:rPr>
                <w:rFonts w:hint="eastAsia" w:ascii="宋体" w:hAnsi="宋体" w:cs="宋体"/>
                <w:w w:val="99"/>
                <w:sz w:val="20"/>
                <w:szCs w:val="20"/>
                <w:lang w:eastAsia="zh-CN"/>
              </w:rPr>
              <w:t>级</w:t>
            </w:r>
            <w:r>
              <w:rPr>
                <w:rFonts w:hint="eastAsia" w:ascii="宋体" w:hAnsi="宋体" w:cs="宋体"/>
                <w:spacing w:val="-3"/>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195</w:t>
            </w:r>
            <w:r>
              <w:rPr>
                <w:rFonts w:hint="eastAsia" w:ascii="宋体" w:hAnsi="宋体" w:cs="宋体"/>
                <w:w w:val="99"/>
                <w:sz w:val="20"/>
                <w:szCs w:val="20"/>
                <w:lang w:eastAsia="zh-CN"/>
              </w:rPr>
              <w:t>7</w:t>
            </w:r>
            <w:r>
              <w:rPr>
                <w:rFonts w:hint="eastAsia" w:ascii="宋体" w:hAnsi="宋体" w:cs="宋体"/>
                <w:spacing w:val="-1"/>
                <w:w w:val="99"/>
                <w:sz w:val="20"/>
                <w:szCs w:val="20"/>
                <w:lang w:eastAsia="zh-CN"/>
              </w:rPr>
              <w:t>6</w:t>
            </w:r>
            <w:r>
              <w:rPr>
                <w:rFonts w:hint="eastAsia" w:ascii="宋体" w:hAnsi="宋体" w:cs="宋体"/>
                <w:spacing w:val="-5"/>
                <w:w w:val="99"/>
                <w:sz w:val="20"/>
                <w:szCs w:val="20"/>
                <w:lang w:eastAsia="zh-CN"/>
              </w:rPr>
              <w:t>）</w:t>
            </w:r>
            <w:r>
              <w:rPr>
                <w:rFonts w:hint="eastAsia" w:ascii="宋体" w:hAnsi="宋体" w:cs="宋体"/>
                <w:w w:val="99"/>
                <w:sz w:val="20"/>
                <w:szCs w:val="20"/>
                <w:lang w:eastAsia="zh-CN"/>
              </w:rPr>
              <w:t>《风管</w:t>
            </w:r>
          </w:p>
        </w:tc>
      </w:tr>
      <w:tr>
        <w:tblPrEx>
          <w:tblLayout w:type="fixed"/>
          <w:tblCellMar>
            <w:top w:w="0" w:type="dxa"/>
            <w:left w:w="0" w:type="dxa"/>
            <w:bottom w:w="0" w:type="dxa"/>
            <w:right w:w="0" w:type="dxa"/>
          </w:tblCellMar>
        </w:tblPrEx>
        <w:trPr>
          <w:trHeight w:val="312" w:hRule="exact"/>
          <w:jc w:val="center"/>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Times New Roman"/>
                <w:sz w:val="22"/>
                <w:szCs w:val="22"/>
              </w:rPr>
            </w:pPr>
          </w:p>
        </w:tc>
        <w:tc>
          <w:tcPr>
            <w:tcW w:w="11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Times New Roman"/>
                <w:sz w:val="22"/>
                <w:szCs w:val="22"/>
              </w:rPr>
            </w:pPr>
          </w:p>
        </w:tc>
        <w:tc>
          <w:tcPr>
            <w:tcW w:w="18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1915" w:type="dxa"/>
            <w:vMerge w:val="restart"/>
            <w:tcBorders>
              <w:top w:val="nil"/>
              <w:left w:val="single" w:color="000000" w:sz="4" w:space="0"/>
              <w:bottom w:val="single" w:color="000000" w:sz="4" w:space="0"/>
              <w:right w:val="single" w:color="000000" w:sz="4" w:space="0"/>
            </w:tcBorders>
            <w:vAlign w:val="top"/>
          </w:tcPr>
          <w:p>
            <w:pPr>
              <w:pStyle w:val="25"/>
              <w:spacing w:line="256" w:lineRule="exact"/>
              <w:ind w:left="7"/>
              <w:rPr>
                <w:rFonts w:ascii="宋体" w:hAnsi="宋体" w:cs="宋体"/>
                <w:sz w:val="20"/>
                <w:szCs w:val="20"/>
              </w:rPr>
            </w:pPr>
            <w:r>
              <w:rPr>
                <w:rFonts w:hint="eastAsia" w:ascii="宋体" w:hAnsi="宋体" w:cs="宋体"/>
                <w:spacing w:val="1"/>
                <w:w w:val="99"/>
                <w:sz w:val="20"/>
                <w:szCs w:val="20"/>
              </w:rPr>
              <w:t>（</w:t>
            </w:r>
            <w:r>
              <w:rPr>
                <w:rFonts w:hint="eastAsia" w:ascii="宋体" w:hAnsi="宋体" w:cs="宋体"/>
                <w:w w:val="99"/>
                <w:sz w:val="20"/>
                <w:szCs w:val="20"/>
              </w:rPr>
              <w:t>制冷量</w:t>
            </w:r>
            <w:r>
              <w:rPr>
                <w:rFonts w:hint="eastAsia" w:ascii="宋体" w:hAnsi="宋体" w:cs="宋体"/>
                <w:spacing w:val="1"/>
                <w:w w:val="99"/>
                <w:sz w:val="20"/>
                <w:szCs w:val="20"/>
              </w:rPr>
              <w:t>&gt;1400</w:t>
            </w:r>
            <w:r>
              <w:rPr>
                <w:rFonts w:hint="eastAsia" w:ascii="宋体" w:hAnsi="宋体" w:cs="宋体"/>
                <w:w w:val="99"/>
                <w:sz w:val="20"/>
                <w:szCs w:val="20"/>
              </w:rPr>
              <w:t>0W）</w:t>
            </w:r>
          </w:p>
        </w:tc>
        <w:tc>
          <w:tcPr>
            <w:tcW w:w="2966" w:type="dxa"/>
            <w:tcBorders>
              <w:top w:val="nil"/>
              <w:left w:val="single" w:color="000000" w:sz="4" w:space="0"/>
              <w:bottom w:val="nil"/>
              <w:right w:val="single" w:color="000000" w:sz="4" w:space="0"/>
            </w:tcBorders>
            <w:vAlign w:val="top"/>
          </w:tcPr>
          <w:p>
            <w:pPr>
              <w:pStyle w:val="25"/>
              <w:spacing w:line="256" w:lineRule="exact"/>
              <w:ind w:left="7"/>
              <w:rPr>
                <w:rFonts w:ascii="宋体" w:hAnsi="宋体" w:cs="宋体"/>
                <w:sz w:val="20"/>
                <w:szCs w:val="20"/>
                <w:lang w:eastAsia="zh-CN"/>
              </w:rPr>
            </w:pPr>
            <w:r>
              <w:rPr>
                <w:rFonts w:hint="eastAsia" w:ascii="宋体" w:hAnsi="宋体" w:cs="宋体"/>
                <w:spacing w:val="12"/>
                <w:w w:val="99"/>
                <w:sz w:val="20"/>
                <w:szCs w:val="20"/>
                <w:lang w:eastAsia="zh-CN"/>
              </w:rPr>
              <w:t>送风式空调机组能效限</w:t>
            </w:r>
            <w:r>
              <w:rPr>
                <w:rFonts w:hint="eastAsia" w:ascii="宋体" w:hAnsi="宋体" w:cs="宋体"/>
                <w:spacing w:val="9"/>
                <w:w w:val="99"/>
                <w:sz w:val="20"/>
                <w:szCs w:val="20"/>
                <w:lang w:eastAsia="zh-CN"/>
              </w:rPr>
              <w:t>定</w:t>
            </w:r>
            <w:r>
              <w:rPr>
                <w:rFonts w:hint="eastAsia" w:ascii="宋体" w:hAnsi="宋体" w:cs="宋体"/>
                <w:spacing w:val="12"/>
                <w:w w:val="99"/>
                <w:sz w:val="20"/>
                <w:szCs w:val="20"/>
                <w:lang w:eastAsia="zh-CN"/>
              </w:rPr>
              <w:t>值及</w:t>
            </w:r>
            <w:r>
              <w:rPr>
                <w:rFonts w:hint="eastAsia" w:ascii="宋体" w:hAnsi="宋体" w:cs="宋体"/>
                <w:w w:val="99"/>
                <w:sz w:val="20"/>
                <w:szCs w:val="20"/>
                <w:lang w:eastAsia="zh-CN"/>
              </w:rPr>
              <w:t>能</w:t>
            </w:r>
          </w:p>
        </w:tc>
      </w:tr>
      <w:tr>
        <w:tblPrEx>
          <w:tblLayout w:type="fixed"/>
          <w:tblCellMar>
            <w:top w:w="0" w:type="dxa"/>
            <w:left w:w="0" w:type="dxa"/>
            <w:bottom w:w="0" w:type="dxa"/>
            <w:right w:w="0" w:type="dxa"/>
          </w:tblCellMar>
        </w:tblPrEx>
        <w:trPr>
          <w:trHeight w:val="326" w:hRule="atLeast"/>
          <w:jc w:val="center"/>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Times New Roman"/>
                <w:sz w:val="22"/>
                <w:szCs w:val="22"/>
              </w:rPr>
            </w:pPr>
          </w:p>
        </w:tc>
        <w:tc>
          <w:tcPr>
            <w:tcW w:w="11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Times New Roman"/>
                <w:sz w:val="22"/>
                <w:szCs w:val="22"/>
              </w:rPr>
            </w:pPr>
          </w:p>
        </w:tc>
        <w:tc>
          <w:tcPr>
            <w:tcW w:w="18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191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2966" w:type="dxa"/>
            <w:tcBorders>
              <w:top w:val="nil"/>
              <w:left w:val="single" w:color="000000" w:sz="4" w:space="0"/>
              <w:bottom w:val="single" w:color="000000" w:sz="4" w:space="0"/>
              <w:right w:val="single" w:color="000000" w:sz="4" w:space="0"/>
            </w:tcBorders>
            <w:vAlign w:val="top"/>
          </w:tcPr>
          <w:p>
            <w:pPr>
              <w:pStyle w:val="25"/>
              <w:spacing w:line="256" w:lineRule="exact"/>
              <w:ind w:left="7"/>
              <w:rPr>
                <w:rFonts w:ascii="宋体" w:hAnsi="宋体" w:cs="宋体"/>
                <w:sz w:val="20"/>
                <w:szCs w:val="20"/>
              </w:rPr>
            </w:pPr>
            <w:r>
              <w:rPr>
                <w:rFonts w:hint="eastAsia" w:ascii="宋体" w:hAnsi="宋体" w:cs="宋体"/>
                <w:w w:val="99"/>
                <w:sz w:val="20"/>
                <w:szCs w:val="20"/>
              </w:rPr>
              <w:t>效等级</w:t>
            </w:r>
            <w:r>
              <w:rPr>
                <w:rFonts w:hint="eastAsia" w:ascii="宋体" w:hAnsi="宋体" w:cs="宋体"/>
                <w:spacing w:val="2"/>
                <w:w w:val="99"/>
                <w:sz w:val="20"/>
                <w:szCs w:val="20"/>
              </w:rPr>
              <w:t>》</w:t>
            </w:r>
            <w:r>
              <w:rPr>
                <w:rFonts w:hint="eastAsia" w:ascii="宋体" w:hAnsi="宋体" w:cs="宋体"/>
                <w:w w:val="99"/>
                <w:sz w:val="20"/>
                <w:szCs w:val="20"/>
              </w:rPr>
              <w:t>（</w:t>
            </w:r>
            <w:r>
              <w:rPr>
                <w:rFonts w:hint="eastAsia" w:ascii="宋体" w:hAnsi="宋体" w:cs="宋体"/>
                <w:spacing w:val="1"/>
                <w:w w:val="99"/>
                <w:sz w:val="20"/>
                <w:szCs w:val="20"/>
              </w:rPr>
              <w:t>G</w:t>
            </w:r>
            <w:r>
              <w:rPr>
                <w:rFonts w:hint="eastAsia" w:ascii="宋体" w:hAnsi="宋体" w:cs="宋体"/>
                <w:w w:val="99"/>
                <w:sz w:val="20"/>
                <w:szCs w:val="20"/>
              </w:rPr>
              <w:t>B</w:t>
            </w:r>
            <w:r>
              <w:rPr>
                <w:rFonts w:hint="eastAsia" w:ascii="宋体" w:hAnsi="宋体" w:cs="宋体"/>
                <w:spacing w:val="1"/>
                <w:w w:val="99"/>
                <w:sz w:val="20"/>
                <w:szCs w:val="20"/>
              </w:rPr>
              <w:t>37</w:t>
            </w:r>
            <w:r>
              <w:rPr>
                <w:rFonts w:hint="eastAsia" w:ascii="宋体" w:hAnsi="宋体" w:cs="宋体"/>
                <w:w w:val="99"/>
                <w:sz w:val="20"/>
                <w:szCs w:val="20"/>
              </w:rPr>
              <w:t>47</w:t>
            </w:r>
            <w:r>
              <w:rPr>
                <w:rFonts w:hint="eastAsia" w:ascii="宋体" w:hAnsi="宋体" w:cs="宋体"/>
                <w:spacing w:val="1"/>
                <w:w w:val="99"/>
                <w:sz w:val="20"/>
                <w:szCs w:val="20"/>
              </w:rPr>
              <w:t>9</w:t>
            </w:r>
            <w:r>
              <w:rPr>
                <w:rFonts w:hint="eastAsia" w:ascii="宋体" w:hAnsi="宋体" w:cs="宋体"/>
                <w:w w:val="99"/>
                <w:sz w:val="20"/>
                <w:szCs w:val="20"/>
              </w:rPr>
              <w:t>）</w:t>
            </w:r>
          </w:p>
        </w:tc>
      </w:tr>
      <w:tr>
        <w:tblPrEx>
          <w:tblLayout w:type="fixed"/>
          <w:tblCellMar>
            <w:top w:w="0" w:type="dxa"/>
            <w:left w:w="0" w:type="dxa"/>
            <w:bottom w:w="0" w:type="dxa"/>
            <w:right w:w="0" w:type="dxa"/>
          </w:tblCellMar>
        </w:tblPrEx>
        <w:trPr>
          <w:trHeight w:val="405" w:hRule="exact"/>
          <w:jc w:val="center"/>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Times New Roman"/>
                <w:sz w:val="22"/>
                <w:szCs w:val="22"/>
                <w:lang w:eastAsia="en-US"/>
              </w:rPr>
            </w:pPr>
          </w:p>
        </w:tc>
        <w:tc>
          <w:tcPr>
            <w:tcW w:w="11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Times New Roman"/>
                <w:sz w:val="22"/>
                <w:szCs w:val="22"/>
                <w:lang w:eastAsia="en-US"/>
              </w:rPr>
            </w:pPr>
          </w:p>
        </w:tc>
        <w:tc>
          <w:tcPr>
            <w:tcW w:w="1800" w:type="dxa"/>
            <w:tcBorders>
              <w:top w:val="single" w:color="000000" w:sz="4" w:space="0"/>
              <w:left w:val="single" w:color="000000" w:sz="4" w:space="0"/>
              <w:bottom w:val="nil"/>
              <w:right w:val="single" w:color="000000" w:sz="4" w:space="0"/>
            </w:tcBorders>
            <w:vAlign w:val="top"/>
          </w:tcPr>
          <w:p>
            <w:pPr>
              <w:pStyle w:val="25"/>
              <w:spacing w:before="83"/>
              <w:ind w:left="7"/>
              <w:rPr>
                <w:rFonts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A020</w:t>
            </w:r>
            <w:r>
              <w:rPr>
                <w:rFonts w:hint="eastAsia" w:ascii="宋体" w:hAnsi="宋体" w:cs="宋体"/>
                <w:w w:val="99"/>
                <w:sz w:val="20"/>
                <w:szCs w:val="20"/>
              </w:rPr>
              <w:t>52</w:t>
            </w:r>
            <w:r>
              <w:rPr>
                <w:rFonts w:hint="eastAsia" w:ascii="宋体" w:hAnsi="宋体" w:cs="宋体"/>
                <w:spacing w:val="1"/>
                <w:w w:val="99"/>
                <w:sz w:val="20"/>
                <w:szCs w:val="20"/>
              </w:rPr>
              <w:t>3</w:t>
            </w:r>
            <w:r>
              <w:rPr>
                <w:rFonts w:hint="eastAsia" w:ascii="宋体" w:hAnsi="宋体" w:cs="宋体"/>
                <w:w w:val="99"/>
                <w:sz w:val="20"/>
                <w:szCs w:val="20"/>
              </w:rPr>
              <w:t>09专用制</w:t>
            </w:r>
          </w:p>
        </w:tc>
        <w:tc>
          <w:tcPr>
            <w:tcW w:w="1915" w:type="dxa"/>
            <w:vMerge w:val="restart"/>
            <w:tcBorders>
              <w:top w:val="single" w:color="000000" w:sz="4" w:space="0"/>
              <w:left w:val="single" w:color="000000" w:sz="4" w:space="0"/>
              <w:bottom w:val="single" w:color="000000" w:sz="4" w:space="0"/>
              <w:right w:val="single" w:color="000000" w:sz="4" w:space="0"/>
            </w:tcBorders>
            <w:vAlign w:val="top"/>
          </w:tcPr>
          <w:p>
            <w:pPr>
              <w:pStyle w:val="25"/>
              <w:spacing w:before="1"/>
              <w:rPr>
                <w:rFonts w:ascii="宋体" w:hAnsi="宋体" w:cs="宋体"/>
                <w:sz w:val="18"/>
                <w:szCs w:val="18"/>
              </w:rPr>
            </w:pPr>
          </w:p>
          <w:p>
            <w:pPr>
              <w:pStyle w:val="25"/>
              <w:ind w:left="7"/>
              <w:rPr>
                <w:rFonts w:ascii="宋体" w:hAnsi="宋体" w:cs="宋体"/>
                <w:sz w:val="20"/>
                <w:szCs w:val="20"/>
              </w:rPr>
            </w:pPr>
            <w:r>
              <w:rPr>
                <w:rFonts w:hint="eastAsia" w:ascii="宋体" w:hAnsi="宋体" w:cs="宋体"/>
                <w:w w:val="99"/>
                <w:sz w:val="20"/>
                <w:szCs w:val="20"/>
              </w:rPr>
              <w:t>机房空调</w:t>
            </w:r>
          </w:p>
        </w:tc>
        <w:tc>
          <w:tcPr>
            <w:tcW w:w="2966" w:type="dxa"/>
            <w:tcBorders>
              <w:top w:val="single" w:color="000000" w:sz="4" w:space="0"/>
              <w:left w:val="single" w:color="000000" w:sz="4" w:space="0"/>
              <w:bottom w:val="nil"/>
              <w:right w:val="single" w:color="000000" w:sz="4" w:space="0"/>
            </w:tcBorders>
            <w:vAlign w:val="top"/>
          </w:tcPr>
          <w:p>
            <w:pPr>
              <w:pStyle w:val="25"/>
              <w:spacing w:before="83"/>
              <w:ind w:left="7"/>
              <w:rPr>
                <w:rFonts w:ascii="宋体" w:hAnsi="宋体" w:cs="宋体"/>
                <w:sz w:val="20"/>
                <w:szCs w:val="20"/>
                <w:lang w:eastAsia="zh-CN"/>
              </w:rPr>
            </w:pPr>
            <w:r>
              <w:rPr>
                <w:rFonts w:hint="eastAsia" w:ascii="宋体" w:hAnsi="宋体" w:cs="宋体"/>
                <w:spacing w:val="12"/>
                <w:w w:val="99"/>
                <w:sz w:val="20"/>
                <w:szCs w:val="20"/>
                <w:lang w:eastAsia="zh-CN"/>
              </w:rPr>
              <w:t>《单元式空气调节机能</w:t>
            </w:r>
            <w:r>
              <w:rPr>
                <w:rFonts w:hint="eastAsia" w:ascii="宋体" w:hAnsi="宋体" w:cs="宋体"/>
                <w:spacing w:val="9"/>
                <w:w w:val="99"/>
                <w:sz w:val="20"/>
                <w:szCs w:val="20"/>
                <w:lang w:eastAsia="zh-CN"/>
              </w:rPr>
              <w:t>效</w:t>
            </w:r>
            <w:r>
              <w:rPr>
                <w:rFonts w:hint="eastAsia" w:ascii="宋体" w:hAnsi="宋体" w:cs="宋体"/>
                <w:spacing w:val="12"/>
                <w:w w:val="99"/>
                <w:sz w:val="20"/>
                <w:szCs w:val="20"/>
                <w:lang w:eastAsia="zh-CN"/>
              </w:rPr>
              <w:t>限定</w:t>
            </w:r>
            <w:r>
              <w:rPr>
                <w:rFonts w:hint="eastAsia" w:ascii="宋体" w:hAnsi="宋体" w:cs="宋体"/>
                <w:w w:val="99"/>
                <w:sz w:val="20"/>
                <w:szCs w:val="20"/>
                <w:lang w:eastAsia="zh-CN"/>
              </w:rPr>
              <w:t>值</w:t>
            </w:r>
          </w:p>
        </w:tc>
      </w:tr>
      <w:tr>
        <w:tblPrEx>
          <w:tblLayout w:type="fixed"/>
          <w:tblCellMar>
            <w:top w:w="0" w:type="dxa"/>
            <w:left w:w="0" w:type="dxa"/>
            <w:bottom w:w="0" w:type="dxa"/>
            <w:right w:w="0" w:type="dxa"/>
          </w:tblCellMar>
        </w:tblPrEx>
        <w:trPr>
          <w:trHeight w:val="397" w:hRule="exact"/>
          <w:jc w:val="center"/>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Times New Roman"/>
                <w:sz w:val="22"/>
                <w:szCs w:val="22"/>
              </w:rPr>
            </w:pPr>
          </w:p>
        </w:tc>
        <w:tc>
          <w:tcPr>
            <w:tcW w:w="11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Times New Roman"/>
                <w:sz w:val="22"/>
                <w:szCs w:val="22"/>
              </w:rPr>
            </w:pPr>
          </w:p>
        </w:tc>
        <w:tc>
          <w:tcPr>
            <w:tcW w:w="1800" w:type="dxa"/>
            <w:tcBorders>
              <w:top w:val="nil"/>
              <w:left w:val="single" w:color="000000" w:sz="4" w:space="0"/>
              <w:bottom w:val="single" w:color="000000" w:sz="4" w:space="0"/>
              <w:right w:val="single" w:color="000000" w:sz="4" w:space="0"/>
            </w:tcBorders>
            <w:vAlign w:val="top"/>
          </w:tcPr>
          <w:p>
            <w:pPr>
              <w:pStyle w:val="25"/>
              <w:spacing w:line="254" w:lineRule="exact"/>
              <w:ind w:left="7"/>
              <w:rPr>
                <w:rFonts w:ascii="宋体" w:hAnsi="宋体" w:cs="宋体"/>
                <w:sz w:val="20"/>
                <w:szCs w:val="20"/>
              </w:rPr>
            </w:pPr>
            <w:r>
              <w:rPr>
                <w:rFonts w:hint="eastAsia" w:ascii="宋体" w:hAnsi="宋体" w:cs="宋体"/>
                <w:w w:val="99"/>
                <w:sz w:val="20"/>
                <w:szCs w:val="20"/>
              </w:rPr>
              <w:t>冷、空</w:t>
            </w:r>
            <w:r>
              <w:rPr>
                <w:rFonts w:hint="eastAsia" w:ascii="宋体" w:hAnsi="宋体" w:cs="宋体"/>
                <w:spacing w:val="2"/>
                <w:w w:val="99"/>
                <w:sz w:val="20"/>
                <w:szCs w:val="20"/>
              </w:rPr>
              <w:t>调</w:t>
            </w:r>
            <w:r>
              <w:rPr>
                <w:rFonts w:hint="eastAsia" w:ascii="宋体" w:hAnsi="宋体" w:cs="宋体"/>
                <w:w w:val="99"/>
                <w:sz w:val="20"/>
                <w:szCs w:val="20"/>
              </w:rPr>
              <w:t>设备</w:t>
            </w:r>
          </w:p>
        </w:tc>
        <w:tc>
          <w:tcPr>
            <w:tcW w:w="1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lang w:eastAsia="en-US"/>
              </w:rPr>
            </w:pPr>
          </w:p>
        </w:tc>
        <w:tc>
          <w:tcPr>
            <w:tcW w:w="2966" w:type="dxa"/>
            <w:tcBorders>
              <w:top w:val="nil"/>
              <w:left w:val="single" w:color="000000" w:sz="4" w:space="0"/>
              <w:bottom w:val="single" w:color="000000" w:sz="4" w:space="0"/>
              <w:right w:val="single" w:color="000000" w:sz="4" w:space="0"/>
            </w:tcBorders>
            <w:vAlign w:val="top"/>
          </w:tcPr>
          <w:p>
            <w:pPr>
              <w:pStyle w:val="25"/>
              <w:spacing w:line="254" w:lineRule="exact"/>
              <w:ind w:left="7"/>
              <w:rPr>
                <w:rFonts w:ascii="宋体" w:hAnsi="宋体" w:cs="宋体"/>
                <w:sz w:val="20"/>
                <w:szCs w:val="20"/>
                <w:lang w:eastAsia="zh-CN"/>
              </w:rPr>
            </w:pPr>
            <w:r>
              <w:rPr>
                <w:rFonts w:hint="eastAsia" w:ascii="宋体" w:hAnsi="宋体" w:cs="宋体"/>
                <w:w w:val="99"/>
                <w:sz w:val="20"/>
                <w:szCs w:val="20"/>
                <w:lang w:eastAsia="zh-CN"/>
              </w:rPr>
              <w:t>及能效</w:t>
            </w:r>
            <w:r>
              <w:rPr>
                <w:rFonts w:hint="eastAsia" w:ascii="宋体" w:hAnsi="宋体" w:cs="宋体"/>
                <w:spacing w:val="2"/>
                <w:w w:val="99"/>
                <w:sz w:val="20"/>
                <w:szCs w:val="20"/>
                <w:lang w:eastAsia="zh-CN"/>
              </w:rPr>
              <w:t>等</w:t>
            </w:r>
            <w:r>
              <w:rPr>
                <w:rFonts w:hint="eastAsia" w:ascii="宋体" w:hAnsi="宋体" w:cs="宋体"/>
                <w:w w:val="99"/>
                <w:sz w:val="20"/>
                <w:szCs w:val="20"/>
                <w:lang w:eastAsia="zh-CN"/>
              </w:rPr>
              <w:t>级》（</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19576</w:t>
            </w:r>
            <w:r>
              <w:rPr>
                <w:rFonts w:hint="eastAsia" w:ascii="宋体" w:hAnsi="宋体" w:cs="宋体"/>
                <w:w w:val="99"/>
                <w:sz w:val="20"/>
                <w:szCs w:val="20"/>
                <w:lang w:eastAsia="zh-CN"/>
              </w:rPr>
              <w:t>）</w:t>
            </w:r>
          </w:p>
        </w:tc>
      </w:tr>
      <w:tr>
        <w:tblPrEx>
          <w:tblLayout w:type="fixed"/>
          <w:tblCellMar>
            <w:top w:w="0" w:type="dxa"/>
            <w:left w:w="0" w:type="dxa"/>
            <w:bottom w:w="0" w:type="dxa"/>
            <w:right w:w="0" w:type="dxa"/>
          </w:tblCellMar>
        </w:tblPrEx>
        <w:trPr>
          <w:trHeight w:val="543" w:hRule="exact"/>
          <w:jc w:val="center"/>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Times New Roman"/>
                <w:sz w:val="22"/>
                <w:szCs w:val="22"/>
              </w:rPr>
            </w:pPr>
          </w:p>
        </w:tc>
        <w:tc>
          <w:tcPr>
            <w:tcW w:w="11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Times New Roman"/>
                <w:sz w:val="22"/>
                <w:szCs w:val="22"/>
              </w:rPr>
            </w:pPr>
          </w:p>
        </w:tc>
        <w:tc>
          <w:tcPr>
            <w:tcW w:w="1800" w:type="dxa"/>
            <w:vMerge w:val="restart"/>
            <w:tcBorders>
              <w:top w:val="single" w:color="000000" w:sz="4" w:space="0"/>
              <w:left w:val="single" w:color="000000" w:sz="4" w:space="0"/>
              <w:bottom w:val="nil"/>
              <w:right w:val="single" w:color="000000" w:sz="4" w:space="0"/>
            </w:tcBorders>
            <w:vAlign w:val="top"/>
          </w:tcPr>
          <w:p>
            <w:pPr>
              <w:pStyle w:val="25"/>
              <w:rPr>
                <w:rFonts w:ascii="宋体" w:hAnsi="宋体" w:cs="宋体"/>
                <w:sz w:val="20"/>
                <w:szCs w:val="20"/>
                <w:lang w:eastAsia="zh-CN"/>
              </w:rPr>
            </w:pPr>
          </w:p>
          <w:p>
            <w:pPr>
              <w:pStyle w:val="25"/>
              <w:spacing w:before="9"/>
              <w:rPr>
                <w:rFonts w:hint="eastAsia" w:ascii="宋体" w:hAnsi="宋体" w:cs="宋体"/>
                <w:sz w:val="20"/>
                <w:szCs w:val="20"/>
                <w:lang w:eastAsia="zh-CN"/>
              </w:rPr>
            </w:pPr>
          </w:p>
          <w:p>
            <w:pPr>
              <w:pStyle w:val="25"/>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05</w:t>
            </w:r>
            <w:r>
              <w:rPr>
                <w:rFonts w:hint="eastAsia" w:ascii="宋体" w:hAnsi="宋体" w:cs="宋体"/>
                <w:spacing w:val="1"/>
                <w:w w:val="99"/>
                <w:sz w:val="20"/>
                <w:szCs w:val="20"/>
              </w:rPr>
              <w:t>2</w:t>
            </w:r>
            <w:r>
              <w:rPr>
                <w:rFonts w:hint="eastAsia" w:ascii="宋体" w:hAnsi="宋体" w:cs="宋体"/>
                <w:w w:val="99"/>
                <w:sz w:val="20"/>
                <w:szCs w:val="20"/>
              </w:rPr>
              <w:t>399其他制冷</w:t>
            </w:r>
          </w:p>
        </w:tc>
        <w:tc>
          <w:tcPr>
            <w:tcW w:w="1915" w:type="dxa"/>
            <w:vMerge w:val="restart"/>
            <w:tcBorders>
              <w:top w:val="single" w:color="000000" w:sz="4" w:space="0"/>
              <w:left w:val="single" w:color="000000" w:sz="4" w:space="0"/>
              <w:bottom w:val="single" w:color="000000" w:sz="4" w:space="0"/>
              <w:right w:val="single" w:color="000000" w:sz="4" w:space="0"/>
            </w:tcBorders>
            <w:vAlign w:val="top"/>
          </w:tcPr>
          <w:p>
            <w:pPr>
              <w:pStyle w:val="25"/>
              <w:rPr>
                <w:rFonts w:ascii="宋体" w:hAnsi="宋体" w:cs="宋体"/>
                <w:sz w:val="20"/>
                <w:szCs w:val="20"/>
              </w:rPr>
            </w:pPr>
          </w:p>
          <w:p>
            <w:pPr>
              <w:pStyle w:val="25"/>
              <w:rPr>
                <w:rFonts w:hint="eastAsia" w:ascii="宋体" w:hAnsi="宋体" w:cs="宋体"/>
                <w:sz w:val="20"/>
                <w:szCs w:val="20"/>
              </w:rPr>
            </w:pPr>
          </w:p>
          <w:p>
            <w:pPr>
              <w:pStyle w:val="25"/>
              <w:spacing w:before="164"/>
              <w:ind w:left="7"/>
              <w:rPr>
                <w:rFonts w:ascii="宋体" w:hAnsi="宋体" w:cs="宋体"/>
                <w:sz w:val="20"/>
                <w:szCs w:val="20"/>
              </w:rPr>
            </w:pPr>
            <w:r>
              <w:rPr>
                <w:rFonts w:hint="eastAsia" w:ascii="宋体" w:hAnsi="宋体" w:cs="宋体"/>
                <w:w w:val="99"/>
                <w:sz w:val="20"/>
                <w:szCs w:val="20"/>
              </w:rPr>
              <w:t>冷却塔</w:t>
            </w:r>
          </w:p>
        </w:tc>
        <w:tc>
          <w:tcPr>
            <w:tcW w:w="2966" w:type="dxa"/>
            <w:tcBorders>
              <w:top w:val="single" w:color="000000" w:sz="4" w:space="0"/>
              <w:left w:val="single" w:color="000000" w:sz="4" w:space="0"/>
              <w:bottom w:val="nil"/>
              <w:right w:val="single" w:color="000000" w:sz="4" w:space="0"/>
            </w:tcBorders>
            <w:vAlign w:val="top"/>
          </w:tcPr>
          <w:p>
            <w:pPr>
              <w:pStyle w:val="25"/>
              <w:spacing w:before="11"/>
              <w:rPr>
                <w:rFonts w:ascii="宋体" w:hAnsi="宋体" w:cs="宋体"/>
                <w:sz w:val="16"/>
                <w:szCs w:val="16"/>
                <w:lang w:eastAsia="zh-CN"/>
              </w:rPr>
            </w:pPr>
          </w:p>
          <w:p>
            <w:pPr>
              <w:pStyle w:val="25"/>
              <w:ind w:left="7"/>
              <w:rPr>
                <w:rFonts w:ascii="宋体" w:hAnsi="宋体" w:cs="宋体"/>
                <w:sz w:val="20"/>
                <w:szCs w:val="20"/>
                <w:lang w:eastAsia="zh-CN"/>
              </w:rPr>
            </w:pPr>
            <w:r>
              <w:rPr>
                <w:rFonts w:hint="eastAsia" w:ascii="宋体" w:hAnsi="宋体" w:cs="宋体"/>
                <w:w w:val="99"/>
                <w:sz w:val="20"/>
                <w:szCs w:val="20"/>
                <w:lang w:eastAsia="zh-CN"/>
              </w:rPr>
              <w:t>《机械</w:t>
            </w:r>
            <w:r>
              <w:rPr>
                <w:rFonts w:hint="eastAsia" w:ascii="宋体" w:hAnsi="宋体" w:cs="宋体"/>
                <w:spacing w:val="2"/>
                <w:w w:val="99"/>
                <w:sz w:val="20"/>
                <w:szCs w:val="20"/>
                <w:lang w:eastAsia="zh-CN"/>
              </w:rPr>
              <w:t>通</w:t>
            </w:r>
            <w:r>
              <w:rPr>
                <w:rFonts w:hint="eastAsia" w:ascii="宋体" w:hAnsi="宋体" w:cs="宋体"/>
                <w:w w:val="99"/>
                <w:sz w:val="20"/>
                <w:szCs w:val="20"/>
                <w:lang w:eastAsia="zh-CN"/>
              </w:rPr>
              <w:t>风冷</w:t>
            </w:r>
            <w:r>
              <w:rPr>
                <w:rFonts w:hint="eastAsia" w:ascii="宋体" w:hAnsi="宋体" w:cs="宋体"/>
                <w:spacing w:val="2"/>
                <w:w w:val="99"/>
                <w:sz w:val="20"/>
                <w:szCs w:val="20"/>
                <w:lang w:eastAsia="zh-CN"/>
              </w:rPr>
              <w:t>却</w:t>
            </w:r>
            <w:r>
              <w:rPr>
                <w:rFonts w:hint="eastAsia" w:ascii="宋体" w:hAnsi="宋体" w:cs="宋体"/>
                <w:w w:val="99"/>
                <w:sz w:val="20"/>
                <w:szCs w:val="20"/>
                <w:lang w:eastAsia="zh-CN"/>
              </w:rPr>
              <w:t>塔第1部分：中</w:t>
            </w:r>
          </w:p>
        </w:tc>
      </w:tr>
      <w:tr>
        <w:tblPrEx>
          <w:tblLayout w:type="fixed"/>
          <w:tblCellMar>
            <w:top w:w="0" w:type="dxa"/>
            <w:left w:w="0" w:type="dxa"/>
            <w:bottom w:w="0" w:type="dxa"/>
            <w:right w:w="0" w:type="dxa"/>
          </w:tblCellMar>
        </w:tblPrEx>
        <w:trPr>
          <w:trHeight w:val="312" w:hRule="atLeast"/>
          <w:jc w:val="center"/>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Times New Roman"/>
                <w:sz w:val="22"/>
                <w:szCs w:val="22"/>
              </w:rPr>
            </w:pPr>
          </w:p>
        </w:tc>
        <w:tc>
          <w:tcPr>
            <w:tcW w:w="11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Times New Roman"/>
                <w:sz w:val="22"/>
                <w:szCs w:val="22"/>
              </w:rPr>
            </w:pPr>
          </w:p>
        </w:tc>
        <w:tc>
          <w:tcPr>
            <w:tcW w:w="1800" w:type="dxa"/>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eastAsia="Times New Roman" w:cs="宋体"/>
                <w:kern w:val="0"/>
                <w:sz w:val="20"/>
                <w:szCs w:val="20"/>
              </w:rPr>
            </w:pPr>
          </w:p>
        </w:tc>
        <w:tc>
          <w:tcPr>
            <w:tcW w:w="1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2966" w:type="dxa"/>
            <w:tcBorders>
              <w:top w:val="nil"/>
              <w:left w:val="single" w:color="000000" w:sz="4" w:space="0"/>
              <w:bottom w:val="nil"/>
              <w:right w:val="single" w:color="000000" w:sz="4" w:space="0"/>
            </w:tcBorders>
            <w:vAlign w:val="top"/>
          </w:tcPr>
          <w:p>
            <w:pPr>
              <w:pStyle w:val="25"/>
              <w:spacing w:line="256" w:lineRule="exact"/>
              <w:ind w:left="7"/>
              <w:rPr>
                <w:rFonts w:ascii="宋体" w:hAnsi="宋体" w:cs="宋体"/>
                <w:sz w:val="20"/>
                <w:szCs w:val="20"/>
                <w:lang w:eastAsia="zh-CN"/>
              </w:rPr>
            </w:pPr>
            <w:r>
              <w:rPr>
                <w:rFonts w:hint="eastAsia" w:ascii="宋体" w:hAnsi="宋体" w:cs="宋体"/>
                <w:w w:val="99"/>
                <w:sz w:val="20"/>
                <w:szCs w:val="20"/>
                <w:lang w:eastAsia="zh-CN"/>
              </w:rPr>
              <w:t>小型开</w:t>
            </w:r>
            <w:r>
              <w:rPr>
                <w:rFonts w:hint="eastAsia" w:ascii="宋体" w:hAnsi="宋体" w:cs="宋体"/>
                <w:spacing w:val="2"/>
                <w:w w:val="99"/>
                <w:sz w:val="20"/>
                <w:szCs w:val="20"/>
                <w:lang w:eastAsia="zh-CN"/>
              </w:rPr>
              <w:t>式</w:t>
            </w:r>
            <w:r>
              <w:rPr>
                <w:rFonts w:hint="eastAsia" w:ascii="宋体" w:hAnsi="宋体" w:cs="宋体"/>
                <w:w w:val="99"/>
                <w:sz w:val="20"/>
                <w:szCs w:val="20"/>
                <w:lang w:eastAsia="zh-CN"/>
              </w:rPr>
              <w:t>冷却</w:t>
            </w:r>
            <w:r>
              <w:rPr>
                <w:rFonts w:hint="eastAsia" w:ascii="宋体" w:hAnsi="宋体" w:cs="宋体"/>
                <w:spacing w:val="2"/>
                <w:w w:val="99"/>
                <w:sz w:val="20"/>
                <w:szCs w:val="20"/>
                <w:lang w:eastAsia="zh-CN"/>
              </w:rPr>
              <w:t>塔</w:t>
            </w:r>
            <w:r>
              <w:rPr>
                <w:rFonts w:hint="eastAsia" w:ascii="宋体" w:hAnsi="宋体" w:cs="宋体"/>
                <w:spacing w:val="-171"/>
                <w:w w:val="99"/>
                <w:sz w:val="20"/>
                <w:szCs w:val="20"/>
                <w:lang w:eastAsia="zh-CN"/>
              </w:rPr>
              <w:t>》</w:t>
            </w:r>
            <w:r>
              <w:rPr>
                <w:rFonts w:hint="eastAsia" w:ascii="宋体" w:hAnsi="宋体" w:cs="宋体"/>
                <w:spacing w:val="-1"/>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w:t>
            </w:r>
            <w:r>
              <w:rPr>
                <w:rFonts w:hint="eastAsia" w:ascii="宋体" w:hAnsi="宋体" w:cs="宋体"/>
                <w:w w:val="99"/>
                <w:sz w:val="20"/>
                <w:szCs w:val="20"/>
                <w:lang w:eastAsia="zh-CN"/>
              </w:rPr>
              <w:t>T7190</w:t>
            </w:r>
            <w:r>
              <w:rPr>
                <w:rFonts w:hint="eastAsia" w:ascii="宋体" w:hAnsi="宋体" w:cs="宋体"/>
                <w:spacing w:val="1"/>
                <w:w w:val="99"/>
                <w:sz w:val="20"/>
                <w:szCs w:val="20"/>
                <w:lang w:eastAsia="zh-CN"/>
              </w:rPr>
              <w:t>.1</w:t>
            </w:r>
            <w:r>
              <w:rPr>
                <w:rFonts w:hint="eastAsia" w:ascii="宋体" w:hAnsi="宋体" w:cs="宋体"/>
                <w:spacing w:val="-87"/>
                <w:w w:val="99"/>
                <w:sz w:val="20"/>
                <w:szCs w:val="20"/>
                <w:lang w:eastAsia="zh-CN"/>
              </w:rPr>
              <w:t>）</w:t>
            </w:r>
          </w:p>
        </w:tc>
      </w:tr>
      <w:tr>
        <w:tblPrEx>
          <w:tblLayout w:type="fixed"/>
          <w:tblCellMar>
            <w:top w:w="0" w:type="dxa"/>
            <w:left w:w="0" w:type="dxa"/>
            <w:bottom w:w="0" w:type="dxa"/>
            <w:right w:w="0" w:type="dxa"/>
          </w:tblCellMar>
        </w:tblPrEx>
        <w:trPr>
          <w:trHeight w:val="312" w:hRule="exact"/>
          <w:jc w:val="center"/>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Times New Roman"/>
                <w:sz w:val="22"/>
                <w:szCs w:val="22"/>
              </w:rPr>
            </w:pPr>
          </w:p>
        </w:tc>
        <w:tc>
          <w:tcPr>
            <w:tcW w:w="11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Times New Roman"/>
                <w:sz w:val="22"/>
                <w:szCs w:val="22"/>
              </w:rPr>
            </w:pPr>
          </w:p>
        </w:tc>
        <w:tc>
          <w:tcPr>
            <w:tcW w:w="1800" w:type="dxa"/>
            <w:vMerge w:val="restart"/>
            <w:tcBorders>
              <w:top w:val="nil"/>
              <w:left w:val="single" w:color="000000" w:sz="4" w:space="0"/>
              <w:bottom w:val="single" w:color="000000" w:sz="4" w:space="0"/>
              <w:right w:val="single" w:color="000000" w:sz="4" w:space="0"/>
            </w:tcBorders>
            <w:vAlign w:val="top"/>
          </w:tcPr>
          <w:p>
            <w:pPr>
              <w:pStyle w:val="25"/>
              <w:spacing w:line="256" w:lineRule="exact"/>
              <w:ind w:left="7"/>
              <w:rPr>
                <w:rFonts w:ascii="宋体" w:hAnsi="宋体" w:cs="宋体"/>
                <w:sz w:val="20"/>
                <w:szCs w:val="20"/>
              </w:rPr>
            </w:pPr>
            <w:r>
              <w:rPr>
                <w:rFonts w:hint="eastAsia" w:ascii="宋体" w:hAnsi="宋体" w:cs="宋体"/>
                <w:w w:val="99"/>
                <w:sz w:val="20"/>
                <w:szCs w:val="20"/>
              </w:rPr>
              <w:t>空调设备</w:t>
            </w:r>
          </w:p>
        </w:tc>
        <w:tc>
          <w:tcPr>
            <w:tcW w:w="1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lang w:eastAsia="en-US"/>
              </w:rPr>
            </w:pPr>
          </w:p>
        </w:tc>
        <w:tc>
          <w:tcPr>
            <w:tcW w:w="2966" w:type="dxa"/>
            <w:tcBorders>
              <w:top w:val="nil"/>
              <w:left w:val="single" w:color="000000" w:sz="4" w:space="0"/>
              <w:bottom w:val="nil"/>
              <w:right w:val="single" w:color="000000" w:sz="4" w:space="0"/>
            </w:tcBorders>
            <w:vAlign w:val="top"/>
          </w:tcPr>
          <w:p>
            <w:pPr>
              <w:pStyle w:val="25"/>
              <w:spacing w:line="256" w:lineRule="exact"/>
              <w:ind w:left="7"/>
              <w:rPr>
                <w:rFonts w:ascii="宋体" w:hAnsi="宋体" w:cs="宋体"/>
                <w:sz w:val="20"/>
                <w:szCs w:val="20"/>
                <w:lang w:eastAsia="zh-CN"/>
              </w:rPr>
            </w:pPr>
            <w:r>
              <w:rPr>
                <w:rFonts w:hint="eastAsia" w:ascii="宋体" w:hAnsi="宋体" w:cs="宋体"/>
                <w:w w:val="99"/>
                <w:sz w:val="20"/>
                <w:szCs w:val="20"/>
                <w:lang w:eastAsia="zh-CN"/>
              </w:rPr>
              <w:t>《机械</w:t>
            </w:r>
            <w:r>
              <w:rPr>
                <w:rFonts w:hint="eastAsia" w:ascii="宋体" w:hAnsi="宋体" w:cs="宋体"/>
                <w:spacing w:val="2"/>
                <w:w w:val="99"/>
                <w:sz w:val="20"/>
                <w:szCs w:val="20"/>
                <w:lang w:eastAsia="zh-CN"/>
              </w:rPr>
              <w:t>通</w:t>
            </w:r>
            <w:r>
              <w:rPr>
                <w:rFonts w:hint="eastAsia" w:ascii="宋体" w:hAnsi="宋体" w:cs="宋体"/>
                <w:w w:val="99"/>
                <w:sz w:val="20"/>
                <w:szCs w:val="20"/>
                <w:lang w:eastAsia="zh-CN"/>
              </w:rPr>
              <w:t>风冷</w:t>
            </w:r>
            <w:r>
              <w:rPr>
                <w:rFonts w:hint="eastAsia" w:ascii="宋体" w:hAnsi="宋体" w:cs="宋体"/>
                <w:spacing w:val="2"/>
                <w:w w:val="99"/>
                <w:sz w:val="20"/>
                <w:szCs w:val="20"/>
                <w:lang w:eastAsia="zh-CN"/>
              </w:rPr>
              <w:t>却</w:t>
            </w:r>
            <w:r>
              <w:rPr>
                <w:rFonts w:hint="eastAsia" w:ascii="宋体" w:hAnsi="宋体" w:cs="宋体"/>
                <w:w w:val="99"/>
                <w:sz w:val="20"/>
                <w:szCs w:val="20"/>
                <w:lang w:eastAsia="zh-CN"/>
              </w:rPr>
              <w:t>塔第2部分：大</w:t>
            </w:r>
          </w:p>
        </w:tc>
      </w:tr>
      <w:tr>
        <w:tblPrEx>
          <w:tblLayout w:type="fixed"/>
          <w:tblCellMar>
            <w:top w:w="0" w:type="dxa"/>
            <w:left w:w="0" w:type="dxa"/>
            <w:bottom w:w="0" w:type="dxa"/>
            <w:right w:w="0" w:type="dxa"/>
          </w:tblCellMar>
        </w:tblPrEx>
        <w:trPr>
          <w:trHeight w:val="535" w:hRule="atLeast"/>
          <w:jc w:val="center"/>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Times New Roman"/>
                <w:sz w:val="22"/>
                <w:szCs w:val="22"/>
              </w:rPr>
            </w:pPr>
          </w:p>
        </w:tc>
        <w:tc>
          <w:tcPr>
            <w:tcW w:w="11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Times New Roman"/>
                <w:sz w:val="22"/>
                <w:szCs w:val="22"/>
              </w:rPr>
            </w:pPr>
          </w:p>
        </w:tc>
        <w:tc>
          <w:tcPr>
            <w:tcW w:w="1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1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2966" w:type="dxa"/>
            <w:tcBorders>
              <w:top w:val="nil"/>
              <w:left w:val="single" w:color="000000" w:sz="4" w:space="0"/>
              <w:bottom w:val="single" w:color="000000" w:sz="4" w:space="0"/>
              <w:right w:val="single" w:color="000000" w:sz="4" w:space="0"/>
            </w:tcBorders>
            <w:vAlign w:val="top"/>
          </w:tcPr>
          <w:p>
            <w:pPr>
              <w:pStyle w:val="25"/>
              <w:spacing w:line="256" w:lineRule="exact"/>
              <w:ind w:left="7"/>
              <w:rPr>
                <w:rFonts w:ascii="宋体" w:hAnsi="宋体" w:cs="宋体"/>
                <w:sz w:val="20"/>
                <w:szCs w:val="20"/>
                <w:lang w:eastAsia="zh-CN"/>
              </w:rPr>
            </w:pPr>
            <w:r>
              <w:rPr>
                <w:rFonts w:hint="eastAsia" w:ascii="宋体" w:hAnsi="宋体" w:cs="宋体"/>
                <w:w w:val="99"/>
                <w:sz w:val="20"/>
                <w:szCs w:val="20"/>
                <w:lang w:eastAsia="zh-CN"/>
              </w:rPr>
              <w:t>型开式</w:t>
            </w:r>
            <w:r>
              <w:rPr>
                <w:rFonts w:hint="eastAsia" w:ascii="宋体" w:hAnsi="宋体" w:cs="宋体"/>
                <w:spacing w:val="2"/>
                <w:w w:val="99"/>
                <w:sz w:val="20"/>
                <w:szCs w:val="20"/>
                <w:lang w:eastAsia="zh-CN"/>
              </w:rPr>
              <w:t>冷</w:t>
            </w:r>
            <w:r>
              <w:rPr>
                <w:rFonts w:hint="eastAsia" w:ascii="宋体" w:hAnsi="宋体" w:cs="宋体"/>
                <w:w w:val="99"/>
                <w:sz w:val="20"/>
                <w:szCs w:val="20"/>
                <w:lang w:eastAsia="zh-CN"/>
              </w:rPr>
              <w:t>却塔</w:t>
            </w:r>
            <w:r>
              <w:rPr>
                <w:rFonts w:hint="eastAsia" w:ascii="宋体" w:hAnsi="宋体" w:cs="宋体"/>
                <w:spacing w:val="2"/>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w:t>
            </w:r>
            <w:r>
              <w:rPr>
                <w:rFonts w:hint="eastAsia" w:ascii="宋体" w:hAnsi="宋体" w:cs="宋体"/>
                <w:w w:val="99"/>
                <w:sz w:val="20"/>
                <w:szCs w:val="20"/>
                <w:lang w:eastAsia="zh-CN"/>
              </w:rPr>
              <w:t>T719</w:t>
            </w:r>
            <w:r>
              <w:rPr>
                <w:rFonts w:hint="eastAsia" w:ascii="宋体" w:hAnsi="宋体" w:cs="宋体"/>
                <w:spacing w:val="1"/>
                <w:w w:val="99"/>
                <w:sz w:val="20"/>
                <w:szCs w:val="20"/>
                <w:lang w:eastAsia="zh-CN"/>
              </w:rPr>
              <w:t>0.</w:t>
            </w:r>
            <w:r>
              <w:rPr>
                <w:rFonts w:hint="eastAsia" w:ascii="宋体" w:hAnsi="宋体" w:cs="宋体"/>
                <w:w w:val="99"/>
                <w:sz w:val="20"/>
                <w:szCs w:val="20"/>
                <w:lang w:eastAsia="zh-CN"/>
              </w:rPr>
              <w:t>2）</w:t>
            </w:r>
          </w:p>
        </w:tc>
      </w:tr>
      <w:tr>
        <w:tblPrEx>
          <w:tblLayout w:type="fixed"/>
          <w:tblCellMar>
            <w:top w:w="0" w:type="dxa"/>
            <w:left w:w="0" w:type="dxa"/>
            <w:bottom w:w="0" w:type="dxa"/>
            <w:right w:w="0" w:type="dxa"/>
          </w:tblCellMar>
        </w:tblPrEx>
        <w:trPr>
          <w:trHeight w:val="742" w:hRule="exact"/>
          <w:jc w:val="center"/>
        </w:trPr>
        <w:tc>
          <w:tcPr>
            <w:tcW w:w="574" w:type="dxa"/>
            <w:tcBorders>
              <w:top w:val="single" w:color="000000" w:sz="4" w:space="0"/>
              <w:left w:val="single" w:color="000000" w:sz="4" w:space="0"/>
              <w:bottom w:val="single" w:color="000000" w:sz="4" w:space="0"/>
              <w:right w:val="single" w:color="000000" w:sz="4" w:space="0"/>
            </w:tcBorders>
            <w:vAlign w:val="top"/>
          </w:tcPr>
          <w:p>
            <w:pPr>
              <w:pStyle w:val="25"/>
              <w:spacing w:before="12"/>
              <w:rPr>
                <w:rFonts w:ascii="宋体" w:hAnsi="宋体" w:cs="宋体"/>
                <w:sz w:val="15"/>
                <w:szCs w:val="15"/>
                <w:lang w:eastAsia="zh-CN"/>
              </w:rPr>
            </w:pPr>
          </w:p>
          <w:p>
            <w:pPr>
              <w:pStyle w:val="25"/>
              <w:ind w:right="1"/>
              <w:jc w:val="center"/>
              <w:rPr>
                <w:rFonts w:ascii="宋体" w:hAnsi="宋体" w:cs="宋体"/>
                <w:sz w:val="20"/>
                <w:szCs w:val="20"/>
              </w:rPr>
            </w:pPr>
            <w:r>
              <w:rPr>
                <w:rFonts w:hint="eastAsia" w:ascii="宋体"/>
                <w:w w:val="99"/>
                <w:sz w:val="20"/>
              </w:rPr>
              <w:t>7</w:t>
            </w:r>
          </w:p>
        </w:tc>
        <w:tc>
          <w:tcPr>
            <w:tcW w:w="1166" w:type="dxa"/>
            <w:tcBorders>
              <w:top w:val="single" w:color="000000" w:sz="4" w:space="0"/>
              <w:left w:val="single" w:color="000000" w:sz="4" w:space="0"/>
              <w:bottom w:val="single" w:color="000000" w:sz="4" w:space="0"/>
              <w:right w:val="single" w:color="000000" w:sz="4" w:space="0"/>
            </w:tcBorders>
            <w:vAlign w:val="top"/>
          </w:tcPr>
          <w:p>
            <w:pPr>
              <w:pStyle w:val="25"/>
              <w:spacing w:before="12"/>
              <w:rPr>
                <w:rFonts w:ascii="宋体" w:hAnsi="宋体" w:cs="宋体"/>
                <w:sz w:val="15"/>
                <w:szCs w:val="15"/>
              </w:rPr>
            </w:pPr>
          </w:p>
          <w:p>
            <w:pPr>
              <w:pStyle w:val="25"/>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06</w:t>
            </w:r>
            <w:r>
              <w:rPr>
                <w:rFonts w:hint="eastAsia" w:ascii="宋体" w:hAnsi="宋体" w:cs="宋体"/>
                <w:spacing w:val="1"/>
                <w:w w:val="99"/>
                <w:sz w:val="20"/>
                <w:szCs w:val="20"/>
              </w:rPr>
              <w:t>0</w:t>
            </w:r>
            <w:r>
              <w:rPr>
                <w:rFonts w:hint="eastAsia" w:ascii="宋体" w:hAnsi="宋体" w:cs="宋体"/>
                <w:w w:val="99"/>
                <w:sz w:val="20"/>
                <w:szCs w:val="20"/>
              </w:rPr>
              <w:t>1电机</w:t>
            </w:r>
          </w:p>
        </w:tc>
        <w:tc>
          <w:tcPr>
            <w:tcW w:w="1800" w:type="dxa"/>
            <w:tcBorders>
              <w:top w:val="single" w:color="000000" w:sz="4" w:space="0"/>
              <w:left w:val="single" w:color="000000" w:sz="4" w:space="0"/>
              <w:bottom w:val="single" w:color="000000" w:sz="4" w:space="0"/>
              <w:right w:val="single" w:color="000000" w:sz="4" w:space="0"/>
            </w:tcBorders>
            <w:vAlign w:val="top"/>
          </w:tcPr>
          <w:p>
            <w:pPr>
              <w:rPr>
                <w:rFonts w:ascii="Calibri" w:hAnsi="Calibri"/>
                <w:sz w:val="22"/>
                <w:szCs w:val="22"/>
              </w:rPr>
            </w:pPr>
          </w:p>
        </w:tc>
        <w:tc>
          <w:tcPr>
            <w:tcW w:w="1915" w:type="dxa"/>
            <w:tcBorders>
              <w:top w:val="single" w:color="000000" w:sz="4" w:space="0"/>
              <w:left w:val="single" w:color="000000" w:sz="4" w:space="0"/>
              <w:bottom w:val="single" w:color="000000" w:sz="4" w:space="0"/>
              <w:right w:val="single" w:color="000000" w:sz="4" w:space="0"/>
            </w:tcBorders>
            <w:vAlign w:val="top"/>
          </w:tcPr>
          <w:p>
            <w:pPr>
              <w:rPr>
                <w:rFonts w:ascii="Calibri" w:hAnsi="Calibri"/>
                <w:sz w:val="22"/>
                <w:szCs w:val="22"/>
              </w:rPr>
            </w:pPr>
          </w:p>
        </w:tc>
        <w:tc>
          <w:tcPr>
            <w:tcW w:w="2966" w:type="dxa"/>
            <w:tcBorders>
              <w:top w:val="single" w:color="000000" w:sz="4" w:space="0"/>
              <w:left w:val="single" w:color="000000" w:sz="4" w:space="0"/>
              <w:bottom w:val="single" w:color="000000" w:sz="4" w:space="0"/>
              <w:right w:val="single" w:color="000000" w:sz="4" w:space="0"/>
            </w:tcBorders>
            <w:vAlign w:val="top"/>
          </w:tcPr>
          <w:p>
            <w:pPr>
              <w:pStyle w:val="25"/>
              <w:spacing w:before="52" w:line="280" w:lineRule="auto"/>
              <w:ind w:left="7" w:right="4"/>
              <w:rPr>
                <w:rFonts w:ascii="宋体" w:hAnsi="宋体" w:cs="宋体"/>
                <w:sz w:val="20"/>
                <w:szCs w:val="20"/>
                <w:lang w:eastAsia="zh-CN"/>
              </w:rPr>
            </w:pPr>
            <w:r>
              <w:rPr>
                <w:rFonts w:hint="eastAsia" w:ascii="宋体" w:hAnsi="宋体" w:cs="宋体"/>
                <w:spacing w:val="12"/>
                <w:w w:val="99"/>
                <w:sz w:val="20"/>
                <w:szCs w:val="20"/>
                <w:lang w:eastAsia="zh-CN"/>
              </w:rPr>
              <w:t>《中小型三相异步电动</w:t>
            </w:r>
            <w:r>
              <w:rPr>
                <w:rFonts w:hint="eastAsia" w:ascii="宋体" w:hAnsi="宋体" w:cs="宋体"/>
                <w:spacing w:val="9"/>
                <w:w w:val="99"/>
                <w:sz w:val="20"/>
                <w:szCs w:val="20"/>
                <w:lang w:eastAsia="zh-CN"/>
              </w:rPr>
              <w:t>机</w:t>
            </w:r>
            <w:r>
              <w:rPr>
                <w:rFonts w:hint="eastAsia" w:ascii="宋体" w:hAnsi="宋体" w:cs="宋体"/>
                <w:spacing w:val="12"/>
                <w:w w:val="99"/>
                <w:sz w:val="20"/>
                <w:szCs w:val="20"/>
                <w:lang w:eastAsia="zh-CN"/>
              </w:rPr>
              <w:t>能效</w:t>
            </w:r>
            <w:r>
              <w:rPr>
                <w:rFonts w:hint="eastAsia" w:ascii="宋体" w:hAnsi="宋体" w:cs="宋体"/>
                <w:w w:val="99"/>
                <w:sz w:val="20"/>
                <w:szCs w:val="20"/>
                <w:lang w:eastAsia="zh-CN"/>
              </w:rPr>
              <w:t>限定值及</w:t>
            </w:r>
            <w:r>
              <w:rPr>
                <w:rFonts w:hint="eastAsia" w:ascii="宋体" w:hAnsi="宋体" w:cs="宋体"/>
                <w:spacing w:val="2"/>
                <w:w w:val="99"/>
                <w:sz w:val="20"/>
                <w:szCs w:val="20"/>
                <w:lang w:eastAsia="zh-CN"/>
              </w:rPr>
              <w:t>能</w:t>
            </w:r>
            <w:r>
              <w:rPr>
                <w:rFonts w:hint="eastAsia" w:ascii="宋体" w:hAnsi="宋体" w:cs="宋体"/>
                <w:w w:val="99"/>
                <w:sz w:val="20"/>
                <w:szCs w:val="20"/>
                <w:lang w:eastAsia="zh-CN"/>
              </w:rPr>
              <w:t>效等</w:t>
            </w:r>
            <w:r>
              <w:rPr>
                <w:rFonts w:hint="eastAsia" w:ascii="宋体" w:hAnsi="宋体" w:cs="宋体"/>
                <w:spacing w:val="2"/>
                <w:w w:val="99"/>
                <w:sz w:val="20"/>
                <w:szCs w:val="20"/>
                <w:lang w:eastAsia="zh-CN"/>
              </w:rPr>
              <w:t>级</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18</w:t>
            </w:r>
            <w:r>
              <w:rPr>
                <w:rFonts w:hint="eastAsia" w:ascii="宋体" w:hAnsi="宋体" w:cs="宋体"/>
                <w:w w:val="99"/>
                <w:sz w:val="20"/>
                <w:szCs w:val="20"/>
                <w:lang w:eastAsia="zh-CN"/>
              </w:rPr>
              <w:t>61</w:t>
            </w:r>
            <w:r>
              <w:rPr>
                <w:rFonts w:hint="eastAsia" w:ascii="宋体" w:hAnsi="宋体" w:cs="宋体"/>
                <w:spacing w:val="1"/>
                <w:w w:val="99"/>
                <w:sz w:val="20"/>
                <w:szCs w:val="20"/>
                <w:lang w:eastAsia="zh-CN"/>
              </w:rPr>
              <w:t>3</w:t>
            </w:r>
            <w:r>
              <w:rPr>
                <w:rFonts w:hint="eastAsia" w:ascii="宋体" w:hAnsi="宋体" w:cs="宋体"/>
                <w:w w:val="99"/>
                <w:sz w:val="20"/>
                <w:szCs w:val="20"/>
                <w:lang w:eastAsia="zh-CN"/>
              </w:rPr>
              <w:t>）</w:t>
            </w:r>
          </w:p>
        </w:tc>
      </w:tr>
      <w:tr>
        <w:tblPrEx>
          <w:tblLayout w:type="fixed"/>
          <w:tblCellMar>
            <w:top w:w="0" w:type="dxa"/>
            <w:left w:w="0" w:type="dxa"/>
            <w:bottom w:w="0" w:type="dxa"/>
            <w:right w:w="0" w:type="dxa"/>
          </w:tblCellMar>
        </w:tblPrEx>
        <w:trPr>
          <w:trHeight w:val="353" w:hRule="exact"/>
          <w:jc w:val="center"/>
        </w:trPr>
        <w:tc>
          <w:tcPr>
            <w:tcW w:w="574" w:type="dxa"/>
            <w:vMerge w:val="restart"/>
            <w:tcBorders>
              <w:top w:val="single" w:color="000000" w:sz="4" w:space="0"/>
              <w:left w:val="single" w:color="000000" w:sz="4" w:space="0"/>
              <w:bottom w:val="single" w:color="000000" w:sz="4" w:space="0"/>
              <w:right w:val="single" w:color="000000" w:sz="4" w:space="0"/>
            </w:tcBorders>
            <w:vAlign w:val="top"/>
          </w:tcPr>
          <w:p>
            <w:pPr>
              <w:pStyle w:val="25"/>
              <w:spacing w:before="3"/>
              <w:rPr>
                <w:rFonts w:ascii="宋体" w:hAnsi="宋体" w:cs="宋体"/>
                <w:sz w:val="14"/>
                <w:szCs w:val="14"/>
                <w:lang w:eastAsia="zh-CN"/>
              </w:rPr>
            </w:pPr>
          </w:p>
          <w:p>
            <w:pPr>
              <w:pStyle w:val="25"/>
              <w:ind w:right="1"/>
              <w:jc w:val="center"/>
              <w:rPr>
                <w:rFonts w:ascii="宋体" w:hAnsi="宋体" w:cs="宋体"/>
                <w:sz w:val="20"/>
                <w:szCs w:val="20"/>
              </w:rPr>
            </w:pPr>
            <w:r>
              <w:rPr>
                <w:rFonts w:hint="eastAsia" w:ascii="宋体"/>
                <w:w w:val="99"/>
                <w:sz w:val="20"/>
              </w:rPr>
              <w:t>8</w:t>
            </w:r>
          </w:p>
        </w:tc>
        <w:tc>
          <w:tcPr>
            <w:tcW w:w="1166" w:type="dxa"/>
            <w:tcBorders>
              <w:top w:val="single" w:color="000000" w:sz="4" w:space="0"/>
              <w:left w:val="single" w:color="000000" w:sz="4" w:space="0"/>
              <w:bottom w:val="nil"/>
              <w:right w:val="single" w:color="000000" w:sz="4" w:space="0"/>
            </w:tcBorders>
            <w:vAlign w:val="top"/>
          </w:tcPr>
          <w:p>
            <w:pPr>
              <w:pStyle w:val="25"/>
              <w:spacing w:before="30"/>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06</w:t>
            </w:r>
            <w:r>
              <w:rPr>
                <w:rFonts w:hint="eastAsia" w:ascii="宋体" w:hAnsi="宋体" w:cs="宋体"/>
                <w:spacing w:val="1"/>
                <w:w w:val="99"/>
                <w:sz w:val="20"/>
                <w:szCs w:val="20"/>
              </w:rPr>
              <w:t>0</w:t>
            </w:r>
            <w:r>
              <w:rPr>
                <w:rFonts w:hint="eastAsia" w:ascii="宋体" w:hAnsi="宋体" w:cs="宋体"/>
                <w:w w:val="99"/>
                <w:sz w:val="20"/>
                <w:szCs w:val="20"/>
              </w:rPr>
              <w:t>2变压</w:t>
            </w:r>
          </w:p>
        </w:tc>
        <w:tc>
          <w:tcPr>
            <w:tcW w:w="1800" w:type="dxa"/>
            <w:vMerge w:val="restart"/>
            <w:tcBorders>
              <w:top w:val="single" w:color="000000" w:sz="4" w:space="0"/>
              <w:left w:val="single" w:color="000000" w:sz="4" w:space="0"/>
              <w:bottom w:val="single" w:color="000000" w:sz="4" w:space="0"/>
              <w:right w:val="single" w:color="000000" w:sz="4" w:space="0"/>
            </w:tcBorders>
            <w:vAlign w:val="top"/>
          </w:tcPr>
          <w:p>
            <w:pPr>
              <w:pStyle w:val="25"/>
              <w:spacing w:before="3"/>
              <w:rPr>
                <w:rFonts w:ascii="宋体" w:hAnsi="宋体" w:cs="宋体"/>
                <w:sz w:val="14"/>
                <w:szCs w:val="14"/>
              </w:rPr>
            </w:pPr>
          </w:p>
          <w:p>
            <w:pPr>
              <w:pStyle w:val="25"/>
              <w:ind w:left="7"/>
              <w:rPr>
                <w:rFonts w:ascii="宋体" w:hAnsi="宋体" w:cs="宋体"/>
                <w:sz w:val="20"/>
                <w:szCs w:val="20"/>
              </w:rPr>
            </w:pPr>
            <w:r>
              <w:rPr>
                <w:rFonts w:hint="eastAsia" w:ascii="宋体" w:hAnsi="宋体" w:cs="宋体"/>
                <w:w w:val="99"/>
                <w:sz w:val="20"/>
                <w:szCs w:val="20"/>
              </w:rPr>
              <w:t>配电变</w:t>
            </w:r>
            <w:r>
              <w:rPr>
                <w:rFonts w:hint="eastAsia" w:ascii="宋体" w:hAnsi="宋体" w:cs="宋体"/>
                <w:spacing w:val="2"/>
                <w:w w:val="99"/>
                <w:sz w:val="20"/>
                <w:szCs w:val="20"/>
              </w:rPr>
              <w:t>压</w:t>
            </w:r>
            <w:r>
              <w:rPr>
                <w:rFonts w:hint="eastAsia" w:ascii="宋体" w:hAnsi="宋体" w:cs="宋体"/>
                <w:w w:val="99"/>
                <w:sz w:val="20"/>
                <w:szCs w:val="20"/>
              </w:rPr>
              <w:t>器</w:t>
            </w:r>
          </w:p>
        </w:tc>
        <w:tc>
          <w:tcPr>
            <w:tcW w:w="1915" w:type="dxa"/>
            <w:vMerge w:val="restart"/>
            <w:tcBorders>
              <w:top w:val="single" w:color="000000" w:sz="4" w:space="0"/>
              <w:left w:val="single" w:color="000000" w:sz="4" w:space="0"/>
              <w:bottom w:val="single" w:color="000000" w:sz="4" w:space="0"/>
              <w:right w:val="single" w:color="000000" w:sz="4" w:space="0"/>
            </w:tcBorders>
            <w:vAlign w:val="top"/>
          </w:tcPr>
          <w:p>
            <w:pPr>
              <w:rPr>
                <w:rFonts w:ascii="Calibri" w:hAnsi="Calibri"/>
                <w:sz w:val="22"/>
                <w:szCs w:val="22"/>
              </w:rPr>
            </w:pPr>
          </w:p>
        </w:tc>
        <w:tc>
          <w:tcPr>
            <w:tcW w:w="2966" w:type="dxa"/>
            <w:tcBorders>
              <w:top w:val="single" w:color="000000" w:sz="4" w:space="0"/>
              <w:left w:val="single" w:color="000000" w:sz="4" w:space="0"/>
              <w:bottom w:val="nil"/>
              <w:right w:val="single" w:color="000000" w:sz="4" w:space="0"/>
            </w:tcBorders>
            <w:vAlign w:val="top"/>
          </w:tcPr>
          <w:p>
            <w:pPr>
              <w:pStyle w:val="25"/>
              <w:spacing w:before="30"/>
              <w:ind w:left="7"/>
              <w:rPr>
                <w:rFonts w:ascii="宋体" w:hAnsi="宋体" w:cs="宋体"/>
                <w:sz w:val="20"/>
                <w:szCs w:val="20"/>
                <w:lang w:eastAsia="zh-CN"/>
              </w:rPr>
            </w:pPr>
            <w:r>
              <w:rPr>
                <w:rFonts w:hint="eastAsia" w:ascii="宋体" w:hAnsi="宋体" w:cs="宋体"/>
                <w:spacing w:val="12"/>
                <w:w w:val="99"/>
                <w:sz w:val="20"/>
                <w:szCs w:val="20"/>
                <w:lang w:eastAsia="zh-CN"/>
              </w:rPr>
              <w:t>《三相配电变压器能效</w:t>
            </w:r>
            <w:r>
              <w:rPr>
                <w:rFonts w:hint="eastAsia" w:ascii="宋体" w:hAnsi="宋体" w:cs="宋体"/>
                <w:spacing w:val="9"/>
                <w:w w:val="99"/>
                <w:sz w:val="20"/>
                <w:szCs w:val="20"/>
                <w:lang w:eastAsia="zh-CN"/>
              </w:rPr>
              <w:t>限</w:t>
            </w:r>
            <w:r>
              <w:rPr>
                <w:rFonts w:hint="eastAsia" w:ascii="宋体" w:hAnsi="宋体" w:cs="宋体"/>
                <w:spacing w:val="12"/>
                <w:w w:val="99"/>
                <w:sz w:val="20"/>
                <w:szCs w:val="20"/>
                <w:lang w:eastAsia="zh-CN"/>
              </w:rPr>
              <w:t>定值</w:t>
            </w:r>
            <w:r>
              <w:rPr>
                <w:rFonts w:hint="eastAsia" w:ascii="宋体" w:hAnsi="宋体" w:cs="宋体"/>
                <w:w w:val="99"/>
                <w:sz w:val="20"/>
                <w:szCs w:val="20"/>
                <w:lang w:eastAsia="zh-CN"/>
              </w:rPr>
              <w:t>及</w:t>
            </w:r>
          </w:p>
        </w:tc>
      </w:tr>
      <w:tr>
        <w:tblPrEx>
          <w:tblLayout w:type="fixed"/>
          <w:tblCellMar>
            <w:top w:w="0" w:type="dxa"/>
            <w:left w:w="0" w:type="dxa"/>
            <w:bottom w:w="0" w:type="dxa"/>
            <w:right w:w="0" w:type="dxa"/>
          </w:tblCellMar>
        </w:tblPrEx>
        <w:trPr>
          <w:trHeight w:val="345" w:hRule="exact"/>
          <w:jc w:val="center"/>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1166" w:type="dxa"/>
            <w:tcBorders>
              <w:top w:val="nil"/>
              <w:left w:val="single" w:color="000000" w:sz="4" w:space="0"/>
              <w:bottom w:val="single" w:color="000000" w:sz="4" w:space="0"/>
              <w:right w:val="single" w:color="000000" w:sz="4" w:space="0"/>
            </w:tcBorders>
            <w:vAlign w:val="top"/>
          </w:tcPr>
          <w:p>
            <w:pPr>
              <w:pStyle w:val="25"/>
              <w:spacing w:line="256" w:lineRule="exact"/>
              <w:ind w:left="7"/>
              <w:rPr>
                <w:rFonts w:ascii="宋体" w:hAnsi="宋体" w:cs="宋体"/>
                <w:sz w:val="20"/>
                <w:szCs w:val="20"/>
              </w:rPr>
            </w:pPr>
            <w:r>
              <w:rPr>
                <w:rFonts w:hint="eastAsia" w:ascii="宋体" w:hAnsi="宋体" w:cs="宋体"/>
                <w:w w:val="99"/>
                <w:sz w:val="20"/>
                <w:szCs w:val="20"/>
              </w:rPr>
              <w:t>器</w:t>
            </w:r>
          </w:p>
        </w:tc>
        <w:tc>
          <w:tcPr>
            <w:tcW w:w="18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lang w:eastAsia="en-US"/>
              </w:rPr>
            </w:pPr>
          </w:p>
        </w:tc>
        <w:tc>
          <w:tcPr>
            <w:tcW w:w="1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Times New Roman"/>
                <w:sz w:val="22"/>
                <w:szCs w:val="22"/>
                <w:lang w:eastAsia="en-US"/>
              </w:rPr>
            </w:pPr>
          </w:p>
        </w:tc>
        <w:tc>
          <w:tcPr>
            <w:tcW w:w="2966" w:type="dxa"/>
            <w:tcBorders>
              <w:top w:val="nil"/>
              <w:left w:val="single" w:color="000000" w:sz="4" w:space="0"/>
              <w:bottom w:val="single" w:color="000000" w:sz="4" w:space="0"/>
              <w:right w:val="single" w:color="000000" w:sz="4" w:space="0"/>
            </w:tcBorders>
            <w:vAlign w:val="top"/>
          </w:tcPr>
          <w:p>
            <w:pPr>
              <w:pStyle w:val="25"/>
              <w:spacing w:line="256" w:lineRule="exact"/>
              <w:ind w:left="7"/>
              <w:rPr>
                <w:rFonts w:ascii="宋体" w:hAnsi="宋体" w:cs="宋体"/>
                <w:sz w:val="20"/>
                <w:szCs w:val="20"/>
              </w:rPr>
            </w:pPr>
            <w:r>
              <w:rPr>
                <w:rFonts w:hint="eastAsia" w:ascii="宋体" w:hAnsi="宋体" w:cs="宋体"/>
                <w:w w:val="99"/>
                <w:sz w:val="20"/>
                <w:szCs w:val="20"/>
              </w:rPr>
              <w:t>能效等</w:t>
            </w:r>
            <w:r>
              <w:rPr>
                <w:rFonts w:hint="eastAsia" w:ascii="宋体" w:hAnsi="宋体" w:cs="宋体"/>
                <w:spacing w:val="2"/>
                <w:w w:val="99"/>
                <w:sz w:val="20"/>
                <w:szCs w:val="20"/>
              </w:rPr>
              <w:t>级</w:t>
            </w:r>
            <w:r>
              <w:rPr>
                <w:rFonts w:hint="eastAsia" w:ascii="宋体" w:hAnsi="宋体" w:cs="宋体"/>
                <w:w w:val="99"/>
                <w:sz w:val="20"/>
                <w:szCs w:val="20"/>
              </w:rPr>
              <w:t>》（</w:t>
            </w:r>
            <w:r>
              <w:rPr>
                <w:rFonts w:hint="eastAsia" w:ascii="宋体" w:hAnsi="宋体" w:cs="宋体"/>
                <w:spacing w:val="1"/>
                <w:w w:val="99"/>
                <w:sz w:val="20"/>
                <w:szCs w:val="20"/>
              </w:rPr>
              <w:t>G</w:t>
            </w:r>
            <w:r>
              <w:rPr>
                <w:rFonts w:hint="eastAsia" w:ascii="宋体" w:hAnsi="宋体" w:cs="宋体"/>
                <w:w w:val="99"/>
                <w:sz w:val="20"/>
                <w:szCs w:val="20"/>
              </w:rPr>
              <w:t>B</w:t>
            </w:r>
            <w:r>
              <w:rPr>
                <w:rFonts w:hint="eastAsia" w:ascii="宋体" w:hAnsi="宋体" w:cs="宋体"/>
                <w:spacing w:val="1"/>
                <w:w w:val="99"/>
                <w:sz w:val="20"/>
                <w:szCs w:val="20"/>
              </w:rPr>
              <w:t>200</w:t>
            </w:r>
            <w:r>
              <w:rPr>
                <w:rFonts w:hint="eastAsia" w:ascii="宋体" w:hAnsi="宋体" w:cs="宋体"/>
                <w:w w:val="99"/>
                <w:sz w:val="20"/>
                <w:szCs w:val="20"/>
              </w:rPr>
              <w:t>5</w:t>
            </w:r>
            <w:r>
              <w:rPr>
                <w:rFonts w:hint="eastAsia" w:ascii="宋体" w:hAnsi="宋体" w:cs="宋体"/>
                <w:spacing w:val="-1"/>
                <w:w w:val="99"/>
                <w:sz w:val="20"/>
                <w:szCs w:val="20"/>
              </w:rPr>
              <w:t>2</w:t>
            </w:r>
            <w:r>
              <w:rPr>
                <w:rFonts w:hint="eastAsia" w:ascii="宋体" w:hAnsi="宋体" w:cs="宋体"/>
                <w:w w:val="99"/>
                <w:sz w:val="20"/>
                <w:szCs w:val="20"/>
              </w:rPr>
              <w:t>）</w:t>
            </w:r>
          </w:p>
        </w:tc>
      </w:tr>
      <w:tr>
        <w:tblPrEx>
          <w:tblLayout w:type="fixed"/>
          <w:tblCellMar>
            <w:top w:w="0" w:type="dxa"/>
            <w:left w:w="0" w:type="dxa"/>
            <w:bottom w:w="0" w:type="dxa"/>
            <w:right w:w="0" w:type="dxa"/>
          </w:tblCellMar>
        </w:tblPrEx>
        <w:trPr>
          <w:trHeight w:val="449" w:hRule="exact"/>
          <w:jc w:val="center"/>
        </w:trPr>
        <w:tc>
          <w:tcPr>
            <w:tcW w:w="574" w:type="dxa"/>
            <w:vMerge w:val="restart"/>
            <w:tcBorders>
              <w:top w:val="single" w:color="000000" w:sz="4" w:space="0"/>
              <w:left w:val="single" w:color="000000" w:sz="4" w:space="0"/>
              <w:bottom w:val="single" w:color="000000" w:sz="4" w:space="0"/>
              <w:right w:val="single" w:color="000000" w:sz="4" w:space="0"/>
            </w:tcBorders>
            <w:vAlign w:val="top"/>
          </w:tcPr>
          <w:p>
            <w:pPr>
              <w:pStyle w:val="25"/>
              <w:spacing w:before="8"/>
              <w:rPr>
                <w:rFonts w:ascii="宋体" w:hAnsi="宋体" w:cs="宋体"/>
                <w:sz w:val="21"/>
                <w:szCs w:val="21"/>
              </w:rPr>
            </w:pPr>
          </w:p>
          <w:p>
            <w:pPr>
              <w:pStyle w:val="25"/>
              <w:ind w:right="1"/>
              <w:jc w:val="center"/>
              <w:rPr>
                <w:rFonts w:ascii="宋体" w:hAnsi="宋体" w:cs="宋体"/>
                <w:sz w:val="20"/>
                <w:szCs w:val="20"/>
              </w:rPr>
            </w:pPr>
            <w:r>
              <w:rPr>
                <w:rFonts w:hint="eastAsia" w:ascii="宋体"/>
                <w:w w:val="99"/>
                <w:sz w:val="20"/>
              </w:rPr>
              <w:t>9</w:t>
            </w:r>
          </w:p>
        </w:tc>
        <w:tc>
          <w:tcPr>
            <w:tcW w:w="1166" w:type="dxa"/>
            <w:tcBorders>
              <w:top w:val="single" w:color="000000" w:sz="4" w:space="0"/>
              <w:left w:val="single" w:color="000000" w:sz="4" w:space="0"/>
              <w:bottom w:val="nil"/>
              <w:right w:val="single" w:color="000000" w:sz="4" w:space="0"/>
            </w:tcBorders>
            <w:vAlign w:val="top"/>
          </w:tcPr>
          <w:p>
            <w:pPr>
              <w:pStyle w:val="25"/>
              <w:spacing w:before="126"/>
              <w:ind w:left="7"/>
              <w:rPr>
                <w:rFonts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A020</w:t>
            </w:r>
            <w:r>
              <w:rPr>
                <w:rFonts w:hint="eastAsia" w:ascii="宋体" w:hAnsi="宋体" w:cs="宋体"/>
                <w:w w:val="99"/>
                <w:sz w:val="20"/>
                <w:szCs w:val="20"/>
              </w:rPr>
              <w:t>609镇</w:t>
            </w:r>
          </w:p>
        </w:tc>
        <w:tc>
          <w:tcPr>
            <w:tcW w:w="1800" w:type="dxa"/>
            <w:vMerge w:val="restart"/>
            <w:tcBorders>
              <w:top w:val="single" w:color="000000" w:sz="4" w:space="0"/>
              <w:left w:val="single" w:color="000000" w:sz="4" w:space="0"/>
              <w:bottom w:val="single" w:color="000000" w:sz="4" w:space="0"/>
              <w:right w:val="single" w:color="000000" w:sz="4" w:space="0"/>
            </w:tcBorders>
            <w:vAlign w:val="top"/>
          </w:tcPr>
          <w:p>
            <w:pPr>
              <w:pStyle w:val="25"/>
              <w:spacing w:before="8"/>
              <w:rPr>
                <w:rFonts w:ascii="宋体" w:hAnsi="宋体" w:cs="宋体"/>
                <w:sz w:val="21"/>
                <w:szCs w:val="21"/>
              </w:rPr>
            </w:pPr>
          </w:p>
          <w:p>
            <w:pPr>
              <w:pStyle w:val="25"/>
              <w:ind w:left="7"/>
              <w:rPr>
                <w:rFonts w:ascii="宋体" w:hAnsi="宋体" w:cs="宋体"/>
                <w:sz w:val="20"/>
                <w:szCs w:val="20"/>
              </w:rPr>
            </w:pPr>
            <w:r>
              <w:rPr>
                <w:rFonts w:hint="eastAsia" w:ascii="宋体" w:hAnsi="宋体" w:cs="宋体"/>
                <w:w w:val="99"/>
                <w:sz w:val="20"/>
                <w:szCs w:val="20"/>
              </w:rPr>
              <w:t>管型荧</w:t>
            </w:r>
            <w:r>
              <w:rPr>
                <w:rFonts w:hint="eastAsia" w:ascii="宋体" w:hAnsi="宋体" w:cs="宋体"/>
                <w:spacing w:val="2"/>
                <w:w w:val="99"/>
                <w:sz w:val="20"/>
                <w:szCs w:val="20"/>
              </w:rPr>
              <w:t>光</w:t>
            </w:r>
            <w:r>
              <w:rPr>
                <w:rFonts w:hint="eastAsia" w:ascii="宋体" w:hAnsi="宋体" w:cs="宋体"/>
                <w:w w:val="99"/>
                <w:sz w:val="20"/>
                <w:szCs w:val="20"/>
              </w:rPr>
              <w:t>灯镇</w:t>
            </w:r>
            <w:r>
              <w:rPr>
                <w:rFonts w:hint="eastAsia" w:ascii="宋体" w:hAnsi="宋体" w:cs="宋体"/>
                <w:spacing w:val="2"/>
                <w:w w:val="99"/>
                <w:sz w:val="20"/>
                <w:szCs w:val="20"/>
              </w:rPr>
              <w:t>流</w:t>
            </w:r>
            <w:r>
              <w:rPr>
                <w:rFonts w:hint="eastAsia" w:ascii="宋体" w:hAnsi="宋体" w:cs="宋体"/>
                <w:w w:val="99"/>
                <w:sz w:val="20"/>
                <w:szCs w:val="20"/>
              </w:rPr>
              <w:t>器</w:t>
            </w:r>
          </w:p>
        </w:tc>
        <w:tc>
          <w:tcPr>
            <w:tcW w:w="1915" w:type="dxa"/>
            <w:vMerge w:val="restart"/>
            <w:tcBorders>
              <w:top w:val="single" w:color="000000" w:sz="4" w:space="0"/>
              <w:left w:val="single" w:color="000000" w:sz="4" w:space="0"/>
              <w:bottom w:val="single" w:color="000000" w:sz="4" w:space="0"/>
              <w:right w:val="single" w:color="000000" w:sz="4" w:space="0"/>
            </w:tcBorders>
            <w:vAlign w:val="top"/>
          </w:tcPr>
          <w:p>
            <w:pPr>
              <w:rPr>
                <w:rFonts w:ascii="Calibri" w:hAnsi="Calibri"/>
                <w:sz w:val="22"/>
                <w:szCs w:val="22"/>
              </w:rPr>
            </w:pPr>
          </w:p>
        </w:tc>
        <w:tc>
          <w:tcPr>
            <w:tcW w:w="2966" w:type="dxa"/>
            <w:tcBorders>
              <w:top w:val="single" w:color="000000" w:sz="4" w:space="0"/>
              <w:left w:val="single" w:color="000000" w:sz="4" w:space="0"/>
              <w:bottom w:val="nil"/>
              <w:right w:val="single" w:color="000000" w:sz="4" w:space="0"/>
            </w:tcBorders>
            <w:vAlign w:val="top"/>
          </w:tcPr>
          <w:p>
            <w:pPr>
              <w:pStyle w:val="25"/>
              <w:spacing w:before="126"/>
              <w:ind w:left="7"/>
              <w:rPr>
                <w:rFonts w:ascii="宋体" w:hAnsi="宋体" w:cs="宋体"/>
                <w:sz w:val="20"/>
                <w:szCs w:val="20"/>
                <w:lang w:eastAsia="zh-CN"/>
              </w:rPr>
            </w:pPr>
            <w:r>
              <w:rPr>
                <w:rFonts w:hint="eastAsia" w:ascii="宋体" w:hAnsi="宋体" w:cs="宋体"/>
                <w:spacing w:val="12"/>
                <w:w w:val="99"/>
                <w:sz w:val="20"/>
                <w:szCs w:val="20"/>
                <w:lang w:eastAsia="zh-CN"/>
              </w:rPr>
              <w:t>《管形荧光灯镇流器能</w:t>
            </w:r>
            <w:r>
              <w:rPr>
                <w:rFonts w:hint="eastAsia" w:ascii="宋体" w:hAnsi="宋体" w:cs="宋体"/>
                <w:spacing w:val="9"/>
                <w:w w:val="99"/>
                <w:sz w:val="20"/>
                <w:szCs w:val="20"/>
                <w:lang w:eastAsia="zh-CN"/>
              </w:rPr>
              <w:t>效</w:t>
            </w:r>
            <w:r>
              <w:rPr>
                <w:rFonts w:hint="eastAsia" w:ascii="宋体" w:hAnsi="宋体" w:cs="宋体"/>
                <w:spacing w:val="12"/>
                <w:w w:val="99"/>
                <w:sz w:val="20"/>
                <w:szCs w:val="20"/>
                <w:lang w:eastAsia="zh-CN"/>
              </w:rPr>
              <w:t>限定</w:t>
            </w:r>
            <w:r>
              <w:rPr>
                <w:rFonts w:hint="eastAsia" w:ascii="宋体" w:hAnsi="宋体" w:cs="宋体"/>
                <w:w w:val="99"/>
                <w:sz w:val="20"/>
                <w:szCs w:val="20"/>
                <w:lang w:eastAsia="zh-CN"/>
              </w:rPr>
              <w:t>值</w:t>
            </w:r>
          </w:p>
        </w:tc>
      </w:tr>
      <w:tr>
        <w:tblPrEx>
          <w:tblLayout w:type="fixed"/>
          <w:tblCellMar>
            <w:top w:w="0" w:type="dxa"/>
            <w:left w:w="0" w:type="dxa"/>
            <w:bottom w:w="0" w:type="dxa"/>
            <w:right w:w="0" w:type="dxa"/>
          </w:tblCellMar>
        </w:tblPrEx>
        <w:trPr>
          <w:trHeight w:val="441" w:hRule="exact"/>
          <w:jc w:val="center"/>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1166" w:type="dxa"/>
            <w:tcBorders>
              <w:top w:val="nil"/>
              <w:left w:val="single" w:color="000000" w:sz="4" w:space="0"/>
              <w:bottom w:val="single" w:color="000000" w:sz="4" w:space="0"/>
              <w:right w:val="single" w:color="000000" w:sz="4" w:space="0"/>
            </w:tcBorders>
            <w:vAlign w:val="top"/>
          </w:tcPr>
          <w:p>
            <w:pPr>
              <w:pStyle w:val="25"/>
              <w:spacing w:line="256" w:lineRule="exact"/>
              <w:ind w:left="7"/>
              <w:rPr>
                <w:rFonts w:ascii="宋体" w:hAnsi="宋体" w:cs="宋体"/>
                <w:sz w:val="20"/>
                <w:szCs w:val="20"/>
              </w:rPr>
            </w:pPr>
            <w:r>
              <w:rPr>
                <w:rFonts w:hint="eastAsia" w:ascii="宋体" w:hAnsi="宋体" w:cs="宋体"/>
                <w:w w:val="99"/>
                <w:sz w:val="20"/>
                <w:szCs w:val="20"/>
              </w:rPr>
              <w:t>流器</w:t>
            </w:r>
          </w:p>
        </w:tc>
        <w:tc>
          <w:tcPr>
            <w:tcW w:w="18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lang w:eastAsia="en-US"/>
              </w:rPr>
            </w:pPr>
          </w:p>
        </w:tc>
        <w:tc>
          <w:tcPr>
            <w:tcW w:w="1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Times New Roman"/>
                <w:sz w:val="22"/>
                <w:szCs w:val="22"/>
                <w:lang w:eastAsia="en-US"/>
              </w:rPr>
            </w:pPr>
          </w:p>
        </w:tc>
        <w:tc>
          <w:tcPr>
            <w:tcW w:w="2966" w:type="dxa"/>
            <w:tcBorders>
              <w:top w:val="nil"/>
              <w:left w:val="single" w:color="000000" w:sz="4" w:space="0"/>
              <w:bottom w:val="single" w:color="000000" w:sz="4" w:space="0"/>
              <w:right w:val="single" w:color="000000" w:sz="4" w:space="0"/>
            </w:tcBorders>
            <w:vAlign w:val="top"/>
          </w:tcPr>
          <w:p>
            <w:pPr>
              <w:pStyle w:val="25"/>
              <w:spacing w:line="256" w:lineRule="exact"/>
              <w:ind w:left="7"/>
              <w:rPr>
                <w:rFonts w:ascii="宋体" w:hAnsi="宋体" w:cs="宋体"/>
                <w:sz w:val="20"/>
                <w:szCs w:val="20"/>
                <w:lang w:eastAsia="zh-CN"/>
              </w:rPr>
            </w:pPr>
            <w:r>
              <w:rPr>
                <w:rFonts w:hint="eastAsia" w:ascii="宋体" w:hAnsi="宋体" w:cs="宋体"/>
                <w:w w:val="99"/>
                <w:sz w:val="20"/>
                <w:szCs w:val="20"/>
                <w:lang w:eastAsia="zh-CN"/>
              </w:rPr>
              <w:t>及能效</w:t>
            </w:r>
            <w:r>
              <w:rPr>
                <w:rFonts w:hint="eastAsia" w:ascii="宋体" w:hAnsi="宋体" w:cs="宋体"/>
                <w:spacing w:val="2"/>
                <w:w w:val="99"/>
                <w:sz w:val="20"/>
                <w:szCs w:val="20"/>
                <w:lang w:eastAsia="zh-CN"/>
              </w:rPr>
              <w:t>等</w:t>
            </w:r>
            <w:r>
              <w:rPr>
                <w:rFonts w:hint="eastAsia" w:ascii="宋体" w:hAnsi="宋体" w:cs="宋体"/>
                <w:w w:val="99"/>
                <w:sz w:val="20"/>
                <w:szCs w:val="20"/>
                <w:lang w:eastAsia="zh-CN"/>
              </w:rPr>
              <w:t>级》（</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17896</w:t>
            </w:r>
            <w:r>
              <w:rPr>
                <w:rFonts w:hint="eastAsia" w:ascii="宋体" w:hAnsi="宋体" w:cs="宋体"/>
                <w:w w:val="99"/>
                <w:sz w:val="20"/>
                <w:szCs w:val="20"/>
                <w:lang w:eastAsia="zh-CN"/>
              </w:rPr>
              <w:t>）</w:t>
            </w:r>
          </w:p>
        </w:tc>
      </w:tr>
      <w:tr>
        <w:tblPrEx>
          <w:tblLayout w:type="fixed"/>
          <w:tblCellMar>
            <w:top w:w="0" w:type="dxa"/>
            <w:left w:w="0" w:type="dxa"/>
            <w:bottom w:w="0" w:type="dxa"/>
            <w:right w:w="0" w:type="dxa"/>
          </w:tblCellMar>
        </w:tblPrEx>
        <w:trPr>
          <w:trHeight w:val="377" w:hRule="exact"/>
          <w:jc w:val="center"/>
        </w:trPr>
        <w:tc>
          <w:tcPr>
            <w:tcW w:w="574" w:type="dxa"/>
            <w:vMerge w:val="restart"/>
            <w:tcBorders>
              <w:top w:val="single" w:color="000000" w:sz="4" w:space="0"/>
              <w:left w:val="single" w:color="000000" w:sz="4" w:space="0"/>
              <w:bottom w:val="single" w:color="000000" w:sz="4" w:space="0"/>
              <w:right w:val="single" w:color="000000" w:sz="4" w:space="0"/>
            </w:tcBorders>
            <w:vAlign w:val="top"/>
          </w:tcPr>
          <w:p>
            <w:pPr>
              <w:pStyle w:val="25"/>
              <w:rPr>
                <w:rFonts w:ascii="宋体" w:hAnsi="宋体" w:cs="宋体"/>
                <w:sz w:val="20"/>
                <w:szCs w:val="20"/>
                <w:lang w:eastAsia="zh-CN"/>
              </w:rPr>
            </w:pPr>
          </w:p>
          <w:p>
            <w:pPr>
              <w:pStyle w:val="25"/>
              <w:rPr>
                <w:rFonts w:hint="eastAsia" w:ascii="宋体" w:hAnsi="宋体" w:cs="宋体"/>
                <w:sz w:val="20"/>
                <w:szCs w:val="20"/>
                <w:lang w:eastAsia="zh-CN"/>
              </w:rPr>
            </w:pPr>
          </w:p>
          <w:p>
            <w:pPr>
              <w:pStyle w:val="25"/>
              <w:rPr>
                <w:rFonts w:hint="eastAsia" w:ascii="宋体" w:hAnsi="宋体" w:cs="宋体"/>
                <w:sz w:val="20"/>
                <w:szCs w:val="20"/>
                <w:lang w:eastAsia="zh-CN"/>
              </w:rPr>
            </w:pPr>
          </w:p>
          <w:p>
            <w:pPr>
              <w:pStyle w:val="25"/>
              <w:rPr>
                <w:rFonts w:hint="eastAsia" w:ascii="宋体" w:hAnsi="宋体" w:cs="宋体"/>
                <w:sz w:val="20"/>
                <w:szCs w:val="20"/>
                <w:lang w:eastAsia="zh-CN"/>
              </w:rPr>
            </w:pPr>
          </w:p>
          <w:p>
            <w:pPr>
              <w:pStyle w:val="25"/>
              <w:rPr>
                <w:rFonts w:hint="eastAsia" w:ascii="宋体" w:hAnsi="宋体" w:cs="宋体"/>
                <w:sz w:val="20"/>
                <w:szCs w:val="20"/>
                <w:lang w:eastAsia="zh-CN"/>
              </w:rPr>
            </w:pPr>
          </w:p>
          <w:p>
            <w:pPr>
              <w:pStyle w:val="25"/>
              <w:rPr>
                <w:rFonts w:hint="eastAsia" w:ascii="宋体" w:hAnsi="宋体" w:cs="宋体"/>
                <w:sz w:val="20"/>
                <w:szCs w:val="20"/>
                <w:lang w:eastAsia="zh-CN"/>
              </w:rPr>
            </w:pPr>
          </w:p>
          <w:p>
            <w:pPr>
              <w:pStyle w:val="25"/>
              <w:rPr>
                <w:rFonts w:hint="eastAsia" w:ascii="宋体" w:hAnsi="宋体" w:cs="宋体"/>
                <w:sz w:val="20"/>
                <w:szCs w:val="20"/>
                <w:lang w:eastAsia="zh-CN"/>
              </w:rPr>
            </w:pPr>
          </w:p>
          <w:p>
            <w:pPr>
              <w:pStyle w:val="25"/>
              <w:rPr>
                <w:rFonts w:hint="eastAsia" w:ascii="宋体" w:hAnsi="宋体" w:cs="宋体"/>
                <w:sz w:val="20"/>
                <w:szCs w:val="20"/>
                <w:lang w:eastAsia="zh-CN"/>
              </w:rPr>
            </w:pPr>
          </w:p>
          <w:p>
            <w:pPr>
              <w:pStyle w:val="25"/>
              <w:rPr>
                <w:rFonts w:hint="eastAsia" w:ascii="宋体" w:hAnsi="宋体" w:cs="宋体"/>
                <w:sz w:val="20"/>
                <w:szCs w:val="20"/>
                <w:lang w:eastAsia="zh-CN"/>
              </w:rPr>
            </w:pPr>
          </w:p>
          <w:p>
            <w:pPr>
              <w:pStyle w:val="25"/>
              <w:spacing w:before="5"/>
              <w:rPr>
                <w:rFonts w:hint="eastAsia" w:ascii="宋体" w:hAnsi="宋体" w:cs="宋体"/>
                <w:sz w:val="18"/>
                <w:szCs w:val="18"/>
                <w:lang w:eastAsia="zh-CN"/>
              </w:rPr>
            </w:pPr>
          </w:p>
          <w:p>
            <w:pPr>
              <w:pStyle w:val="25"/>
              <w:ind w:left="182"/>
              <w:rPr>
                <w:rFonts w:ascii="宋体" w:hAnsi="宋体" w:cs="宋体"/>
                <w:sz w:val="20"/>
                <w:szCs w:val="20"/>
              </w:rPr>
            </w:pPr>
            <w:r>
              <w:rPr>
                <w:rFonts w:hint="eastAsia" w:ascii="宋体"/>
                <w:spacing w:val="1"/>
                <w:w w:val="99"/>
                <w:sz w:val="20"/>
              </w:rPr>
              <w:t>1</w:t>
            </w:r>
            <w:r>
              <w:rPr>
                <w:rFonts w:hint="eastAsia" w:ascii="宋体"/>
                <w:w w:val="99"/>
                <w:sz w:val="20"/>
              </w:rPr>
              <w:t>0</w:t>
            </w:r>
          </w:p>
        </w:tc>
        <w:tc>
          <w:tcPr>
            <w:tcW w:w="1166" w:type="dxa"/>
            <w:vMerge w:val="restart"/>
            <w:tcBorders>
              <w:top w:val="single" w:color="000000" w:sz="4" w:space="0"/>
              <w:left w:val="single" w:color="000000" w:sz="4" w:space="0"/>
              <w:bottom w:val="single" w:color="000000" w:sz="4" w:space="0"/>
              <w:right w:val="single" w:color="000000" w:sz="4" w:space="0"/>
            </w:tcBorders>
            <w:vAlign w:val="top"/>
          </w:tcPr>
          <w:p>
            <w:pPr>
              <w:pStyle w:val="25"/>
              <w:rPr>
                <w:rFonts w:ascii="宋体" w:hAnsi="宋体" w:cs="宋体"/>
                <w:sz w:val="20"/>
                <w:szCs w:val="20"/>
              </w:rPr>
            </w:pPr>
          </w:p>
          <w:p>
            <w:pPr>
              <w:pStyle w:val="25"/>
              <w:rPr>
                <w:rFonts w:hint="eastAsia" w:ascii="宋体" w:hAnsi="宋体" w:cs="宋体"/>
                <w:sz w:val="20"/>
                <w:szCs w:val="20"/>
              </w:rPr>
            </w:pPr>
          </w:p>
          <w:p>
            <w:pPr>
              <w:pStyle w:val="25"/>
              <w:rPr>
                <w:rFonts w:hint="eastAsia" w:ascii="宋体" w:hAnsi="宋体" w:cs="宋体"/>
                <w:sz w:val="20"/>
                <w:szCs w:val="20"/>
              </w:rPr>
            </w:pPr>
          </w:p>
          <w:p>
            <w:pPr>
              <w:pStyle w:val="25"/>
              <w:rPr>
                <w:rFonts w:hint="eastAsia" w:ascii="宋体" w:hAnsi="宋体" w:cs="宋体"/>
                <w:sz w:val="20"/>
                <w:szCs w:val="20"/>
              </w:rPr>
            </w:pPr>
          </w:p>
          <w:p>
            <w:pPr>
              <w:pStyle w:val="25"/>
              <w:rPr>
                <w:rFonts w:hint="eastAsia" w:ascii="宋体" w:hAnsi="宋体" w:cs="宋体"/>
                <w:sz w:val="20"/>
                <w:szCs w:val="20"/>
              </w:rPr>
            </w:pPr>
          </w:p>
          <w:p>
            <w:pPr>
              <w:pStyle w:val="25"/>
              <w:rPr>
                <w:rFonts w:hint="eastAsia" w:ascii="宋体" w:hAnsi="宋体" w:cs="宋体"/>
                <w:sz w:val="20"/>
                <w:szCs w:val="20"/>
              </w:rPr>
            </w:pPr>
          </w:p>
          <w:p>
            <w:pPr>
              <w:pStyle w:val="25"/>
              <w:rPr>
                <w:rFonts w:hint="eastAsia" w:ascii="宋体" w:hAnsi="宋体" w:cs="宋体"/>
                <w:sz w:val="20"/>
                <w:szCs w:val="20"/>
              </w:rPr>
            </w:pPr>
          </w:p>
          <w:p>
            <w:pPr>
              <w:pStyle w:val="25"/>
              <w:rPr>
                <w:rFonts w:hint="eastAsia" w:ascii="宋体" w:hAnsi="宋体" w:cs="宋体"/>
                <w:sz w:val="20"/>
                <w:szCs w:val="20"/>
              </w:rPr>
            </w:pPr>
          </w:p>
          <w:p>
            <w:pPr>
              <w:pStyle w:val="25"/>
              <w:spacing w:before="6"/>
              <w:rPr>
                <w:rFonts w:hint="eastAsia" w:ascii="宋体" w:hAnsi="宋体" w:cs="宋体"/>
                <w:sz w:val="26"/>
                <w:szCs w:val="26"/>
              </w:rPr>
            </w:pPr>
          </w:p>
          <w:p>
            <w:pPr>
              <w:pStyle w:val="25"/>
              <w:ind w:left="7"/>
              <w:rPr>
                <w:rFonts w:hint="eastAsia"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06</w:t>
            </w:r>
            <w:r>
              <w:rPr>
                <w:rFonts w:hint="eastAsia" w:ascii="宋体" w:hAnsi="宋体" w:cs="宋体"/>
                <w:spacing w:val="1"/>
                <w:w w:val="99"/>
                <w:sz w:val="20"/>
                <w:szCs w:val="20"/>
              </w:rPr>
              <w:t>1</w:t>
            </w:r>
            <w:r>
              <w:rPr>
                <w:rFonts w:hint="eastAsia" w:ascii="宋体" w:hAnsi="宋体" w:cs="宋体"/>
                <w:w w:val="99"/>
                <w:sz w:val="20"/>
                <w:szCs w:val="20"/>
              </w:rPr>
              <w:t>8生活</w:t>
            </w:r>
          </w:p>
          <w:p>
            <w:pPr>
              <w:pStyle w:val="25"/>
              <w:spacing w:before="50"/>
              <w:ind w:left="7"/>
              <w:rPr>
                <w:rFonts w:ascii="宋体" w:hAnsi="宋体" w:cs="宋体"/>
                <w:sz w:val="20"/>
                <w:szCs w:val="20"/>
              </w:rPr>
            </w:pPr>
            <w:r>
              <w:rPr>
                <w:rFonts w:hint="eastAsia" w:ascii="宋体" w:hAnsi="宋体" w:cs="宋体"/>
                <w:w w:val="99"/>
                <w:sz w:val="20"/>
                <w:szCs w:val="20"/>
              </w:rPr>
              <w:t>用电器</w:t>
            </w:r>
          </w:p>
        </w:tc>
        <w:tc>
          <w:tcPr>
            <w:tcW w:w="1800" w:type="dxa"/>
            <w:vMerge w:val="restart"/>
            <w:tcBorders>
              <w:top w:val="single" w:color="000000" w:sz="4" w:space="0"/>
              <w:left w:val="single" w:color="000000" w:sz="4" w:space="0"/>
              <w:bottom w:val="single" w:color="000000" w:sz="4" w:space="0"/>
              <w:right w:val="single" w:color="000000" w:sz="4" w:space="0"/>
            </w:tcBorders>
            <w:vAlign w:val="top"/>
          </w:tcPr>
          <w:p>
            <w:pPr>
              <w:pStyle w:val="25"/>
              <w:spacing w:before="1"/>
              <w:rPr>
                <w:rFonts w:ascii="宋体" w:hAnsi="宋体" w:cs="宋体"/>
                <w:sz w:val="16"/>
                <w:szCs w:val="16"/>
              </w:rPr>
            </w:pPr>
          </w:p>
          <w:p>
            <w:pPr>
              <w:pStyle w:val="25"/>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06</w:t>
            </w:r>
            <w:r>
              <w:rPr>
                <w:rFonts w:hint="eastAsia" w:ascii="宋体" w:hAnsi="宋体" w:cs="宋体"/>
                <w:spacing w:val="1"/>
                <w:w w:val="99"/>
                <w:sz w:val="20"/>
                <w:szCs w:val="20"/>
              </w:rPr>
              <w:t>1</w:t>
            </w:r>
            <w:r>
              <w:rPr>
                <w:rFonts w:hint="eastAsia" w:ascii="宋体" w:hAnsi="宋体" w:cs="宋体"/>
                <w:w w:val="99"/>
                <w:sz w:val="20"/>
                <w:szCs w:val="20"/>
              </w:rPr>
              <w:t>80</w:t>
            </w:r>
            <w:r>
              <w:rPr>
                <w:rFonts w:hint="eastAsia" w:ascii="宋体" w:hAnsi="宋体" w:cs="宋体"/>
                <w:spacing w:val="1"/>
                <w:w w:val="99"/>
                <w:sz w:val="20"/>
                <w:szCs w:val="20"/>
              </w:rPr>
              <w:t>1</w:t>
            </w:r>
            <w:r>
              <w:rPr>
                <w:rFonts w:hint="eastAsia" w:ascii="宋体" w:hAnsi="宋体" w:cs="宋体"/>
                <w:w w:val="99"/>
                <w:sz w:val="20"/>
                <w:szCs w:val="20"/>
              </w:rPr>
              <w:t>01电冰箱</w:t>
            </w:r>
          </w:p>
        </w:tc>
        <w:tc>
          <w:tcPr>
            <w:tcW w:w="1915" w:type="dxa"/>
            <w:vMerge w:val="restart"/>
            <w:tcBorders>
              <w:top w:val="single" w:color="000000" w:sz="4" w:space="0"/>
              <w:left w:val="single" w:color="000000" w:sz="4" w:space="0"/>
              <w:bottom w:val="single" w:color="000000" w:sz="4" w:space="0"/>
              <w:right w:val="single" w:color="000000" w:sz="4" w:space="0"/>
            </w:tcBorders>
            <w:vAlign w:val="top"/>
          </w:tcPr>
          <w:p>
            <w:pPr>
              <w:rPr>
                <w:rFonts w:ascii="Calibri" w:hAnsi="Calibri"/>
                <w:sz w:val="22"/>
                <w:szCs w:val="22"/>
              </w:rPr>
            </w:pPr>
          </w:p>
        </w:tc>
        <w:tc>
          <w:tcPr>
            <w:tcW w:w="2966" w:type="dxa"/>
            <w:tcBorders>
              <w:top w:val="single" w:color="000000" w:sz="4" w:space="0"/>
              <w:left w:val="single" w:color="000000" w:sz="4" w:space="0"/>
              <w:bottom w:val="nil"/>
              <w:right w:val="single" w:color="000000" w:sz="4" w:space="0"/>
            </w:tcBorders>
            <w:vAlign w:val="top"/>
          </w:tcPr>
          <w:p>
            <w:pPr>
              <w:pStyle w:val="25"/>
              <w:spacing w:before="54"/>
              <w:ind w:left="7"/>
              <w:rPr>
                <w:rFonts w:ascii="宋体" w:hAnsi="宋体" w:cs="宋体"/>
                <w:sz w:val="20"/>
                <w:szCs w:val="20"/>
                <w:lang w:eastAsia="zh-CN"/>
              </w:rPr>
            </w:pPr>
            <w:r>
              <w:rPr>
                <w:rFonts w:hint="eastAsia" w:ascii="宋体" w:hAnsi="宋体" w:cs="宋体"/>
                <w:spacing w:val="12"/>
                <w:w w:val="99"/>
                <w:sz w:val="20"/>
                <w:szCs w:val="20"/>
                <w:lang w:eastAsia="zh-CN"/>
              </w:rPr>
              <w:t>《家用电冰箱耗电量限</w:t>
            </w:r>
            <w:r>
              <w:rPr>
                <w:rFonts w:hint="eastAsia" w:ascii="宋体" w:hAnsi="宋体" w:cs="宋体"/>
                <w:spacing w:val="9"/>
                <w:w w:val="99"/>
                <w:sz w:val="20"/>
                <w:szCs w:val="20"/>
                <w:lang w:eastAsia="zh-CN"/>
              </w:rPr>
              <w:t>定</w:t>
            </w:r>
            <w:r>
              <w:rPr>
                <w:rFonts w:hint="eastAsia" w:ascii="宋体" w:hAnsi="宋体" w:cs="宋体"/>
                <w:spacing w:val="12"/>
                <w:w w:val="99"/>
                <w:sz w:val="20"/>
                <w:szCs w:val="20"/>
                <w:lang w:eastAsia="zh-CN"/>
              </w:rPr>
              <w:t>值及</w:t>
            </w:r>
            <w:r>
              <w:rPr>
                <w:rFonts w:hint="eastAsia" w:ascii="宋体" w:hAnsi="宋体" w:cs="宋体"/>
                <w:w w:val="99"/>
                <w:sz w:val="20"/>
                <w:szCs w:val="20"/>
                <w:lang w:eastAsia="zh-CN"/>
              </w:rPr>
              <w:t>能</w:t>
            </w:r>
          </w:p>
        </w:tc>
      </w:tr>
      <w:tr>
        <w:tblPrEx>
          <w:tblLayout w:type="fixed"/>
          <w:tblCellMar>
            <w:top w:w="0" w:type="dxa"/>
            <w:left w:w="0" w:type="dxa"/>
            <w:bottom w:w="0" w:type="dxa"/>
            <w:right w:w="0" w:type="dxa"/>
          </w:tblCellMar>
        </w:tblPrEx>
        <w:trPr>
          <w:trHeight w:val="367" w:hRule="atLeast"/>
          <w:jc w:val="center"/>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11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18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1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Times New Roman"/>
                <w:sz w:val="22"/>
                <w:szCs w:val="22"/>
              </w:rPr>
            </w:pPr>
          </w:p>
        </w:tc>
        <w:tc>
          <w:tcPr>
            <w:tcW w:w="2966" w:type="dxa"/>
            <w:tcBorders>
              <w:top w:val="nil"/>
              <w:left w:val="single" w:color="000000" w:sz="4" w:space="0"/>
              <w:bottom w:val="single" w:color="000000" w:sz="4" w:space="0"/>
              <w:right w:val="single" w:color="000000" w:sz="4" w:space="0"/>
            </w:tcBorders>
            <w:vAlign w:val="top"/>
          </w:tcPr>
          <w:p>
            <w:pPr>
              <w:pStyle w:val="25"/>
              <w:tabs>
                <w:tab w:val="left" w:pos="1408"/>
              </w:tabs>
              <w:spacing w:line="256" w:lineRule="exact"/>
              <w:ind w:left="7"/>
              <w:rPr>
                <w:rFonts w:ascii="宋体" w:hAnsi="宋体" w:cs="宋体"/>
                <w:sz w:val="20"/>
                <w:szCs w:val="20"/>
              </w:rPr>
            </w:pPr>
            <w:r>
              <w:rPr>
                <w:rFonts w:hint="eastAsia" w:ascii="宋体" w:hAnsi="宋体" w:cs="宋体"/>
                <w:w w:val="99"/>
                <w:sz w:val="20"/>
                <w:szCs w:val="20"/>
              </w:rPr>
              <w:t>效等级</w:t>
            </w:r>
            <w:r>
              <w:rPr>
                <w:rFonts w:hint="eastAsia" w:ascii="宋体" w:hAnsi="宋体" w:cs="宋体"/>
                <w:spacing w:val="2"/>
                <w:w w:val="99"/>
                <w:sz w:val="20"/>
                <w:szCs w:val="20"/>
              </w:rPr>
              <w:t>》</w:t>
            </w:r>
            <w:r>
              <w:rPr>
                <w:rFonts w:hint="eastAsia" w:ascii="宋体" w:hAnsi="宋体" w:cs="宋体"/>
                <w:w w:val="99"/>
                <w:sz w:val="20"/>
                <w:szCs w:val="20"/>
              </w:rPr>
              <w:t>（</w:t>
            </w:r>
            <w:r>
              <w:rPr>
                <w:rFonts w:hint="eastAsia" w:ascii="宋体" w:hAnsi="宋体" w:cs="宋体"/>
                <w:spacing w:val="1"/>
                <w:w w:val="99"/>
                <w:sz w:val="20"/>
                <w:szCs w:val="20"/>
              </w:rPr>
              <w:t>G</w:t>
            </w:r>
            <w:r>
              <w:rPr>
                <w:rFonts w:hint="eastAsia" w:ascii="宋体" w:hAnsi="宋体" w:cs="宋体"/>
                <w:w w:val="99"/>
                <w:sz w:val="20"/>
                <w:szCs w:val="20"/>
              </w:rPr>
              <w:t>B</w:t>
            </w:r>
            <w:r>
              <w:rPr>
                <w:rFonts w:hint="eastAsia" w:ascii="宋体" w:hAnsi="宋体" w:cs="宋体"/>
                <w:sz w:val="20"/>
                <w:szCs w:val="20"/>
              </w:rPr>
              <w:tab/>
            </w:r>
            <w:r>
              <w:rPr>
                <w:rFonts w:hint="eastAsia" w:ascii="宋体" w:hAnsi="宋体" w:cs="宋体"/>
                <w:spacing w:val="1"/>
                <w:w w:val="99"/>
                <w:sz w:val="20"/>
                <w:szCs w:val="20"/>
              </w:rPr>
              <w:t>1</w:t>
            </w:r>
            <w:r>
              <w:rPr>
                <w:rFonts w:hint="eastAsia" w:ascii="宋体" w:hAnsi="宋体" w:cs="宋体"/>
                <w:w w:val="99"/>
                <w:sz w:val="20"/>
                <w:szCs w:val="20"/>
              </w:rPr>
              <w:t>20</w:t>
            </w:r>
            <w:r>
              <w:rPr>
                <w:rFonts w:hint="eastAsia" w:ascii="宋体" w:hAnsi="宋体" w:cs="宋体"/>
                <w:spacing w:val="1"/>
                <w:w w:val="99"/>
                <w:sz w:val="20"/>
                <w:szCs w:val="20"/>
              </w:rPr>
              <w:t>2</w:t>
            </w:r>
            <w:r>
              <w:rPr>
                <w:rFonts w:hint="eastAsia" w:ascii="宋体" w:hAnsi="宋体" w:cs="宋体"/>
                <w:w w:val="99"/>
                <w:sz w:val="20"/>
                <w:szCs w:val="20"/>
              </w:rPr>
              <w:t>1.</w:t>
            </w:r>
            <w:r>
              <w:rPr>
                <w:rFonts w:hint="eastAsia" w:ascii="宋体" w:hAnsi="宋体" w:cs="宋体"/>
                <w:spacing w:val="1"/>
                <w:w w:val="99"/>
                <w:sz w:val="20"/>
                <w:szCs w:val="20"/>
              </w:rPr>
              <w:t>2</w:t>
            </w:r>
            <w:r>
              <w:rPr>
                <w:rFonts w:hint="eastAsia" w:ascii="宋体" w:hAnsi="宋体" w:cs="宋体"/>
                <w:w w:val="99"/>
                <w:sz w:val="20"/>
                <w:szCs w:val="20"/>
              </w:rPr>
              <w:t>）</w:t>
            </w:r>
          </w:p>
        </w:tc>
      </w:tr>
      <w:tr>
        <w:tblPrEx>
          <w:tblLayout w:type="fixed"/>
          <w:tblCellMar>
            <w:top w:w="0" w:type="dxa"/>
            <w:left w:w="0" w:type="dxa"/>
            <w:bottom w:w="0" w:type="dxa"/>
            <w:right w:w="0" w:type="dxa"/>
          </w:tblCellMar>
        </w:tblPrEx>
        <w:trPr>
          <w:trHeight w:val="327" w:hRule="exact"/>
          <w:jc w:val="center"/>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lang w:eastAsia="en-US"/>
              </w:rPr>
            </w:pPr>
          </w:p>
        </w:tc>
        <w:tc>
          <w:tcPr>
            <w:tcW w:w="11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lang w:eastAsia="en-US"/>
              </w:rPr>
            </w:pPr>
          </w:p>
        </w:tc>
        <w:tc>
          <w:tcPr>
            <w:tcW w:w="1800" w:type="dxa"/>
            <w:vMerge w:val="restart"/>
            <w:tcBorders>
              <w:top w:val="single" w:color="000000" w:sz="4" w:space="0"/>
              <w:left w:val="single" w:color="000000" w:sz="4" w:space="0"/>
              <w:bottom w:val="single" w:color="000000" w:sz="4" w:space="0"/>
              <w:right w:val="single" w:color="000000" w:sz="4" w:space="0"/>
            </w:tcBorders>
            <w:vAlign w:val="top"/>
          </w:tcPr>
          <w:p>
            <w:pPr>
              <w:pStyle w:val="25"/>
              <w:rPr>
                <w:rFonts w:ascii="宋体" w:hAnsi="宋体" w:cs="宋体"/>
                <w:sz w:val="20"/>
                <w:szCs w:val="20"/>
              </w:rPr>
            </w:pPr>
          </w:p>
          <w:p>
            <w:pPr>
              <w:pStyle w:val="25"/>
              <w:rPr>
                <w:rFonts w:hint="eastAsia" w:ascii="宋体" w:hAnsi="宋体" w:cs="宋体"/>
                <w:sz w:val="20"/>
                <w:szCs w:val="20"/>
              </w:rPr>
            </w:pPr>
          </w:p>
          <w:p>
            <w:pPr>
              <w:pStyle w:val="25"/>
              <w:rPr>
                <w:rFonts w:hint="eastAsia" w:ascii="宋体" w:hAnsi="宋体" w:cs="宋体"/>
                <w:sz w:val="20"/>
                <w:szCs w:val="20"/>
              </w:rPr>
            </w:pPr>
          </w:p>
          <w:p>
            <w:pPr>
              <w:pStyle w:val="25"/>
              <w:rPr>
                <w:rFonts w:hint="eastAsia" w:ascii="宋体" w:hAnsi="宋体" w:cs="宋体"/>
                <w:sz w:val="20"/>
                <w:szCs w:val="20"/>
              </w:rPr>
            </w:pPr>
          </w:p>
          <w:p>
            <w:pPr>
              <w:pStyle w:val="25"/>
              <w:rPr>
                <w:rFonts w:hint="eastAsia" w:ascii="宋体" w:hAnsi="宋体" w:cs="宋体"/>
                <w:sz w:val="20"/>
                <w:szCs w:val="20"/>
              </w:rPr>
            </w:pPr>
          </w:p>
          <w:p>
            <w:pPr>
              <w:pStyle w:val="25"/>
              <w:rPr>
                <w:rFonts w:hint="eastAsia" w:ascii="宋体" w:hAnsi="宋体" w:cs="宋体"/>
                <w:sz w:val="20"/>
                <w:szCs w:val="20"/>
              </w:rPr>
            </w:pPr>
          </w:p>
          <w:p>
            <w:pPr>
              <w:pStyle w:val="25"/>
              <w:spacing w:before="171"/>
              <w:ind w:left="7"/>
              <w:rPr>
                <w:rFonts w:hint="eastAsia"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A020</w:t>
            </w:r>
            <w:r>
              <w:rPr>
                <w:rFonts w:hint="eastAsia" w:ascii="宋体" w:hAnsi="宋体" w:cs="宋体"/>
                <w:w w:val="99"/>
                <w:sz w:val="20"/>
                <w:szCs w:val="20"/>
              </w:rPr>
              <w:t>61</w:t>
            </w:r>
            <w:r>
              <w:rPr>
                <w:rFonts w:hint="eastAsia" w:ascii="宋体" w:hAnsi="宋体" w:cs="宋体"/>
                <w:spacing w:val="1"/>
                <w:w w:val="99"/>
                <w:sz w:val="20"/>
                <w:szCs w:val="20"/>
              </w:rPr>
              <w:t>8</w:t>
            </w:r>
            <w:r>
              <w:rPr>
                <w:rFonts w:hint="eastAsia" w:ascii="宋体" w:hAnsi="宋体" w:cs="宋体"/>
                <w:w w:val="99"/>
                <w:sz w:val="20"/>
                <w:szCs w:val="20"/>
              </w:rPr>
              <w:t>0203空调</w:t>
            </w:r>
          </w:p>
          <w:p>
            <w:pPr>
              <w:pStyle w:val="25"/>
              <w:spacing w:before="50"/>
              <w:ind w:left="7"/>
              <w:rPr>
                <w:rFonts w:ascii="宋体" w:hAnsi="宋体" w:cs="宋体"/>
                <w:sz w:val="20"/>
                <w:szCs w:val="20"/>
              </w:rPr>
            </w:pPr>
            <w:r>
              <w:rPr>
                <w:rFonts w:hint="eastAsia" w:ascii="宋体" w:hAnsi="宋体" w:cs="宋体"/>
                <w:w w:val="99"/>
                <w:sz w:val="20"/>
                <w:szCs w:val="20"/>
              </w:rPr>
              <w:t>机</w:t>
            </w:r>
          </w:p>
        </w:tc>
        <w:tc>
          <w:tcPr>
            <w:tcW w:w="1915" w:type="dxa"/>
            <w:vMerge w:val="restart"/>
            <w:tcBorders>
              <w:top w:val="single" w:color="000000" w:sz="4" w:space="0"/>
              <w:left w:val="single" w:color="000000" w:sz="4" w:space="0"/>
              <w:bottom w:val="single" w:color="000000" w:sz="4" w:space="0"/>
              <w:right w:val="single" w:color="000000" w:sz="4" w:space="0"/>
            </w:tcBorders>
            <w:vAlign w:val="top"/>
          </w:tcPr>
          <w:p>
            <w:pPr>
              <w:pStyle w:val="25"/>
              <w:rPr>
                <w:rFonts w:ascii="宋体" w:hAnsi="宋体" w:cs="宋体"/>
                <w:sz w:val="20"/>
                <w:szCs w:val="20"/>
              </w:rPr>
            </w:pPr>
          </w:p>
          <w:p>
            <w:pPr>
              <w:pStyle w:val="25"/>
              <w:rPr>
                <w:rFonts w:hint="eastAsia" w:ascii="宋体" w:hAnsi="宋体" w:cs="宋体"/>
                <w:sz w:val="20"/>
                <w:szCs w:val="20"/>
              </w:rPr>
            </w:pPr>
          </w:p>
          <w:p>
            <w:pPr>
              <w:pStyle w:val="25"/>
              <w:spacing w:before="12"/>
              <w:rPr>
                <w:rFonts w:hint="eastAsia" w:ascii="宋体" w:hAnsi="宋体" w:cs="宋体"/>
                <w:sz w:val="19"/>
                <w:szCs w:val="19"/>
              </w:rPr>
            </w:pPr>
          </w:p>
          <w:p>
            <w:pPr>
              <w:pStyle w:val="25"/>
              <w:ind w:left="7"/>
              <w:rPr>
                <w:rFonts w:ascii="宋体" w:hAnsi="宋体" w:cs="宋体"/>
                <w:sz w:val="20"/>
                <w:szCs w:val="20"/>
              </w:rPr>
            </w:pPr>
            <w:r>
              <w:rPr>
                <w:rFonts w:hint="eastAsia" w:ascii="宋体" w:hAnsi="宋体" w:cs="宋体"/>
                <w:w w:val="99"/>
                <w:sz w:val="20"/>
                <w:szCs w:val="20"/>
              </w:rPr>
              <w:t>房间空</w:t>
            </w:r>
            <w:r>
              <w:rPr>
                <w:rFonts w:hint="eastAsia" w:ascii="宋体" w:hAnsi="宋体" w:cs="宋体"/>
                <w:spacing w:val="2"/>
                <w:w w:val="99"/>
                <w:sz w:val="20"/>
                <w:szCs w:val="20"/>
              </w:rPr>
              <w:t>气</w:t>
            </w:r>
            <w:r>
              <w:rPr>
                <w:rFonts w:hint="eastAsia" w:ascii="宋体" w:hAnsi="宋体" w:cs="宋体"/>
                <w:w w:val="99"/>
                <w:sz w:val="20"/>
                <w:szCs w:val="20"/>
              </w:rPr>
              <w:t>调节器</w:t>
            </w:r>
          </w:p>
        </w:tc>
        <w:tc>
          <w:tcPr>
            <w:tcW w:w="2966" w:type="dxa"/>
            <w:tcBorders>
              <w:top w:val="single" w:color="000000" w:sz="4" w:space="0"/>
              <w:left w:val="single" w:color="000000" w:sz="4" w:space="0"/>
              <w:bottom w:val="nil"/>
              <w:right w:val="single" w:color="000000" w:sz="4" w:space="0"/>
            </w:tcBorders>
            <w:vAlign w:val="top"/>
          </w:tcPr>
          <w:p>
            <w:pPr>
              <w:pStyle w:val="25"/>
              <w:spacing w:before="4"/>
              <w:ind w:left="7"/>
              <w:rPr>
                <w:rFonts w:ascii="宋体" w:hAnsi="宋体" w:cs="宋体"/>
                <w:sz w:val="20"/>
                <w:szCs w:val="20"/>
                <w:lang w:eastAsia="zh-CN"/>
              </w:rPr>
            </w:pPr>
            <w:r>
              <w:rPr>
                <w:rFonts w:hint="eastAsia" w:ascii="宋体" w:hAnsi="宋体" w:cs="宋体"/>
                <w:spacing w:val="12"/>
                <w:w w:val="99"/>
                <w:sz w:val="20"/>
                <w:szCs w:val="20"/>
                <w:lang w:eastAsia="zh-CN"/>
              </w:rPr>
              <w:t>《转速可控型房间空气</w:t>
            </w:r>
            <w:r>
              <w:rPr>
                <w:rFonts w:hint="eastAsia" w:ascii="宋体" w:hAnsi="宋体" w:cs="宋体"/>
                <w:spacing w:val="9"/>
                <w:w w:val="99"/>
                <w:sz w:val="20"/>
                <w:szCs w:val="20"/>
                <w:lang w:eastAsia="zh-CN"/>
              </w:rPr>
              <w:t>调</w:t>
            </w:r>
            <w:r>
              <w:rPr>
                <w:rFonts w:hint="eastAsia" w:ascii="宋体" w:hAnsi="宋体" w:cs="宋体"/>
                <w:spacing w:val="12"/>
                <w:w w:val="99"/>
                <w:sz w:val="20"/>
                <w:szCs w:val="20"/>
                <w:lang w:eastAsia="zh-CN"/>
              </w:rPr>
              <w:t>节器</w:t>
            </w:r>
            <w:r>
              <w:rPr>
                <w:rFonts w:hint="eastAsia" w:ascii="宋体" w:hAnsi="宋体" w:cs="宋体"/>
                <w:w w:val="99"/>
                <w:sz w:val="20"/>
                <w:szCs w:val="20"/>
                <w:lang w:eastAsia="zh-CN"/>
              </w:rPr>
              <w:t>能</w:t>
            </w:r>
          </w:p>
        </w:tc>
      </w:tr>
      <w:tr>
        <w:tblPrEx>
          <w:tblLayout w:type="fixed"/>
          <w:tblCellMar>
            <w:top w:w="0" w:type="dxa"/>
            <w:left w:w="0" w:type="dxa"/>
            <w:bottom w:w="0" w:type="dxa"/>
            <w:right w:w="0" w:type="dxa"/>
          </w:tblCellMar>
        </w:tblPrEx>
        <w:trPr>
          <w:trHeight w:val="312" w:hRule="atLeast"/>
          <w:jc w:val="center"/>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11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18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1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2966" w:type="dxa"/>
            <w:tcBorders>
              <w:top w:val="nil"/>
              <w:left w:val="single" w:color="000000" w:sz="4" w:space="0"/>
              <w:bottom w:val="nil"/>
              <w:right w:val="single" w:color="000000" w:sz="4" w:space="0"/>
            </w:tcBorders>
            <w:vAlign w:val="top"/>
          </w:tcPr>
          <w:p>
            <w:pPr>
              <w:pStyle w:val="25"/>
              <w:spacing w:line="256" w:lineRule="exact"/>
              <w:ind w:left="7"/>
              <w:rPr>
                <w:rFonts w:ascii="宋体" w:hAnsi="宋体" w:cs="宋体"/>
                <w:sz w:val="20"/>
                <w:szCs w:val="20"/>
                <w:lang w:eastAsia="zh-CN"/>
              </w:rPr>
            </w:pPr>
            <w:r>
              <w:rPr>
                <w:rFonts w:hint="eastAsia" w:ascii="宋体" w:hAnsi="宋体" w:cs="宋体"/>
                <w:w w:val="99"/>
                <w:sz w:val="20"/>
                <w:szCs w:val="20"/>
                <w:lang w:eastAsia="zh-CN"/>
              </w:rPr>
              <w:t>效限定值及能效等级》（</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p>
        </w:tc>
      </w:tr>
      <w:tr>
        <w:tblPrEx>
          <w:tblLayout w:type="fixed"/>
          <w:tblCellMar>
            <w:top w:w="0" w:type="dxa"/>
            <w:left w:w="0" w:type="dxa"/>
            <w:bottom w:w="0" w:type="dxa"/>
            <w:right w:w="0" w:type="dxa"/>
          </w:tblCellMar>
        </w:tblPrEx>
        <w:trPr>
          <w:trHeight w:val="312" w:hRule="atLeast"/>
          <w:jc w:val="center"/>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11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18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1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2966" w:type="dxa"/>
            <w:tcBorders>
              <w:top w:val="nil"/>
              <w:left w:val="single" w:color="000000" w:sz="4" w:space="0"/>
              <w:bottom w:val="nil"/>
              <w:right w:val="single" w:color="000000" w:sz="4" w:space="0"/>
            </w:tcBorders>
            <w:vAlign w:val="top"/>
          </w:tcPr>
          <w:p>
            <w:pPr>
              <w:pStyle w:val="25"/>
              <w:spacing w:line="256" w:lineRule="exact"/>
              <w:ind w:left="7"/>
              <w:rPr>
                <w:rFonts w:ascii="宋体" w:hAnsi="宋体" w:cs="宋体"/>
                <w:sz w:val="20"/>
                <w:szCs w:val="20"/>
              </w:rPr>
            </w:pPr>
            <w:r>
              <w:rPr>
                <w:rFonts w:hint="eastAsia" w:ascii="宋体" w:hAnsi="宋体" w:cs="宋体"/>
                <w:spacing w:val="1"/>
                <w:w w:val="99"/>
                <w:sz w:val="20"/>
                <w:szCs w:val="20"/>
              </w:rPr>
              <w:t>214</w:t>
            </w:r>
            <w:r>
              <w:rPr>
                <w:rFonts w:hint="eastAsia" w:ascii="宋体" w:hAnsi="宋体" w:cs="宋体"/>
                <w:w w:val="99"/>
                <w:sz w:val="20"/>
                <w:szCs w:val="20"/>
              </w:rPr>
              <w:t>55</w:t>
            </w:r>
            <w:r>
              <w:rPr>
                <w:rFonts w:hint="eastAsia" w:ascii="宋体" w:hAnsi="宋体" w:cs="宋体"/>
                <w:spacing w:val="1"/>
                <w:w w:val="99"/>
                <w:sz w:val="20"/>
                <w:szCs w:val="20"/>
              </w:rPr>
              <w:t>-</w:t>
            </w:r>
            <w:r>
              <w:rPr>
                <w:rFonts w:hint="eastAsia" w:ascii="宋体" w:hAnsi="宋体" w:cs="宋体"/>
                <w:w w:val="99"/>
                <w:sz w:val="20"/>
                <w:szCs w:val="20"/>
              </w:rPr>
              <w:t>20</w:t>
            </w:r>
            <w:r>
              <w:rPr>
                <w:rFonts w:hint="eastAsia" w:ascii="宋体" w:hAnsi="宋体" w:cs="宋体"/>
                <w:spacing w:val="1"/>
                <w:w w:val="99"/>
                <w:sz w:val="20"/>
                <w:szCs w:val="20"/>
              </w:rPr>
              <w:t>13</w:t>
            </w:r>
            <w:r>
              <w:rPr>
                <w:rFonts w:hint="eastAsia" w:ascii="宋体" w:hAnsi="宋体" w:cs="宋体"/>
                <w:w w:val="99"/>
                <w:sz w:val="20"/>
                <w:szCs w:val="20"/>
              </w:rPr>
              <w:t>），待</w:t>
            </w:r>
            <w:r>
              <w:rPr>
                <w:rFonts w:hint="eastAsia" w:ascii="宋体" w:hAnsi="宋体" w:cs="宋体"/>
                <w:spacing w:val="1"/>
                <w:w w:val="99"/>
                <w:sz w:val="20"/>
                <w:szCs w:val="20"/>
              </w:rPr>
              <w:t>20</w:t>
            </w:r>
            <w:r>
              <w:rPr>
                <w:rFonts w:hint="eastAsia" w:ascii="宋体" w:hAnsi="宋体" w:cs="宋体"/>
                <w:w w:val="99"/>
                <w:sz w:val="20"/>
                <w:szCs w:val="20"/>
              </w:rPr>
              <w:t>19</w:t>
            </w:r>
            <w:r>
              <w:rPr>
                <w:rFonts w:hint="eastAsia" w:ascii="宋体" w:hAnsi="宋体" w:cs="宋体"/>
                <w:spacing w:val="-3"/>
                <w:w w:val="99"/>
                <w:sz w:val="20"/>
                <w:szCs w:val="20"/>
              </w:rPr>
              <w:t>年</w:t>
            </w:r>
            <w:r>
              <w:rPr>
                <w:rFonts w:hint="eastAsia" w:ascii="宋体" w:hAnsi="宋体" w:cs="宋体"/>
                <w:w w:val="99"/>
                <w:sz w:val="20"/>
                <w:szCs w:val="20"/>
              </w:rPr>
              <w:t>修订发</w:t>
            </w:r>
          </w:p>
        </w:tc>
      </w:tr>
      <w:tr>
        <w:tblPrEx>
          <w:tblLayout w:type="fixed"/>
          <w:tblCellMar>
            <w:top w:w="0" w:type="dxa"/>
            <w:left w:w="0" w:type="dxa"/>
            <w:bottom w:w="0" w:type="dxa"/>
            <w:right w:w="0" w:type="dxa"/>
          </w:tblCellMar>
        </w:tblPrEx>
        <w:trPr>
          <w:trHeight w:val="312" w:hRule="atLeast"/>
          <w:jc w:val="center"/>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lang w:eastAsia="en-US"/>
              </w:rPr>
            </w:pPr>
          </w:p>
        </w:tc>
        <w:tc>
          <w:tcPr>
            <w:tcW w:w="11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lang w:eastAsia="en-US"/>
              </w:rPr>
            </w:pPr>
          </w:p>
        </w:tc>
        <w:tc>
          <w:tcPr>
            <w:tcW w:w="18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lang w:eastAsia="en-US"/>
              </w:rPr>
            </w:pPr>
          </w:p>
        </w:tc>
        <w:tc>
          <w:tcPr>
            <w:tcW w:w="1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lang w:eastAsia="en-US"/>
              </w:rPr>
            </w:pPr>
          </w:p>
        </w:tc>
        <w:tc>
          <w:tcPr>
            <w:tcW w:w="2966" w:type="dxa"/>
            <w:tcBorders>
              <w:top w:val="nil"/>
              <w:left w:val="single" w:color="000000" w:sz="4" w:space="0"/>
              <w:bottom w:val="nil"/>
              <w:right w:val="single" w:color="000000" w:sz="4" w:space="0"/>
            </w:tcBorders>
            <w:vAlign w:val="top"/>
          </w:tcPr>
          <w:p>
            <w:pPr>
              <w:pStyle w:val="25"/>
              <w:spacing w:line="256" w:lineRule="exact"/>
              <w:ind w:left="7"/>
              <w:rPr>
                <w:rFonts w:ascii="宋体" w:hAnsi="宋体" w:cs="宋体"/>
                <w:sz w:val="20"/>
                <w:szCs w:val="20"/>
                <w:lang w:eastAsia="zh-CN"/>
              </w:rPr>
            </w:pPr>
            <w:r>
              <w:rPr>
                <w:rFonts w:hint="eastAsia" w:ascii="宋体" w:hAnsi="宋体" w:cs="宋体"/>
                <w:w w:val="99"/>
                <w:sz w:val="20"/>
                <w:szCs w:val="20"/>
                <w:lang w:eastAsia="zh-CN"/>
              </w:rPr>
              <w:t>布后</w:t>
            </w:r>
            <w:r>
              <w:rPr>
                <w:rFonts w:hint="eastAsia" w:ascii="宋体" w:hAnsi="宋体" w:cs="宋体"/>
                <w:spacing w:val="-29"/>
                <w:w w:val="99"/>
                <w:sz w:val="20"/>
                <w:szCs w:val="20"/>
                <w:lang w:eastAsia="zh-CN"/>
              </w:rPr>
              <w:t>，</w:t>
            </w:r>
            <w:r>
              <w:rPr>
                <w:rFonts w:hint="eastAsia" w:ascii="宋体" w:hAnsi="宋体" w:cs="宋体"/>
                <w:spacing w:val="-27"/>
                <w:w w:val="99"/>
                <w:sz w:val="20"/>
                <w:szCs w:val="20"/>
                <w:lang w:eastAsia="zh-CN"/>
              </w:rPr>
              <w:t>按</w:t>
            </w:r>
            <w:r>
              <w:rPr>
                <w:rFonts w:hint="eastAsia" w:ascii="宋体" w:hAnsi="宋体" w:cs="宋体"/>
                <w:w w:val="99"/>
                <w:sz w:val="20"/>
                <w:szCs w:val="20"/>
                <w:lang w:eastAsia="zh-CN"/>
              </w:rPr>
              <w:t>《</w:t>
            </w:r>
            <w:r>
              <w:rPr>
                <w:rFonts w:hint="eastAsia" w:ascii="宋体" w:hAnsi="宋体" w:cs="宋体"/>
                <w:spacing w:val="2"/>
                <w:w w:val="99"/>
                <w:sz w:val="20"/>
                <w:szCs w:val="20"/>
                <w:lang w:eastAsia="zh-CN"/>
              </w:rPr>
              <w:t>房</w:t>
            </w:r>
            <w:r>
              <w:rPr>
                <w:rFonts w:hint="eastAsia" w:ascii="宋体" w:hAnsi="宋体" w:cs="宋体"/>
                <w:w w:val="99"/>
                <w:sz w:val="20"/>
                <w:szCs w:val="20"/>
                <w:lang w:eastAsia="zh-CN"/>
              </w:rPr>
              <w:t>间空</w:t>
            </w:r>
            <w:r>
              <w:rPr>
                <w:rFonts w:hint="eastAsia" w:ascii="宋体" w:hAnsi="宋体" w:cs="宋体"/>
                <w:spacing w:val="2"/>
                <w:w w:val="99"/>
                <w:sz w:val="20"/>
                <w:szCs w:val="20"/>
                <w:lang w:eastAsia="zh-CN"/>
              </w:rPr>
              <w:t>气</w:t>
            </w:r>
            <w:r>
              <w:rPr>
                <w:rFonts w:hint="eastAsia" w:ascii="宋体" w:hAnsi="宋体" w:cs="宋体"/>
                <w:w w:val="99"/>
                <w:sz w:val="20"/>
                <w:szCs w:val="20"/>
                <w:lang w:eastAsia="zh-CN"/>
              </w:rPr>
              <w:t>调节</w:t>
            </w:r>
            <w:r>
              <w:rPr>
                <w:rFonts w:hint="eastAsia" w:ascii="宋体" w:hAnsi="宋体" w:cs="宋体"/>
                <w:spacing w:val="2"/>
                <w:w w:val="99"/>
                <w:sz w:val="20"/>
                <w:szCs w:val="20"/>
                <w:lang w:eastAsia="zh-CN"/>
              </w:rPr>
              <w:t>器</w:t>
            </w:r>
            <w:r>
              <w:rPr>
                <w:rFonts w:hint="eastAsia" w:ascii="宋体" w:hAnsi="宋体" w:cs="宋体"/>
                <w:w w:val="99"/>
                <w:sz w:val="20"/>
                <w:szCs w:val="20"/>
                <w:lang w:eastAsia="zh-CN"/>
              </w:rPr>
              <w:t>能效限</w:t>
            </w:r>
          </w:p>
        </w:tc>
      </w:tr>
      <w:tr>
        <w:tblPrEx>
          <w:tblLayout w:type="fixed"/>
          <w:tblCellMar>
            <w:top w:w="0" w:type="dxa"/>
            <w:left w:w="0" w:type="dxa"/>
            <w:bottom w:w="0" w:type="dxa"/>
            <w:right w:w="0" w:type="dxa"/>
          </w:tblCellMar>
        </w:tblPrEx>
        <w:trPr>
          <w:trHeight w:val="312" w:hRule="atLeast"/>
          <w:jc w:val="center"/>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11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18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1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2966" w:type="dxa"/>
            <w:tcBorders>
              <w:top w:val="nil"/>
              <w:left w:val="single" w:color="000000" w:sz="4" w:space="0"/>
              <w:bottom w:val="nil"/>
              <w:right w:val="single" w:color="000000" w:sz="4" w:space="0"/>
            </w:tcBorders>
            <w:vAlign w:val="top"/>
          </w:tcPr>
          <w:p>
            <w:pPr>
              <w:pStyle w:val="25"/>
              <w:spacing w:line="256" w:lineRule="exact"/>
              <w:ind w:left="7"/>
              <w:rPr>
                <w:rFonts w:ascii="宋体" w:hAnsi="宋体" w:cs="宋体"/>
                <w:sz w:val="20"/>
                <w:szCs w:val="20"/>
                <w:lang w:eastAsia="zh-CN"/>
              </w:rPr>
            </w:pPr>
            <w:r>
              <w:rPr>
                <w:rFonts w:hint="eastAsia" w:ascii="宋体" w:hAnsi="宋体" w:cs="宋体"/>
                <w:w w:val="99"/>
                <w:sz w:val="20"/>
                <w:szCs w:val="20"/>
                <w:lang w:eastAsia="zh-CN"/>
              </w:rPr>
              <w:t>定值及</w:t>
            </w:r>
            <w:r>
              <w:rPr>
                <w:rFonts w:hint="eastAsia" w:ascii="宋体" w:hAnsi="宋体" w:cs="宋体"/>
                <w:spacing w:val="2"/>
                <w:w w:val="99"/>
                <w:sz w:val="20"/>
                <w:szCs w:val="20"/>
                <w:lang w:eastAsia="zh-CN"/>
              </w:rPr>
              <w:t>能</w:t>
            </w:r>
            <w:r>
              <w:rPr>
                <w:rFonts w:hint="eastAsia" w:ascii="宋体" w:hAnsi="宋体" w:cs="宋体"/>
                <w:w w:val="99"/>
                <w:sz w:val="20"/>
                <w:szCs w:val="20"/>
                <w:lang w:eastAsia="zh-CN"/>
              </w:rPr>
              <w:t>效等</w:t>
            </w:r>
            <w:r>
              <w:rPr>
                <w:rFonts w:hint="eastAsia" w:ascii="宋体" w:hAnsi="宋体" w:cs="宋体"/>
                <w:spacing w:val="2"/>
                <w:w w:val="99"/>
                <w:sz w:val="20"/>
                <w:szCs w:val="20"/>
                <w:lang w:eastAsia="zh-CN"/>
              </w:rPr>
              <w:t>级</w:t>
            </w:r>
            <w:r>
              <w:rPr>
                <w:rFonts w:hint="eastAsia" w:ascii="宋体" w:hAnsi="宋体" w:cs="宋体"/>
                <w:spacing w:val="-156"/>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GB214</w:t>
            </w:r>
            <w:r>
              <w:rPr>
                <w:rFonts w:hint="eastAsia" w:ascii="宋体" w:hAnsi="宋体" w:cs="宋体"/>
                <w:w w:val="99"/>
                <w:sz w:val="20"/>
                <w:szCs w:val="20"/>
                <w:lang w:eastAsia="zh-CN"/>
              </w:rPr>
              <w:t>5</w:t>
            </w:r>
            <w:r>
              <w:rPr>
                <w:rFonts w:hint="eastAsia" w:ascii="宋体" w:hAnsi="宋体" w:cs="宋体"/>
                <w:spacing w:val="-1"/>
                <w:w w:val="99"/>
                <w:sz w:val="20"/>
                <w:szCs w:val="20"/>
                <w:lang w:eastAsia="zh-CN"/>
              </w:rPr>
              <w:t>5</w:t>
            </w:r>
            <w:r>
              <w:rPr>
                <w:rFonts w:hint="eastAsia" w:ascii="宋体" w:hAnsi="宋体" w:cs="宋体"/>
                <w:spacing w:val="-2"/>
                <w:w w:val="99"/>
                <w:sz w:val="20"/>
                <w:szCs w:val="20"/>
                <w:lang w:eastAsia="zh-CN"/>
              </w:rPr>
              <w:t>-</w:t>
            </w:r>
            <w:r>
              <w:rPr>
                <w:rFonts w:hint="eastAsia" w:ascii="宋体" w:hAnsi="宋体" w:cs="宋体"/>
                <w:spacing w:val="1"/>
                <w:w w:val="99"/>
                <w:sz w:val="20"/>
                <w:szCs w:val="20"/>
                <w:lang w:eastAsia="zh-CN"/>
              </w:rPr>
              <w:t>201</w:t>
            </w:r>
            <w:r>
              <w:rPr>
                <w:rFonts w:hint="eastAsia" w:ascii="宋体" w:hAnsi="宋体" w:cs="宋体"/>
                <w:w w:val="99"/>
                <w:sz w:val="20"/>
                <w:szCs w:val="20"/>
                <w:lang w:eastAsia="zh-CN"/>
              </w:rPr>
              <w:t>9）</w:t>
            </w:r>
          </w:p>
        </w:tc>
      </w:tr>
      <w:tr>
        <w:tblPrEx>
          <w:tblLayout w:type="fixed"/>
          <w:tblCellMar>
            <w:top w:w="0" w:type="dxa"/>
            <w:left w:w="0" w:type="dxa"/>
            <w:bottom w:w="0" w:type="dxa"/>
            <w:right w:w="0" w:type="dxa"/>
          </w:tblCellMar>
        </w:tblPrEx>
        <w:trPr>
          <w:trHeight w:val="319" w:hRule="atLeast"/>
          <w:jc w:val="center"/>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11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18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1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2966" w:type="dxa"/>
            <w:tcBorders>
              <w:top w:val="nil"/>
              <w:left w:val="single" w:color="000000" w:sz="4" w:space="0"/>
              <w:bottom w:val="single" w:color="000000" w:sz="4" w:space="0"/>
              <w:right w:val="single" w:color="000000" w:sz="4" w:space="0"/>
            </w:tcBorders>
            <w:vAlign w:val="top"/>
          </w:tcPr>
          <w:p>
            <w:pPr>
              <w:pStyle w:val="25"/>
              <w:spacing w:line="256" w:lineRule="exact"/>
              <w:ind w:left="7"/>
              <w:rPr>
                <w:rFonts w:ascii="宋体" w:hAnsi="宋体" w:cs="宋体"/>
                <w:sz w:val="20"/>
                <w:szCs w:val="20"/>
              </w:rPr>
            </w:pPr>
            <w:r>
              <w:rPr>
                <w:rFonts w:hint="eastAsia" w:ascii="宋体" w:hAnsi="宋体" w:cs="宋体"/>
                <w:w w:val="99"/>
                <w:sz w:val="20"/>
                <w:szCs w:val="20"/>
              </w:rPr>
              <w:t>实施。</w:t>
            </w:r>
          </w:p>
        </w:tc>
      </w:tr>
      <w:tr>
        <w:tblPrEx>
          <w:tblLayout w:type="fixed"/>
          <w:tblCellMar>
            <w:top w:w="0" w:type="dxa"/>
            <w:left w:w="0" w:type="dxa"/>
            <w:bottom w:w="0" w:type="dxa"/>
            <w:right w:w="0" w:type="dxa"/>
          </w:tblCellMar>
        </w:tblPrEx>
        <w:trPr>
          <w:trHeight w:val="958" w:hRule="exact"/>
          <w:jc w:val="center"/>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lang w:eastAsia="en-US"/>
              </w:rPr>
            </w:pPr>
          </w:p>
        </w:tc>
        <w:tc>
          <w:tcPr>
            <w:tcW w:w="11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lang w:eastAsia="en-US"/>
              </w:rPr>
            </w:pPr>
          </w:p>
        </w:tc>
        <w:tc>
          <w:tcPr>
            <w:tcW w:w="18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lang w:eastAsia="en-US"/>
              </w:rPr>
            </w:pPr>
          </w:p>
        </w:tc>
        <w:tc>
          <w:tcPr>
            <w:tcW w:w="1915" w:type="dxa"/>
            <w:tcBorders>
              <w:top w:val="single" w:color="000000" w:sz="4" w:space="0"/>
              <w:left w:val="single" w:color="000000" w:sz="4" w:space="0"/>
              <w:bottom w:val="single" w:color="000000" w:sz="4" w:space="0"/>
              <w:right w:val="single" w:color="000000" w:sz="4" w:space="0"/>
            </w:tcBorders>
            <w:vAlign w:val="top"/>
          </w:tcPr>
          <w:p>
            <w:pPr>
              <w:pStyle w:val="25"/>
              <w:spacing w:before="4" w:line="280" w:lineRule="auto"/>
              <w:ind w:left="7" w:right="7"/>
              <w:jc w:val="both"/>
              <w:rPr>
                <w:rFonts w:ascii="宋体" w:hAnsi="宋体" w:cs="宋体"/>
                <w:sz w:val="20"/>
                <w:szCs w:val="20"/>
                <w:lang w:eastAsia="zh-CN"/>
              </w:rPr>
            </w:pPr>
            <w:r>
              <w:rPr>
                <w:rFonts w:hint="eastAsia" w:ascii="宋体" w:hAnsi="宋体" w:cs="宋体"/>
                <w:spacing w:val="12"/>
                <w:w w:val="99"/>
                <w:sz w:val="20"/>
                <w:szCs w:val="20"/>
                <w:lang w:eastAsia="zh-CN"/>
              </w:rPr>
              <w:t>多联式空</w:t>
            </w:r>
            <w:r>
              <w:rPr>
                <w:rFonts w:hint="eastAsia" w:ascii="宋体" w:hAnsi="宋体" w:cs="宋体"/>
                <w:spacing w:val="11"/>
                <w:w w:val="99"/>
                <w:sz w:val="20"/>
                <w:szCs w:val="20"/>
                <w:lang w:eastAsia="zh-CN"/>
              </w:rPr>
              <w:t>调（</w:t>
            </w:r>
            <w:r>
              <w:rPr>
                <w:rFonts w:hint="eastAsia" w:ascii="宋体" w:hAnsi="宋体" w:cs="宋体"/>
                <w:spacing w:val="12"/>
                <w:w w:val="99"/>
                <w:sz w:val="20"/>
                <w:szCs w:val="20"/>
                <w:lang w:eastAsia="zh-CN"/>
              </w:rPr>
              <w:t>热泵</w:t>
            </w:r>
            <w:r>
              <w:rPr>
                <w:rFonts w:hint="eastAsia" w:ascii="宋体" w:hAnsi="宋体" w:cs="宋体"/>
                <w:w w:val="99"/>
                <w:sz w:val="20"/>
                <w:szCs w:val="20"/>
                <w:lang w:eastAsia="zh-CN"/>
              </w:rPr>
              <w:t xml:space="preserve">）机组（制冷量≤ </w:t>
            </w:r>
            <w:r>
              <w:rPr>
                <w:rFonts w:hint="eastAsia" w:ascii="宋体" w:hAnsi="宋体" w:cs="宋体"/>
                <w:spacing w:val="1"/>
                <w:w w:val="99"/>
                <w:sz w:val="20"/>
                <w:szCs w:val="20"/>
                <w:lang w:eastAsia="zh-CN"/>
              </w:rPr>
              <w:t>140</w:t>
            </w:r>
            <w:r>
              <w:rPr>
                <w:rFonts w:hint="eastAsia" w:ascii="宋体" w:hAnsi="宋体" w:cs="宋体"/>
                <w:w w:val="99"/>
                <w:sz w:val="20"/>
                <w:szCs w:val="20"/>
                <w:lang w:eastAsia="zh-CN"/>
              </w:rPr>
              <w:t>00</w:t>
            </w:r>
            <w:r>
              <w:rPr>
                <w:rFonts w:hint="eastAsia" w:ascii="宋体" w:hAnsi="宋体" w:cs="宋体"/>
                <w:spacing w:val="1"/>
                <w:w w:val="99"/>
                <w:sz w:val="20"/>
                <w:szCs w:val="20"/>
                <w:lang w:eastAsia="zh-CN"/>
              </w:rPr>
              <w:t>W</w:t>
            </w:r>
            <w:r>
              <w:rPr>
                <w:rFonts w:hint="eastAsia" w:ascii="宋体" w:hAnsi="宋体" w:cs="宋体"/>
                <w:w w:val="99"/>
                <w:sz w:val="20"/>
                <w:szCs w:val="20"/>
                <w:lang w:eastAsia="zh-CN"/>
              </w:rPr>
              <w:t>）</w:t>
            </w:r>
          </w:p>
        </w:tc>
        <w:tc>
          <w:tcPr>
            <w:tcW w:w="2966" w:type="dxa"/>
            <w:tcBorders>
              <w:top w:val="single" w:color="000000" w:sz="4" w:space="0"/>
              <w:left w:val="single" w:color="000000" w:sz="4" w:space="0"/>
              <w:bottom w:val="single" w:color="000000" w:sz="4" w:space="0"/>
              <w:right w:val="single" w:color="000000" w:sz="4" w:space="0"/>
            </w:tcBorders>
            <w:vAlign w:val="top"/>
          </w:tcPr>
          <w:p>
            <w:pPr>
              <w:pStyle w:val="25"/>
              <w:spacing w:before="160" w:line="280" w:lineRule="auto"/>
              <w:ind w:left="7" w:right="7"/>
              <w:rPr>
                <w:rFonts w:ascii="宋体" w:hAnsi="宋体" w:cs="宋体"/>
                <w:sz w:val="20"/>
                <w:szCs w:val="20"/>
                <w:lang w:eastAsia="zh-CN"/>
              </w:rPr>
            </w:pPr>
            <w:r>
              <w:rPr>
                <w:rFonts w:hint="eastAsia" w:ascii="宋体" w:hAnsi="宋体" w:cs="宋体"/>
                <w:w w:val="99"/>
                <w:sz w:val="20"/>
                <w:szCs w:val="20"/>
                <w:lang w:eastAsia="zh-CN"/>
              </w:rPr>
              <w:t>《多联</w:t>
            </w:r>
            <w:r>
              <w:rPr>
                <w:rFonts w:hint="eastAsia" w:ascii="宋体" w:hAnsi="宋体" w:cs="宋体"/>
                <w:spacing w:val="2"/>
                <w:w w:val="99"/>
                <w:sz w:val="20"/>
                <w:szCs w:val="20"/>
                <w:lang w:eastAsia="zh-CN"/>
              </w:rPr>
              <w:t>式</w:t>
            </w:r>
            <w:r>
              <w:rPr>
                <w:rFonts w:hint="eastAsia" w:ascii="宋体" w:hAnsi="宋体" w:cs="宋体"/>
                <w:w w:val="99"/>
                <w:sz w:val="20"/>
                <w:szCs w:val="20"/>
                <w:lang w:eastAsia="zh-CN"/>
              </w:rPr>
              <w:t>空</w:t>
            </w:r>
            <w:r>
              <w:rPr>
                <w:rFonts w:hint="eastAsia" w:ascii="宋体" w:hAnsi="宋体" w:cs="宋体"/>
                <w:spacing w:val="-27"/>
                <w:w w:val="99"/>
                <w:sz w:val="20"/>
                <w:szCs w:val="20"/>
                <w:lang w:eastAsia="zh-CN"/>
              </w:rPr>
              <w:t>调</w:t>
            </w:r>
            <w:r>
              <w:rPr>
                <w:rFonts w:hint="eastAsia" w:ascii="宋体" w:hAnsi="宋体" w:cs="宋体"/>
                <w:w w:val="99"/>
                <w:sz w:val="20"/>
                <w:szCs w:val="20"/>
                <w:lang w:eastAsia="zh-CN"/>
              </w:rPr>
              <w:t>（热</w:t>
            </w:r>
            <w:r>
              <w:rPr>
                <w:rFonts w:hint="eastAsia" w:ascii="宋体" w:hAnsi="宋体" w:cs="宋体"/>
                <w:spacing w:val="2"/>
                <w:w w:val="99"/>
                <w:sz w:val="20"/>
                <w:szCs w:val="20"/>
                <w:lang w:eastAsia="zh-CN"/>
              </w:rPr>
              <w:t>泵</w:t>
            </w:r>
            <w:r>
              <w:rPr>
                <w:rFonts w:hint="eastAsia" w:ascii="宋体" w:hAnsi="宋体" w:cs="宋体"/>
                <w:spacing w:val="-29"/>
                <w:w w:val="99"/>
                <w:sz w:val="20"/>
                <w:szCs w:val="20"/>
                <w:lang w:eastAsia="zh-CN"/>
              </w:rPr>
              <w:t>）</w:t>
            </w:r>
            <w:r>
              <w:rPr>
                <w:rFonts w:hint="eastAsia" w:ascii="宋体" w:hAnsi="宋体" w:cs="宋体"/>
                <w:w w:val="99"/>
                <w:sz w:val="20"/>
                <w:szCs w:val="20"/>
                <w:lang w:eastAsia="zh-CN"/>
              </w:rPr>
              <w:t>机</w:t>
            </w:r>
            <w:r>
              <w:rPr>
                <w:rFonts w:hint="eastAsia" w:ascii="宋体" w:hAnsi="宋体" w:cs="宋体"/>
                <w:spacing w:val="2"/>
                <w:w w:val="99"/>
                <w:sz w:val="20"/>
                <w:szCs w:val="20"/>
                <w:lang w:eastAsia="zh-CN"/>
              </w:rPr>
              <w:t>组</w:t>
            </w:r>
            <w:r>
              <w:rPr>
                <w:rFonts w:hint="eastAsia" w:ascii="宋体" w:hAnsi="宋体" w:cs="宋体"/>
                <w:w w:val="99"/>
                <w:sz w:val="20"/>
                <w:szCs w:val="20"/>
                <w:lang w:eastAsia="zh-CN"/>
              </w:rPr>
              <w:t>能效限定值及</w:t>
            </w:r>
            <w:r>
              <w:rPr>
                <w:rFonts w:hint="eastAsia" w:ascii="宋体" w:hAnsi="宋体" w:cs="宋体"/>
                <w:spacing w:val="2"/>
                <w:w w:val="99"/>
                <w:sz w:val="20"/>
                <w:szCs w:val="20"/>
                <w:lang w:eastAsia="zh-CN"/>
              </w:rPr>
              <w:t>能</w:t>
            </w:r>
            <w:r>
              <w:rPr>
                <w:rFonts w:hint="eastAsia" w:ascii="宋体" w:hAnsi="宋体" w:cs="宋体"/>
                <w:w w:val="99"/>
                <w:sz w:val="20"/>
                <w:szCs w:val="20"/>
                <w:lang w:eastAsia="zh-CN"/>
              </w:rPr>
              <w:t>源效</w:t>
            </w:r>
            <w:r>
              <w:rPr>
                <w:rFonts w:hint="eastAsia" w:ascii="宋体" w:hAnsi="宋体" w:cs="宋体"/>
                <w:spacing w:val="2"/>
                <w:w w:val="99"/>
                <w:sz w:val="20"/>
                <w:szCs w:val="20"/>
                <w:lang w:eastAsia="zh-CN"/>
              </w:rPr>
              <w:t>率</w:t>
            </w:r>
            <w:r>
              <w:rPr>
                <w:rFonts w:hint="eastAsia" w:ascii="宋体" w:hAnsi="宋体" w:cs="宋体"/>
                <w:w w:val="99"/>
                <w:sz w:val="20"/>
                <w:szCs w:val="20"/>
                <w:lang w:eastAsia="zh-CN"/>
              </w:rPr>
              <w:t>等级</w:t>
            </w:r>
            <w:r>
              <w:rPr>
                <w:rFonts w:hint="eastAsia" w:ascii="宋体" w:hAnsi="宋体" w:cs="宋体"/>
                <w:spacing w:val="-106"/>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2145</w:t>
            </w:r>
            <w:r>
              <w:rPr>
                <w:rFonts w:hint="eastAsia" w:ascii="宋体" w:hAnsi="宋体" w:cs="宋体"/>
                <w:w w:val="99"/>
                <w:sz w:val="20"/>
                <w:szCs w:val="20"/>
                <w:lang w:eastAsia="zh-CN"/>
              </w:rPr>
              <w:t>4）</w:t>
            </w:r>
          </w:p>
        </w:tc>
      </w:tr>
      <w:tr>
        <w:tblPrEx>
          <w:tblLayout w:type="fixed"/>
          <w:tblCellMar>
            <w:top w:w="0" w:type="dxa"/>
            <w:left w:w="0" w:type="dxa"/>
            <w:bottom w:w="0" w:type="dxa"/>
            <w:right w:w="0" w:type="dxa"/>
          </w:tblCellMar>
        </w:tblPrEx>
        <w:trPr>
          <w:trHeight w:val="327" w:hRule="exact"/>
          <w:jc w:val="center"/>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11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18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1915" w:type="dxa"/>
            <w:vMerge w:val="restart"/>
            <w:tcBorders>
              <w:top w:val="single" w:color="000000" w:sz="4" w:space="0"/>
              <w:left w:val="single" w:color="000000" w:sz="4" w:space="0"/>
              <w:bottom w:val="nil"/>
              <w:right w:val="single" w:color="000000" w:sz="4" w:space="0"/>
            </w:tcBorders>
            <w:vAlign w:val="top"/>
          </w:tcPr>
          <w:p>
            <w:pPr>
              <w:pStyle w:val="25"/>
              <w:spacing w:before="2"/>
              <w:rPr>
                <w:rFonts w:ascii="宋体" w:hAnsi="宋体" w:cs="宋体"/>
                <w:sz w:val="24"/>
                <w:szCs w:val="24"/>
                <w:lang w:eastAsia="zh-CN"/>
              </w:rPr>
            </w:pPr>
          </w:p>
          <w:p>
            <w:pPr>
              <w:pStyle w:val="25"/>
              <w:ind w:left="7"/>
              <w:rPr>
                <w:rFonts w:ascii="宋体" w:hAnsi="宋体" w:cs="宋体"/>
                <w:sz w:val="20"/>
                <w:szCs w:val="20"/>
              </w:rPr>
            </w:pPr>
            <w:r>
              <w:rPr>
                <w:rFonts w:hint="eastAsia" w:ascii="宋体" w:hAnsi="宋体" w:cs="宋体"/>
                <w:w w:val="99"/>
                <w:sz w:val="20"/>
                <w:szCs w:val="20"/>
              </w:rPr>
              <w:t>单元式空气调节机</w:t>
            </w:r>
          </w:p>
        </w:tc>
        <w:tc>
          <w:tcPr>
            <w:tcW w:w="2966" w:type="dxa"/>
            <w:tcBorders>
              <w:top w:val="single" w:color="000000" w:sz="4" w:space="0"/>
              <w:left w:val="single" w:color="000000" w:sz="4" w:space="0"/>
              <w:bottom w:val="nil"/>
              <w:right w:val="single" w:color="000000" w:sz="4" w:space="0"/>
            </w:tcBorders>
            <w:vAlign w:val="top"/>
          </w:tcPr>
          <w:p>
            <w:pPr>
              <w:pStyle w:val="25"/>
              <w:spacing w:before="4"/>
              <w:ind w:left="7"/>
              <w:rPr>
                <w:rFonts w:ascii="宋体" w:hAnsi="宋体" w:cs="宋体"/>
                <w:sz w:val="20"/>
                <w:szCs w:val="20"/>
                <w:lang w:eastAsia="zh-CN"/>
              </w:rPr>
            </w:pPr>
            <w:r>
              <w:rPr>
                <w:rFonts w:hint="eastAsia" w:ascii="宋体" w:hAnsi="宋体" w:cs="宋体"/>
                <w:spacing w:val="12"/>
                <w:w w:val="99"/>
                <w:sz w:val="20"/>
                <w:szCs w:val="20"/>
                <w:lang w:eastAsia="zh-CN"/>
              </w:rPr>
              <w:t>《单元式空气调节机能</w:t>
            </w:r>
            <w:r>
              <w:rPr>
                <w:rFonts w:hint="eastAsia" w:ascii="宋体" w:hAnsi="宋体" w:cs="宋体"/>
                <w:spacing w:val="9"/>
                <w:w w:val="99"/>
                <w:sz w:val="20"/>
                <w:szCs w:val="20"/>
                <w:lang w:eastAsia="zh-CN"/>
              </w:rPr>
              <w:t>效</w:t>
            </w:r>
            <w:r>
              <w:rPr>
                <w:rFonts w:hint="eastAsia" w:ascii="宋体" w:hAnsi="宋体" w:cs="宋体"/>
                <w:spacing w:val="12"/>
                <w:w w:val="99"/>
                <w:sz w:val="20"/>
                <w:szCs w:val="20"/>
                <w:lang w:eastAsia="zh-CN"/>
              </w:rPr>
              <w:t>限定</w:t>
            </w:r>
            <w:r>
              <w:rPr>
                <w:rFonts w:hint="eastAsia" w:ascii="宋体" w:hAnsi="宋体" w:cs="宋体"/>
                <w:w w:val="99"/>
                <w:sz w:val="20"/>
                <w:szCs w:val="20"/>
                <w:lang w:eastAsia="zh-CN"/>
              </w:rPr>
              <w:t>值</w:t>
            </w:r>
          </w:p>
        </w:tc>
      </w:tr>
      <w:tr>
        <w:tblPrEx>
          <w:tblLayout w:type="fixed"/>
          <w:tblCellMar>
            <w:top w:w="0" w:type="dxa"/>
            <w:left w:w="0" w:type="dxa"/>
            <w:bottom w:w="0" w:type="dxa"/>
            <w:right w:w="0" w:type="dxa"/>
          </w:tblCellMar>
        </w:tblPrEx>
        <w:trPr>
          <w:trHeight w:val="312" w:hRule="atLeast"/>
          <w:jc w:val="center"/>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11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18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1915" w:type="dxa"/>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eastAsia="Times New Roman" w:cs="宋体"/>
                <w:kern w:val="0"/>
                <w:sz w:val="20"/>
                <w:szCs w:val="20"/>
              </w:rPr>
            </w:pPr>
          </w:p>
        </w:tc>
        <w:tc>
          <w:tcPr>
            <w:tcW w:w="2966" w:type="dxa"/>
            <w:tcBorders>
              <w:top w:val="nil"/>
              <w:left w:val="single" w:color="000000" w:sz="4" w:space="0"/>
              <w:bottom w:val="nil"/>
              <w:right w:val="single" w:color="000000" w:sz="4" w:space="0"/>
            </w:tcBorders>
            <w:vAlign w:val="top"/>
          </w:tcPr>
          <w:p>
            <w:pPr>
              <w:pStyle w:val="25"/>
              <w:spacing w:line="256" w:lineRule="exact"/>
              <w:ind w:left="7"/>
              <w:rPr>
                <w:rFonts w:ascii="宋体" w:hAnsi="宋体" w:cs="宋体"/>
                <w:sz w:val="20"/>
                <w:szCs w:val="20"/>
                <w:lang w:eastAsia="zh-CN"/>
              </w:rPr>
            </w:pPr>
            <w:r>
              <w:rPr>
                <w:rFonts w:hint="eastAsia" w:ascii="宋体" w:hAnsi="宋体" w:cs="宋体"/>
                <w:w w:val="99"/>
                <w:sz w:val="20"/>
                <w:szCs w:val="20"/>
                <w:lang w:eastAsia="zh-CN"/>
              </w:rPr>
              <w:t>及能源</w:t>
            </w:r>
            <w:r>
              <w:rPr>
                <w:rFonts w:hint="eastAsia" w:ascii="宋体" w:hAnsi="宋体" w:cs="宋体"/>
                <w:spacing w:val="2"/>
                <w:w w:val="99"/>
                <w:sz w:val="20"/>
                <w:szCs w:val="20"/>
                <w:lang w:eastAsia="zh-CN"/>
              </w:rPr>
              <w:t>效</w:t>
            </w:r>
            <w:r>
              <w:rPr>
                <w:rFonts w:hint="eastAsia" w:ascii="宋体" w:hAnsi="宋体" w:cs="宋体"/>
                <w:w w:val="99"/>
                <w:sz w:val="20"/>
                <w:szCs w:val="20"/>
                <w:lang w:eastAsia="zh-CN"/>
              </w:rPr>
              <w:t>率等</w:t>
            </w:r>
            <w:r>
              <w:rPr>
                <w:rFonts w:hint="eastAsia" w:ascii="宋体" w:hAnsi="宋体" w:cs="宋体"/>
                <w:spacing w:val="2"/>
                <w:w w:val="99"/>
                <w:sz w:val="20"/>
                <w:szCs w:val="20"/>
                <w:lang w:eastAsia="zh-CN"/>
              </w:rPr>
              <w:t>级</w:t>
            </w:r>
            <w:r>
              <w:rPr>
                <w:rFonts w:hint="eastAsia" w:ascii="宋体" w:hAnsi="宋体" w:cs="宋体"/>
                <w:spacing w:val="-104"/>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195</w:t>
            </w:r>
            <w:r>
              <w:rPr>
                <w:rFonts w:hint="eastAsia" w:ascii="宋体" w:hAnsi="宋体" w:cs="宋体"/>
                <w:w w:val="99"/>
                <w:sz w:val="20"/>
                <w:szCs w:val="20"/>
                <w:lang w:eastAsia="zh-CN"/>
              </w:rPr>
              <w:t>7</w:t>
            </w:r>
            <w:r>
              <w:rPr>
                <w:rFonts w:hint="eastAsia" w:ascii="宋体" w:hAnsi="宋体" w:cs="宋体"/>
                <w:spacing w:val="-3"/>
                <w:w w:val="99"/>
                <w:sz w:val="20"/>
                <w:szCs w:val="20"/>
                <w:lang w:eastAsia="zh-CN"/>
              </w:rPr>
              <w:t>6</w:t>
            </w:r>
            <w:r>
              <w:rPr>
                <w:rFonts w:hint="eastAsia" w:ascii="宋体" w:hAnsi="宋体" w:cs="宋体"/>
                <w:spacing w:val="-104"/>
                <w:w w:val="99"/>
                <w:sz w:val="20"/>
                <w:szCs w:val="20"/>
                <w:lang w:eastAsia="zh-CN"/>
              </w:rPr>
              <w:t>）</w:t>
            </w:r>
            <w:r>
              <w:rPr>
                <w:rFonts w:hint="eastAsia" w:ascii="宋体" w:hAnsi="宋体" w:cs="宋体"/>
                <w:w w:val="99"/>
                <w:sz w:val="20"/>
                <w:szCs w:val="20"/>
                <w:lang w:eastAsia="zh-CN"/>
              </w:rPr>
              <w:t>《风</w:t>
            </w:r>
          </w:p>
        </w:tc>
      </w:tr>
      <w:tr>
        <w:tblPrEx>
          <w:tblLayout w:type="fixed"/>
          <w:tblCellMar>
            <w:top w:w="0" w:type="dxa"/>
            <w:left w:w="0" w:type="dxa"/>
            <w:bottom w:w="0" w:type="dxa"/>
            <w:right w:w="0" w:type="dxa"/>
          </w:tblCellMar>
        </w:tblPrEx>
        <w:trPr>
          <w:trHeight w:val="312" w:hRule="exact"/>
          <w:jc w:val="center"/>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11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18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1915" w:type="dxa"/>
            <w:vMerge w:val="restart"/>
            <w:tcBorders>
              <w:top w:val="nil"/>
              <w:left w:val="single" w:color="000000" w:sz="4" w:space="0"/>
              <w:bottom w:val="single" w:color="000000" w:sz="4" w:space="0"/>
              <w:right w:val="single" w:color="000000" w:sz="4" w:space="0"/>
            </w:tcBorders>
            <w:vAlign w:val="top"/>
          </w:tcPr>
          <w:p>
            <w:pPr>
              <w:pStyle w:val="25"/>
              <w:spacing w:line="256" w:lineRule="exact"/>
              <w:ind w:left="7"/>
              <w:rPr>
                <w:rFonts w:ascii="宋体" w:hAnsi="宋体" w:cs="宋体"/>
                <w:sz w:val="20"/>
                <w:szCs w:val="20"/>
              </w:rPr>
            </w:pPr>
            <w:r>
              <w:rPr>
                <w:rFonts w:hint="eastAsia" w:ascii="宋体" w:hAnsi="宋体" w:cs="宋体"/>
                <w:spacing w:val="1"/>
                <w:w w:val="99"/>
                <w:sz w:val="20"/>
                <w:szCs w:val="20"/>
              </w:rPr>
              <w:t>（</w:t>
            </w:r>
            <w:r>
              <w:rPr>
                <w:rFonts w:hint="eastAsia" w:ascii="宋体" w:hAnsi="宋体" w:cs="宋体"/>
                <w:w w:val="99"/>
                <w:sz w:val="20"/>
                <w:szCs w:val="20"/>
              </w:rPr>
              <w:t>制冷量≤</w:t>
            </w:r>
            <w:r>
              <w:rPr>
                <w:rFonts w:hint="eastAsia" w:ascii="宋体" w:hAnsi="宋体" w:cs="宋体"/>
                <w:spacing w:val="1"/>
                <w:w w:val="99"/>
                <w:sz w:val="20"/>
                <w:szCs w:val="20"/>
              </w:rPr>
              <w:t>14000W</w:t>
            </w:r>
            <w:r>
              <w:rPr>
                <w:rFonts w:hint="eastAsia" w:ascii="宋体" w:hAnsi="宋体" w:cs="宋体"/>
                <w:w w:val="99"/>
                <w:sz w:val="20"/>
                <w:szCs w:val="20"/>
              </w:rPr>
              <w:t>）</w:t>
            </w:r>
          </w:p>
        </w:tc>
        <w:tc>
          <w:tcPr>
            <w:tcW w:w="2966" w:type="dxa"/>
            <w:tcBorders>
              <w:top w:val="nil"/>
              <w:left w:val="single" w:color="000000" w:sz="4" w:space="0"/>
              <w:bottom w:val="nil"/>
              <w:right w:val="single" w:color="000000" w:sz="4" w:space="0"/>
            </w:tcBorders>
            <w:vAlign w:val="top"/>
          </w:tcPr>
          <w:p>
            <w:pPr>
              <w:pStyle w:val="25"/>
              <w:spacing w:line="256" w:lineRule="exact"/>
              <w:ind w:left="7"/>
              <w:rPr>
                <w:rFonts w:ascii="宋体" w:hAnsi="宋体" w:cs="宋体"/>
                <w:sz w:val="20"/>
                <w:szCs w:val="20"/>
                <w:lang w:eastAsia="zh-CN"/>
              </w:rPr>
            </w:pPr>
            <w:r>
              <w:rPr>
                <w:rFonts w:hint="eastAsia" w:ascii="宋体" w:hAnsi="宋体" w:cs="宋体"/>
                <w:spacing w:val="12"/>
                <w:w w:val="99"/>
                <w:sz w:val="20"/>
                <w:szCs w:val="20"/>
                <w:lang w:eastAsia="zh-CN"/>
              </w:rPr>
              <w:t>管送风式空调机组能效</w:t>
            </w:r>
            <w:r>
              <w:rPr>
                <w:rFonts w:hint="eastAsia" w:ascii="宋体" w:hAnsi="宋体" w:cs="宋体"/>
                <w:spacing w:val="9"/>
                <w:w w:val="99"/>
                <w:sz w:val="20"/>
                <w:szCs w:val="20"/>
                <w:lang w:eastAsia="zh-CN"/>
              </w:rPr>
              <w:t>限</w:t>
            </w:r>
            <w:r>
              <w:rPr>
                <w:rFonts w:hint="eastAsia" w:ascii="宋体" w:hAnsi="宋体" w:cs="宋体"/>
                <w:spacing w:val="12"/>
                <w:w w:val="99"/>
                <w:sz w:val="20"/>
                <w:szCs w:val="20"/>
                <w:lang w:eastAsia="zh-CN"/>
              </w:rPr>
              <w:t>定值</w:t>
            </w:r>
            <w:r>
              <w:rPr>
                <w:rFonts w:hint="eastAsia" w:ascii="宋体" w:hAnsi="宋体" w:cs="宋体"/>
                <w:w w:val="99"/>
                <w:sz w:val="20"/>
                <w:szCs w:val="20"/>
                <w:lang w:eastAsia="zh-CN"/>
              </w:rPr>
              <w:t>及</w:t>
            </w:r>
          </w:p>
        </w:tc>
      </w:tr>
      <w:tr>
        <w:tblPrEx>
          <w:tblLayout w:type="fixed"/>
          <w:tblCellMar>
            <w:top w:w="0" w:type="dxa"/>
            <w:left w:w="0" w:type="dxa"/>
            <w:bottom w:w="0" w:type="dxa"/>
            <w:right w:w="0" w:type="dxa"/>
          </w:tblCellMar>
        </w:tblPrEx>
        <w:trPr>
          <w:trHeight w:val="319" w:hRule="atLeast"/>
          <w:jc w:val="center"/>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11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18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191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rPr>
            </w:pPr>
          </w:p>
        </w:tc>
        <w:tc>
          <w:tcPr>
            <w:tcW w:w="2966" w:type="dxa"/>
            <w:tcBorders>
              <w:top w:val="nil"/>
              <w:left w:val="single" w:color="000000" w:sz="4" w:space="0"/>
              <w:bottom w:val="single" w:color="000000" w:sz="4" w:space="0"/>
              <w:right w:val="single" w:color="000000" w:sz="4" w:space="0"/>
            </w:tcBorders>
            <w:vAlign w:val="top"/>
          </w:tcPr>
          <w:p>
            <w:pPr>
              <w:pStyle w:val="25"/>
              <w:spacing w:line="256" w:lineRule="exact"/>
              <w:ind w:left="7"/>
              <w:rPr>
                <w:rFonts w:ascii="宋体" w:hAnsi="宋体" w:cs="宋体"/>
                <w:sz w:val="20"/>
                <w:szCs w:val="20"/>
              </w:rPr>
            </w:pPr>
            <w:r>
              <w:rPr>
                <w:rFonts w:hint="eastAsia" w:ascii="宋体" w:hAnsi="宋体" w:cs="宋体"/>
                <w:w w:val="99"/>
                <w:sz w:val="20"/>
                <w:szCs w:val="20"/>
              </w:rPr>
              <w:t>能效等</w:t>
            </w:r>
            <w:r>
              <w:rPr>
                <w:rFonts w:hint="eastAsia" w:ascii="宋体" w:hAnsi="宋体" w:cs="宋体"/>
                <w:spacing w:val="2"/>
                <w:w w:val="99"/>
                <w:sz w:val="20"/>
                <w:szCs w:val="20"/>
              </w:rPr>
              <w:t>级</w:t>
            </w:r>
            <w:r>
              <w:rPr>
                <w:rFonts w:hint="eastAsia" w:ascii="宋体" w:hAnsi="宋体" w:cs="宋体"/>
                <w:w w:val="99"/>
                <w:sz w:val="20"/>
                <w:szCs w:val="20"/>
              </w:rPr>
              <w:t>》（</w:t>
            </w:r>
            <w:r>
              <w:rPr>
                <w:rFonts w:hint="eastAsia" w:ascii="宋体" w:hAnsi="宋体" w:cs="宋体"/>
                <w:spacing w:val="1"/>
                <w:w w:val="99"/>
                <w:sz w:val="20"/>
                <w:szCs w:val="20"/>
              </w:rPr>
              <w:t>G</w:t>
            </w:r>
            <w:r>
              <w:rPr>
                <w:rFonts w:hint="eastAsia" w:ascii="宋体" w:hAnsi="宋体" w:cs="宋体"/>
                <w:w w:val="99"/>
                <w:sz w:val="20"/>
                <w:szCs w:val="20"/>
              </w:rPr>
              <w:t>B</w:t>
            </w:r>
            <w:r>
              <w:rPr>
                <w:rFonts w:hint="eastAsia" w:ascii="宋体" w:hAnsi="宋体" w:cs="宋体"/>
                <w:spacing w:val="1"/>
                <w:w w:val="99"/>
                <w:sz w:val="20"/>
                <w:szCs w:val="20"/>
              </w:rPr>
              <w:t>374</w:t>
            </w:r>
            <w:r>
              <w:rPr>
                <w:rFonts w:hint="eastAsia" w:ascii="宋体" w:hAnsi="宋体" w:cs="宋体"/>
                <w:w w:val="99"/>
                <w:sz w:val="20"/>
                <w:szCs w:val="20"/>
              </w:rPr>
              <w:t>7</w:t>
            </w:r>
            <w:r>
              <w:rPr>
                <w:rFonts w:hint="eastAsia" w:ascii="宋体" w:hAnsi="宋体" w:cs="宋体"/>
                <w:spacing w:val="-1"/>
                <w:w w:val="99"/>
                <w:sz w:val="20"/>
                <w:szCs w:val="20"/>
              </w:rPr>
              <w:t>9</w:t>
            </w:r>
            <w:r>
              <w:rPr>
                <w:rFonts w:hint="eastAsia" w:ascii="宋体" w:hAnsi="宋体" w:cs="宋体"/>
                <w:w w:val="99"/>
                <w:sz w:val="20"/>
                <w:szCs w:val="20"/>
              </w:rPr>
              <w:t>）</w:t>
            </w:r>
          </w:p>
        </w:tc>
      </w:tr>
      <w:tr>
        <w:tblPrEx>
          <w:tblLayout w:type="fixed"/>
          <w:tblCellMar>
            <w:top w:w="0" w:type="dxa"/>
            <w:left w:w="0" w:type="dxa"/>
            <w:bottom w:w="0" w:type="dxa"/>
            <w:right w:w="0" w:type="dxa"/>
          </w:tblCellMar>
        </w:tblPrEx>
        <w:trPr>
          <w:trHeight w:val="653" w:hRule="exact"/>
          <w:jc w:val="center"/>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lang w:eastAsia="en-US"/>
              </w:rPr>
            </w:pPr>
          </w:p>
        </w:tc>
        <w:tc>
          <w:tcPr>
            <w:tcW w:w="11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Times New Roman" w:cs="宋体"/>
                <w:kern w:val="0"/>
                <w:sz w:val="20"/>
                <w:szCs w:val="20"/>
                <w:lang w:eastAsia="en-US"/>
              </w:rPr>
            </w:pPr>
          </w:p>
        </w:tc>
        <w:tc>
          <w:tcPr>
            <w:tcW w:w="1800" w:type="dxa"/>
            <w:tcBorders>
              <w:top w:val="single" w:color="000000" w:sz="4" w:space="0"/>
              <w:left w:val="single" w:color="000000" w:sz="4" w:space="0"/>
              <w:bottom w:val="single" w:color="000000" w:sz="4" w:space="0"/>
              <w:right w:val="single" w:color="000000" w:sz="4" w:space="0"/>
            </w:tcBorders>
            <w:vAlign w:val="top"/>
          </w:tcPr>
          <w:p>
            <w:pPr>
              <w:pStyle w:val="25"/>
              <w:spacing w:before="162"/>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06</w:t>
            </w:r>
            <w:r>
              <w:rPr>
                <w:rFonts w:hint="eastAsia" w:ascii="宋体" w:hAnsi="宋体" w:cs="宋体"/>
                <w:spacing w:val="1"/>
                <w:w w:val="99"/>
                <w:sz w:val="20"/>
                <w:szCs w:val="20"/>
              </w:rPr>
              <w:t>1</w:t>
            </w:r>
            <w:r>
              <w:rPr>
                <w:rFonts w:hint="eastAsia" w:ascii="宋体" w:hAnsi="宋体" w:cs="宋体"/>
                <w:w w:val="99"/>
                <w:sz w:val="20"/>
                <w:szCs w:val="20"/>
              </w:rPr>
              <w:t>80</w:t>
            </w:r>
            <w:r>
              <w:rPr>
                <w:rFonts w:hint="eastAsia" w:ascii="宋体" w:hAnsi="宋体" w:cs="宋体"/>
                <w:spacing w:val="1"/>
                <w:w w:val="99"/>
                <w:sz w:val="20"/>
                <w:szCs w:val="20"/>
              </w:rPr>
              <w:t>3</w:t>
            </w:r>
            <w:r>
              <w:rPr>
                <w:rFonts w:hint="eastAsia" w:ascii="宋体" w:hAnsi="宋体" w:cs="宋体"/>
                <w:w w:val="99"/>
                <w:sz w:val="20"/>
                <w:szCs w:val="20"/>
              </w:rPr>
              <w:t>01洗衣机</w:t>
            </w:r>
          </w:p>
        </w:tc>
        <w:tc>
          <w:tcPr>
            <w:tcW w:w="1915" w:type="dxa"/>
            <w:tcBorders>
              <w:top w:val="single" w:color="000000" w:sz="4" w:space="0"/>
              <w:left w:val="single" w:color="000000" w:sz="4" w:space="0"/>
              <w:bottom w:val="single" w:color="000000" w:sz="4" w:space="0"/>
              <w:right w:val="single" w:color="000000" w:sz="4" w:space="0"/>
            </w:tcBorders>
            <w:vAlign w:val="top"/>
          </w:tcPr>
          <w:p>
            <w:pPr>
              <w:rPr>
                <w:rFonts w:ascii="Calibri" w:hAnsi="Calibri"/>
                <w:sz w:val="22"/>
                <w:szCs w:val="22"/>
              </w:rPr>
            </w:pPr>
          </w:p>
        </w:tc>
        <w:tc>
          <w:tcPr>
            <w:tcW w:w="2966" w:type="dxa"/>
            <w:tcBorders>
              <w:top w:val="single" w:color="000000" w:sz="4" w:space="0"/>
              <w:left w:val="single" w:color="000000" w:sz="4" w:space="0"/>
              <w:bottom w:val="single" w:color="000000" w:sz="4" w:space="0"/>
              <w:right w:val="single" w:color="000000" w:sz="4" w:space="0"/>
            </w:tcBorders>
            <w:vAlign w:val="top"/>
          </w:tcPr>
          <w:p>
            <w:pPr>
              <w:pStyle w:val="25"/>
              <w:spacing w:before="6" w:line="280" w:lineRule="auto"/>
              <w:ind w:left="7" w:right="4"/>
              <w:rPr>
                <w:rFonts w:ascii="宋体" w:hAnsi="宋体" w:cs="宋体"/>
                <w:sz w:val="20"/>
                <w:szCs w:val="20"/>
                <w:lang w:eastAsia="zh-CN"/>
              </w:rPr>
            </w:pPr>
            <w:r>
              <w:rPr>
                <w:rFonts w:hint="eastAsia" w:ascii="宋体" w:hAnsi="宋体" w:cs="宋体"/>
                <w:spacing w:val="12"/>
                <w:w w:val="99"/>
                <w:sz w:val="20"/>
                <w:szCs w:val="20"/>
                <w:lang w:eastAsia="zh-CN"/>
              </w:rPr>
              <w:t>《电动洗衣机能效水效</w:t>
            </w:r>
            <w:r>
              <w:rPr>
                <w:rFonts w:hint="eastAsia" w:ascii="宋体" w:hAnsi="宋体" w:cs="宋体"/>
                <w:spacing w:val="9"/>
                <w:w w:val="99"/>
                <w:sz w:val="20"/>
                <w:szCs w:val="20"/>
                <w:lang w:eastAsia="zh-CN"/>
              </w:rPr>
              <w:t>限</w:t>
            </w:r>
            <w:r>
              <w:rPr>
                <w:rFonts w:hint="eastAsia" w:ascii="宋体" w:hAnsi="宋体" w:cs="宋体"/>
                <w:spacing w:val="12"/>
                <w:w w:val="99"/>
                <w:sz w:val="20"/>
                <w:szCs w:val="20"/>
                <w:lang w:eastAsia="zh-CN"/>
              </w:rPr>
              <w:t>定值</w:t>
            </w:r>
            <w:r>
              <w:rPr>
                <w:rFonts w:hint="eastAsia" w:ascii="宋体" w:hAnsi="宋体" w:cs="宋体"/>
                <w:w w:val="99"/>
                <w:sz w:val="20"/>
                <w:szCs w:val="20"/>
                <w:lang w:eastAsia="zh-CN"/>
              </w:rPr>
              <w:t>及等级》（</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1202</w:t>
            </w:r>
            <w:r>
              <w:rPr>
                <w:rFonts w:hint="eastAsia" w:ascii="宋体" w:hAnsi="宋体" w:cs="宋体"/>
                <w:w w:val="99"/>
                <w:sz w:val="20"/>
                <w:szCs w:val="20"/>
                <w:lang w:eastAsia="zh-CN"/>
              </w:rPr>
              <w:t>1.</w:t>
            </w:r>
            <w:r>
              <w:rPr>
                <w:rFonts w:hint="eastAsia" w:ascii="宋体" w:hAnsi="宋体" w:cs="宋体"/>
                <w:spacing w:val="1"/>
                <w:w w:val="99"/>
                <w:sz w:val="20"/>
                <w:szCs w:val="20"/>
                <w:lang w:eastAsia="zh-CN"/>
              </w:rPr>
              <w:t>4</w:t>
            </w:r>
            <w:r>
              <w:rPr>
                <w:rFonts w:hint="eastAsia" w:ascii="宋体" w:hAnsi="宋体" w:cs="宋体"/>
                <w:w w:val="99"/>
                <w:sz w:val="20"/>
                <w:szCs w:val="20"/>
                <w:lang w:eastAsia="zh-CN"/>
              </w:rPr>
              <w:t>）</w:t>
            </w:r>
          </w:p>
        </w:tc>
      </w:tr>
    </w:tbl>
    <w:p>
      <w:pPr>
        <w:spacing w:before="37"/>
        <w:ind w:right="102"/>
        <w:jc w:val="both"/>
        <w:rPr>
          <w:rFonts w:hint="eastAsia" w:ascii="宋体" w:hAnsi="宋体" w:cs="宋体"/>
          <w:color w:val="000000"/>
          <w:sz w:val="20"/>
          <w:szCs w:val="20"/>
        </w:rPr>
      </w:pPr>
    </w:p>
    <w:p>
      <w:pPr>
        <w:widowControl/>
        <w:jc w:val="left"/>
        <w:rPr>
          <w:rFonts w:ascii="宋体" w:hAnsi="宋体" w:cs="宋体"/>
          <w:color w:val="000000"/>
          <w:sz w:val="20"/>
          <w:szCs w:val="20"/>
        </w:rPr>
      </w:pPr>
    </w:p>
    <w:tbl>
      <w:tblPr>
        <w:tblStyle w:val="24"/>
        <w:tblW w:w="84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4"/>
        <w:gridCol w:w="1166"/>
        <w:gridCol w:w="1800"/>
        <w:gridCol w:w="1915"/>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exact"/>
          <w:jc w:val="center"/>
        </w:trPr>
        <w:tc>
          <w:tcPr>
            <w:tcW w:w="574" w:type="dxa"/>
            <w:vMerge w:val="restart"/>
            <w:tcBorders>
              <w:top w:val="single" w:color="auto" w:sz="4" w:space="0"/>
              <w:left w:val="single" w:color="auto" w:sz="4" w:space="0"/>
              <w:bottom w:val="single" w:color="auto" w:sz="4" w:space="0"/>
              <w:right w:val="single" w:color="auto" w:sz="4" w:space="0"/>
            </w:tcBorders>
            <w:vAlign w:val="top"/>
          </w:tcPr>
          <w:p>
            <w:pPr>
              <w:rPr>
                <w:rFonts w:ascii="Calibri" w:hAnsi="Calibri"/>
                <w:color w:val="000000"/>
                <w:sz w:val="22"/>
                <w:szCs w:val="22"/>
              </w:rPr>
            </w:pPr>
          </w:p>
        </w:tc>
        <w:tc>
          <w:tcPr>
            <w:tcW w:w="1166" w:type="dxa"/>
            <w:vMerge w:val="restart"/>
            <w:tcBorders>
              <w:top w:val="single" w:color="auto" w:sz="4" w:space="0"/>
              <w:left w:val="single" w:color="auto" w:sz="4" w:space="0"/>
              <w:bottom w:val="single" w:color="auto" w:sz="4" w:space="0"/>
              <w:right w:val="single" w:color="auto" w:sz="4" w:space="0"/>
            </w:tcBorders>
            <w:vAlign w:val="top"/>
          </w:tcPr>
          <w:p>
            <w:pPr>
              <w:rPr>
                <w:rFonts w:ascii="Calibri" w:hAnsi="Calibri"/>
                <w:color w:val="000000"/>
                <w:sz w:val="22"/>
                <w:szCs w:val="22"/>
              </w:rPr>
            </w:pPr>
          </w:p>
        </w:tc>
        <w:tc>
          <w:tcPr>
            <w:tcW w:w="1800" w:type="dxa"/>
            <w:vMerge w:val="restart"/>
            <w:tcBorders>
              <w:top w:val="single" w:color="auto" w:sz="4" w:space="0"/>
              <w:left w:val="single" w:color="auto" w:sz="4" w:space="0"/>
              <w:bottom w:val="single" w:color="auto" w:sz="4" w:space="0"/>
              <w:right w:val="single" w:color="auto" w:sz="4" w:space="0"/>
            </w:tcBorders>
            <w:vAlign w:val="top"/>
          </w:tcPr>
          <w:p>
            <w:pPr>
              <w:pStyle w:val="25"/>
              <w:rPr>
                <w:rFonts w:ascii="宋体" w:hAnsi="宋体" w:cs="宋体"/>
                <w:color w:val="000000"/>
                <w:sz w:val="20"/>
                <w:szCs w:val="20"/>
              </w:rPr>
            </w:pPr>
          </w:p>
          <w:p>
            <w:pPr>
              <w:pStyle w:val="25"/>
              <w:rPr>
                <w:rFonts w:hint="eastAsia" w:ascii="宋体" w:hAnsi="宋体" w:cs="宋体"/>
                <w:color w:val="000000"/>
                <w:sz w:val="20"/>
                <w:szCs w:val="20"/>
              </w:rPr>
            </w:pPr>
          </w:p>
          <w:p>
            <w:pPr>
              <w:pStyle w:val="25"/>
              <w:rPr>
                <w:rFonts w:hint="eastAsia" w:ascii="宋体" w:hAnsi="宋体" w:cs="宋体"/>
                <w:color w:val="000000"/>
                <w:sz w:val="20"/>
                <w:szCs w:val="20"/>
              </w:rPr>
            </w:pPr>
          </w:p>
          <w:p>
            <w:pPr>
              <w:pStyle w:val="25"/>
              <w:rPr>
                <w:rFonts w:hint="eastAsia" w:ascii="宋体" w:hAnsi="宋体" w:cs="宋体"/>
                <w:color w:val="000000"/>
                <w:sz w:val="20"/>
                <w:szCs w:val="20"/>
              </w:rPr>
            </w:pPr>
          </w:p>
          <w:p>
            <w:pPr>
              <w:pStyle w:val="25"/>
              <w:rPr>
                <w:rFonts w:hint="eastAsia" w:ascii="宋体" w:hAnsi="宋体" w:cs="宋体"/>
                <w:color w:val="000000"/>
                <w:sz w:val="20"/>
                <w:szCs w:val="20"/>
              </w:rPr>
            </w:pPr>
          </w:p>
          <w:p>
            <w:pPr>
              <w:pStyle w:val="25"/>
              <w:spacing w:before="161"/>
              <w:ind w:left="7"/>
              <w:rPr>
                <w:rFonts w:ascii="宋体" w:hAnsi="宋体" w:cs="宋体"/>
                <w:color w:val="000000"/>
                <w:sz w:val="20"/>
                <w:szCs w:val="20"/>
              </w:rPr>
            </w:pPr>
            <w:r>
              <w:rPr>
                <w:rFonts w:hint="eastAsia" w:ascii="宋体" w:hAnsi="宋体" w:cs="宋体"/>
                <w:color w:val="000000"/>
                <w:spacing w:val="1"/>
                <w:w w:val="99"/>
                <w:sz w:val="20"/>
                <w:szCs w:val="20"/>
              </w:rPr>
              <w:t>A02</w:t>
            </w:r>
            <w:r>
              <w:rPr>
                <w:rFonts w:hint="eastAsia" w:ascii="宋体" w:hAnsi="宋体" w:cs="宋体"/>
                <w:color w:val="000000"/>
                <w:w w:val="99"/>
                <w:sz w:val="20"/>
                <w:szCs w:val="20"/>
              </w:rPr>
              <w:t>06</w:t>
            </w:r>
            <w:r>
              <w:rPr>
                <w:rFonts w:hint="eastAsia" w:ascii="宋体" w:hAnsi="宋体" w:cs="宋体"/>
                <w:color w:val="000000"/>
                <w:spacing w:val="1"/>
                <w:w w:val="99"/>
                <w:sz w:val="20"/>
                <w:szCs w:val="20"/>
              </w:rPr>
              <w:t>1</w:t>
            </w:r>
            <w:r>
              <w:rPr>
                <w:rFonts w:hint="eastAsia" w:ascii="宋体" w:hAnsi="宋体" w:cs="宋体"/>
                <w:color w:val="000000"/>
                <w:w w:val="99"/>
                <w:sz w:val="20"/>
                <w:szCs w:val="20"/>
              </w:rPr>
              <w:t>808热水器</w:t>
            </w:r>
          </w:p>
        </w:tc>
        <w:tc>
          <w:tcPr>
            <w:tcW w:w="1915" w:type="dxa"/>
            <w:tcBorders>
              <w:top w:val="single" w:color="auto" w:sz="4" w:space="0"/>
              <w:left w:val="single" w:color="auto" w:sz="4" w:space="0"/>
              <w:bottom w:val="single" w:color="auto" w:sz="4" w:space="0"/>
              <w:right w:val="single" w:color="auto" w:sz="4" w:space="0"/>
            </w:tcBorders>
            <w:vAlign w:val="top"/>
          </w:tcPr>
          <w:p>
            <w:pPr>
              <w:pStyle w:val="25"/>
              <w:spacing w:before="12"/>
              <w:rPr>
                <w:rFonts w:ascii="宋体" w:hAnsi="宋体" w:cs="宋体"/>
                <w:color w:val="000000"/>
                <w:sz w:val="15"/>
                <w:szCs w:val="15"/>
              </w:rPr>
            </w:pPr>
          </w:p>
          <w:p>
            <w:pPr>
              <w:pStyle w:val="25"/>
              <w:ind w:left="7"/>
              <w:rPr>
                <w:rFonts w:ascii="宋体" w:hAnsi="宋体" w:cs="宋体"/>
                <w:color w:val="000000"/>
                <w:sz w:val="20"/>
                <w:szCs w:val="20"/>
              </w:rPr>
            </w:pPr>
            <w:r>
              <w:rPr>
                <w:rFonts w:hint="eastAsia" w:ascii="宋体" w:hAnsi="宋体" w:cs="宋体"/>
                <w:color w:val="000000"/>
                <w:w w:val="99"/>
                <w:sz w:val="20"/>
                <w:szCs w:val="20"/>
              </w:rPr>
              <w:t>★电热</w:t>
            </w:r>
            <w:r>
              <w:rPr>
                <w:rFonts w:hint="eastAsia" w:ascii="宋体" w:hAnsi="宋体" w:cs="宋体"/>
                <w:color w:val="000000"/>
                <w:spacing w:val="2"/>
                <w:w w:val="99"/>
                <w:sz w:val="20"/>
                <w:szCs w:val="20"/>
              </w:rPr>
              <w:t>水</w:t>
            </w:r>
            <w:r>
              <w:rPr>
                <w:rFonts w:hint="eastAsia" w:ascii="宋体" w:hAnsi="宋体" w:cs="宋体"/>
                <w:color w:val="000000"/>
                <w:w w:val="99"/>
                <w:sz w:val="20"/>
                <w:szCs w:val="20"/>
              </w:rPr>
              <w:t>器</w:t>
            </w:r>
          </w:p>
        </w:tc>
        <w:tc>
          <w:tcPr>
            <w:tcW w:w="2966" w:type="dxa"/>
            <w:tcBorders>
              <w:top w:val="single" w:color="auto" w:sz="4" w:space="0"/>
              <w:left w:val="single" w:color="auto" w:sz="4" w:space="0"/>
              <w:bottom w:val="single" w:color="auto" w:sz="4" w:space="0"/>
              <w:right w:val="single" w:color="auto" w:sz="4" w:space="0"/>
            </w:tcBorders>
            <w:vAlign w:val="top"/>
          </w:tcPr>
          <w:p>
            <w:pPr>
              <w:pStyle w:val="25"/>
              <w:tabs>
                <w:tab w:val="left" w:pos="1608"/>
              </w:tabs>
              <w:spacing w:before="52" w:line="280" w:lineRule="auto"/>
              <w:ind w:left="7" w:right="4"/>
              <w:rPr>
                <w:rFonts w:ascii="宋体" w:hAnsi="宋体" w:cs="宋体"/>
                <w:color w:val="000000"/>
                <w:sz w:val="20"/>
                <w:szCs w:val="20"/>
                <w:lang w:eastAsia="zh-CN"/>
              </w:rPr>
            </w:pPr>
            <w:r>
              <w:rPr>
                <w:rFonts w:hint="eastAsia" w:ascii="宋体" w:hAnsi="宋体" w:cs="宋体"/>
                <w:color w:val="000000"/>
                <w:spacing w:val="12"/>
                <w:w w:val="99"/>
                <w:sz w:val="20"/>
                <w:szCs w:val="20"/>
                <w:lang w:eastAsia="zh-CN"/>
              </w:rPr>
              <w:t>《储水式电热水器能效</w:t>
            </w:r>
            <w:r>
              <w:rPr>
                <w:rFonts w:hint="eastAsia" w:ascii="宋体" w:hAnsi="宋体" w:cs="宋体"/>
                <w:color w:val="000000"/>
                <w:spacing w:val="9"/>
                <w:w w:val="99"/>
                <w:sz w:val="20"/>
                <w:szCs w:val="20"/>
                <w:lang w:eastAsia="zh-CN"/>
              </w:rPr>
              <w:t>限</w:t>
            </w:r>
            <w:r>
              <w:rPr>
                <w:rFonts w:hint="eastAsia" w:ascii="宋体" w:hAnsi="宋体" w:cs="宋体"/>
                <w:color w:val="000000"/>
                <w:spacing w:val="12"/>
                <w:w w:val="99"/>
                <w:sz w:val="20"/>
                <w:szCs w:val="20"/>
                <w:lang w:eastAsia="zh-CN"/>
              </w:rPr>
              <w:t>定值</w:t>
            </w:r>
            <w:r>
              <w:rPr>
                <w:rFonts w:hint="eastAsia" w:ascii="宋体" w:hAnsi="宋体" w:cs="宋体"/>
                <w:color w:val="000000"/>
                <w:w w:val="99"/>
                <w:sz w:val="20"/>
                <w:szCs w:val="20"/>
                <w:lang w:eastAsia="zh-CN"/>
              </w:rPr>
              <w:t>及能效等</w:t>
            </w:r>
            <w:r>
              <w:rPr>
                <w:rFonts w:hint="eastAsia" w:ascii="宋体" w:hAnsi="宋体" w:cs="宋体"/>
                <w:color w:val="000000"/>
                <w:spacing w:val="2"/>
                <w:w w:val="99"/>
                <w:sz w:val="20"/>
                <w:szCs w:val="20"/>
                <w:lang w:eastAsia="zh-CN"/>
              </w:rPr>
              <w:t>级</w:t>
            </w:r>
            <w:r>
              <w:rPr>
                <w:rFonts w:hint="eastAsia" w:ascii="宋体" w:hAnsi="宋体" w:cs="宋体"/>
                <w:color w:val="000000"/>
                <w:w w:val="99"/>
                <w:sz w:val="20"/>
                <w:szCs w:val="20"/>
                <w:lang w:eastAsia="zh-CN"/>
              </w:rPr>
              <w:t>》（</w:t>
            </w:r>
            <w:r>
              <w:rPr>
                <w:rFonts w:hint="eastAsia" w:ascii="宋体" w:hAnsi="宋体" w:cs="宋体"/>
                <w:color w:val="000000"/>
                <w:spacing w:val="1"/>
                <w:w w:val="99"/>
                <w:sz w:val="20"/>
                <w:szCs w:val="20"/>
                <w:lang w:eastAsia="zh-CN"/>
              </w:rPr>
              <w:t>G</w:t>
            </w:r>
            <w:r>
              <w:rPr>
                <w:rFonts w:hint="eastAsia" w:ascii="宋体" w:hAnsi="宋体" w:cs="宋体"/>
                <w:color w:val="000000"/>
                <w:w w:val="99"/>
                <w:sz w:val="20"/>
                <w:szCs w:val="20"/>
                <w:lang w:eastAsia="zh-CN"/>
              </w:rPr>
              <w:t>B</w:t>
            </w:r>
            <w:r>
              <w:rPr>
                <w:rFonts w:hint="eastAsia" w:ascii="宋体" w:hAnsi="宋体" w:cs="宋体"/>
                <w:color w:val="000000"/>
                <w:sz w:val="20"/>
                <w:szCs w:val="20"/>
                <w:lang w:eastAsia="zh-CN"/>
              </w:rPr>
              <w:tab/>
            </w:r>
            <w:r>
              <w:rPr>
                <w:rFonts w:hint="eastAsia" w:ascii="宋体" w:hAnsi="宋体" w:cs="宋体"/>
                <w:color w:val="000000"/>
                <w:spacing w:val="1"/>
                <w:w w:val="99"/>
                <w:sz w:val="20"/>
                <w:szCs w:val="20"/>
                <w:lang w:eastAsia="zh-CN"/>
              </w:rPr>
              <w:t>21</w:t>
            </w:r>
            <w:r>
              <w:rPr>
                <w:rFonts w:hint="eastAsia" w:ascii="宋体" w:hAnsi="宋体" w:cs="宋体"/>
                <w:color w:val="000000"/>
                <w:w w:val="99"/>
                <w:sz w:val="20"/>
                <w:szCs w:val="20"/>
                <w:lang w:eastAsia="zh-CN"/>
              </w:rPr>
              <w:t>51</w:t>
            </w:r>
            <w:r>
              <w:rPr>
                <w:rFonts w:hint="eastAsia" w:ascii="宋体" w:hAnsi="宋体" w:cs="宋体"/>
                <w:color w:val="000000"/>
                <w:spacing w:val="1"/>
                <w:w w:val="99"/>
                <w:sz w:val="20"/>
                <w:szCs w:val="20"/>
                <w:lang w:eastAsia="zh-CN"/>
              </w:rPr>
              <w:t>9</w:t>
            </w:r>
            <w:r>
              <w:rPr>
                <w:rFonts w:hint="eastAsia" w:ascii="宋体" w:hAnsi="宋体" w:cs="宋体"/>
                <w:color w:val="000000"/>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58" w:hRule="exact"/>
          <w:jc w:val="center"/>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Times New Roman"/>
                <w:color w:val="000000"/>
                <w:sz w:val="22"/>
                <w:szCs w:val="22"/>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Times New Roman"/>
                <w:color w:val="000000"/>
                <w:sz w:val="22"/>
                <w:szCs w:val="22"/>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Times New Roman" w:cs="宋体"/>
                <w:color w:val="000000"/>
                <w:kern w:val="0"/>
                <w:sz w:val="20"/>
                <w:szCs w:val="20"/>
              </w:rPr>
            </w:pPr>
          </w:p>
        </w:tc>
        <w:tc>
          <w:tcPr>
            <w:tcW w:w="1915" w:type="dxa"/>
            <w:tcBorders>
              <w:top w:val="single" w:color="auto" w:sz="4" w:space="0"/>
              <w:left w:val="single" w:color="auto" w:sz="4" w:space="0"/>
              <w:bottom w:val="single" w:color="auto" w:sz="4" w:space="0"/>
              <w:right w:val="single" w:color="auto" w:sz="4" w:space="0"/>
            </w:tcBorders>
            <w:vAlign w:val="top"/>
          </w:tcPr>
          <w:p>
            <w:pPr>
              <w:pStyle w:val="25"/>
              <w:spacing w:before="2"/>
              <w:rPr>
                <w:rFonts w:ascii="宋体" w:hAnsi="宋体" w:cs="宋体"/>
                <w:color w:val="000000"/>
                <w:sz w:val="24"/>
                <w:szCs w:val="24"/>
                <w:lang w:eastAsia="zh-CN"/>
              </w:rPr>
            </w:pPr>
          </w:p>
          <w:p>
            <w:pPr>
              <w:pStyle w:val="25"/>
              <w:ind w:left="7"/>
              <w:rPr>
                <w:rFonts w:ascii="宋体" w:hAnsi="宋体" w:cs="宋体"/>
                <w:color w:val="000000"/>
                <w:sz w:val="20"/>
                <w:szCs w:val="20"/>
              </w:rPr>
            </w:pPr>
            <w:r>
              <w:rPr>
                <w:rFonts w:hint="eastAsia" w:ascii="宋体" w:hAnsi="宋体" w:cs="宋体"/>
                <w:color w:val="000000"/>
                <w:w w:val="99"/>
                <w:sz w:val="20"/>
                <w:szCs w:val="20"/>
              </w:rPr>
              <w:t>燃气热</w:t>
            </w:r>
            <w:r>
              <w:rPr>
                <w:rFonts w:hint="eastAsia" w:ascii="宋体" w:hAnsi="宋体" w:cs="宋体"/>
                <w:color w:val="000000"/>
                <w:spacing w:val="2"/>
                <w:w w:val="99"/>
                <w:sz w:val="20"/>
                <w:szCs w:val="20"/>
              </w:rPr>
              <w:t>水</w:t>
            </w:r>
            <w:r>
              <w:rPr>
                <w:rFonts w:hint="eastAsia" w:ascii="宋体" w:hAnsi="宋体" w:cs="宋体"/>
                <w:color w:val="000000"/>
                <w:w w:val="99"/>
                <w:sz w:val="20"/>
                <w:szCs w:val="20"/>
              </w:rPr>
              <w:t>器</w:t>
            </w:r>
          </w:p>
        </w:tc>
        <w:tc>
          <w:tcPr>
            <w:tcW w:w="2966" w:type="dxa"/>
            <w:tcBorders>
              <w:top w:val="single" w:color="auto" w:sz="4" w:space="0"/>
              <w:left w:val="single" w:color="auto" w:sz="4" w:space="0"/>
              <w:bottom w:val="single" w:color="auto" w:sz="4" w:space="0"/>
              <w:right w:val="single" w:color="auto" w:sz="4" w:space="0"/>
            </w:tcBorders>
            <w:vAlign w:val="top"/>
          </w:tcPr>
          <w:p>
            <w:pPr>
              <w:pStyle w:val="25"/>
              <w:spacing w:before="4" w:line="280" w:lineRule="auto"/>
              <w:ind w:left="7" w:right="4"/>
              <w:rPr>
                <w:rFonts w:ascii="宋体" w:hAnsi="宋体" w:cs="宋体"/>
                <w:color w:val="000000"/>
                <w:sz w:val="20"/>
                <w:szCs w:val="20"/>
                <w:lang w:eastAsia="zh-CN"/>
              </w:rPr>
            </w:pPr>
            <w:r>
              <w:rPr>
                <w:rFonts w:hint="eastAsia" w:ascii="宋体" w:hAnsi="宋体" w:cs="宋体"/>
                <w:color w:val="000000"/>
                <w:spacing w:val="12"/>
                <w:w w:val="99"/>
                <w:sz w:val="20"/>
                <w:szCs w:val="20"/>
                <w:lang w:eastAsia="zh-CN"/>
              </w:rPr>
              <w:t>《家用燃气快速热水器</w:t>
            </w:r>
            <w:r>
              <w:rPr>
                <w:rFonts w:hint="eastAsia" w:ascii="宋体" w:hAnsi="宋体" w:cs="宋体"/>
                <w:color w:val="000000"/>
                <w:spacing w:val="9"/>
                <w:w w:val="99"/>
                <w:sz w:val="20"/>
                <w:szCs w:val="20"/>
                <w:lang w:eastAsia="zh-CN"/>
              </w:rPr>
              <w:t>和</w:t>
            </w:r>
            <w:r>
              <w:rPr>
                <w:rFonts w:hint="eastAsia" w:ascii="宋体" w:hAnsi="宋体" w:cs="宋体"/>
                <w:color w:val="000000"/>
                <w:spacing w:val="12"/>
                <w:w w:val="99"/>
                <w:sz w:val="20"/>
                <w:szCs w:val="20"/>
                <w:lang w:eastAsia="zh-CN"/>
              </w:rPr>
              <w:t>燃气</w:t>
            </w:r>
            <w:r>
              <w:rPr>
                <w:rFonts w:hint="eastAsia" w:ascii="宋体" w:hAnsi="宋体" w:cs="宋体"/>
                <w:color w:val="000000"/>
                <w:w w:val="99"/>
                <w:sz w:val="20"/>
                <w:szCs w:val="20"/>
                <w:lang w:eastAsia="zh-CN"/>
              </w:rPr>
              <w:t>采暖热水</w:t>
            </w:r>
            <w:r>
              <w:rPr>
                <w:rFonts w:hint="eastAsia" w:ascii="宋体" w:hAnsi="宋体" w:cs="宋体"/>
                <w:color w:val="000000"/>
                <w:spacing w:val="2"/>
                <w:w w:val="99"/>
                <w:sz w:val="20"/>
                <w:szCs w:val="20"/>
                <w:lang w:eastAsia="zh-CN"/>
              </w:rPr>
              <w:t>炉</w:t>
            </w:r>
            <w:r>
              <w:rPr>
                <w:rFonts w:hint="eastAsia" w:ascii="宋体" w:hAnsi="宋体" w:cs="宋体"/>
                <w:color w:val="000000"/>
                <w:w w:val="99"/>
                <w:sz w:val="20"/>
                <w:szCs w:val="20"/>
                <w:lang w:eastAsia="zh-CN"/>
              </w:rPr>
              <w:t>能效</w:t>
            </w:r>
            <w:r>
              <w:rPr>
                <w:rFonts w:hint="eastAsia" w:ascii="宋体" w:hAnsi="宋体" w:cs="宋体"/>
                <w:color w:val="000000"/>
                <w:spacing w:val="2"/>
                <w:w w:val="99"/>
                <w:sz w:val="20"/>
                <w:szCs w:val="20"/>
                <w:lang w:eastAsia="zh-CN"/>
              </w:rPr>
              <w:t>限</w:t>
            </w:r>
            <w:r>
              <w:rPr>
                <w:rFonts w:hint="eastAsia" w:ascii="宋体" w:hAnsi="宋体" w:cs="宋体"/>
                <w:color w:val="000000"/>
                <w:w w:val="99"/>
                <w:sz w:val="20"/>
                <w:szCs w:val="20"/>
                <w:lang w:eastAsia="zh-CN"/>
              </w:rPr>
              <w:t>定值</w:t>
            </w:r>
            <w:r>
              <w:rPr>
                <w:rFonts w:hint="eastAsia" w:ascii="宋体" w:hAnsi="宋体" w:cs="宋体"/>
                <w:color w:val="000000"/>
                <w:spacing w:val="2"/>
                <w:w w:val="99"/>
                <w:sz w:val="20"/>
                <w:szCs w:val="20"/>
                <w:lang w:eastAsia="zh-CN"/>
              </w:rPr>
              <w:t>及</w:t>
            </w:r>
            <w:r>
              <w:rPr>
                <w:rFonts w:hint="eastAsia" w:ascii="宋体" w:hAnsi="宋体" w:cs="宋体"/>
                <w:color w:val="000000"/>
                <w:w w:val="99"/>
                <w:sz w:val="20"/>
                <w:szCs w:val="20"/>
                <w:lang w:eastAsia="zh-CN"/>
              </w:rPr>
              <w:t>能</w:t>
            </w:r>
            <w:r>
              <w:rPr>
                <w:rFonts w:hint="eastAsia" w:ascii="宋体" w:hAnsi="宋体" w:cs="宋体"/>
                <w:color w:val="000000"/>
                <w:spacing w:val="2"/>
                <w:w w:val="99"/>
                <w:sz w:val="20"/>
                <w:szCs w:val="20"/>
                <w:lang w:eastAsia="zh-CN"/>
              </w:rPr>
              <w:t>效</w:t>
            </w:r>
            <w:r>
              <w:rPr>
                <w:rFonts w:hint="eastAsia" w:ascii="宋体" w:hAnsi="宋体" w:cs="宋体"/>
                <w:color w:val="000000"/>
                <w:w w:val="99"/>
                <w:sz w:val="20"/>
                <w:szCs w:val="20"/>
                <w:lang w:eastAsia="zh-CN"/>
              </w:rPr>
              <w:t>等级</w:t>
            </w:r>
          </w:p>
          <w:p>
            <w:pPr>
              <w:pStyle w:val="25"/>
              <w:spacing w:before="12"/>
              <w:ind w:left="7"/>
              <w:rPr>
                <w:rFonts w:ascii="宋体" w:hAnsi="宋体" w:cs="宋体"/>
                <w:color w:val="000000"/>
                <w:sz w:val="20"/>
                <w:szCs w:val="20"/>
              </w:rPr>
            </w:pPr>
            <w:r>
              <w:rPr>
                <w:rFonts w:hint="eastAsia" w:ascii="宋体" w:hAnsi="宋体" w:cs="宋体"/>
                <w:color w:val="000000"/>
                <w:w w:val="99"/>
                <w:sz w:val="20"/>
                <w:szCs w:val="20"/>
              </w:rPr>
              <w:t>（</w:t>
            </w:r>
            <w:r>
              <w:rPr>
                <w:rFonts w:hint="eastAsia" w:ascii="宋体" w:hAnsi="宋体" w:cs="宋体"/>
                <w:color w:val="000000"/>
                <w:spacing w:val="1"/>
                <w:w w:val="99"/>
                <w:sz w:val="20"/>
                <w:szCs w:val="20"/>
              </w:rPr>
              <w:t>G</w:t>
            </w:r>
            <w:r>
              <w:rPr>
                <w:rFonts w:hint="eastAsia" w:ascii="宋体" w:hAnsi="宋体" w:cs="宋体"/>
                <w:color w:val="000000"/>
                <w:w w:val="99"/>
                <w:sz w:val="20"/>
                <w:szCs w:val="20"/>
              </w:rPr>
              <w:t>B</w:t>
            </w:r>
            <w:r>
              <w:rPr>
                <w:rFonts w:hint="eastAsia" w:ascii="宋体" w:hAnsi="宋体" w:cs="宋体"/>
                <w:color w:val="000000"/>
                <w:spacing w:val="1"/>
                <w:w w:val="99"/>
                <w:sz w:val="20"/>
                <w:szCs w:val="20"/>
              </w:rPr>
              <w:t>2</w:t>
            </w:r>
            <w:r>
              <w:rPr>
                <w:rFonts w:hint="eastAsia" w:ascii="宋体" w:hAnsi="宋体" w:cs="宋体"/>
                <w:color w:val="000000"/>
                <w:w w:val="99"/>
                <w:sz w:val="20"/>
                <w:szCs w:val="20"/>
              </w:rPr>
              <w:t>06</w:t>
            </w:r>
            <w:r>
              <w:rPr>
                <w:rFonts w:hint="eastAsia" w:ascii="宋体" w:hAnsi="宋体" w:cs="宋体"/>
                <w:color w:val="000000"/>
                <w:spacing w:val="1"/>
                <w:w w:val="99"/>
                <w:sz w:val="20"/>
                <w:szCs w:val="20"/>
              </w:rPr>
              <w:t>65</w:t>
            </w:r>
            <w:r>
              <w:rPr>
                <w:rFonts w:hint="eastAsia" w:ascii="宋体" w:hAnsi="宋体" w:cs="宋体"/>
                <w:color w:val="000000"/>
                <w:w w:val="99"/>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3" w:hRule="exact"/>
          <w:jc w:val="center"/>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Times New Roman"/>
                <w:color w:val="000000"/>
                <w:sz w:val="22"/>
                <w:szCs w:val="22"/>
                <w:lang w:eastAsia="en-US"/>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Times New Roman"/>
                <w:color w:val="000000"/>
                <w:sz w:val="22"/>
                <w:szCs w:val="22"/>
                <w:lang w:eastAsia="en-US"/>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Times New Roman" w:cs="宋体"/>
                <w:color w:val="000000"/>
                <w:kern w:val="0"/>
                <w:sz w:val="20"/>
                <w:szCs w:val="20"/>
                <w:lang w:eastAsia="en-US"/>
              </w:rPr>
            </w:pPr>
          </w:p>
        </w:tc>
        <w:tc>
          <w:tcPr>
            <w:tcW w:w="1915" w:type="dxa"/>
            <w:tcBorders>
              <w:top w:val="single" w:color="auto" w:sz="4" w:space="0"/>
              <w:left w:val="single" w:color="auto" w:sz="4" w:space="0"/>
              <w:bottom w:val="single" w:color="auto" w:sz="4" w:space="0"/>
              <w:right w:val="single" w:color="auto" w:sz="4" w:space="0"/>
            </w:tcBorders>
            <w:vAlign w:val="top"/>
          </w:tcPr>
          <w:p>
            <w:pPr>
              <w:pStyle w:val="25"/>
              <w:rPr>
                <w:rFonts w:ascii="宋体" w:hAnsi="宋体" w:cs="宋体"/>
                <w:color w:val="000000"/>
                <w:sz w:val="19"/>
                <w:szCs w:val="19"/>
              </w:rPr>
            </w:pPr>
          </w:p>
          <w:p>
            <w:pPr>
              <w:pStyle w:val="25"/>
              <w:ind w:left="7"/>
              <w:rPr>
                <w:rFonts w:ascii="宋体" w:hAnsi="宋体" w:cs="宋体"/>
                <w:color w:val="000000"/>
                <w:sz w:val="20"/>
                <w:szCs w:val="20"/>
              </w:rPr>
            </w:pPr>
            <w:r>
              <w:rPr>
                <w:rFonts w:hint="eastAsia" w:ascii="宋体" w:hAnsi="宋体" w:cs="宋体"/>
                <w:color w:val="000000"/>
                <w:w w:val="99"/>
                <w:sz w:val="20"/>
                <w:szCs w:val="20"/>
              </w:rPr>
              <w:t>热泵热</w:t>
            </w:r>
            <w:r>
              <w:rPr>
                <w:rFonts w:hint="eastAsia" w:ascii="宋体" w:hAnsi="宋体" w:cs="宋体"/>
                <w:color w:val="000000"/>
                <w:spacing w:val="2"/>
                <w:w w:val="99"/>
                <w:sz w:val="20"/>
                <w:szCs w:val="20"/>
              </w:rPr>
              <w:t>水</w:t>
            </w:r>
            <w:r>
              <w:rPr>
                <w:rFonts w:hint="eastAsia" w:ascii="宋体" w:hAnsi="宋体" w:cs="宋体"/>
                <w:color w:val="000000"/>
                <w:w w:val="99"/>
                <w:sz w:val="20"/>
                <w:szCs w:val="20"/>
              </w:rPr>
              <w:t>器</w:t>
            </w:r>
          </w:p>
        </w:tc>
        <w:tc>
          <w:tcPr>
            <w:tcW w:w="2966" w:type="dxa"/>
            <w:tcBorders>
              <w:top w:val="single" w:color="auto" w:sz="4" w:space="0"/>
              <w:left w:val="single" w:color="auto" w:sz="4" w:space="0"/>
              <w:bottom w:val="single" w:color="auto" w:sz="4" w:space="0"/>
              <w:right w:val="single" w:color="auto" w:sz="4" w:space="0"/>
            </w:tcBorders>
            <w:vAlign w:val="top"/>
          </w:tcPr>
          <w:p>
            <w:pPr>
              <w:pStyle w:val="25"/>
              <w:spacing w:before="93" w:line="280" w:lineRule="auto"/>
              <w:ind w:left="7" w:right="7"/>
              <w:rPr>
                <w:rFonts w:ascii="宋体" w:hAnsi="宋体" w:cs="宋体"/>
                <w:color w:val="000000"/>
                <w:sz w:val="20"/>
                <w:szCs w:val="20"/>
                <w:lang w:eastAsia="zh-CN"/>
              </w:rPr>
            </w:pPr>
            <w:r>
              <w:rPr>
                <w:rFonts w:hint="eastAsia" w:ascii="宋体" w:hAnsi="宋体" w:cs="宋体"/>
                <w:color w:val="000000"/>
                <w:w w:val="99"/>
                <w:sz w:val="20"/>
                <w:szCs w:val="20"/>
                <w:lang w:eastAsia="zh-CN"/>
              </w:rPr>
              <w:t>《热泵</w:t>
            </w:r>
            <w:r>
              <w:rPr>
                <w:rFonts w:hint="eastAsia" w:ascii="宋体" w:hAnsi="宋体" w:cs="宋体"/>
                <w:color w:val="000000"/>
                <w:spacing w:val="2"/>
                <w:w w:val="99"/>
                <w:sz w:val="20"/>
                <w:szCs w:val="20"/>
                <w:lang w:eastAsia="zh-CN"/>
              </w:rPr>
              <w:t>热</w:t>
            </w:r>
            <w:r>
              <w:rPr>
                <w:rFonts w:hint="eastAsia" w:ascii="宋体" w:hAnsi="宋体" w:cs="宋体"/>
                <w:color w:val="000000"/>
                <w:w w:val="99"/>
                <w:sz w:val="20"/>
                <w:szCs w:val="20"/>
                <w:lang w:eastAsia="zh-CN"/>
              </w:rPr>
              <w:t>水</w:t>
            </w:r>
            <w:r>
              <w:rPr>
                <w:rFonts w:hint="eastAsia" w:ascii="宋体" w:hAnsi="宋体" w:cs="宋体"/>
                <w:color w:val="000000"/>
                <w:spacing w:val="-27"/>
                <w:w w:val="99"/>
                <w:sz w:val="20"/>
                <w:szCs w:val="20"/>
                <w:lang w:eastAsia="zh-CN"/>
              </w:rPr>
              <w:t>机</w:t>
            </w:r>
            <w:r>
              <w:rPr>
                <w:rFonts w:hint="eastAsia" w:ascii="宋体" w:hAnsi="宋体" w:cs="宋体"/>
                <w:color w:val="000000"/>
                <w:w w:val="99"/>
                <w:sz w:val="20"/>
                <w:szCs w:val="20"/>
                <w:lang w:eastAsia="zh-CN"/>
              </w:rPr>
              <w:t>（器</w:t>
            </w:r>
            <w:r>
              <w:rPr>
                <w:rFonts w:hint="eastAsia" w:ascii="宋体" w:hAnsi="宋体" w:cs="宋体"/>
                <w:color w:val="000000"/>
                <w:spacing w:val="-27"/>
                <w:w w:val="99"/>
                <w:sz w:val="20"/>
                <w:szCs w:val="20"/>
                <w:lang w:eastAsia="zh-CN"/>
              </w:rPr>
              <w:t>）</w:t>
            </w:r>
            <w:r>
              <w:rPr>
                <w:rFonts w:hint="eastAsia" w:ascii="宋体" w:hAnsi="宋体" w:cs="宋体"/>
                <w:color w:val="000000"/>
                <w:w w:val="99"/>
                <w:sz w:val="20"/>
                <w:szCs w:val="20"/>
                <w:lang w:eastAsia="zh-CN"/>
              </w:rPr>
              <w:t>能效</w:t>
            </w:r>
            <w:r>
              <w:rPr>
                <w:rFonts w:hint="eastAsia" w:ascii="宋体" w:hAnsi="宋体" w:cs="宋体"/>
                <w:color w:val="000000"/>
                <w:spacing w:val="2"/>
                <w:w w:val="99"/>
                <w:sz w:val="20"/>
                <w:szCs w:val="20"/>
                <w:lang w:eastAsia="zh-CN"/>
              </w:rPr>
              <w:t>限</w:t>
            </w:r>
            <w:r>
              <w:rPr>
                <w:rFonts w:hint="eastAsia" w:ascii="宋体" w:hAnsi="宋体" w:cs="宋体"/>
                <w:color w:val="000000"/>
                <w:w w:val="99"/>
                <w:sz w:val="20"/>
                <w:szCs w:val="20"/>
                <w:lang w:eastAsia="zh-CN"/>
              </w:rPr>
              <w:t>定值及能效等</w:t>
            </w:r>
            <w:r>
              <w:rPr>
                <w:rFonts w:hint="eastAsia" w:ascii="宋体" w:hAnsi="宋体" w:cs="宋体"/>
                <w:color w:val="000000"/>
                <w:spacing w:val="2"/>
                <w:w w:val="99"/>
                <w:sz w:val="20"/>
                <w:szCs w:val="20"/>
                <w:lang w:eastAsia="zh-CN"/>
              </w:rPr>
              <w:t>级</w:t>
            </w:r>
            <w:r>
              <w:rPr>
                <w:rFonts w:hint="eastAsia" w:ascii="宋体" w:hAnsi="宋体" w:cs="宋体"/>
                <w:color w:val="000000"/>
                <w:w w:val="99"/>
                <w:sz w:val="20"/>
                <w:szCs w:val="20"/>
                <w:lang w:eastAsia="zh-CN"/>
              </w:rPr>
              <w:t>》（</w:t>
            </w:r>
            <w:r>
              <w:rPr>
                <w:rFonts w:hint="eastAsia" w:ascii="宋体" w:hAnsi="宋体" w:cs="宋体"/>
                <w:color w:val="000000"/>
                <w:spacing w:val="1"/>
                <w:w w:val="99"/>
                <w:sz w:val="20"/>
                <w:szCs w:val="20"/>
                <w:lang w:eastAsia="zh-CN"/>
              </w:rPr>
              <w:t>G</w:t>
            </w:r>
            <w:r>
              <w:rPr>
                <w:rFonts w:hint="eastAsia" w:ascii="宋体" w:hAnsi="宋体" w:cs="宋体"/>
                <w:color w:val="000000"/>
                <w:w w:val="99"/>
                <w:sz w:val="20"/>
                <w:szCs w:val="20"/>
                <w:lang w:eastAsia="zh-CN"/>
              </w:rPr>
              <w:t>B</w:t>
            </w:r>
            <w:r>
              <w:rPr>
                <w:rFonts w:hint="eastAsia" w:ascii="宋体" w:hAnsi="宋体" w:cs="宋体"/>
                <w:color w:val="000000"/>
                <w:spacing w:val="1"/>
                <w:w w:val="99"/>
                <w:sz w:val="20"/>
                <w:szCs w:val="20"/>
                <w:lang w:eastAsia="zh-CN"/>
              </w:rPr>
              <w:t>295</w:t>
            </w:r>
            <w:r>
              <w:rPr>
                <w:rFonts w:hint="eastAsia" w:ascii="宋体" w:hAnsi="宋体" w:cs="宋体"/>
                <w:color w:val="000000"/>
                <w:w w:val="99"/>
                <w:sz w:val="20"/>
                <w:szCs w:val="20"/>
                <w:lang w:eastAsia="zh-CN"/>
              </w:rPr>
              <w:t>4</w:t>
            </w:r>
            <w:r>
              <w:rPr>
                <w:rFonts w:hint="eastAsia" w:ascii="宋体" w:hAnsi="宋体" w:cs="宋体"/>
                <w:color w:val="000000"/>
                <w:spacing w:val="-1"/>
                <w:w w:val="99"/>
                <w:sz w:val="20"/>
                <w:szCs w:val="20"/>
                <w:lang w:eastAsia="zh-CN"/>
              </w:rPr>
              <w:t>1</w:t>
            </w:r>
            <w:r>
              <w:rPr>
                <w:rFonts w:hint="eastAsia" w:ascii="宋体" w:hAnsi="宋体" w:cs="宋体"/>
                <w:color w:val="000000"/>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exact"/>
          <w:jc w:val="center"/>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Times New Roman"/>
                <w:color w:val="000000"/>
                <w:sz w:val="22"/>
                <w:szCs w:val="22"/>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Times New Roman"/>
                <w:color w:val="000000"/>
                <w:sz w:val="22"/>
                <w:szCs w:val="22"/>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Times New Roman" w:cs="宋体"/>
                <w:color w:val="000000"/>
                <w:kern w:val="0"/>
                <w:sz w:val="20"/>
                <w:szCs w:val="20"/>
              </w:rPr>
            </w:pPr>
          </w:p>
        </w:tc>
        <w:tc>
          <w:tcPr>
            <w:tcW w:w="1915" w:type="dxa"/>
            <w:tcBorders>
              <w:top w:val="single" w:color="auto" w:sz="4" w:space="0"/>
              <w:left w:val="single" w:color="auto" w:sz="4" w:space="0"/>
              <w:bottom w:val="single" w:color="auto" w:sz="4" w:space="0"/>
              <w:right w:val="single" w:color="auto" w:sz="4" w:space="0"/>
            </w:tcBorders>
            <w:vAlign w:val="top"/>
          </w:tcPr>
          <w:p>
            <w:pPr>
              <w:pStyle w:val="25"/>
              <w:spacing w:before="12"/>
              <w:rPr>
                <w:rFonts w:ascii="宋体" w:hAnsi="宋体" w:cs="宋体"/>
                <w:color w:val="000000"/>
                <w:sz w:val="15"/>
                <w:szCs w:val="15"/>
                <w:lang w:eastAsia="zh-CN"/>
              </w:rPr>
            </w:pPr>
          </w:p>
          <w:p>
            <w:pPr>
              <w:pStyle w:val="25"/>
              <w:ind w:left="7"/>
              <w:rPr>
                <w:rFonts w:ascii="宋体" w:hAnsi="宋体" w:cs="宋体"/>
                <w:color w:val="000000"/>
                <w:sz w:val="20"/>
                <w:szCs w:val="20"/>
              </w:rPr>
            </w:pPr>
            <w:r>
              <w:rPr>
                <w:rFonts w:hint="eastAsia" w:ascii="宋体" w:hAnsi="宋体" w:cs="宋体"/>
                <w:color w:val="000000"/>
                <w:w w:val="99"/>
                <w:sz w:val="20"/>
                <w:szCs w:val="20"/>
              </w:rPr>
              <w:t>太阳能</w:t>
            </w:r>
            <w:r>
              <w:rPr>
                <w:rFonts w:hint="eastAsia" w:ascii="宋体" w:hAnsi="宋体" w:cs="宋体"/>
                <w:color w:val="000000"/>
                <w:spacing w:val="2"/>
                <w:w w:val="99"/>
                <w:sz w:val="20"/>
                <w:szCs w:val="20"/>
              </w:rPr>
              <w:t>热</w:t>
            </w:r>
            <w:r>
              <w:rPr>
                <w:rFonts w:hint="eastAsia" w:ascii="宋体" w:hAnsi="宋体" w:cs="宋体"/>
                <w:color w:val="000000"/>
                <w:w w:val="99"/>
                <w:sz w:val="20"/>
                <w:szCs w:val="20"/>
              </w:rPr>
              <w:t>水系统</w:t>
            </w:r>
          </w:p>
        </w:tc>
        <w:tc>
          <w:tcPr>
            <w:tcW w:w="2966" w:type="dxa"/>
            <w:tcBorders>
              <w:top w:val="single" w:color="auto" w:sz="4" w:space="0"/>
              <w:left w:val="single" w:color="auto" w:sz="4" w:space="0"/>
              <w:bottom w:val="single" w:color="auto" w:sz="4" w:space="0"/>
              <w:right w:val="single" w:color="auto" w:sz="4" w:space="0"/>
            </w:tcBorders>
            <w:vAlign w:val="top"/>
          </w:tcPr>
          <w:p>
            <w:pPr>
              <w:pStyle w:val="25"/>
              <w:spacing w:before="52" w:line="280" w:lineRule="auto"/>
              <w:ind w:left="7" w:right="4"/>
              <w:rPr>
                <w:rFonts w:ascii="宋体" w:hAnsi="宋体" w:cs="宋体"/>
                <w:color w:val="000000"/>
                <w:sz w:val="20"/>
                <w:szCs w:val="20"/>
                <w:lang w:eastAsia="zh-CN"/>
              </w:rPr>
            </w:pPr>
            <w:r>
              <w:rPr>
                <w:rFonts w:hint="eastAsia" w:ascii="宋体" w:hAnsi="宋体" w:cs="宋体"/>
                <w:color w:val="000000"/>
                <w:spacing w:val="12"/>
                <w:w w:val="99"/>
                <w:sz w:val="20"/>
                <w:szCs w:val="20"/>
                <w:lang w:eastAsia="zh-CN"/>
              </w:rPr>
              <w:t>《家用太阳能热水系统</w:t>
            </w:r>
            <w:r>
              <w:rPr>
                <w:rFonts w:hint="eastAsia" w:ascii="宋体" w:hAnsi="宋体" w:cs="宋体"/>
                <w:color w:val="000000"/>
                <w:spacing w:val="9"/>
                <w:w w:val="99"/>
                <w:sz w:val="20"/>
                <w:szCs w:val="20"/>
                <w:lang w:eastAsia="zh-CN"/>
              </w:rPr>
              <w:t>能</w:t>
            </w:r>
            <w:r>
              <w:rPr>
                <w:rFonts w:hint="eastAsia" w:ascii="宋体" w:hAnsi="宋体" w:cs="宋体"/>
                <w:color w:val="000000"/>
                <w:spacing w:val="12"/>
                <w:w w:val="99"/>
                <w:sz w:val="20"/>
                <w:szCs w:val="20"/>
                <w:lang w:eastAsia="zh-CN"/>
              </w:rPr>
              <w:t>效限</w:t>
            </w:r>
            <w:r>
              <w:rPr>
                <w:rFonts w:hint="eastAsia" w:ascii="宋体" w:hAnsi="宋体" w:cs="宋体"/>
                <w:color w:val="000000"/>
                <w:w w:val="99"/>
                <w:sz w:val="20"/>
                <w:szCs w:val="20"/>
                <w:lang w:eastAsia="zh-CN"/>
              </w:rPr>
              <w:t>定值及能</w:t>
            </w:r>
            <w:r>
              <w:rPr>
                <w:rFonts w:hint="eastAsia" w:ascii="宋体" w:hAnsi="宋体" w:cs="宋体"/>
                <w:color w:val="000000"/>
                <w:spacing w:val="2"/>
                <w:w w:val="99"/>
                <w:sz w:val="20"/>
                <w:szCs w:val="20"/>
                <w:lang w:eastAsia="zh-CN"/>
              </w:rPr>
              <w:t>效</w:t>
            </w:r>
            <w:r>
              <w:rPr>
                <w:rFonts w:hint="eastAsia" w:ascii="宋体" w:hAnsi="宋体" w:cs="宋体"/>
                <w:color w:val="000000"/>
                <w:w w:val="99"/>
                <w:sz w:val="20"/>
                <w:szCs w:val="20"/>
                <w:lang w:eastAsia="zh-CN"/>
              </w:rPr>
              <w:t>等级</w:t>
            </w:r>
            <w:r>
              <w:rPr>
                <w:rFonts w:hint="eastAsia" w:ascii="宋体" w:hAnsi="宋体" w:cs="宋体"/>
                <w:color w:val="000000"/>
                <w:spacing w:val="2"/>
                <w:w w:val="99"/>
                <w:sz w:val="20"/>
                <w:szCs w:val="20"/>
                <w:lang w:eastAsia="zh-CN"/>
              </w:rPr>
              <w:t>》</w:t>
            </w:r>
            <w:r>
              <w:rPr>
                <w:rFonts w:hint="eastAsia" w:ascii="宋体" w:hAnsi="宋体" w:cs="宋体"/>
                <w:color w:val="000000"/>
                <w:w w:val="99"/>
                <w:sz w:val="20"/>
                <w:szCs w:val="20"/>
                <w:lang w:eastAsia="zh-CN"/>
              </w:rPr>
              <w:t>（</w:t>
            </w:r>
            <w:r>
              <w:rPr>
                <w:rFonts w:hint="eastAsia" w:ascii="宋体" w:hAnsi="宋体" w:cs="宋体"/>
                <w:color w:val="000000"/>
                <w:spacing w:val="1"/>
                <w:w w:val="99"/>
                <w:sz w:val="20"/>
                <w:szCs w:val="20"/>
                <w:lang w:eastAsia="zh-CN"/>
              </w:rPr>
              <w:t>G</w:t>
            </w:r>
            <w:r>
              <w:rPr>
                <w:rFonts w:hint="eastAsia" w:ascii="宋体" w:hAnsi="宋体" w:cs="宋体"/>
                <w:color w:val="000000"/>
                <w:w w:val="99"/>
                <w:sz w:val="20"/>
                <w:szCs w:val="20"/>
                <w:lang w:eastAsia="zh-CN"/>
              </w:rPr>
              <w:t>B</w:t>
            </w:r>
            <w:r>
              <w:rPr>
                <w:rFonts w:hint="eastAsia" w:ascii="宋体" w:hAnsi="宋体" w:cs="宋体"/>
                <w:color w:val="000000"/>
                <w:spacing w:val="1"/>
                <w:w w:val="99"/>
                <w:sz w:val="20"/>
                <w:szCs w:val="20"/>
                <w:lang w:eastAsia="zh-CN"/>
              </w:rPr>
              <w:t>26</w:t>
            </w:r>
            <w:r>
              <w:rPr>
                <w:rFonts w:hint="eastAsia" w:ascii="宋体" w:hAnsi="宋体" w:cs="宋体"/>
                <w:color w:val="000000"/>
                <w:w w:val="99"/>
                <w:sz w:val="20"/>
                <w:szCs w:val="20"/>
                <w:lang w:eastAsia="zh-CN"/>
              </w:rPr>
              <w:t>96</w:t>
            </w:r>
            <w:r>
              <w:rPr>
                <w:rFonts w:hint="eastAsia" w:ascii="宋体" w:hAnsi="宋体" w:cs="宋体"/>
                <w:color w:val="000000"/>
                <w:spacing w:val="-2"/>
                <w:w w:val="99"/>
                <w:sz w:val="20"/>
                <w:szCs w:val="20"/>
                <w:lang w:eastAsia="zh-CN"/>
              </w:rPr>
              <w:t>9</w:t>
            </w:r>
            <w:r>
              <w:rPr>
                <w:rFonts w:hint="eastAsia" w:ascii="宋体" w:hAnsi="宋体" w:cs="宋体"/>
                <w:color w:val="000000"/>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2" w:hRule="exact"/>
          <w:jc w:val="center"/>
        </w:trPr>
        <w:tc>
          <w:tcPr>
            <w:tcW w:w="574" w:type="dxa"/>
            <w:vMerge w:val="restart"/>
            <w:tcBorders>
              <w:top w:val="single" w:color="auto" w:sz="4" w:space="0"/>
              <w:left w:val="single" w:color="auto" w:sz="4" w:space="0"/>
              <w:bottom w:val="single" w:color="auto" w:sz="4" w:space="0"/>
              <w:right w:val="single" w:color="auto" w:sz="4" w:space="0"/>
            </w:tcBorders>
            <w:vAlign w:val="top"/>
          </w:tcPr>
          <w:p>
            <w:pPr>
              <w:pStyle w:val="25"/>
              <w:rPr>
                <w:rFonts w:ascii="宋体" w:hAnsi="宋体" w:cs="宋体"/>
                <w:color w:val="000000"/>
                <w:sz w:val="20"/>
                <w:szCs w:val="20"/>
                <w:lang w:eastAsia="zh-CN"/>
              </w:rPr>
            </w:pPr>
          </w:p>
          <w:p>
            <w:pPr>
              <w:pStyle w:val="25"/>
              <w:rPr>
                <w:rFonts w:hint="eastAsia" w:ascii="宋体" w:hAnsi="宋体" w:cs="宋体"/>
                <w:color w:val="000000"/>
                <w:sz w:val="20"/>
                <w:szCs w:val="20"/>
                <w:lang w:eastAsia="zh-CN"/>
              </w:rPr>
            </w:pPr>
          </w:p>
          <w:p>
            <w:pPr>
              <w:pStyle w:val="25"/>
              <w:rPr>
                <w:rFonts w:hint="eastAsia" w:ascii="宋体" w:hAnsi="宋体" w:cs="宋体"/>
                <w:color w:val="000000"/>
                <w:sz w:val="20"/>
                <w:szCs w:val="20"/>
                <w:lang w:eastAsia="zh-CN"/>
              </w:rPr>
            </w:pPr>
          </w:p>
          <w:p>
            <w:pPr>
              <w:pStyle w:val="25"/>
              <w:rPr>
                <w:rFonts w:hint="eastAsia" w:ascii="宋体" w:hAnsi="宋体" w:cs="宋体"/>
                <w:color w:val="000000"/>
                <w:sz w:val="20"/>
                <w:szCs w:val="20"/>
                <w:lang w:eastAsia="zh-CN"/>
              </w:rPr>
            </w:pPr>
          </w:p>
          <w:p>
            <w:pPr>
              <w:pStyle w:val="25"/>
              <w:rPr>
                <w:rFonts w:hint="eastAsia" w:ascii="宋体" w:hAnsi="宋体" w:cs="宋体"/>
                <w:color w:val="000000"/>
                <w:sz w:val="20"/>
                <w:szCs w:val="20"/>
                <w:lang w:eastAsia="zh-CN"/>
              </w:rPr>
            </w:pPr>
          </w:p>
          <w:p>
            <w:pPr>
              <w:pStyle w:val="25"/>
              <w:spacing w:before="12"/>
              <w:rPr>
                <w:rFonts w:hint="eastAsia" w:ascii="宋体" w:hAnsi="宋体" w:cs="宋体"/>
                <w:color w:val="000000"/>
                <w:sz w:val="23"/>
                <w:szCs w:val="23"/>
                <w:lang w:eastAsia="zh-CN"/>
              </w:rPr>
            </w:pPr>
          </w:p>
          <w:p>
            <w:pPr>
              <w:pStyle w:val="25"/>
              <w:ind w:left="182"/>
              <w:rPr>
                <w:rFonts w:ascii="宋体" w:hAnsi="宋体" w:cs="宋体"/>
                <w:color w:val="000000"/>
                <w:sz w:val="20"/>
                <w:szCs w:val="20"/>
              </w:rPr>
            </w:pPr>
            <w:r>
              <w:rPr>
                <w:rFonts w:hint="eastAsia" w:ascii="宋体"/>
                <w:color w:val="000000"/>
                <w:spacing w:val="1"/>
                <w:w w:val="99"/>
                <w:sz w:val="20"/>
              </w:rPr>
              <w:t>1</w:t>
            </w:r>
            <w:r>
              <w:rPr>
                <w:rFonts w:hint="eastAsia" w:ascii="宋体"/>
                <w:color w:val="000000"/>
                <w:w w:val="99"/>
                <w:sz w:val="20"/>
              </w:rPr>
              <w:t>1</w:t>
            </w:r>
          </w:p>
        </w:tc>
        <w:tc>
          <w:tcPr>
            <w:tcW w:w="1166" w:type="dxa"/>
            <w:vMerge w:val="restart"/>
            <w:tcBorders>
              <w:top w:val="single" w:color="auto" w:sz="4" w:space="0"/>
              <w:left w:val="single" w:color="auto" w:sz="4" w:space="0"/>
              <w:bottom w:val="single" w:color="auto" w:sz="4" w:space="0"/>
              <w:right w:val="single" w:color="auto" w:sz="4" w:space="0"/>
            </w:tcBorders>
            <w:vAlign w:val="top"/>
          </w:tcPr>
          <w:p>
            <w:pPr>
              <w:pStyle w:val="25"/>
              <w:rPr>
                <w:rFonts w:ascii="宋体" w:hAnsi="宋体" w:cs="宋体"/>
                <w:color w:val="000000"/>
                <w:sz w:val="20"/>
                <w:szCs w:val="20"/>
              </w:rPr>
            </w:pPr>
          </w:p>
          <w:p>
            <w:pPr>
              <w:pStyle w:val="25"/>
              <w:rPr>
                <w:rFonts w:hint="eastAsia" w:ascii="宋体" w:hAnsi="宋体" w:cs="宋体"/>
                <w:color w:val="000000"/>
                <w:sz w:val="20"/>
                <w:szCs w:val="20"/>
              </w:rPr>
            </w:pPr>
          </w:p>
          <w:p>
            <w:pPr>
              <w:pStyle w:val="25"/>
              <w:rPr>
                <w:rFonts w:hint="eastAsia" w:ascii="宋体" w:hAnsi="宋体" w:cs="宋体"/>
                <w:color w:val="000000"/>
                <w:sz w:val="20"/>
                <w:szCs w:val="20"/>
              </w:rPr>
            </w:pPr>
          </w:p>
          <w:p>
            <w:pPr>
              <w:pStyle w:val="25"/>
              <w:rPr>
                <w:rFonts w:hint="eastAsia" w:ascii="宋体" w:hAnsi="宋体" w:cs="宋体"/>
                <w:color w:val="000000"/>
                <w:sz w:val="20"/>
                <w:szCs w:val="20"/>
              </w:rPr>
            </w:pPr>
          </w:p>
          <w:p>
            <w:pPr>
              <w:pStyle w:val="25"/>
              <w:rPr>
                <w:rFonts w:hint="eastAsia" w:ascii="宋体" w:hAnsi="宋体" w:cs="宋体"/>
                <w:color w:val="000000"/>
                <w:sz w:val="20"/>
                <w:szCs w:val="20"/>
              </w:rPr>
            </w:pPr>
          </w:p>
          <w:p>
            <w:pPr>
              <w:pStyle w:val="25"/>
              <w:spacing w:before="157"/>
              <w:ind w:left="7"/>
              <w:rPr>
                <w:rFonts w:hint="eastAsia" w:ascii="宋体" w:hAnsi="宋体" w:cs="宋体"/>
                <w:color w:val="000000"/>
                <w:sz w:val="20"/>
                <w:szCs w:val="20"/>
              </w:rPr>
            </w:pPr>
            <w:r>
              <w:rPr>
                <w:rFonts w:hint="eastAsia" w:ascii="宋体" w:hAnsi="宋体" w:cs="宋体"/>
                <w:color w:val="000000"/>
                <w:spacing w:val="1"/>
                <w:w w:val="99"/>
                <w:sz w:val="20"/>
                <w:szCs w:val="20"/>
              </w:rPr>
              <w:t>A02</w:t>
            </w:r>
            <w:r>
              <w:rPr>
                <w:rFonts w:hint="eastAsia" w:ascii="宋体" w:hAnsi="宋体" w:cs="宋体"/>
                <w:color w:val="000000"/>
                <w:w w:val="99"/>
                <w:sz w:val="20"/>
                <w:szCs w:val="20"/>
              </w:rPr>
              <w:t>06</w:t>
            </w:r>
            <w:r>
              <w:rPr>
                <w:rFonts w:hint="eastAsia" w:ascii="宋体" w:hAnsi="宋体" w:cs="宋体"/>
                <w:color w:val="000000"/>
                <w:spacing w:val="1"/>
                <w:w w:val="99"/>
                <w:sz w:val="20"/>
                <w:szCs w:val="20"/>
              </w:rPr>
              <w:t>1</w:t>
            </w:r>
            <w:r>
              <w:rPr>
                <w:rFonts w:hint="eastAsia" w:ascii="宋体" w:hAnsi="宋体" w:cs="宋体"/>
                <w:color w:val="000000"/>
                <w:w w:val="99"/>
                <w:sz w:val="20"/>
                <w:szCs w:val="20"/>
              </w:rPr>
              <w:t>9照明</w:t>
            </w:r>
          </w:p>
          <w:p>
            <w:pPr>
              <w:pStyle w:val="25"/>
              <w:spacing w:before="50"/>
              <w:ind w:left="7"/>
              <w:rPr>
                <w:rFonts w:ascii="宋体" w:hAnsi="宋体" w:cs="宋体"/>
                <w:color w:val="000000"/>
                <w:sz w:val="20"/>
                <w:szCs w:val="20"/>
              </w:rPr>
            </w:pPr>
            <w:r>
              <w:rPr>
                <w:rFonts w:hint="eastAsia" w:ascii="宋体" w:hAnsi="宋体" w:cs="宋体"/>
                <w:color w:val="000000"/>
                <w:w w:val="99"/>
                <w:sz w:val="20"/>
                <w:szCs w:val="20"/>
              </w:rPr>
              <w:t>设备</w:t>
            </w:r>
          </w:p>
        </w:tc>
        <w:tc>
          <w:tcPr>
            <w:tcW w:w="1800" w:type="dxa"/>
            <w:tcBorders>
              <w:top w:val="single" w:color="auto" w:sz="4" w:space="0"/>
              <w:left w:val="single" w:color="auto" w:sz="4" w:space="0"/>
              <w:bottom w:val="single" w:color="auto" w:sz="4" w:space="0"/>
              <w:right w:val="single" w:color="auto" w:sz="4" w:space="0"/>
            </w:tcBorders>
            <w:vAlign w:val="top"/>
          </w:tcPr>
          <w:p>
            <w:pPr>
              <w:pStyle w:val="25"/>
              <w:spacing w:before="133" w:line="280" w:lineRule="auto"/>
              <w:ind w:left="7" w:right="7"/>
              <w:rPr>
                <w:rFonts w:ascii="宋体" w:hAnsi="宋体" w:cs="宋体"/>
                <w:color w:val="000000"/>
                <w:sz w:val="20"/>
                <w:szCs w:val="20"/>
                <w:lang w:eastAsia="zh-CN"/>
              </w:rPr>
            </w:pPr>
            <w:r>
              <w:rPr>
                <w:rFonts w:hint="eastAsia" w:ascii="宋体" w:hAnsi="宋体" w:cs="宋体"/>
                <w:color w:val="000000"/>
                <w:w w:val="99"/>
                <w:sz w:val="20"/>
                <w:szCs w:val="20"/>
                <w:lang w:eastAsia="zh-CN"/>
              </w:rPr>
              <w:t>★</w:t>
            </w:r>
            <w:r>
              <w:rPr>
                <w:rFonts w:hint="eastAsia" w:ascii="宋体" w:hAnsi="宋体" w:cs="宋体"/>
                <w:color w:val="000000"/>
                <w:spacing w:val="24"/>
                <w:w w:val="99"/>
                <w:sz w:val="20"/>
                <w:szCs w:val="20"/>
                <w:lang w:eastAsia="zh-CN"/>
              </w:rPr>
              <w:t>普</w:t>
            </w:r>
            <w:r>
              <w:rPr>
                <w:rFonts w:hint="eastAsia" w:ascii="宋体" w:hAnsi="宋体" w:cs="宋体"/>
                <w:color w:val="000000"/>
                <w:w w:val="99"/>
                <w:sz w:val="20"/>
                <w:szCs w:val="20"/>
                <w:lang w:eastAsia="zh-CN"/>
              </w:rPr>
              <w:t>通照明用</w:t>
            </w:r>
            <w:r>
              <w:rPr>
                <w:rFonts w:hint="eastAsia" w:ascii="宋体" w:hAnsi="宋体" w:cs="宋体"/>
                <w:color w:val="000000"/>
                <w:spacing w:val="24"/>
                <w:w w:val="99"/>
                <w:sz w:val="20"/>
                <w:szCs w:val="20"/>
                <w:lang w:eastAsia="zh-CN"/>
              </w:rPr>
              <w:t>双</w:t>
            </w:r>
            <w:r>
              <w:rPr>
                <w:rFonts w:hint="eastAsia" w:ascii="宋体" w:hAnsi="宋体" w:cs="宋体"/>
                <w:color w:val="000000"/>
                <w:w w:val="99"/>
                <w:sz w:val="20"/>
                <w:szCs w:val="20"/>
                <w:lang w:eastAsia="zh-CN"/>
              </w:rPr>
              <w:t>端荧光灯</w:t>
            </w:r>
          </w:p>
        </w:tc>
        <w:tc>
          <w:tcPr>
            <w:tcW w:w="1915" w:type="dxa"/>
            <w:tcBorders>
              <w:top w:val="single" w:color="auto" w:sz="4" w:space="0"/>
              <w:left w:val="single" w:color="auto" w:sz="4" w:space="0"/>
              <w:bottom w:val="single" w:color="auto" w:sz="4" w:space="0"/>
              <w:right w:val="single" w:color="auto" w:sz="4" w:space="0"/>
            </w:tcBorders>
            <w:vAlign w:val="top"/>
          </w:tcPr>
          <w:p>
            <w:pPr>
              <w:rPr>
                <w:rFonts w:ascii="Calibri" w:hAnsi="Calibri"/>
                <w:color w:val="000000"/>
                <w:sz w:val="22"/>
                <w:szCs w:val="22"/>
              </w:rPr>
            </w:pPr>
          </w:p>
        </w:tc>
        <w:tc>
          <w:tcPr>
            <w:tcW w:w="2966" w:type="dxa"/>
            <w:tcBorders>
              <w:top w:val="single" w:color="auto" w:sz="4" w:space="0"/>
              <w:left w:val="single" w:color="auto" w:sz="4" w:space="0"/>
              <w:bottom w:val="single" w:color="auto" w:sz="4" w:space="0"/>
              <w:right w:val="single" w:color="auto" w:sz="4" w:space="0"/>
            </w:tcBorders>
            <w:vAlign w:val="top"/>
          </w:tcPr>
          <w:p>
            <w:pPr>
              <w:pStyle w:val="25"/>
              <w:spacing w:before="133" w:line="280" w:lineRule="auto"/>
              <w:ind w:left="7" w:right="4"/>
              <w:rPr>
                <w:rFonts w:ascii="宋体" w:hAnsi="宋体" w:cs="宋体"/>
                <w:color w:val="000000"/>
                <w:sz w:val="20"/>
                <w:szCs w:val="20"/>
                <w:lang w:eastAsia="zh-CN"/>
              </w:rPr>
            </w:pPr>
            <w:r>
              <w:rPr>
                <w:rFonts w:hint="eastAsia" w:ascii="宋体" w:hAnsi="宋体" w:cs="宋体"/>
                <w:color w:val="000000"/>
                <w:spacing w:val="12"/>
                <w:w w:val="99"/>
                <w:sz w:val="20"/>
                <w:szCs w:val="20"/>
                <w:lang w:eastAsia="zh-CN"/>
              </w:rPr>
              <w:t>《普通照明用双端荧光</w:t>
            </w:r>
            <w:r>
              <w:rPr>
                <w:rFonts w:hint="eastAsia" w:ascii="宋体" w:hAnsi="宋体" w:cs="宋体"/>
                <w:color w:val="000000"/>
                <w:spacing w:val="9"/>
                <w:w w:val="99"/>
                <w:sz w:val="20"/>
                <w:szCs w:val="20"/>
                <w:lang w:eastAsia="zh-CN"/>
              </w:rPr>
              <w:t>灯</w:t>
            </w:r>
            <w:r>
              <w:rPr>
                <w:rFonts w:hint="eastAsia" w:ascii="宋体" w:hAnsi="宋体" w:cs="宋体"/>
                <w:color w:val="000000"/>
                <w:spacing w:val="12"/>
                <w:w w:val="99"/>
                <w:sz w:val="20"/>
                <w:szCs w:val="20"/>
                <w:lang w:eastAsia="zh-CN"/>
              </w:rPr>
              <w:t>能效</w:t>
            </w:r>
            <w:r>
              <w:rPr>
                <w:rFonts w:hint="eastAsia" w:ascii="宋体" w:hAnsi="宋体" w:cs="宋体"/>
                <w:color w:val="000000"/>
                <w:w w:val="99"/>
                <w:sz w:val="20"/>
                <w:szCs w:val="20"/>
                <w:lang w:eastAsia="zh-CN"/>
              </w:rPr>
              <w:t>限定值及</w:t>
            </w:r>
            <w:r>
              <w:rPr>
                <w:rFonts w:hint="eastAsia" w:ascii="宋体" w:hAnsi="宋体" w:cs="宋体"/>
                <w:color w:val="000000"/>
                <w:spacing w:val="2"/>
                <w:w w:val="99"/>
                <w:sz w:val="20"/>
                <w:szCs w:val="20"/>
                <w:lang w:eastAsia="zh-CN"/>
              </w:rPr>
              <w:t>能</w:t>
            </w:r>
            <w:r>
              <w:rPr>
                <w:rFonts w:hint="eastAsia" w:ascii="宋体" w:hAnsi="宋体" w:cs="宋体"/>
                <w:color w:val="000000"/>
                <w:w w:val="99"/>
                <w:sz w:val="20"/>
                <w:szCs w:val="20"/>
                <w:lang w:eastAsia="zh-CN"/>
              </w:rPr>
              <w:t>效等</w:t>
            </w:r>
            <w:r>
              <w:rPr>
                <w:rFonts w:hint="eastAsia" w:ascii="宋体" w:hAnsi="宋体" w:cs="宋体"/>
                <w:color w:val="000000"/>
                <w:spacing w:val="2"/>
                <w:w w:val="99"/>
                <w:sz w:val="20"/>
                <w:szCs w:val="20"/>
                <w:lang w:eastAsia="zh-CN"/>
              </w:rPr>
              <w:t>级</w:t>
            </w:r>
            <w:r>
              <w:rPr>
                <w:rFonts w:hint="eastAsia" w:ascii="宋体" w:hAnsi="宋体" w:cs="宋体"/>
                <w:color w:val="000000"/>
                <w:w w:val="99"/>
                <w:sz w:val="20"/>
                <w:szCs w:val="20"/>
                <w:lang w:eastAsia="zh-CN"/>
              </w:rPr>
              <w:t>》（</w:t>
            </w:r>
            <w:r>
              <w:rPr>
                <w:rFonts w:hint="eastAsia" w:ascii="宋体" w:hAnsi="宋体" w:cs="宋体"/>
                <w:color w:val="000000"/>
                <w:spacing w:val="1"/>
                <w:w w:val="99"/>
                <w:sz w:val="20"/>
                <w:szCs w:val="20"/>
                <w:lang w:eastAsia="zh-CN"/>
              </w:rPr>
              <w:t>G</w:t>
            </w:r>
            <w:r>
              <w:rPr>
                <w:rFonts w:hint="eastAsia" w:ascii="宋体" w:hAnsi="宋体" w:cs="宋体"/>
                <w:color w:val="000000"/>
                <w:w w:val="99"/>
                <w:sz w:val="20"/>
                <w:szCs w:val="20"/>
                <w:lang w:eastAsia="zh-CN"/>
              </w:rPr>
              <w:t>B</w:t>
            </w:r>
            <w:r>
              <w:rPr>
                <w:rFonts w:hint="eastAsia" w:ascii="宋体" w:hAnsi="宋体" w:cs="宋体"/>
                <w:color w:val="000000"/>
                <w:spacing w:val="1"/>
                <w:w w:val="99"/>
                <w:sz w:val="20"/>
                <w:szCs w:val="20"/>
                <w:lang w:eastAsia="zh-CN"/>
              </w:rPr>
              <w:t>19</w:t>
            </w:r>
            <w:r>
              <w:rPr>
                <w:rFonts w:hint="eastAsia" w:ascii="宋体" w:hAnsi="宋体" w:cs="宋体"/>
                <w:color w:val="000000"/>
                <w:w w:val="99"/>
                <w:sz w:val="20"/>
                <w:szCs w:val="20"/>
                <w:lang w:eastAsia="zh-CN"/>
              </w:rPr>
              <w:t>04</w:t>
            </w:r>
            <w:r>
              <w:rPr>
                <w:rFonts w:hint="eastAsia" w:ascii="宋体" w:hAnsi="宋体" w:cs="宋体"/>
                <w:color w:val="000000"/>
                <w:spacing w:val="1"/>
                <w:w w:val="99"/>
                <w:sz w:val="20"/>
                <w:szCs w:val="20"/>
                <w:lang w:eastAsia="zh-CN"/>
              </w:rPr>
              <w:t>3</w:t>
            </w:r>
            <w:r>
              <w:rPr>
                <w:rFonts w:hint="eastAsia" w:ascii="宋体" w:hAnsi="宋体" w:cs="宋体"/>
                <w:color w:val="000000"/>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1" w:hRule="exact"/>
          <w:jc w:val="center"/>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Times New Roman" w:cs="宋体"/>
                <w:color w:val="000000"/>
                <w:kern w:val="0"/>
                <w:sz w:val="20"/>
                <w:szCs w:val="20"/>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Times New Roman" w:cs="宋体"/>
                <w:color w:val="000000"/>
                <w:kern w:val="0"/>
                <w:sz w:val="20"/>
                <w:szCs w:val="20"/>
              </w:rPr>
            </w:pPr>
          </w:p>
        </w:tc>
        <w:tc>
          <w:tcPr>
            <w:tcW w:w="1800" w:type="dxa"/>
            <w:tcBorders>
              <w:top w:val="single" w:color="auto" w:sz="4" w:space="0"/>
              <w:left w:val="single" w:color="auto" w:sz="4" w:space="0"/>
              <w:bottom w:val="single" w:color="auto" w:sz="4" w:space="0"/>
              <w:right w:val="single" w:color="auto" w:sz="4" w:space="0"/>
            </w:tcBorders>
            <w:vAlign w:val="top"/>
          </w:tcPr>
          <w:p>
            <w:pPr>
              <w:pStyle w:val="25"/>
              <w:spacing w:before="92" w:line="280" w:lineRule="auto"/>
              <w:ind w:left="7" w:right="2"/>
              <w:rPr>
                <w:rFonts w:ascii="宋体" w:hAnsi="宋体" w:cs="宋体"/>
                <w:color w:val="000000"/>
                <w:sz w:val="20"/>
                <w:szCs w:val="20"/>
              </w:rPr>
            </w:pPr>
            <w:r>
              <w:rPr>
                <w:rFonts w:hint="eastAsia" w:ascii="宋体" w:hAnsi="宋体" w:cs="宋体"/>
                <w:color w:val="000000"/>
                <w:spacing w:val="1"/>
                <w:w w:val="99"/>
                <w:sz w:val="20"/>
                <w:szCs w:val="20"/>
              </w:rPr>
              <w:t>LE</w:t>
            </w:r>
            <w:r>
              <w:rPr>
                <w:rFonts w:hint="eastAsia" w:ascii="宋体" w:hAnsi="宋体" w:cs="宋体"/>
                <w:color w:val="000000"/>
                <w:w w:val="99"/>
                <w:sz w:val="20"/>
                <w:szCs w:val="20"/>
              </w:rPr>
              <w:t>D</w:t>
            </w:r>
            <w:r>
              <w:rPr>
                <w:rFonts w:hint="eastAsia" w:ascii="宋体" w:hAnsi="宋体" w:cs="宋体"/>
                <w:color w:val="000000"/>
                <w:spacing w:val="12"/>
                <w:w w:val="99"/>
                <w:sz w:val="20"/>
                <w:szCs w:val="20"/>
              </w:rPr>
              <w:t>道</w:t>
            </w:r>
            <w:r>
              <w:rPr>
                <w:rFonts w:hint="eastAsia" w:ascii="宋体" w:hAnsi="宋体" w:cs="宋体"/>
                <w:color w:val="000000"/>
                <w:spacing w:val="9"/>
                <w:w w:val="99"/>
                <w:sz w:val="20"/>
                <w:szCs w:val="20"/>
              </w:rPr>
              <w:t>路</w:t>
            </w:r>
            <w:r>
              <w:rPr>
                <w:rFonts w:hint="eastAsia" w:ascii="宋体" w:hAnsi="宋体" w:cs="宋体"/>
                <w:color w:val="000000"/>
                <w:spacing w:val="13"/>
                <w:w w:val="99"/>
                <w:sz w:val="20"/>
                <w:szCs w:val="20"/>
              </w:rPr>
              <w:t>/</w:t>
            </w:r>
            <w:r>
              <w:rPr>
                <w:rFonts w:hint="eastAsia" w:ascii="宋体" w:hAnsi="宋体" w:cs="宋体"/>
                <w:color w:val="000000"/>
                <w:spacing w:val="12"/>
                <w:w w:val="99"/>
                <w:sz w:val="20"/>
                <w:szCs w:val="20"/>
              </w:rPr>
              <w:t>隧道照</w:t>
            </w:r>
            <w:r>
              <w:rPr>
                <w:rFonts w:hint="eastAsia" w:ascii="宋体" w:hAnsi="宋体" w:cs="宋体"/>
                <w:color w:val="000000"/>
                <w:w w:val="99"/>
                <w:sz w:val="20"/>
                <w:szCs w:val="20"/>
              </w:rPr>
              <w:t>明产品</w:t>
            </w:r>
          </w:p>
        </w:tc>
        <w:tc>
          <w:tcPr>
            <w:tcW w:w="1915" w:type="dxa"/>
            <w:tcBorders>
              <w:top w:val="single" w:color="auto" w:sz="4" w:space="0"/>
              <w:left w:val="single" w:color="auto" w:sz="4" w:space="0"/>
              <w:bottom w:val="single" w:color="auto" w:sz="4" w:space="0"/>
              <w:right w:val="single" w:color="auto" w:sz="4" w:space="0"/>
            </w:tcBorders>
            <w:vAlign w:val="top"/>
          </w:tcPr>
          <w:p>
            <w:pPr>
              <w:rPr>
                <w:rFonts w:ascii="Calibri" w:hAnsi="Calibri"/>
                <w:color w:val="000000"/>
                <w:sz w:val="22"/>
                <w:szCs w:val="22"/>
              </w:rPr>
            </w:pPr>
          </w:p>
        </w:tc>
        <w:tc>
          <w:tcPr>
            <w:tcW w:w="2966" w:type="dxa"/>
            <w:tcBorders>
              <w:top w:val="single" w:color="auto" w:sz="4" w:space="0"/>
              <w:left w:val="single" w:color="auto" w:sz="4" w:space="0"/>
              <w:bottom w:val="single" w:color="auto" w:sz="4" w:space="0"/>
              <w:right w:val="single" w:color="auto" w:sz="4" w:space="0"/>
            </w:tcBorders>
            <w:vAlign w:val="top"/>
          </w:tcPr>
          <w:p>
            <w:pPr>
              <w:pStyle w:val="25"/>
              <w:spacing w:before="92" w:line="280" w:lineRule="auto"/>
              <w:ind w:left="7" w:right="7"/>
              <w:rPr>
                <w:rFonts w:ascii="宋体" w:hAnsi="宋体" w:cs="宋体"/>
                <w:color w:val="000000"/>
                <w:sz w:val="20"/>
                <w:szCs w:val="20"/>
                <w:lang w:eastAsia="zh-CN"/>
              </w:rPr>
            </w:pPr>
            <w:r>
              <w:rPr>
                <w:rFonts w:hint="eastAsia" w:ascii="宋体" w:hAnsi="宋体" w:cs="宋体"/>
                <w:color w:val="000000"/>
                <w:spacing w:val="4"/>
                <w:w w:val="99"/>
                <w:sz w:val="20"/>
                <w:szCs w:val="20"/>
                <w:lang w:eastAsia="zh-CN"/>
              </w:rPr>
              <w:t>《</w:t>
            </w:r>
            <w:r>
              <w:rPr>
                <w:rFonts w:hint="eastAsia" w:ascii="宋体" w:hAnsi="宋体" w:cs="宋体"/>
                <w:color w:val="000000"/>
                <w:spacing w:val="2"/>
                <w:w w:val="99"/>
                <w:sz w:val="20"/>
                <w:szCs w:val="20"/>
                <w:lang w:eastAsia="zh-CN"/>
              </w:rPr>
              <w:t>道</w:t>
            </w:r>
            <w:r>
              <w:rPr>
                <w:rFonts w:hint="eastAsia" w:ascii="宋体" w:hAnsi="宋体" w:cs="宋体"/>
                <w:color w:val="000000"/>
                <w:spacing w:val="4"/>
                <w:w w:val="99"/>
                <w:sz w:val="20"/>
                <w:szCs w:val="20"/>
                <w:lang w:eastAsia="zh-CN"/>
              </w:rPr>
              <w:t>路和隧道照</w:t>
            </w:r>
            <w:r>
              <w:rPr>
                <w:rFonts w:hint="eastAsia" w:ascii="宋体" w:hAnsi="宋体" w:cs="宋体"/>
                <w:color w:val="000000"/>
                <w:spacing w:val="2"/>
                <w:w w:val="99"/>
                <w:sz w:val="20"/>
                <w:szCs w:val="20"/>
                <w:lang w:eastAsia="zh-CN"/>
              </w:rPr>
              <w:t>明</w:t>
            </w:r>
            <w:r>
              <w:rPr>
                <w:rFonts w:hint="eastAsia" w:ascii="宋体" w:hAnsi="宋体" w:cs="宋体"/>
                <w:color w:val="000000"/>
                <w:w w:val="99"/>
                <w:sz w:val="20"/>
                <w:szCs w:val="20"/>
                <w:lang w:eastAsia="zh-CN"/>
              </w:rPr>
              <w:t>用</w:t>
            </w:r>
            <w:r>
              <w:rPr>
                <w:rFonts w:hint="eastAsia" w:ascii="宋体" w:hAnsi="宋体" w:cs="宋体"/>
                <w:color w:val="000000"/>
                <w:spacing w:val="1"/>
                <w:w w:val="99"/>
                <w:sz w:val="20"/>
                <w:szCs w:val="20"/>
                <w:lang w:eastAsia="zh-CN"/>
              </w:rPr>
              <w:t>LE</w:t>
            </w:r>
            <w:r>
              <w:rPr>
                <w:rFonts w:hint="eastAsia" w:ascii="宋体" w:hAnsi="宋体" w:cs="宋体"/>
                <w:color w:val="000000"/>
                <w:w w:val="99"/>
                <w:sz w:val="20"/>
                <w:szCs w:val="20"/>
                <w:lang w:eastAsia="zh-CN"/>
              </w:rPr>
              <w:t>D</w:t>
            </w:r>
            <w:r>
              <w:rPr>
                <w:rFonts w:hint="eastAsia" w:ascii="宋体" w:hAnsi="宋体" w:cs="宋体"/>
                <w:color w:val="000000"/>
                <w:spacing w:val="4"/>
                <w:w w:val="99"/>
                <w:sz w:val="20"/>
                <w:szCs w:val="20"/>
                <w:lang w:eastAsia="zh-CN"/>
              </w:rPr>
              <w:t>灯</w:t>
            </w:r>
            <w:r>
              <w:rPr>
                <w:rFonts w:hint="eastAsia" w:ascii="宋体" w:hAnsi="宋体" w:cs="宋体"/>
                <w:color w:val="000000"/>
                <w:spacing w:val="2"/>
                <w:w w:val="99"/>
                <w:sz w:val="20"/>
                <w:szCs w:val="20"/>
                <w:lang w:eastAsia="zh-CN"/>
              </w:rPr>
              <w:t>具</w:t>
            </w:r>
            <w:r>
              <w:rPr>
                <w:rFonts w:hint="eastAsia" w:ascii="宋体" w:hAnsi="宋体" w:cs="宋体"/>
                <w:color w:val="000000"/>
                <w:w w:val="99"/>
                <w:sz w:val="20"/>
                <w:szCs w:val="20"/>
                <w:lang w:eastAsia="zh-CN"/>
              </w:rPr>
              <w:t>能效限定</w:t>
            </w:r>
            <w:r>
              <w:rPr>
                <w:rFonts w:hint="eastAsia" w:ascii="宋体" w:hAnsi="宋体" w:cs="宋体"/>
                <w:color w:val="000000"/>
                <w:spacing w:val="2"/>
                <w:w w:val="99"/>
                <w:sz w:val="20"/>
                <w:szCs w:val="20"/>
                <w:lang w:eastAsia="zh-CN"/>
              </w:rPr>
              <w:t>值</w:t>
            </w:r>
            <w:r>
              <w:rPr>
                <w:rFonts w:hint="eastAsia" w:ascii="宋体" w:hAnsi="宋体" w:cs="宋体"/>
                <w:color w:val="000000"/>
                <w:w w:val="99"/>
                <w:sz w:val="20"/>
                <w:szCs w:val="20"/>
                <w:lang w:eastAsia="zh-CN"/>
              </w:rPr>
              <w:t>及能</w:t>
            </w:r>
            <w:r>
              <w:rPr>
                <w:rFonts w:hint="eastAsia" w:ascii="宋体" w:hAnsi="宋体" w:cs="宋体"/>
                <w:color w:val="000000"/>
                <w:spacing w:val="2"/>
                <w:w w:val="99"/>
                <w:sz w:val="20"/>
                <w:szCs w:val="20"/>
                <w:lang w:eastAsia="zh-CN"/>
              </w:rPr>
              <w:t>效</w:t>
            </w:r>
            <w:r>
              <w:rPr>
                <w:rFonts w:hint="eastAsia" w:ascii="宋体" w:hAnsi="宋体" w:cs="宋体"/>
                <w:color w:val="000000"/>
                <w:w w:val="99"/>
                <w:sz w:val="20"/>
                <w:szCs w:val="20"/>
                <w:lang w:eastAsia="zh-CN"/>
              </w:rPr>
              <w:t>等级</w:t>
            </w:r>
            <w:r>
              <w:rPr>
                <w:rFonts w:hint="eastAsia" w:ascii="宋体" w:hAnsi="宋体" w:cs="宋体"/>
                <w:color w:val="000000"/>
                <w:spacing w:val="-106"/>
                <w:w w:val="99"/>
                <w:sz w:val="20"/>
                <w:szCs w:val="20"/>
                <w:lang w:eastAsia="zh-CN"/>
              </w:rPr>
              <w:t>》</w:t>
            </w:r>
            <w:r>
              <w:rPr>
                <w:rFonts w:hint="eastAsia" w:ascii="宋体" w:hAnsi="宋体" w:cs="宋体"/>
                <w:color w:val="000000"/>
                <w:w w:val="99"/>
                <w:sz w:val="20"/>
                <w:szCs w:val="20"/>
                <w:lang w:eastAsia="zh-CN"/>
              </w:rPr>
              <w:t>（</w:t>
            </w:r>
            <w:r>
              <w:rPr>
                <w:rFonts w:hint="eastAsia" w:ascii="宋体" w:hAnsi="宋体" w:cs="宋体"/>
                <w:color w:val="000000"/>
                <w:spacing w:val="1"/>
                <w:w w:val="99"/>
                <w:sz w:val="20"/>
                <w:szCs w:val="20"/>
                <w:lang w:eastAsia="zh-CN"/>
              </w:rPr>
              <w:t>G</w:t>
            </w:r>
            <w:r>
              <w:rPr>
                <w:rFonts w:hint="eastAsia" w:ascii="宋体" w:hAnsi="宋体" w:cs="宋体"/>
                <w:color w:val="000000"/>
                <w:w w:val="99"/>
                <w:sz w:val="20"/>
                <w:szCs w:val="20"/>
                <w:lang w:eastAsia="zh-CN"/>
              </w:rPr>
              <w:t>B</w:t>
            </w:r>
            <w:r>
              <w:rPr>
                <w:rFonts w:hint="eastAsia" w:ascii="宋体" w:hAnsi="宋体" w:cs="宋体"/>
                <w:color w:val="000000"/>
                <w:spacing w:val="1"/>
                <w:w w:val="99"/>
                <w:sz w:val="20"/>
                <w:szCs w:val="20"/>
                <w:lang w:eastAsia="zh-CN"/>
              </w:rPr>
              <w:t>3747</w:t>
            </w:r>
            <w:r>
              <w:rPr>
                <w:rFonts w:hint="eastAsia" w:ascii="宋体" w:hAnsi="宋体" w:cs="宋体"/>
                <w:color w:val="000000"/>
                <w:w w:val="99"/>
                <w:sz w:val="20"/>
                <w:szCs w:val="20"/>
                <w:lang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4" w:hRule="exact"/>
          <w:jc w:val="center"/>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Times New Roman" w:cs="宋体"/>
                <w:color w:val="000000"/>
                <w:kern w:val="0"/>
                <w:sz w:val="20"/>
                <w:szCs w:val="20"/>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Times New Roman" w:cs="宋体"/>
                <w:color w:val="000000"/>
                <w:kern w:val="0"/>
                <w:sz w:val="20"/>
                <w:szCs w:val="20"/>
              </w:rPr>
            </w:pPr>
          </w:p>
        </w:tc>
        <w:tc>
          <w:tcPr>
            <w:tcW w:w="1800" w:type="dxa"/>
            <w:tcBorders>
              <w:top w:val="single" w:color="auto" w:sz="4" w:space="0"/>
              <w:left w:val="single" w:color="auto" w:sz="4" w:space="0"/>
              <w:bottom w:val="single" w:color="auto" w:sz="4" w:space="0"/>
              <w:right w:val="single" w:color="auto" w:sz="4" w:space="0"/>
            </w:tcBorders>
            <w:vAlign w:val="top"/>
          </w:tcPr>
          <w:p>
            <w:pPr>
              <w:pStyle w:val="25"/>
              <w:spacing w:before="4"/>
              <w:rPr>
                <w:rFonts w:ascii="宋体" w:hAnsi="宋体" w:cs="宋体"/>
                <w:color w:val="000000"/>
                <w:sz w:val="18"/>
                <w:szCs w:val="18"/>
                <w:lang w:eastAsia="zh-CN"/>
              </w:rPr>
            </w:pPr>
          </w:p>
          <w:p>
            <w:pPr>
              <w:pStyle w:val="25"/>
              <w:ind w:left="7"/>
              <w:rPr>
                <w:rFonts w:ascii="宋体" w:hAnsi="宋体" w:cs="宋体"/>
                <w:color w:val="000000"/>
                <w:sz w:val="20"/>
                <w:szCs w:val="20"/>
              </w:rPr>
            </w:pPr>
            <w:r>
              <w:rPr>
                <w:rFonts w:hint="eastAsia" w:ascii="宋体" w:hAnsi="宋体" w:cs="宋体"/>
                <w:color w:val="000000"/>
                <w:spacing w:val="1"/>
                <w:w w:val="99"/>
                <w:sz w:val="20"/>
                <w:szCs w:val="20"/>
              </w:rPr>
              <w:t>LE</w:t>
            </w:r>
            <w:r>
              <w:rPr>
                <w:rFonts w:hint="eastAsia" w:ascii="宋体" w:hAnsi="宋体" w:cs="宋体"/>
                <w:color w:val="000000"/>
                <w:w w:val="99"/>
                <w:sz w:val="20"/>
                <w:szCs w:val="20"/>
              </w:rPr>
              <w:t>D筒灯</w:t>
            </w:r>
          </w:p>
        </w:tc>
        <w:tc>
          <w:tcPr>
            <w:tcW w:w="1915" w:type="dxa"/>
            <w:tcBorders>
              <w:top w:val="single" w:color="auto" w:sz="4" w:space="0"/>
              <w:left w:val="single" w:color="auto" w:sz="4" w:space="0"/>
              <w:bottom w:val="single" w:color="auto" w:sz="4" w:space="0"/>
              <w:right w:val="single" w:color="auto" w:sz="4" w:space="0"/>
            </w:tcBorders>
            <w:vAlign w:val="top"/>
          </w:tcPr>
          <w:p>
            <w:pPr>
              <w:rPr>
                <w:rFonts w:ascii="Calibri" w:hAnsi="Calibri"/>
                <w:color w:val="000000"/>
                <w:sz w:val="22"/>
                <w:szCs w:val="22"/>
              </w:rPr>
            </w:pPr>
          </w:p>
        </w:tc>
        <w:tc>
          <w:tcPr>
            <w:tcW w:w="2966" w:type="dxa"/>
            <w:tcBorders>
              <w:top w:val="single" w:color="auto" w:sz="4" w:space="0"/>
              <w:left w:val="single" w:color="auto" w:sz="4" w:space="0"/>
              <w:bottom w:val="single" w:color="auto" w:sz="4" w:space="0"/>
              <w:right w:val="single" w:color="auto" w:sz="4" w:space="0"/>
            </w:tcBorders>
            <w:vAlign w:val="top"/>
          </w:tcPr>
          <w:p>
            <w:pPr>
              <w:pStyle w:val="25"/>
              <w:spacing w:before="83" w:line="280" w:lineRule="auto"/>
              <w:ind w:left="7" w:right="7"/>
              <w:rPr>
                <w:rFonts w:ascii="宋体" w:hAnsi="宋体" w:cs="宋体"/>
                <w:color w:val="000000"/>
                <w:sz w:val="20"/>
                <w:szCs w:val="20"/>
                <w:lang w:eastAsia="zh-CN"/>
              </w:rPr>
            </w:pPr>
            <w:r>
              <w:rPr>
                <w:rFonts w:hint="eastAsia" w:ascii="宋体" w:hAnsi="宋体" w:cs="宋体"/>
                <w:color w:val="000000"/>
                <w:spacing w:val="4"/>
                <w:w w:val="99"/>
                <w:sz w:val="20"/>
                <w:szCs w:val="20"/>
                <w:lang w:eastAsia="zh-CN"/>
              </w:rPr>
              <w:t>《</w:t>
            </w:r>
            <w:r>
              <w:rPr>
                <w:rFonts w:hint="eastAsia" w:ascii="宋体" w:hAnsi="宋体" w:cs="宋体"/>
                <w:color w:val="000000"/>
                <w:spacing w:val="2"/>
                <w:w w:val="99"/>
                <w:sz w:val="20"/>
                <w:szCs w:val="20"/>
                <w:lang w:eastAsia="zh-CN"/>
              </w:rPr>
              <w:t>室</w:t>
            </w:r>
            <w:r>
              <w:rPr>
                <w:rFonts w:hint="eastAsia" w:ascii="宋体" w:hAnsi="宋体" w:cs="宋体"/>
                <w:color w:val="000000"/>
                <w:spacing w:val="4"/>
                <w:w w:val="99"/>
                <w:sz w:val="20"/>
                <w:szCs w:val="20"/>
                <w:lang w:eastAsia="zh-CN"/>
              </w:rPr>
              <w:t>内照明</w:t>
            </w:r>
            <w:r>
              <w:rPr>
                <w:rFonts w:hint="eastAsia" w:ascii="宋体" w:hAnsi="宋体" w:cs="宋体"/>
                <w:color w:val="000000"/>
                <w:w w:val="99"/>
                <w:sz w:val="20"/>
                <w:szCs w:val="20"/>
                <w:lang w:eastAsia="zh-CN"/>
              </w:rPr>
              <w:t>用</w:t>
            </w:r>
            <w:r>
              <w:rPr>
                <w:rFonts w:hint="eastAsia" w:ascii="宋体" w:hAnsi="宋体" w:cs="宋体"/>
                <w:color w:val="000000"/>
                <w:spacing w:val="1"/>
                <w:w w:val="99"/>
                <w:sz w:val="20"/>
                <w:szCs w:val="20"/>
                <w:lang w:eastAsia="zh-CN"/>
              </w:rPr>
              <w:t>LE</w:t>
            </w:r>
            <w:r>
              <w:rPr>
                <w:rFonts w:hint="eastAsia" w:ascii="宋体" w:hAnsi="宋体" w:cs="宋体"/>
                <w:color w:val="000000"/>
                <w:w w:val="99"/>
                <w:sz w:val="20"/>
                <w:szCs w:val="20"/>
                <w:lang w:eastAsia="zh-CN"/>
              </w:rPr>
              <w:t>D</w:t>
            </w:r>
            <w:r>
              <w:rPr>
                <w:rFonts w:hint="eastAsia" w:ascii="宋体" w:hAnsi="宋体" w:cs="宋体"/>
                <w:color w:val="000000"/>
                <w:spacing w:val="4"/>
                <w:w w:val="99"/>
                <w:sz w:val="20"/>
                <w:szCs w:val="20"/>
                <w:lang w:eastAsia="zh-CN"/>
              </w:rPr>
              <w:t>产</w:t>
            </w:r>
            <w:r>
              <w:rPr>
                <w:rFonts w:hint="eastAsia" w:ascii="宋体" w:hAnsi="宋体" w:cs="宋体"/>
                <w:color w:val="000000"/>
                <w:spacing w:val="2"/>
                <w:w w:val="99"/>
                <w:sz w:val="20"/>
                <w:szCs w:val="20"/>
                <w:lang w:eastAsia="zh-CN"/>
              </w:rPr>
              <w:t>品</w:t>
            </w:r>
            <w:r>
              <w:rPr>
                <w:rFonts w:hint="eastAsia" w:ascii="宋体" w:hAnsi="宋体" w:cs="宋体"/>
                <w:color w:val="000000"/>
                <w:spacing w:val="4"/>
                <w:w w:val="99"/>
                <w:sz w:val="20"/>
                <w:szCs w:val="20"/>
                <w:lang w:eastAsia="zh-CN"/>
              </w:rPr>
              <w:t>能效</w:t>
            </w:r>
            <w:r>
              <w:rPr>
                <w:rFonts w:hint="eastAsia" w:ascii="宋体" w:hAnsi="宋体" w:cs="宋体"/>
                <w:color w:val="000000"/>
                <w:spacing w:val="2"/>
                <w:w w:val="99"/>
                <w:sz w:val="20"/>
                <w:szCs w:val="20"/>
                <w:lang w:eastAsia="zh-CN"/>
              </w:rPr>
              <w:t>限</w:t>
            </w:r>
            <w:r>
              <w:rPr>
                <w:rFonts w:hint="eastAsia" w:ascii="宋体" w:hAnsi="宋体" w:cs="宋体"/>
                <w:color w:val="000000"/>
                <w:w w:val="99"/>
                <w:sz w:val="20"/>
                <w:szCs w:val="20"/>
                <w:lang w:eastAsia="zh-CN"/>
              </w:rPr>
              <w:t>定值及能</w:t>
            </w:r>
            <w:r>
              <w:rPr>
                <w:rFonts w:hint="eastAsia" w:ascii="宋体" w:hAnsi="宋体" w:cs="宋体"/>
                <w:color w:val="000000"/>
                <w:spacing w:val="2"/>
                <w:w w:val="99"/>
                <w:sz w:val="20"/>
                <w:szCs w:val="20"/>
                <w:lang w:eastAsia="zh-CN"/>
              </w:rPr>
              <w:t>效</w:t>
            </w:r>
            <w:r>
              <w:rPr>
                <w:rFonts w:hint="eastAsia" w:ascii="宋体" w:hAnsi="宋体" w:cs="宋体"/>
                <w:color w:val="000000"/>
                <w:w w:val="99"/>
                <w:sz w:val="20"/>
                <w:szCs w:val="20"/>
                <w:lang w:eastAsia="zh-CN"/>
              </w:rPr>
              <w:t>等级</w:t>
            </w:r>
            <w:r>
              <w:rPr>
                <w:rFonts w:hint="eastAsia" w:ascii="宋体" w:hAnsi="宋体" w:cs="宋体"/>
                <w:color w:val="000000"/>
                <w:spacing w:val="2"/>
                <w:w w:val="99"/>
                <w:sz w:val="20"/>
                <w:szCs w:val="20"/>
                <w:lang w:eastAsia="zh-CN"/>
              </w:rPr>
              <w:t>》</w:t>
            </w:r>
            <w:r>
              <w:rPr>
                <w:rFonts w:hint="eastAsia" w:ascii="宋体" w:hAnsi="宋体" w:cs="宋体"/>
                <w:color w:val="000000"/>
                <w:w w:val="99"/>
                <w:sz w:val="20"/>
                <w:szCs w:val="20"/>
                <w:lang w:eastAsia="zh-CN"/>
              </w:rPr>
              <w:t>（</w:t>
            </w:r>
            <w:r>
              <w:rPr>
                <w:rFonts w:hint="eastAsia" w:ascii="宋体" w:hAnsi="宋体" w:cs="宋体"/>
                <w:color w:val="000000"/>
                <w:spacing w:val="1"/>
                <w:w w:val="99"/>
                <w:sz w:val="20"/>
                <w:szCs w:val="20"/>
                <w:lang w:eastAsia="zh-CN"/>
              </w:rPr>
              <w:t>G</w:t>
            </w:r>
            <w:r>
              <w:rPr>
                <w:rFonts w:hint="eastAsia" w:ascii="宋体" w:hAnsi="宋体" w:cs="宋体"/>
                <w:color w:val="000000"/>
                <w:w w:val="99"/>
                <w:sz w:val="20"/>
                <w:szCs w:val="20"/>
                <w:lang w:eastAsia="zh-CN"/>
              </w:rPr>
              <w:t>B</w:t>
            </w:r>
            <w:r>
              <w:rPr>
                <w:rFonts w:hint="eastAsia" w:ascii="宋体" w:hAnsi="宋体" w:cs="宋体"/>
                <w:color w:val="000000"/>
                <w:spacing w:val="1"/>
                <w:w w:val="99"/>
                <w:sz w:val="20"/>
                <w:szCs w:val="20"/>
                <w:lang w:eastAsia="zh-CN"/>
              </w:rPr>
              <w:t>30</w:t>
            </w:r>
            <w:r>
              <w:rPr>
                <w:rFonts w:hint="eastAsia" w:ascii="宋体" w:hAnsi="宋体" w:cs="宋体"/>
                <w:color w:val="000000"/>
                <w:w w:val="99"/>
                <w:sz w:val="20"/>
                <w:szCs w:val="20"/>
                <w:lang w:eastAsia="zh-CN"/>
              </w:rPr>
              <w:t>25</w:t>
            </w:r>
            <w:r>
              <w:rPr>
                <w:rFonts w:hint="eastAsia" w:ascii="宋体" w:hAnsi="宋体" w:cs="宋体"/>
                <w:color w:val="000000"/>
                <w:spacing w:val="-2"/>
                <w:w w:val="99"/>
                <w:sz w:val="20"/>
                <w:szCs w:val="20"/>
                <w:lang w:eastAsia="zh-CN"/>
              </w:rPr>
              <w:t>5</w:t>
            </w:r>
            <w:r>
              <w:rPr>
                <w:rFonts w:hint="eastAsia" w:ascii="宋体" w:hAnsi="宋体" w:cs="宋体"/>
                <w:color w:val="000000"/>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42" w:hRule="exact"/>
          <w:jc w:val="center"/>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Times New Roman" w:cs="宋体"/>
                <w:color w:val="000000"/>
                <w:kern w:val="0"/>
                <w:sz w:val="20"/>
                <w:szCs w:val="20"/>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Times New Roman" w:cs="宋体"/>
                <w:color w:val="000000"/>
                <w:kern w:val="0"/>
                <w:sz w:val="20"/>
                <w:szCs w:val="20"/>
              </w:rPr>
            </w:pPr>
          </w:p>
        </w:tc>
        <w:tc>
          <w:tcPr>
            <w:tcW w:w="1800" w:type="dxa"/>
            <w:tcBorders>
              <w:top w:val="single" w:color="auto" w:sz="4" w:space="0"/>
              <w:left w:val="single" w:color="auto" w:sz="4" w:space="0"/>
              <w:bottom w:val="single" w:color="auto" w:sz="4" w:space="0"/>
              <w:right w:val="single" w:color="auto" w:sz="4" w:space="0"/>
            </w:tcBorders>
            <w:vAlign w:val="top"/>
          </w:tcPr>
          <w:p>
            <w:pPr>
              <w:pStyle w:val="25"/>
              <w:spacing w:before="5"/>
              <w:rPr>
                <w:rFonts w:ascii="宋体" w:hAnsi="宋体" w:cs="宋体"/>
                <w:color w:val="000000"/>
                <w:sz w:val="15"/>
                <w:szCs w:val="15"/>
                <w:lang w:eastAsia="zh-CN"/>
              </w:rPr>
            </w:pPr>
          </w:p>
          <w:p>
            <w:pPr>
              <w:pStyle w:val="25"/>
              <w:spacing w:line="280" w:lineRule="auto"/>
              <w:ind w:left="7" w:right="7"/>
              <w:rPr>
                <w:rFonts w:ascii="宋体" w:hAnsi="宋体" w:cs="宋体"/>
                <w:color w:val="000000"/>
                <w:sz w:val="20"/>
                <w:szCs w:val="20"/>
                <w:lang w:eastAsia="zh-CN"/>
              </w:rPr>
            </w:pPr>
            <w:r>
              <w:rPr>
                <w:rFonts w:hint="eastAsia" w:ascii="宋体" w:hAnsi="宋体" w:cs="宋体"/>
                <w:color w:val="000000"/>
                <w:w w:val="99"/>
                <w:sz w:val="20"/>
                <w:szCs w:val="20"/>
                <w:lang w:eastAsia="zh-CN"/>
              </w:rPr>
              <w:t>普</w:t>
            </w:r>
            <w:r>
              <w:rPr>
                <w:rFonts w:hint="eastAsia" w:ascii="宋体" w:hAnsi="宋体" w:cs="宋体"/>
                <w:color w:val="000000"/>
                <w:spacing w:val="24"/>
                <w:w w:val="99"/>
                <w:sz w:val="20"/>
                <w:szCs w:val="20"/>
                <w:lang w:eastAsia="zh-CN"/>
              </w:rPr>
              <w:t>通</w:t>
            </w:r>
            <w:r>
              <w:rPr>
                <w:rFonts w:hint="eastAsia" w:ascii="宋体" w:hAnsi="宋体" w:cs="宋体"/>
                <w:color w:val="000000"/>
                <w:w w:val="99"/>
                <w:sz w:val="20"/>
                <w:szCs w:val="20"/>
                <w:lang w:eastAsia="zh-CN"/>
              </w:rPr>
              <w:t>照明用非</w:t>
            </w:r>
            <w:r>
              <w:rPr>
                <w:rFonts w:hint="eastAsia" w:ascii="宋体" w:hAnsi="宋体" w:cs="宋体"/>
                <w:color w:val="000000"/>
                <w:spacing w:val="24"/>
                <w:w w:val="99"/>
                <w:sz w:val="20"/>
                <w:szCs w:val="20"/>
                <w:lang w:eastAsia="zh-CN"/>
              </w:rPr>
              <w:t>定</w:t>
            </w:r>
            <w:r>
              <w:rPr>
                <w:rFonts w:hint="eastAsia" w:ascii="宋体" w:hAnsi="宋体" w:cs="宋体"/>
                <w:color w:val="000000"/>
                <w:w w:val="99"/>
                <w:sz w:val="20"/>
                <w:szCs w:val="20"/>
                <w:lang w:eastAsia="zh-CN"/>
              </w:rPr>
              <w:t>向自镇流</w:t>
            </w:r>
            <w:r>
              <w:rPr>
                <w:rFonts w:hint="eastAsia" w:ascii="宋体" w:hAnsi="宋体" w:cs="宋体"/>
                <w:color w:val="000000"/>
                <w:spacing w:val="1"/>
                <w:w w:val="99"/>
                <w:sz w:val="20"/>
                <w:szCs w:val="20"/>
                <w:lang w:eastAsia="zh-CN"/>
              </w:rPr>
              <w:t>LE</w:t>
            </w:r>
            <w:r>
              <w:rPr>
                <w:rFonts w:hint="eastAsia" w:ascii="宋体" w:hAnsi="宋体" w:cs="宋体"/>
                <w:color w:val="000000"/>
                <w:w w:val="99"/>
                <w:sz w:val="20"/>
                <w:szCs w:val="20"/>
                <w:lang w:eastAsia="zh-CN"/>
              </w:rPr>
              <w:t>D灯</w:t>
            </w:r>
          </w:p>
        </w:tc>
        <w:tc>
          <w:tcPr>
            <w:tcW w:w="1915" w:type="dxa"/>
            <w:tcBorders>
              <w:top w:val="single" w:color="auto" w:sz="4" w:space="0"/>
              <w:left w:val="single" w:color="auto" w:sz="4" w:space="0"/>
              <w:bottom w:val="single" w:color="auto" w:sz="4" w:space="0"/>
              <w:right w:val="single" w:color="auto" w:sz="4" w:space="0"/>
            </w:tcBorders>
            <w:vAlign w:val="top"/>
          </w:tcPr>
          <w:p>
            <w:pPr>
              <w:rPr>
                <w:rFonts w:ascii="Calibri" w:hAnsi="Calibri"/>
                <w:color w:val="000000"/>
                <w:sz w:val="22"/>
                <w:szCs w:val="22"/>
              </w:rPr>
            </w:pPr>
          </w:p>
        </w:tc>
        <w:tc>
          <w:tcPr>
            <w:tcW w:w="2966" w:type="dxa"/>
            <w:tcBorders>
              <w:top w:val="single" w:color="auto" w:sz="4" w:space="0"/>
              <w:left w:val="single" w:color="auto" w:sz="4" w:space="0"/>
              <w:bottom w:val="single" w:color="auto" w:sz="4" w:space="0"/>
              <w:right w:val="single" w:color="auto" w:sz="4" w:space="0"/>
            </w:tcBorders>
            <w:vAlign w:val="top"/>
          </w:tcPr>
          <w:p>
            <w:pPr>
              <w:pStyle w:val="25"/>
              <w:spacing w:before="5"/>
              <w:rPr>
                <w:rFonts w:ascii="宋体" w:hAnsi="宋体" w:cs="宋体"/>
                <w:color w:val="000000"/>
                <w:sz w:val="15"/>
                <w:szCs w:val="15"/>
                <w:lang w:eastAsia="zh-CN"/>
              </w:rPr>
            </w:pPr>
          </w:p>
          <w:p>
            <w:pPr>
              <w:pStyle w:val="25"/>
              <w:spacing w:line="280" w:lineRule="auto"/>
              <w:ind w:left="7" w:right="7"/>
              <w:rPr>
                <w:rFonts w:ascii="宋体" w:hAnsi="宋体" w:cs="宋体"/>
                <w:color w:val="000000"/>
                <w:sz w:val="20"/>
                <w:szCs w:val="20"/>
                <w:lang w:eastAsia="zh-CN"/>
              </w:rPr>
            </w:pPr>
            <w:r>
              <w:rPr>
                <w:rFonts w:hint="eastAsia" w:ascii="宋体" w:hAnsi="宋体" w:cs="宋体"/>
                <w:color w:val="000000"/>
                <w:spacing w:val="4"/>
                <w:w w:val="99"/>
                <w:sz w:val="20"/>
                <w:szCs w:val="20"/>
                <w:lang w:eastAsia="zh-CN"/>
              </w:rPr>
              <w:t>《</w:t>
            </w:r>
            <w:r>
              <w:rPr>
                <w:rFonts w:hint="eastAsia" w:ascii="宋体" w:hAnsi="宋体" w:cs="宋体"/>
                <w:color w:val="000000"/>
                <w:spacing w:val="2"/>
                <w:w w:val="99"/>
                <w:sz w:val="20"/>
                <w:szCs w:val="20"/>
                <w:lang w:eastAsia="zh-CN"/>
              </w:rPr>
              <w:t>室</w:t>
            </w:r>
            <w:r>
              <w:rPr>
                <w:rFonts w:hint="eastAsia" w:ascii="宋体" w:hAnsi="宋体" w:cs="宋体"/>
                <w:color w:val="000000"/>
                <w:spacing w:val="4"/>
                <w:w w:val="99"/>
                <w:sz w:val="20"/>
                <w:szCs w:val="20"/>
                <w:lang w:eastAsia="zh-CN"/>
              </w:rPr>
              <w:t>内照明</w:t>
            </w:r>
            <w:r>
              <w:rPr>
                <w:rFonts w:hint="eastAsia" w:ascii="宋体" w:hAnsi="宋体" w:cs="宋体"/>
                <w:color w:val="000000"/>
                <w:w w:val="99"/>
                <w:sz w:val="20"/>
                <w:szCs w:val="20"/>
                <w:lang w:eastAsia="zh-CN"/>
              </w:rPr>
              <w:t>用</w:t>
            </w:r>
            <w:r>
              <w:rPr>
                <w:rFonts w:hint="eastAsia" w:ascii="宋体" w:hAnsi="宋体" w:cs="宋体"/>
                <w:color w:val="000000"/>
                <w:spacing w:val="1"/>
                <w:w w:val="99"/>
                <w:sz w:val="20"/>
                <w:szCs w:val="20"/>
                <w:lang w:eastAsia="zh-CN"/>
              </w:rPr>
              <w:t>LE</w:t>
            </w:r>
            <w:r>
              <w:rPr>
                <w:rFonts w:hint="eastAsia" w:ascii="宋体" w:hAnsi="宋体" w:cs="宋体"/>
                <w:color w:val="000000"/>
                <w:w w:val="99"/>
                <w:sz w:val="20"/>
                <w:szCs w:val="20"/>
                <w:lang w:eastAsia="zh-CN"/>
              </w:rPr>
              <w:t>D</w:t>
            </w:r>
            <w:r>
              <w:rPr>
                <w:rFonts w:hint="eastAsia" w:ascii="宋体" w:hAnsi="宋体" w:cs="宋体"/>
                <w:color w:val="000000"/>
                <w:spacing w:val="4"/>
                <w:w w:val="99"/>
                <w:sz w:val="20"/>
                <w:szCs w:val="20"/>
                <w:lang w:eastAsia="zh-CN"/>
              </w:rPr>
              <w:t>产</w:t>
            </w:r>
            <w:r>
              <w:rPr>
                <w:rFonts w:hint="eastAsia" w:ascii="宋体" w:hAnsi="宋体" w:cs="宋体"/>
                <w:color w:val="000000"/>
                <w:spacing w:val="2"/>
                <w:w w:val="99"/>
                <w:sz w:val="20"/>
                <w:szCs w:val="20"/>
                <w:lang w:eastAsia="zh-CN"/>
              </w:rPr>
              <w:t>品</w:t>
            </w:r>
            <w:r>
              <w:rPr>
                <w:rFonts w:hint="eastAsia" w:ascii="宋体" w:hAnsi="宋体" w:cs="宋体"/>
                <w:color w:val="000000"/>
                <w:spacing w:val="4"/>
                <w:w w:val="99"/>
                <w:sz w:val="20"/>
                <w:szCs w:val="20"/>
                <w:lang w:eastAsia="zh-CN"/>
              </w:rPr>
              <w:t>能效</w:t>
            </w:r>
            <w:r>
              <w:rPr>
                <w:rFonts w:hint="eastAsia" w:ascii="宋体" w:hAnsi="宋体" w:cs="宋体"/>
                <w:color w:val="000000"/>
                <w:spacing w:val="2"/>
                <w:w w:val="99"/>
                <w:sz w:val="20"/>
                <w:szCs w:val="20"/>
                <w:lang w:eastAsia="zh-CN"/>
              </w:rPr>
              <w:t>限</w:t>
            </w:r>
            <w:r>
              <w:rPr>
                <w:rFonts w:hint="eastAsia" w:ascii="宋体" w:hAnsi="宋体" w:cs="宋体"/>
                <w:color w:val="000000"/>
                <w:w w:val="99"/>
                <w:sz w:val="20"/>
                <w:szCs w:val="20"/>
                <w:lang w:eastAsia="zh-CN"/>
              </w:rPr>
              <w:t>定值及能</w:t>
            </w:r>
            <w:r>
              <w:rPr>
                <w:rFonts w:hint="eastAsia" w:ascii="宋体" w:hAnsi="宋体" w:cs="宋体"/>
                <w:color w:val="000000"/>
                <w:spacing w:val="2"/>
                <w:w w:val="99"/>
                <w:sz w:val="20"/>
                <w:szCs w:val="20"/>
                <w:lang w:eastAsia="zh-CN"/>
              </w:rPr>
              <w:t>效</w:t>
            </w:r>
            <w:r>
              <w:rPr>
                <w:rFonts w:hint="eastAsia" w:ascii="宋体" w:hAnsi="宋体" w:cs="宋体"/>
                <w:color w:val="000000"/>
                <w:w w:val="99"/>
                <w:sz w:val="20"/>
                <w:szCs w:val="20"/>
                <w:lang w:eastAsia="zh-CN"/>
              </w:rPr>
              <w:t>等级</w:t>
            </w:r>
            <w:r>
              <w:rPr>
                <w:rFonts w:hint="eastAsia" w:ascii="宋体" w:hAnsi="宋体" w:cs="宋体"/>
                <w:color w:val="000000"/>
                <w:spacing w:val="2"/>
                <w:w w:val="99"/>
                <w:sz w:val="20"/>
                <w:szCs w:val="20"/>
                <w:lang w:eastAsia="zh-CN"/>
              </w:rPr>
              <w:t>》</w:t>
            </w:r>
            <w:r>
              <w:rPr>
                <w:rFonts w:hint="eastAsia" w:ascii="宋体" w:hAnsi="宋体" w:cs="宋体"/>
                <w:color w:val="000000"/>
                <w:w w:val="99"/>
                <w:sz w:val="20"/>
                <w:szCs w:val="20"/>
                <w:lang w:eastAsia="zh-CN"/>
              </w:rPr>
              <w:t>（</w:t>
            </w:r>
            <w:r>
              <w:rPr>
                <w:rFonts w:hint="eastAsia" w:ascii="宋体" w:hAnsi="宋体" w:cs="宋体"/>
                <w:color w:val="000000"/>
                <w:spacing w:val="1"/>
                <w:w w:val="99"/>
                <w:sz w:val="20"/>
                <w:szCs w:val="20"/>
                <w:lang w:eastAsia="zh-CN"/>
              </w:rPr>
              <w:t>G</w:t>
            </w:r>
            <w:r>
              <w:rPr>
                <w:rFonts w:hint="eastAsia" w:ascii="宋体" w:hAnsi="宋体" w:cs="宋体"/>
                <w:color w:val="000000"/>
                <w:w w:val="99"/>
                <w:sz w:val="20"/>
                <w:szCs w:val="20"/>
                <w:lang w:eastAsia="zh-CN"/>
              </w:rPr>
              <w:t>B</w:t>
            </w:r>
            <w:r>
              <w:rPr>
                <w:rFonts w:hint="eastAsia" w:ascii="宋体" w:hAnsi="宋体" w:cs="宋体"/>
                <w:color w:val="000000"/>
                <w:spacing w:val="1"/>
                <w:w w:val="99"/>
                <w:sz w:val="20"/>
                <w:szCs w:val="20"/>
                <w:lang w:eastAsia="zh-CN"/>
              </w:rPr>
              <w:t>30</w:t>
            </w:r>
            <w:r>
              <w:rPr>
                <w:rFonts w:hint="eastAsia" w:ascii="宋体" w:hAnsi="宋体" w:cs="宋体"/>
                <w:color w:val="000000"/>
                <w:w w:val="99"/>
                <w:sz w:val="20"/>
                <w:szCs w:val="20"/>
                <w:lang w:eastAsia="zh-CN"/>
              </w:rPr>
              <w:t>25</w:t>
            </w:r>
            <w:r>
              <w:rPr>
                <w:rFonts w:hint="eastAsia" w:ascii="宋体" w:hAnsi="宋体" w:cs="宋体"/>
                <w:color w:val="000000"/>
                <w:spacing w:val="-2"/>
                <w:w w:val="99"/>
                <w:sz w:val="20"/>
                <w:szCs w:val="20"/>
                <w:lang w:eastAsia="zh-CN"/>
              </w:rPr>
              <w:t>5</w:t>
            </w:r>
            <w:r>
              <w:rPr>
                <w:rFonts w:hint="eastAsia" w:ascii="宋体" w:hAnsi="宋体" w:cs="宋体"/>
                <w:color w:val="000000"/>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2" w:hRule="exact"/>
          <w:jc w:val="center"/>
        </w:trPr>
        <w:tc>
          <w:tcPr>
            <w:tcW w:w="574" w:type="dxa"/>
            <w:tcBorders>
              <w:top w:val="single" w:color="auto" w:sz="4" w:space="0"/>
              <w:left w:val="single" w:color="auto" w:sz="4" w:space="0"/>
              <w:bottom w:val="single" w:color="auto" w:sz="4" w:space="0"/>
              <w:right w:val="single" w:color="auto" w:sz="4" w:space="0"/>
            </w:tcBorders>
            <w:vAlign w:val="top"/>
          </w:tcPr>
          <w:p>
            <w:pPr>
              <w:pStyle w:val="25"/>
              <w:spacing w:before="1"/>
              <w:rPr>
                <w:rFonts w:ascii="宋体" w:hAnsi="宋体" w:cs="宋体"/>
                <w:color w:val="000000"/>
                <w:sz w:val="18"/>
                <w:szCs w:val="18"/>
                <w:lang w:eastAsia="zh-CN"/>
              </w:rPr>
            </w:pPr>
          </w:p>
          <w:p>
            <w:pPr>
              <w:pStyle w:val="25"/>
              <w:ind w:left="182"/>
              <w:rPr>
                <w:rFonts w:ascii="宋体" w:hAnsi="宋体" w:cs="宋体"/>
                <w:color w:val="000000"/>
                <w:sz w:val="20"/>
                <w:szCs w:val="20"/>
              </w:rPr>
            </w:pPr>
            <w:r>
              <w:rPr>
                <w:rFonts w:hint="eastAsia" w:ascii="宋体"/>
                <w:color w:val="000000"/>
                <w:spacing w:val="1"/>
                <w:w w:val="99"/>
                <w:sz w:val="20"/>
              </w:rPr>
              <w:t>1</w:t>
            </w:r>
            <w:r>
              <w:rPr>
                <w:rFonts w:hint="eastAsia" w:ascii="宋体"/>
                <w:color w:val="000000"/>
                <w:w w:val="99"/>
                <w:sz w:val="20"/>
              </w:rPr>
              <w:t>2</w:t>
            </w:r>
          </w:p>
        </w:tc>
        <w:tc>
          <w:tcPr>
            <w:tcW w:w="1166" w:type="dxa"/>
            <w:tcBorders>
              <w:top w:val="single" w:color="auto" w:sz="4" w:space="0"/>
              <w:left w:val="single" w:color="auto" w:sz="4" w:space="0"/>
              <w:bottom w:val="single" w:color="auto" w:sz="4" w:space="0"/>
              <w:right w:val="single" w:color="auto" w:sz="4" w:space="0"/>
            </w:tcBorders>
            <w:vAlign w:val="top"/>
          </w:tcPr>
          <w:p>
            <w:pPr>
              <w:pStyle w:val="25"/>
              <w:spacing w:before="81"/>
              <w:ind w:left="7"/>
              <w:rPr>
                <w:rFonts w:ascii="宋体" w:hAnsi="宋体" w:cs="宋体"/>
                <w:color w:val="000000"/>
                <w:sz w:val="20"/>
                <w:szCs w:val="20"/>
              </w:rPr>
            </w:pPr>
            <w:r>
              <w:rPr>
                <w:rFonts w:hint="eastAsia" w:ascii="宋体" w:hAnsi="宋体" w:cs="宋体"/>
                <w:color w:val="000000"/>
                <w:w w:val="99"/>
                <w:sz w:val="20"/>
                <w:szCs w:val="20"/>
              </w:rPr>
              <w:t>★</w:t>
            </w:r>
            <w:r>
              <w:rPr>
                <w:rFonts w:hint="eastAsia" w:ascii="宋体" w:hAnsi="宋体" w:cs="宋体"/>
                <w:color w:val="000000"/>
                <w:spacing w:val="1"/>
                <w:w w:val="99"/>
                <w:sz w:val="20"/>
                <w:szCs w:val="20"/>
              </w:rPr>
              <w:t>A020</w:t>
            </w:r>
            <w:r>
              <w:rPr>
                <w:rFonts w:hint="eastAsia" w:ascii="宋体" w:hAnsi="宋体" w:cs="宋体"/>
                <w:color w:val="000000"/>
                <w:w w:val="99"/>
                <w:sz w:val="20"/>
                <w:szCs w:val="20"/>
              </w:rPr>
              <w:t>910电</w:t>
            </w:r>
          </w:p>
          <w:p>
            <w:pPr>
              <w:pStyle w:val="25"/>
              <w:spacing w:before="50"/>
              <w:ind w:left="7"/>
              <w:rPr>
                <w:rFonts w:ascii="宋体" w:hAnsi="宋体" w:cs="宋体"/>
                <w:color w:val="000000"/>
                <w:sz w:val="20"/>
                <w:szCs w:val="20"/>
              </w:rPr>
            </w:pPr>
            <w:r>
              <w:rPr>
                <w:rFonts w:hint="eastAsia" w:ascii="宋体" w:hAnsi="宋体" w:cs="宋体"/>
                <w:color w:val="000000"/>
                <w:w w:val="99"/>
                <w:sz w:val="20"/>
                <w:szCs w:val="20"/>
              </w:rPr>
              <w:t>视设备</w:t>
            </w:r>
          </w:p>
        </w:tc>
        <w:tc>
          <w:tcPr>
            <w:tcW w:w="1800" w:type="dxa"/>
            <w:tcBorders>
              <w:top w:val="single" w:color="auto" w:sz="4" w:space="0"/>
              <w:left w:val="single" w:color="auto" w:sz="4" w:space="0"/>
              <w:bottom w:val="single" w:color="auto" w:sz="4" w:space="0"/>
              <w:right w:val="single" w:color="auto" w:sz="4" w:space="0"/>
            </w:tcBorders>
            <w:vAlign w:val="top"/>
          </w:tcPr>
          <w:p>
            <w:pPr>
              <w:pStyle w:val="25"/>
              <w:spacing w:before="81" w:line="280" w:lineRule="auto"/>
              <w:ind w:left="7" w:right="5"/>
              <w:rPr>
                <w:rFonts w:ascii="宋体" w:hAnsi="宋体" w:cs="宋体"/>
                <w:color w:val="000000"/>
                <w:sz w:val="20"/>
                <w:szCs w:val="20"/>
                <w:lang w:eastAsia="zh-CN"/>
              </w:rPr>
            </w:pPr>
            <w:r>
              <w:rPr>
                <w:rFonts w:hint="eastAsia" w:ascii="宋体" w:hAnsi="宋体" w:cs="宋体"/>
                <w:color w:val="000000"/>
                <w:spacing w:val="1"/>
                <w:w w:val="99"/>
                <w:sz w:val="20"/>
                <w:szCs w:val="20"/>
                <w:lang w:eastAsia="zh-CN"/>
              </w:rPr>
              <w:t>A02</w:t>
            </w:r>
            <w:r>
              <w:rPr>
                <w:rFonts w:hint="eastAsia" w:ascii="宋体" w:hAnsi="宋体" w:cs="宋体"/>
                <w:color w:val="000000"/>
                <w:w w:val="99"/>
                <w:sz w:val="20"/>
                <w:szCs w:val="20"/>
                <w:lang w:eastAsia="zh-CN"/>
              </w:rPr>
              <w:t>09</w:t>
            </w:r>
            <w:r>
              <w:rPr>
                <w:rFonts w:hint="eastAsia" w:ascii="宋体" w:hAnsi="宋体" w:cs="宋体"/>
                <w:color w:val="000000"/>
                <w:spacing w:val="1"/>
                <w:w w:val="99"/>
                <w:sz w:val="20"/>
                <w:szCs w:val="20"/>
                <w:lang w:eastAsia="zh-CN"/>
              </w:rPr>
              <w:t>1</w:t>
            </w:r>
            <w:r>
              <w:rPr>
                <w:rFonts w:hint="eastAsia" w:ascii="宋体" w:hAnsi="宋体" w:cs="宋体"/>
                <w:color w:val="000000"/>
                <w:w w:val="99"/>
                <w:sz w:val="20"/>
                <w:szCs w:val="20"/>
                <w:lang w:eastAsia="zh-CN"/>
              </w:rPr>
              <w:t>001普通电视设备（</w:t>
            </w:r>
            <w:r>
              <w:rPr>
                <w:rFonts w:hint="eastAsia" w:ascii="宋体" w:hAnsi="宋体" w:cs="宋体"/>
                <w:color w:val="000000"/>
                <w:spacing w:val="2"/>
                <w:w w:val="99"/>
                <w:sz w:val="20"/>
                <w:szCs w:val="20"/>
                <w:lang w:eastAsia="zh-CN"/>
              </w:rPr>
              <w:t>电</w:t>
            </w:r>
            <w:r>
              <w:rPr>
                <w:rFonts w:hint="eastAsia" w:ascii="宋体" w:hAnsi="宋体" w:cs="宋体"/>
                <w:color w:val="000000"/>
                <w:w w:val="99"/>
                <w:sz w:val="20"/>
                <w:szCs w:val="20"/>
                <w:lang w:eastAsia="zh-CN"/>
              </w:rPr>
              <w:t>视机）</w:t>
            </w:r>
          </w:p>
        </w:tc>
        <w:tc>
          <w:tcPr>
            <w:tcW w:w="1915" w:type="dxa"/>
            <w:tcBorders>
              <w:top w:val="single" w:color="auto" w:sz="4" w:space="0"/>
              <w:left w:val="single" w:color="auto" w:sz="4" w:space="0"/>
              <w:bottom w:val="single" w:color="auto" w:sz="4" w:space="0"/>
              <w:right w:val="single" w:color="auto" w:sz="4" w:space="0"/>
            </w:tcBorders>
            <w:vAlign w:val="top"/>
          </w:tcPr>
          <w:p>
            <w:pPr>
              <w:rPr>
                <w:rFonts w:ascii="Calibri" w:hAnsi="Calibri"/>
                <w:color w:val="000000"/>
                <w:sz w:val="22"/>
                <w:szCs w:val="22"/>
              </w:rPr>
            </w:pPr>
          </w:p>
        </w:tc>
        <w:tc>
          <w:tcPr>
            <w:tcW w:w="2966" w:type="dxa"/>
            <w:tcBorders>
              <w:top w:val="single" w:color="auto" w:sz="4" w:space="0"/>
              <w:left w:val="single" w:color="auto" w:sz="4" w:space="0"/>
              <w:bottom w:val="single" w:color="auto" w:sz="4" w:space="0"/>
              <w:right w:val="single" w:color="auto" w:sz="4" w:space="0"/>
            </w:tcBorders>
            <w:vAlign w:val="top"/>
          </w:tcPr>
          <w:p>
            <w:pPr>
              <w:pStyle w:val="25"/>
              <w:spacing w:before="81" w:line="280" w:lineRule="auto"/>
              <w:ind w:left="7" w:right="4"/>
              <w:rPr>
                <w:rFonts w:ascii="宋体" w:hAnsi="宋体" w:cs="宋体"/>
                <w:color w:val="000000"/>
                <w:sz w:val="20"/>
                <w:szCs w:val="20"/>
                <w:lang w:eastAsia="zh-CN"/>
              </w:rPr>
            </w:pPr>
            <w:r>
              <w:rPr>
                <w:rFonts w:hint="eastAsia" w:ascii="宋体" w:hAnsi="宋体" w:cs="宋体"/>
                <w:color w:val="000000"/>
                <w:spacing w:val="12"/>
                <w:w w:val="99"/>
                <w:sz w:val="20"/>
                <w:szCs w:val="20"/>
                <w:lang w:eastAsia="zh-CN"/>
              </w:rPr>
              <w:t>《平板电视能效限定值</w:t>
            </w:r>
            <w:r>
              <w:rPr>
                <w:rFonts w:hint="eastAsia" w:ascii="宋体" w:hAnsi="宋体" w:cs="宋体"/>
                <w:color w:val="000000"/>
                <w:spacing w:val="9"/>
                <w:w w:val="99"/>
                <w:sz w:val="20"/>
                <w:szCs w:val="20"/>
                <w:lang w:eastAsia="zh-CN"/>
              </w:rPr>
              <w:t>及</w:t>
            </w:r>
            <w:r>
              <w:rPr>
                <w:rFonts w:hint="eastAsia" w:ascii="宋体" w:hAnsi="宋体" w:cs="宋体"/>
                <w:color w:val="000000"/>
                <w:spacing w:val="12"/>
                <w:w w:val="99"/>
                <w:sz w:val="20"/>
                <w:szCs w:val="20"/>
                <w:lang w:eastAsia="zh-CN"/>
              </w:rPr>
              <w:t>能效</w:t>
            </w:r>
            <w:r>
              <w:rPr>
                <w:rFonts w:hint="eastAsia" w:ascii="宋体" w:hAnsi="宋体" w:cs="宋体"/>
                <w:color w:val="000000"/>
                <w:w w:val="99"/>
                <w:sz w:val="20"/>
                <w:szCs w:val="20"/>
                <w:lang w:eastAsia="zh-CN"/>
              </w:rPr>
              <w:t>等级》（</w:t>
            </w:r>
            <w:r>
              <w:rPr>
                <w:rFonts w:hint="eastAsia" w:ascii="宋体" w:hAnsi="宋体" w:cs="宋体"/>
                <w:color w:val="000000"/>
                <w:spacing w:val="1"/>
                <w:w w:val="99"/>
                <w:sz w:val="20"/>
                <w:szCs w:val="20"/>
                <w:lang w:eastAsia="zh-CN"/>
              </w:rPr>
              <w:t>G</w:t>
            </w:r>
            <w:r>
              <w:rPr>
                <w:rFonts w:hint="eastAsia" w:ascii="宋体" w:hAnsi="宋体" w:cs="宋体"/>
                <w:color w:val="000000"/>
                <w:w w:val="99"/>
                <w:sz w:val="20"/>
                <w:szCs w:val="20"/>
                <w:lang w:eastAsia="zh-CN"/>
              </w:rPr>
              <w:t>B</w:t>
            </w:r>
            <w:r>
              <w:rPr>
                <w:rFonts w:hint="eastAsia" w:ascii="宋体" w:hAnsi="宋体" w:cs="宋体"/>
                <w:color w:val="000000"/>
                <w:spacing w:val="1"/>
                <w:w w:val="99"/>
                <w:sz w:val="20"/>
                <w:szCs w:val="20"/>
                <w:lang w:eastAsia="zh-CN"/>
              </w:rPr>
              <w:t>248</w:t>
            </w:r>
            <w:r>
              <w:rPr>
                <w:rFonts w:hint="eastAsia" w:ascii="宋体" w:hAnsi="宋体" w:cs="宋体"/>
                <w:color w:val="000000"/>
                <w:w w:val="99"/>
                <w:sz w:val="20"/>
                <w:szCs w:val="20"/>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42" w:hRule="exact"/>
          <w:jc w:val="center"/>
        </w:trPr>
        <w:tc>
          <w:tcPr>
            <w:tcW w:w="574" w:type="dxa"/>
            <w:tcBorders>
              <w:top w:val="single" w:color="auto" w:sz="4" w:space="0"/>
              <w:left w:val="single" w:color="auto" w:sz="4" w:space="0"/>
              <w:bottom w:val="single" w:color="auto" w:sz="4" w:space="0"/>
              <w:right w:val="single" w:color="auto" w:sz="4" w:space="0"/>
            </w:tcBorders>
            <w:vAlign w:val="top"/>
          </w:tcPr>
          <w:p>
            <w:pPr>
              <w:pStyle w:val="25"/>
              <w:rPr>
                <w:rFonts w:ascii="宋体" w:hAnsi="宋体" w:cs="宋体"/>
                <w:color w:val="000000"/>
                <w:sz w:val="20"/>
                <w:szCs w:val="20"/>
                <w:lang w:eastAsia="zh-CN"/>
              </w:rPr>
            </w:pPr>
          </w:p>
          <w:p>
            <w:pPr>
              <w:pStyle w:val="25"/>
              <w:rPr>
                <w:rFonts w:hint="eastAsia" w:ascii="宋体" w:hAnsi="宋体" w:cs="宋体"/>
                <w:color w:val="000000"/>
                <w:sz w:val="20"/>
                <w:szCs w:val="20"/>
                <w:lang w:eastAsia="zh-CN"/>
              </w:rPr>
            </w:pPr>
          </w:p>
          <w:p>
            <w:pPr>
              <w:pStyle w:val="25"/>
              <w:spacing w:before="10"/>
              <w:rPr>
                <w:rFonts w:hint="eastAsia" w:ascii="宋体" w:hAnsi="宋体" w:cs="宋体"/>
                <w:color w:val="000000"/>
                <w:sz w:val="21"/>
                <w:szCs w:val="21"/>
                <w:lang w:eastAsia="zh-CN"/>
              </w:rPr>
            </w:pPr>
          </w:p>
          <w:p>
            <w:pPr>
              <w:pStyle w:val="25"/>
              <w:ind w:left="182"/>
              <w:rPr>
                <w:rFonts w:ascii="宋体" w:hAnsi="宋体" w:cs="宋体"/>
                <w:color w:val="000000"/>
                <w:sz w:val="20"/>
                <w:szCs w:val="20"/>
              </w:rPr>
            </w:pPr>
            <w:r>
              <w:rPr>
                <w:rFonts w:hint="eastAsia" w:ascii="宋体"/>
                <w:color w:val="000000"/>
                <w:spacing w:val="1"/>
                <w:w w:val="99"/>
                <w:sz w:val="20"/>
              </w:rPr>
              <w:t>1</w:t>
            </w:r>
            <w:r>
              <w:rPr>
                <w:rFonts w:hint="eastAsia" w:ascii="宋体"/>
                <w:color w:val="000000"/>
                <w:w w:val="99"/>
                <w:sz w:val="20"/>
              </w:rPr>
              <w:t>3</w:t>
            </w:r>
          </w:p>
        </w:tc>
        <w:tc>
          <w:tcPr>
            <w:tcW w:w="1166" w:type="dxa"/>
            <w:tcBorders>
              <w:top w:val="single" w:color="auto" w:sz="4" w:space="0"/>
              <w:left w:val="single" w:color="auto" w:sz="4" w:space="0"/>
              <w:bottom w:val="single" w:color="auto" w:sz="4" w:space="0"/>
              <w:right w:val="single" w:color="auto" w:sz="4" w:space="0"/>
            </w:tcBorders>
            <w:vAlign w:val="top"/>
          </w:tcPr>
          <w:p>
            <w:pPr>
              <w:pStyle w:val="25"/>
              <w:rPr>
                <w:rFonts w:ascii="宋体" w:hAnsi="宋体" w:cs="宋体"/>
                <w:color w:val="000000"/>
                <w:sz w:val="20"/>
                <w:szCs w:val="20"/>
              </w:rPr>
            </w:pPr>
          </w:p>
          <w:p>
            <w:pPr>
              <w:pStyle w:val="25"/>
              <w:spacing w:before="11"/>
              <w:rPr>
                <w:rFonts w:hint="eastAsia" w:ascii="宋体" w:hAnsi="宋体" w:cs="宋体"/>
                <w:color w:val="000000"/>
                <w:sz w:val="29"/>
                <w:szCs w:val="29"/>
              </w:rPr>
            </w:pPr>
          </w:p>
          <w:p>
            <w:pPr>
              <w:pStyle w:val="25"/>
              <w:ind w:left="7"/>
              <w:rPr>
                <w:rFonts w:hint="eastAsia" w:ascii="宋体" w:hAnsi="宋体" w:cs="宋体"/>
                <w:color w:val="000000"/>
                <w:sz w:val="20"/>
                <w:szCs w:val="20"/>
              </w:rPr>
            </w:pPr>
            <w:r>
              <w:rPr>
                <w:rFonts w:hint="eastAsia" w:ascii="宋体" w:hAnsi="宋体" w:cs="宋体"/>
                <w:color w:val="000000"/>
                <w:w w:val="99"/>
                <w:sz w:val="20"/>
                <w:szCs w:val="20"/>
              </w:rPr>
              <w:t>★</w:t>
            </w:r>
            <w:r>
              <w:rPr>
                <w:rFonts w:hint="eastAsia" w:ascii="宋体" w:hAnsi="宋体" w:cs="宋体"/>
                <w:color w:val="000000"/>
                <w:spacing w:val="1"/>
                <w:w w:val="99"/>
                <w:sz w:val="20"/>
                <w:szCs w:val="20"/>
              </w:rPr>
              <w:t>A020</w:t>
            </w:r>
            <w:r>
              <w:rPr>
                <w:rFonts w:hint="eastAsia" w:ascii="宋体" w:hAnsi="宋体" w:cs="宋体"/>
                <w:color w:val="000000"/>
                <w:w w:val="99"/>
                <w:sz w:val="20"/>
                <w:szCs w:val="20"/>
              </w:rPr>
              <w:t>911视</w:t>
            </w:r>
          </w:p>
          <w:p>
            <w:pPr>
              <w:pStyle w:val="25"/>
              <w:spacing w:before="50"/>
              <w:ind w:left="7"/>
              <w:rPr>
                <w:rFonts w:ascii="宋体" w:hAnsi="宋体" w:cs="宋体"/>
                <w:color w:val="000000"/>
                <w:sz w:val="20"/>
                <w:szCs w:val="20"/>
              </w:rPr>
            </w:pPr>
            <w:r>
              <w:rPr>
                <w:rFonts w:hint="eastAsia" w:ascii="宋体" w:hAnsi="宋体" w:cs="宋体"/>
                <w:color w:val="000000"/>
                <w:w w:val="99"/>
                <w:sz w:val="20"/>
                <w:szCs w:val="20"/>
              </w:rPr>
              <w:t>频设备</w:t>
            </w:r>
          </w:p>
        </w:tc>
        <w:tc>
          <w:tcPr>
            <w:tcW w:w="1800" w:type="dxa"/>
            <w:tcBorders>
              <w:top w:val="single" w:color="auto" w:sz="4" w:space="0"/>
              <w:left w:val="single" w:color="auto" w:sz="4" w:space="0"/>
              <w:bottom w:val="single" w:color="auto" w:sz="4" w:space="0"/>
              <w:right w:val="single" w:color="auto" w:sz="4" w:space="0"/>
            </w:tcBorders>
            <w:vAlign w:val="top"/>
          </w:tcPr>
          <w:p>
            <w:pPr>
              <w:pStyle w:val="25"/>
              <w:rPr>
                <w:rFonts w:ascii="宋体" w:hAnsi="宋体" w:cs="宋体"/>
                <w:color w:val="000000"/>
                <w:sz w:val="20"/>
                <w:szCs w:val="20"/>
              </w:rPr>
            </w:pPr>
          </w:p>
          <w:p>
            <w:pPr>
              <w:pStyle w:val="25"/>
              <w:spacing w:before="11"/>
              <w:rPr>
                <w:rFonts w:hint="eastAsia" w:ascii="宋体" w:hAnsi="宋体" w:cs="宋体"/>
                <w:color w:val="000000"/>
                <w:sz w:val="29"/>
                <w:szCs w:val="29"/>
              </w:rPr>
            </w:pPr>
          </w:p>
          <w:p>
            <w:pPr>
              <w:pStyle w:val="25"/>
              <w:spacing w:line="280" w:lineRule="auto"/>
              <w:ind w:left="7" w:right="5"/>
              <w:rPr>
                <w:rFonts w:ascii="宋体" w:hAnsi="宋体" w:cs="宋体"/>
                <w:color w:val="000000"/>
                <w:sz w:val="20"/>
                <w:szCs w:val="20"/>
              </w:rPr>
            </w:pPr>
            <w:r>
              <w:rPr>
                <w:rFonts w:hint="eastAsia" w:ascii="宋体" w:hAnsi="宋体" w:cs="宋体"/>
                <w:color w:val="000000"/>
                <w:spacing w:val="1"/>
                <w:w w:val="99"/>
                <w:sz w:val="20"/>
                <w:szCs w:val="20"/>
              </w:rPr>
              <w:t>A02</w:t>
            </w:r>
            <w:r>
              <w:rPr>
                <w:rFonts w:hint="eastAsia" w:ascii="宋体" w:hAnsi="宋体" w:cs="宋体"/>
                <w:color w:val="000000"/>
                <w:w w:val="99"/>
                <w:sz w:val="20"/>
                <w:szCs w:val="20"/>
              </w:rPr>
              <w:t>09</w:t>
            </w:r>
            <w:r>
              <w:rPr>
                <w:rFonts w:hint="eastAsia" w:ascii="宋体" w:hAnsi="宋体" w:cs="宋体"/>
                <w:color w:val="000000"/>
                <w:spacing w:val="1"/>
                <w:w w:val="99"/>
                <w:sz w:val="20"/>
                <w:szCs w:val="20"/>
              </w:rPr>
              <w:t>1</w:t>
            </w:r>
            <w:r>
              <w:rPr>
                <w:rFonts w:hint="eastAsia" w:ascii="宋体" w:hAnsi="宋体" w:cs="宋体"/>
                <w:color w:val="000000"/>
                <w:w w:val="99"/>
                <w:sz w:val="20"/>
                <w:szCs w:val="20"/>
              </w:rPr>
              <w:t>107视频监控设备</w:t>
            </w:r>
          </w:p>
        </w:tc>
        <w:tc>
          <w:tcPr>
            <w:tcW w:w="1915" w:type="dxa"/>
            <w:tcBorders>
              <w:top w:val="single" w:color="auto" w:sz="4" w:space="0"/>
              <w:left w:val="single" w:color="auto" w:sz="4" w:space="0"/>
              <w:bottom w:val="single" w:color="auto" w:sz="4" w:space="0"/>
              <w:right w:val="single" w:color="auto" w:sz="4" w:space="0"/>
            </w:tcBorders>
            <w:vAlign w:val="top"/>
          </w:tcPr>
          <w:p>
            <w:pPr>
              <w:pStyle w:val="25"/>
              <w:rPr>
                <w:rFonts w:ascii="宋体" w:hAnsi="宋体" w:cs="宋体"/>
                <w:color w:val="000000"/>
                <w:sz w:val="20"/>
                <w:szCs w:val="20"/>
              </w:rPr>
            </w:pPr>
          </w:p>
          <w:p>
            <w:pPr>
              <w:pStyle w:val="25"/>
              <w:rPr>
                <w:rFonts w:hint="eastAsia" w:ascii="宋体" w:hAnsi="宋体" w:cs="宋体"/>
                <w:color w:val="000000"/>
                <w:sz w:val="20"/>
                <w:szCs w:val="20"/>
              </w:rPr>
            </w:pPr>
          </w:p>
          <w:p>
            <w:pPr>
              <w:pStyle w:val="25"/>
              <w:spacing w:before="10"/>
              <w:rPr>
                <w:rFonts w:hint="eastAsia" w:ascii="宋体" w:hAnsi="宋体" w:cs="宋体"/>
                <w:color w:val="000000"/>
                <w:sz w:val="21"/>
                <w:szCs w:val="21"/>
              </w:rPr>
            </w:pPr>
          </w:p>
          <w:p>
            <w:pPr>
              <w:pStyle w:val="25"/>
              <w:ind w:left="7"/>
              <w:rPr>
                <w:rFonts w:ascii="宋体" w:hAnsi="宋体" w:cs="宋体"/>
                <w:color w:val="000000"/>
                <w:sz w:val="20"/>
                <w:szCs w:val="20"/>
              </w:rPr>
            </w:pPr>
            <w:r>
              <w:rPr>
                <w:rFonts w:hint="eastAsia" w:ascii="宋体" w:hAnsi="宋体" w:cs="宋体"/>
                <w:color w:val="000000"/>
                <w:w w:val="99"/>
                <w:sz w:val="20"/>
                <w:szCs w:val="20"/>
              </w:rPr>
              <w:t>监视器</w:t>
            </w:r>
          </w:p>
        </w:tc>
        <w:tc>
          <w:tcPr>
            <w:tcW w:w="2966" w:type="dxa"/>
            <w:tcBorders>
              <w:top w:val="single" w:color="auto" w:sz="4" w:space="0"/>
              <w:left w:val="single" w:color="auto" w:sz="4" w:space="0"/>
              <w:bottom w:val="single" w:color="auto" w:sz="4" w:space="0"/>
              <w:right w:val="single" w:color="auto" w:sz="4" w:space="0"/>
            </w:tcBorders>
            <w:vAlign w:val="top"/>
          </w:tcPr>
          <w:p>
            <w:pPr>
              <w:pStyle w:val="25"/>
              <w:spacing w:before="28" w:line="280" w:lineRule="auto"/>
              <w:ind w:left="7" w:right="5"/>
              <w:rPr>
                <w:rFonts w:ascii="宋体" w:hAnsi="宋体" w:cs="宋体"/>
                <w:color w:val="000000"/>
                <w:sz w:val="20"/>
                <w:szCs w:val="20"/>
                <w:lang w:eastAsia="zh-CN"/>
              </w:rPr>
            </w:pPr>
            <w:r>
              <w:rPr>
                <w:rFonts w:hint="eastAsia" w:ascii="宋体" w:hAnsi="宋体" w:cs="宋体"/>
                <w:color w:val="000000"/>
                <w:spacing w:val="12"/>
                <w:w w:val="99"/>
                <w:sz w:val="20"/>
                <w:szCs w:val="20"/>
                <w:lang w:eastAsia="zh-CN"/>
              </w:rPr>
              <w:t>以射频信号为主要信号</w:t>
            </w:r>
            <w:r>
              <w:rPr>
                <w:rFonts w:hint="eastAsia" w:ascii="宋体" w:hAnsi="宋体" w:cs="宋体"/>
                <w:color w:val="000000"/>
                <w:spacing w:val="9"/>
                <w:w w:val="99"/>
                <w:sz w:val="20"/>
                <w:szCs w:val="20"/>
                <w:lang w:eastAsia="zh-CN"/>
              </w:rPr>
              <w:t>输</w:t>
            </w:r>
            <w:r>
              <w:rPr>
                <w:rFonts w:hint="eastAsia" w:ascii="宋体" w:hAnsi="宋体" w:cs="宋体"/>
                <w:color w:val="000000"/>
                <w:spacing w:val="12"/>
                <w:w w:val="99"/>
                <w:sz w:val="20"/>
                <w:szCs w:val="20"/>
                <w:lang w:eastAsia="zh-CN"/>
              </w:rPr>
              <w:t>入的</w:t>
            </w:r>
            <w:r>
              <w:rPr>
                <w:rFonts w:hint="eastAsia" w:ascii="宋体" w:hAnsi="宋体" w:cs="宋体"/>
                <w:color w:val="000000"/>
                <w:w w:val="99"/>
                <w:sz w:val="20"/>
                <w:szCs w:val="20"/>
                <w:lang w:eastAsia="zh-CN"/>
              </w:rPr>
              <w:t>监视器应</w:t>
            </w:r>
            <w:r>
              <w:rPr>
                <w:rFonts w:hint="eastAsia" w:ascii="宋体" w:hAnsi="宋体" w:cs="宋体"/>
                <w:color w:val="000000"/>
                <w:spacing w:val="2"/>
                <w:w w:val="99"/>
                <w:sz w:val="20"/>
                <w:szCs w:val="20"/>
                <w:lang w:eastAsia="zh-CN"/>
              </w:rPr>
              <w:t>符</w:t>
            </w:r>
            <w:r>
              <w:rPr>
                <w:rFonts w:hint="eastAsia" w:ascii="宋体" w:hAnsi="宋体" w:cs="宋体"/>
                <w:color w:val="000000"/>
                <w:spacing w:val="-58"/>
                <w:w w:val="99"/>
                <w:sz w:val="20"/>
                <w:szCs w:val="20"/>
                <w:lang w:eastAsia="zh-CN"/>
              </w:rPr>
              <w:t>合</w:t>
            </w:r>
            <w:r>
              <w:rPr>
                <w:rFonts w:hint="eastAsia" w:ascii="宋体" w:hAnsi="宋体" w:cs="宋体"/>
                <w:color w:val="000000"/>
                <w:spacing w:val="2"/>
                <w:w w:val="99"/>
                <w:sz w:val="20"/>
                <w:szCs w:val="20"/>
                <w:lang w:eastAsia="zh-CN"/>
              </w:rPr>
              <w:t>《</w:t>
            </w:r>
            <w:r>
              <w:rPr>
                <w:rFonts w:hint="eastAsia" w:ascii="宋体" w:hAnsi="宋体" w:cs="宋体"/>
                <w:color w:val="000000"/>
                <w:w w:val="99"/>
                <w:sz w:val="20"/>
                <w:szCs w:val="20"/>
                <w:lang w:eastAsia="zh-CN"/>
              </w:rPr>
              <w:t>平板</w:t>
            </w:r>
            <w:r>
              <w:rPr>
                <w:rFonts w:hint="eastAsia" w:ascii="宋体" w:hAnsi="宋体" w:cs="宋体"/>
                <w:color w:val="000000"/>
                <w:spacing w:val="2"/>
                <w:w w:val="99"/>
                <w:sz w:val="20"/>
                <w:szCs w:val="20"/>
                <w:lang w:eastAsia="zh-CN"/>
              </w:rPr>
              <w:t>电</w:t>
            </w:r>
            <w:r>
              <w:rPr>
                <w:rFonts w:hint="eastAsia" w:ascii="宋体" w:hAnsi="宋体" w:cs="宋体"/>
                <w:color w:val="000000"/>
                <w:w w:val="99"/>
                <w:sz w:val="20"/>
                <w:szCs w:val="20"/>
                <w:lang w:eastAsia="zh-CN"/>
              </w:rPr>
              <w:t>视能</w:t>
            </w:r>
            <w:r>
              <w:rPr>
                <w:rFonts w:hint="eastAsia" w:ascii="宋体" w:hAnsi="宋体" w:cs="宋体"/>
                <w:color w:val="000000"/>
                <w:spacing w:val="2"/>
                <w:w w:val="99"/>
                <w:sz w:val="20"/>
                <w:szCs w:val="20"/>
                <w:lang w:eastAsia="zh-CN"/>
              </w:rPr>
              <w:t>效</w:t>
            </w:r>
            <w:r>
              <w:rPr>
                <w:rFonts w:hint="eastAsia" w:ascii="宋体" w:hAnsi="宋体" w:cs="宋体"/>
                <w:color w:val="000000"/>
                <w:w w:val="99"/>
                <w:sz w:val="20"/>
                <w:szCs w:val="20"/>
                <w:lang w:eastAsia="zh-CN"/>
              </w:rPr>
              <w:t>限定值及能效</w:t>
            </w:r>
            <w:r>
              <w:rPr>
                <w:rFonts w:hint="eastAsia" w:ascii="宋体" w:hAnsi="宋体" w:cs="宋体"/>
                <w:color w:val="000000"/>
                <w:spacing w:val="2"/>
                <w:w w:val="99"/>
                <w:sz w:val="20"/>
                <w:szCs w:val="20"/>
                <w:lang w:eastAsia="zh-CN"/>
              </w:rPr>
              <w:t>等</w:t>
            </w:r>
            <w:r>
              <w:rPr>
                <w:rFonts w:hint="eastAsia" w:ascii="宋体" w:hAnsi="宋体" w:cs="宋体"/>
                <w:color w:val="000000"/>
                <w:w w:val="99"/>
                <w:sz w:val="20"/>
                <w:szCs w:val="20"/>
                <w:lang w:eastAsia="zh-CN"/>
              </w:rPr>
              <w:t>级》（</w:t>
            </w:r>
            <w:r>
              <w:rPr>
                <w:rFonts w:hint="eastAsia" w:ascii="宋体" w:hAnsi="宋体" w:cs="宋体"/>
                <w:color w:val="000000"/>
                <w:spacing w:val="1"/>
                <w:w w:val="99"/>
                <w:sz w:val="20"/>
                <w:szCs w:val="20"/>
                <w:lang w:eastAsia="zh-CN"/>
              </w:rPr>
              <w:t>G</w:t>
            </w:r>
            <w:r>
              <w:rPr>
                <w:rFonts w:hint="eastAsia" w:ascii="宋体" w:hAnsi="宋体" w:cs="宋体"/>
                <w:color w:val="000000"/>
                <w:w w:val="99"/>
                <w:sz w:val="20"/>
                <w:szCs w:val="20"/>
                <w:lang w:eastAsia="zh-CN"/>
              </w:rPr>
              <w:t>B</w:t>
            </w:r>
            <w:r>
              <w:rPr>
                <w:rFonts w:hint="eastAsia" w:ascii="宋体" w:hAnsi="宋体" w:cs="宋体"/>
                <w:color w:val="000000"/>
                <w:spacing w:val="1"/>
                <w:w w:val="99"/>
                <w:sz w:val="20"/>
                <w:szCs w:val="20"/>
                <w:lang w:eastAsia="zh-CN"/>
              </w:rPr>
              <w:t>24850</w:t>
            </w:r>
            <w:r>
              <w:rPr>
                <w:rFonts w:hint="eastAsia" w:ascii="宋体" w:hAnsi="宋体" w:cs="宋体"/>
                <w:color w:val="000000"/>
                <w:spacing w:val="-3"/>
                <w:w w:val="99"/>
                <w:sz w:val="20"/>
                <w:szCs w:val="20"/>
                <w:lang w:eastAsia="zh-CN"/>
              </w:rPr>
              <w:t>）</w:t>
            </w:r>
            <w:r>
              <w:rPr>
                <w:rFonts w:hint="eastAsia" w:ascii="宋体" w:hAnsi="宋体" w:cs="宋体"/>
                <w:color w:val="000000"/>
                <w:w w:val="99"/>
                <w:sz w:val="20"/>
                <w:szCs w:val="20"/>
                <w:lang w:eastAsia="zh-CN"/>
              </w:rPr>
              <w:t>，</w:t>
            </w:r>
            <w:r>
              <w:rPr>
                <w:rFonts w:hint="eastAsia" w:ascii="宋体" w:hAnsi="宋体" w:cs="宋体"/>
                <w:color w:val="000000"/>
                <w:spacing w:val="12"/>
                <w:w w:val="99"/>
                <w:sz w:val="20"/>
                <w:szCs w:val="20"/>
                <w:lang w:eastAsia="zh-CN"/>
              </w:rPr>
              <w:t>以数字信号为主要信号</w:t>
            </w:r>
            <w:r>
              <w:rPr>
                <w:rFonts w:hint="eastAsia" w:ascii="宋体" w:hAnsi="宋体" w:cs="宋体"/>
                <w:color w:val="000000"/>
                <w:spacing w:val="9"/>
                <w:w w:val="99"/>
                <w:sz w:val="20"/>
                <w:szCs w:val="20"/>
                <w:lang w:eastAsia="zh-CN"/>
              </w:rPr>
              <w:t>输</w:t>
            </w:r>
            <w:r>
              <w:rPr>
                <w:rFonts w:hint="eastAsia" w:ascii="宋体" w:hAnsi="宋体" w:cs="宋体"/>
                <w:color w:val="000000"/>
                <w:spacing w:val="12"/>
                <w:w w:val="99"/>
                <w:sz w:val="20"/>
                <w:szCs w:val="20"/>
                <w:lang w:eastAsia="zh-CN"/>
              </w:rPr>
              <w:t>入的</w:t>
            </w:r>
            <w:r>
              <w:rPr>
                <w:rFonts w:hint="eastAsia" w:ascii="宋体" w:hAnsi="宋体" w:cs="宋体"/>
                <w:color w:val="000000"/>
                <w:w w:val="99"/>
                <w:sz w:val="20"/>
                <w:szCs w:val="20"/>
                <w:lang w:eastAsia="zh-CN"/>
              </w:rPr>
              <w:t>监视器应</w:t>
            </w:r>
            <w:r>
              <w:rPr>
                <w:rFonts w:hint="eastAsia" w:ascii="宋体" w:hAnsi="宋体" w:cs="宋体"/>
                <w:color w:val="000000"/>
                <w:spacing w:val="2"/>
                <w:w w:val="99"/>
                <w:sz w:val="20"/>
                <w:szCs w:val="20"/>
                <w:lang w:eastAsia="zh-CN"/>
              </w:rPr>
              <w:t>符</w:t>
            </w:r>
            <w:r>
              <w:rPr>
                <w:rFonts w:hint="eastAsia" w:ascii="宋体" w:hAnsi="宋体" w:cs="宋体"/>
                <w:color w:val="000000"/>
                <w:spacing w:val="-58"/>
                <w:w w:val="99"/>
                <w:sz w:val="20"/>
                <w:szCs w:val="20"/>
                <w:lang w:eastAsia="zh-CN"/>
              </w:rPr>
              <w:t>合</w:t>
            </w:r>
            <w:r>
              <w:rPr>
                <w:rFonts w:hint="eastAsia" w:ascii="宋体" w:hAnsi="宋体" w:cs="宋体"/>
                <w:color w:val="000000"/>
                <w:spacing w:val="2"/>
                <w:w w:val="99"/>
                <w:sz w:val="20"/>
                <w:szCs w:val="20"/>
                <w:lang w:eastAsia="zh-CN"/>
              </w:rPr>
              <w:t>《</w:t>
            </w:r>
            <w:r>
              <w:rPr>
                <w:rFonts w:hint="eastAsia" w:ascii="宋体" w:hAnsi="宋体" w:cs="宋体"/>
                <w:color w:val="000000"/>
                <w:w w:val="99"/>
                <w:sz w:val="20"/>
                <w:szCs w:val="20"/>
                <w:lang w:eastAsia="zh-CN"/>
              </w:rPr>
              <w:t>计算</w:t>
            </w:r>
            <w:r>
              <w:rPr>
                <w:rFonts w:hint="eastAsia" w:ascii="宋体" w:hAnsi="宋体" w:cs="宋体"/>
                <w:color w:val="000000"/>
                <w:spacing w:val="2"/>
                <w:w w:val="99"/>
                <w:sz w:val="20"/>
                <w:szCs w:val="20"/>
                <w:lang w:eastAsia="zh-CN"/>
              </w:rPr>
              <w:t>机</w:t>
            </w:r>
            <w:r>
              <w:rPr>
                <w:rFonts w:hint="eastAsia" w:ascii="宋体" w:hAnsi="宋体" w:cs="宋体"/>
                <w:color w:val="000000"/>
                <w:w w:val="99"/>
                <w:sz w:val="20"/>
                <w:szCs w:val="20"/>
                <w:lang w:eastAsia="zh-CN"/>
              </w:rPr>
              <w:t>显示</w:t>
            </w:r>
            <w:r>
              <w:rPr>
                <w:rFonts w:hint="eastAsia" w:ascii="宋体" w:hAnsi="宋体" w:cs="宋体"/>
                <w:color w:val="000000"/>
                <w:spacing w:val="2"/>
                <w:w w:val="99"/>
                <w:sz w:val="20"/>
                <w:szCs w:val="20"/>
                <w:lang w:eastAsia="zh-CN"/>
              </w:rPr>
              <w:t>器</w:t>
            </w:r>
            <w:r>
              <w:rPr>
                <w:rFonts w:hint="eastAsia" w:ascii="宋体" w:hAnsi="宋体" w:cs="宋体"/>
                <w:color w:val="000000"/>
                <w:w w:val="99"/>
                <w:sz w:val="20"/>
                <w:szCs w:val="20"/>
                <w:lang w:eastAsia="zh-CN"/>
              </w:rPr>
              <w:t>能效限定值及</w:t>
            </w:r>
            <w:r>
              <w:rPr>
                <w:rFonts w:hint="eastAsia" w:ascii="宋体" w:hAnsi="宋体" w:cs="宋体"/>
                <w:color w:val="000000"/>
                <w:spacing w:val="2"/>
                <w:w w:val="99"/>
                <w:sz w:val="20"/>
                <w:szCs w:val="20"/>
                <w:lang w:eastAsia="zh-CN"/>
              </w:rPr>
              <w:t>能</w:t>
            </w:r>
            <w:r>
              <w:rPr>
                <w:rFonts w:hint="eastAsia" w:ascii="宋体" w:hAnsi="宋体" w:cs="宋体"/>
                <w:color w:val="000000"/>
                <w:w w:val="99"/>
                <w:sz w:val="20"/>
                <w:szCs w:val="20"/>
                <w:lang w:eastAsia="zh-CN"/>
              </w:rPr>
              <w:t>效等</w:t>
            </w:r>
            <w:r>
              <w:rPr>
                <w:rFonts w:hint="eastAsia" w:ascii="宋体" w:hAnsi="宋体" w:cs="宋体"/>
                <w:color w:val="000000"/>
                <w:spacing w:val="2"/>
                <w:w w:val="99"/>
                <w:sz w:val="20"/>
                <w:szCs w:val="20"/>
                <w:lang w:eastAsia="zh-CN"/>
              </w:rPr>
              <w:t>级</w:t>
            </w:r>
            <w:r>
              <w:rPr>
                <w:rFonts w:hint="eastAsia" w:ascii="宋体" w:hAnsi="宋体" w:cs="宋体"/>
                <w:color w:val="000000"/>
                <w:w w:val="99"/>
                <w:sz w:val="20"/>
                <w:szCs w:val="20"/>
                <w:lang w:eastAsia="zh-CN"/>
              </w:rPr>
              <w:t>》（</w:t>
            </w:r>
            <w:r>
              <w:rPr>
                <w:rFonts w:hint="eastAsia" w:ascii="宋体" w:hAnsi="宋体" w:cs="宋体"/>
                <w:color w:val="000000"/>
                <w:spacing w:val="1"/>
                <w:w w:val="99"/>
                <w:sz w:val="20"/>
                <w:szCs w:val="20"/>
                <w:lang w:eastAsia="zh-CN"/>
              </w:rPr>
              <w:t>G</w:t>
            </w:r>
            <w:r>
              <w:rPr>
                <w:rFonts w:hint="eastAsia" w:ascii="宋体" w:hAnsi="宋体" w:cs="宋体"/>
                <w:color w:val="000000"/>
                <w:w w:val="99"/>
                <w:sz w:val="20"/>
                <w:szCs w:val="20"/>
                <w:lang w:eastAsia="zh-CN"/>
              </w:rPr>
              <w:t>B</w:t>
            </w:r>
            <w:r>
              <w:rPr>
                <w:rFonts w:hint="eastAsia" w:ascii="宋体" w:hAnsi="宋体" w:cs="宋体"/>
                <w:color w:val="000000"/>
                <w:spacing w:val="1"/>
                <w:w w:val="99"/>
                <w:sz w:val="20"/>
                <w:szCs w:val="20"/>
                <w:lang w:eastAsia="zh-CN"/>
              </w:rPr>
              <w:t>21</w:t>
            </w:r>
            <w:r>
              <w:rPr>
                <w:rFonts w:hint="eastAsia" w:ascii="宋体" w:hAnsi="宋体" w:cs="宋体"/>
                <w:color w:val="000000"/>
                <w:w w:val="99"/>
                <w:sz w:val="20"/>
                <w:szCs w:val="20"/>
                <w:lang w:eastAsia="zh-CN"/>
              </w:rPr>
              <w:t>52</w:t>
            </w:r>
            <w:r>
              <w:rPr>
                <w:rFonts w:hint="eastAsia" w:ascii="宋体" w:hAnsi="宋体" w:cs="宋体"/>
                <w:color w:val="000000"/>
                <w:spacing w:val="1"/>
                <w:w w:val="99"/>
                <w:sz w:val="20"/>
                <w:szCs w:val="20"/>
                <w:lang w:eastAsia="zh-CN"/>
              </w:rPr>
              <w:t>0</w:t>
            </w:r>
            <w:r>
              <w:rPr>
                <w:rFonts w:hint="eastAsia" w:ascii="宋体" w:hAnsi="宋体" w:cs="宋体"/>
                <w:color w:val="000000"/>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7" w:hRule="exact"/>
          <w:jc w:val="center"/>
        </w:trPr>
        <w:tc>
          <w:tcPr>
            <w:tcW w:w="574" w:type="dxa"/>
            <w:tcBorders>
              <w:top w:val="single" w:color="auto" w:sz="4" w:space="0"/>
              <w:left w:val="single" w:color="auto" w:sz="4" w:space="0"/>
              <w:bottom w:val="single" w:color="auto" w:sz="4" w:space="0"/>
              <w:right w:val="single" w:color="auto" w:sz="4" w:space="0"/>
            </w:tcBorders>
            <w:vAlign w:val="top"/>
          </w:tcPr>
          <w:p>
            <w:pPr>
              <w:pStyle w:val="25"/>
              <w:spacing w:before="10"/>
              <w:rPr>
                <w:rFonts w:ascii="宋体" w:hAnsi="宋体" w:cs="宋体"/>
                <w:color w:val="000000"/>
                <w:sz w:val="17"/>
                <w:szCs w:val="17"/>
                <w:lang w:eastAsia="zh-CN"/>
              </w:rPr>
            </w:pPr>
          </w:p>
          <w:p>
            <w:pPr>
              <w:pStyle w:val="25"/>
              <w:ind w:left="182"/>
              <w:rPr>
                <w:rFonts w:ascii="宋体" w:hAnsi="宋体" w:cs="宋体"/>
                <w:color w:val="000000"/>
                <w:sz w:val="20"/>
                <w:szCs w:val="20"/>
              </w:rPr>
            </w:pPr>
            <w:r>
              <w:rPr>
                <w:rFonts w:hint="eastAsia" w:ascii="宋体"/>
                <w:color w:val="000000"/>
                <w:spacing w:val="1"/>
                <w:w w:val="99"/>
                <w:sz w:val="20"/>
              </w:rPr>
              <w:t>1</w:t>
            </w:r>
            <w:r>
              <w:rPr>
                <w:rFonts w:hint="eastAsia" w:ascii="宋体"/>
                <w:color w:val="000000"/>
                <w:w w:val="99"/>
                <w:sz w:val="20"/>
              </w:rPr>
              <w:t>4</w:t>
            </w:r>
          </w:p>
        </w:tc>
        <w:tc>
          <w:tcPr>
            <w:tcW w:w="1166" w:type="dxa"/>
            <w:tcBorders>
              <w:top w:val="single" w:color="auto" w:sz="4" w:space="0"/>
              <w:left w:val="single" w:color="auto" w:sz="4" w:space="0"/>
              <w:bottom w:val="single" w:color="auto" w:sz="4" w:space="0"/>
              <w:right w:val="single" w:color="auto" w:sz="4" w:space="0"/>
            </w:tcBorders>
            <w:vAlign w:val="top"/>
          </w:tcPr>
          <w:p>
            <w:pPr>
              <w:pStyle w:val="25"/>
              <w:spacing w:before="76"/>
              <w:ind w:left="7"/>
              <w:rPr>
                <w:rFonts w:ascii="宋体" w:hAnsi="宋体" w:cs="宋体"/>
                <w:color w:val="000000"/>
                <w:sz w:val="20"/>
                <w:szCs w:val="20"/>
              </w:rPr>
            </w:pPr>
            <w:r>
              <w:rPr>
                <w:rFonts w:hint="eastAsia" w:ascii="宋体" w:hAnsi="宋体" w:cs="宋体"/>
                <w:color w:val="000000"/>
                <w:spacing w:val="1"/>
                <w:w w:val="99"/>
                <w:sz w:val="20"/>
                <w:szCs w:val="20"/>
              </w:rPr>
              <w:t>A03</w:t>
            </w:r>
            <w:r>
              <w:rPr>
                <w:rFonts w:hint="eastAsia" w:ascii="宋体" w:hAnsi="宋体" w:cs="宋体"/>
                <w:color w:val="000000"/>
                <w:w w:val="99"/>
                <w:sz w:val="20"/>
                <w:szCs w:val="20"/>
              </w:rPr>
              <w:t>12</w:t>
            </w:r>
            <w:r>
              <w:rPr>
                <w:rFonts w:hint="eastAsia" w:ascii="宋体" w:hAnsi="宋体" w:cs="宋体"/>
                <w:color w:val="000000"/>
                <w:spacing w:val="1"/>
                <w:w w:val="99"/>
                <w:sz w:val="20"/>
                <w:szCs w:val="20"/>
              </w:rPr>
              <w:t>1</w:t>
            </w:r>
            <w:r>
              <w:rPr>
                <w:rFonts w:hint="eastAsia" w:ascii="宋体" w:hAnsi="宋体" w:cs="宋体"/>
                <w:color w:val="000000"/>
                <w:w w:val="99"/>
                <w:sz w:val="20"/>
                <w:szCs w:val="20"/>
              </w:rPr>
              <w:t>0饮食</w:t>
            </w:r>
          </w:p>
          <w:p>
            <w:pPr>
              <w:pStyle w:val="25"/>
              <w:spacing w:before="50"/>
              <w:ind w:left="7"/>
              <w:rPr>
                <w:rFonts w:ascii="宋体" w:hAnsi="宋体" w:cs="宋体"/>
                <w:color w:val="000000"/>
                <w:sz w:val="20"/>
                <w:szCs w:val="20"/>
              </w:rPr>
            </w:pPr>
            <w:r>
              <w:rPr>
                <w:rFonts w:hint="eastAsia" w:ascii="宋体" w:hAnsi="宋体" w:cs="宋体"/>
                <w:color w:val="000000"/>
                <w:w w:val="99"/>
                <w:sz w:val="20"/>
                <w:szCs w:val="20"/>
              </w:rPr>
              <w:t>炊事机械</w:t>
            </w:r>
          </w:p>
        </w:tc>
        <w:tc>
          <w:tcPr>
            <w:tcW w:w="1800" w:type="dxa"/>
            <w:tcBorders>
              <w:top w:val="single" w:color="auto" w:sz="4" w:space="0"/>
              <w:left w:val="single" w:color="auto" w:sz="4" w:space="0"/>
              <w:bottom w:val="single" w:color="auto" w:sz="4" w:space="0"/>
              <w:right w:val="single" w:color="auto" w:sz="4" w:space="0"/>
            </w:tcBorders>
            <w:vAlign w:val="top"/>
          </w:tcPr>
          <w:p>
            <w:pPr>
              <w:pStyle w:val="25"/>
              <w:spacing w:before="10"/>
              <w:rPr>
                <w:rFonts w:ascii="宋体" w:hAnsi="宋体" w:cs="宋体"/>
                <w:color w:val="000000"/>
                <w:sz w:val="17"/>
                <w:szCs w:val="17"/>
              </w:rPr>
            </w:pPr>
          </w:p>
          <w:p>
            <w:pPr>
              <w:pStyle w:val="25"/>
              <w:ind w:left="7"/>
              <w:rPr>
                <w:rFonts w:ascii="宋体" w:hAnsi="宋体" w:cs="宋体"/>
                <w:color w:val="000000"/>
                <w:sz w:val="20"/>
                <w:szCs w:val="20"/>
              </w:rPr>
            </w:pPr>
            <w:r>
              <w:rPr>
                <w:rFonts w:hint="eastAsia" w:ascii="宋体" w:hAnsi="宋体" w:cs="宋体"/>
                <w:color w:val="000000"/>
                <w:w w:val="99"/>
                <w:sz w:val="20"/>
                <w:szCs w:val="20"/>
              </w:rPr>
              <w:t>商用燃</w:t>
            </w:r>
            <w:r>
              <w:rPr>
                <w:rFonts w:hint="eastAsia" w:ascii="宋体" w:hAnsi="宋体" w:cs="宋体"/>
                <w:color w:val="000000"/>
                <w:spacing w:val="2"/>
                <w:w w:val="99"/>
                <w:sz w:val="20"/>
                <w:szCs w:val="20"/>
              </w:rPr>
              <w:t>气</w:t>
            </w:r>
            <w:r>
              <w:rPr>
                <w:rFonts w:hint="eastAsia" w:ascii="宋体" w:hAnsi="宋体" w:cs="宋体"/>
                <w:color w:val="000000"/>
                <w:w w:val="99"/>
                <w:sz w:val="20"/>
                <w:szCs w:val="20"/>
              </w:rPr>
              <w:t>灶具</w:t>
            </w:r>
          </w:p>
        </w:tc>
        <w:tc>
          <w:tcPr>
            <w:tcW w:w="1915" w:type="dxa"/>
            <w:tcBorders>
              <w:top w:val="single" w:color="auto" w:sz="4" w:space="0"/>
              <w:left w:val="single" w:color="auto" w:sz="4" w:space="0"/>
              <w:bottom w:val="single" w:color="auto" w:sz="4" w:space="0"/>
              <w:right w:val="single" w:color="auto" w:sz="4" w:space="0"/>
            </w:tcBorders>
            <w:vAlign w:val="top"/>
          </w:tcPr>
          <w:p>
            <w:pPr>
              <w:rPr>
                <w:rFonts w:ascii="Calibri" w:hAnsi="Calibri"/>
                <w:color w:val="000000"/>
                <w:sz w:val="22"/>
                <w:szCs w:val="22"/>
              </w:rPr>
            </w:pPr>
          </w:p>
        </w:tc>
        <w:tc>
          <w:tcPr>
            <w:tcW w:w="2966" w:type="dxa"/>
            <w:tcBorders>
              <w:top w:val="single" w:color="auto" w:sz="4" w:space="0"/>
              <w:left w:val="single" w:color="auto" w:sz="4" w:space="0"/>
              <w:bottom w:val="single" w:color="auto" w:sz="4" w:space="0"/>
              <w:right w:val="single" w:color="auto" w:sz="4" w:space="0"/>
            </w:tcBorders>
            <w:vAlign w:val="top"/>
          </w:tcPr>
          <w:p>
            <w:pPr>
              <w:pStyle w:val="25"/>
              <w:spacing w:before="76" w:line="280" w:lineRule="auto"/>
              <w:ind w:left="7" w:right="4"/>
              <w:rPr>
                <w:rFonts w:ascii="宋体" w:hAnsi="宋体" w:cs="宋体"/>
                <w:color w:val="000000"/>
                <w:sz w:val="20"/>
                <w:szCs w:val="20"/>
                <w:lang w:eastAsia="zh-CN"/>
              </w:rPr>
            </w:pPr>
            <w:r>
              <w:rPr>
                <w:rFonts w:hint="eastAsia" w:ascii="宋体" w:hAnsi="宋体" w:cs="宋体"/>
                <w:color w:val="000000"/>
                <w:spacing w:val="12"/>
                <w:w w:val="99"/>
                <w:sz w:val="20"/>
                <w:szCs w:val="20"/>
                <w:lang w:eastAsia="zh-CN"/>
              </w:rPr>
              <w:t>《商用燃气灶具能效限</w:t>
            </w:r>
            <w:r>
              <w:rPr>
                <w:rFonts w:hint="eastAsia" w:ascii="宋体" w:hAnsi="宋体" w:cs="宋体"/>
                <w:color w:val="000000"/>
                <w:spacing w:val="9"/>
                <w:w w:val="99"/>
                <w:sz w:val="20"/>
                <w:szCs w:val="20"/>
                <w:lang w:eastAsia="zh-CN"/>
              </w:rPr>
              <w:t>定</w:t>
            </w:r>
            <w:r>
              <w:rPr>
                <w:rFonts w:hint="eastAsia" w:ascii="宋体" w:hAnsi="宋体" w:cs="宋体"/>
                <w:color w:val="000000"/>
                <w:spacing w:val="12"/>
                <w:w w:val="99"/>
                <w:sz w:val="20"/>
                <w:szCs w:val="20"/>
                <w:lang w:eastAsia="zh-CN"/>
              </w:rPr>
              <w:t>值及</w:t>
            </w:r>
            <w:r>
              <w:rPr>
                <w:rFonts w:hint="eastAsia" w:ascii="宋体" w:hAnsi="宋体" w:cs="宋体"/>
                <w:color w:val="000000"/>
                <w:w w:val="99"/>
                <w:sz w:val="20"/>
                <w:szCs w:val="20"/>
                <w:lang w:eastAsia="zh-CN"/>
              </w:rPr>
              <w:t>能效等级</w:t>
            </w:r>
            <w:r>
              <w:rPr>
                <w:rFonts w:hint="eastAsia" w:ascii="宋体" w:hAnsi="宋体" w:cs="宋体"/>
                <w:color w:val="000000"/>
                <w:spacing w:val="2"/>
                <w:w w:val="99"/>
                <w:sz w:val="20"/>
                <w:szCs w:val="20"/>
                <w:lang w:eastAsia="zh-CN"/>
              </w:rPr>
              <w:t>》</w:t>
            </w:r>
            <w:r>
              <w:rPr>
                <w:rFonts w:hint="eastAsia" w:ascii="宋体" w:hAnsi="宋体" w:cs="宋体"/>
                <w:color w:val="000000"/>
                <w:w w:val="99"/>
                <w:sz w:val="20"/>
                <w:szCs w:val="20"/>
                <w:lang w:eastAsia="zh-CN"/>
              </w:rPr>
              <w:t>（</w:t>
            </w:r>
            <w:r>
              <w:rPr>
                <w:rFonts w:hint="eastAsia" w:ascii="宋体" w:hAnsi="宋体" w:cs="宋体"/>
                <w:color w:val="000000"/>
                <w:spacing w:val="1"/>
                <w:w w:val="99"/>
                <w:sz w:val="20"/>
                <w:szCs w:val="20"/>
                <w:lang w:eastAsia="zh-CN"/>
              </w:rPr>
              <w:t>G</w:t>
            </w:r>
            <w:r>
              <w:rPr>
                <w:rFonts w:hint="eastAsia" w:ascii="宋体" w:hAnsi="宋体" w:cs="宋体"/>
                <w:color w:val="000000"/>
                <w:w w:val="99"/>
                <w:sz w:val="20"/>
                <w:szCs w:val="20"/>
                <w:lang w:eastAsia="zh-CN"/>
              </w:rPr>
              <w:t>B</w:t>
            </w:r>
            <w:r>
              <w:rPr>
                <w:rFonts w:hint="eastAsia" w:ascii="宋体" w:hAnsi="宋体" w:cs="宋体"/>
                <w:color w:val="000000"/>
                <w:spacing w:val="1"/>
                <w:w w:val="99"/>
                <w:sz w:val="20"/>
                <w:szCs w:val="20"/>
                <w:lang w:eastAsia="zh-CN"/>
              </w:rPr>
              <w:t>30</w:t>
            </w:r>
            <w:r>
              <w:rPr>
                <w:rFonts w:hint="eastAsia" w:ascii="宋体" w:hAnsi="宋体" w:cs="宋体"/>
                <w:color w:val="000000"/>
                <w:w w:val="99"/>
                <w:sz w:val="20"/>
                <w:szCs w:val="20"/>
                <w:lang w:eastAsia="zh-CN"/>
              </w:rPr>
              <w:t>53</w:t>
            </w:r>
            <w:r>
              <w:rPr>
                <w:rFonts w:hint="eastAsia" w:ascii="宋体" w:hAnsi="宋体" w:cs="宋体"/>
                <w:color w:val="000000"/>
                <w:spacing w:val="1"/>
                <w:w w:val="99"/>
                <w:sz w:val="20"/>
                <w:szCs w:val="20"/>
                <w:lang w:eastAsia="zh-CN"/>
              </w:rPr>
              <w:t>1</w:t>
            </w:r>
            <w:r>
              <w:rPr>
                <w:rFonts w:hint="eastAsia" w:ascii="宋体" w:hAnsi="宋体" w:cs="宋体"/>
                <w:color w:val="000000"/>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6" w:hRule="exact"/>
          <w:jc w:val="center"/>
        </w:trPr>
        <w:tc>
          <w:tcPr>
            <w:tcW w:w="574" w:type="dxa"/>
            <w:vMerge w:val="restart"/>
            <w:tcBorders>
              <w:top w:val="single" w:color="auto" w:sz="4" w:space="0"/>
              <w:left w:val="single" w:color="auto" w:sz="4" w:space="0"/>
              <w:bottom w:val="single" w:color="auto" w:sz="4" w:space="0"/>
              <w:right w:val="single" w:color="auto" w:sz="4" w:space="0"/>
            </w:tcBorders>
            <w:vAlign w:val="top"/>
          </w:tcPr>
          <w:p>
            <w:pPr>
              <w:pStyle w:val="25"/>
              <w:rPr>
                <w:rFonts w:ascii="宋体" w:hAnsi="宋体" w:cs="宋体"/>
                <w:color w:val="000000"/>
                <w:sz w:val="20"/>
                <w:szCs w:val="20"/>
                <w:lang w:eastAsia="zh-CN"/>
              </w:rPr>
            </w:pPr>
          </w:p>
          <w:p>
            <w:pPr>
              <w:pStyle w:val="25"/>
              <w:rPr>
                <w:rFonts w:hint="eastAsia" w:ascii="宋体" w:hAnsi="宋体" w:cs="宋体"/>
                <w:color w:val="000000"/>
                <w:sz w:val="20"/>
                <w:szCs w:val="20"/>
                <w:lang w:eastAsia="zh-CN"/>
              </w:rPr>
            </w:pPr>
          </w:p>
          <w:p>
            <w:pPr>
              <w:pStyle w:val="25"/>
              <w:rPr>
                <w:rFonts w:hint="eastAsia" w:ascii="宋体" w:hAnsi="宋体" w:cs="宋体"/>
                <w:color w:val="000000"/>
                <w:sz w:val="20"/>
                <w:szCs w:val="20"/>
                <w:lang w:eastAsia="zh-CN"/>
              </w:rPr>
            </w:pPr>
          </w:p>
          <w:p>
            <w:pPr>
              <w:pStyle w:val="25"/>
              <w:spacing w:before="1"/>
              <w:rPr>
                <w:rFonts w:hint="eastAsia" w:ascii="宋体" w:hAnsi="宋体" w:cs="宋体"/>
                <w:color w:val="000000"/>
                <w:sz w:val="29"/>
                <w:szCs w:val="29"/>
                <w:lang w:eastAsia="zh-CN"/>
              </w:rPr>
            </w:pPr>
          </w:p>
          <w:p>
            <w:pPr>
              <w:pStyle w:val="25"/>
              <w:ind w:left="182"/>
              <w:rPr>
                <w:rFonts w:hint="eastAsia" w:ascii="宋体"/>
                <w:color w:val="000000"/>
                <w:w w:val="99"/>
                <w:sz w:val="20"/>
              </w:rPr>
            </w:pPr>
            <w:r>
              <w:rPr>
                <w:rFonts w:hint="eastAsia" w:ascii="宋体"/>
                <w:color w:val="000000"/>
                <w:spacing w:val="1"/>
                <w:w w:val="99"/>
                <w:sz w:val="20"/>
              </w:rPr>
              <w:t>1</w:t>
            </w:r>
            <w:r>
              <w:rPr>
                <w:rFonts w:hint="eastAsia" w:ascii="宋体"/>
                <w:color w:val="000000"/>
                <w:w w:val="99"/>
                <w:sz w:val="20"/>
              </w:rPr>
              <w:t>5</w:t>
            </w:r>
          </w:p>
          <w:p>
            <w:pPr>
              <w:rPr>
                <w:rFonts w:hint="eastAsia"/>
                <w:color w:val="000000"/>
                <w:lang w:eastAsia="en-US"/>
              </w:rPr>
            </w:pPr>
          </w:p>
          <w:p>
            <w:pPr>
              <w:rPr>
                <w:rFonts w:hint="eastAsia"/>
                <w:color w:val="000000"/>
                <w:lang w:eastAsia="en-US"/>
              </w:rPr>
            </w:pPr>
          </w:p>
          <w:p>
            <w:pPr>
              <w:rPr>
                <w:rFonts w:hint="eastAsia"/>
                <w:color w:val="000000"/>
                <w:lang w:eastAsia="en-US"/>
              </w:rPr>
            </w:pPr>
          </w:p>
          <w:p>
            <w:pPr>
              <w:rPr>
                <w:rFonts w:hint="eastAsia"/>
                <w:color w:val="000000"/>
                <w:lang w:eastAsia="en-US"/>
              </w:rPr>
            </w:pPr>
          </w:p>
          <w:p>
            <w:pPr>
              <w:rPr>
                <w:rFonts w:hint="eastAsia"/>
                <w:color w:val="000000"/>
                <w:lang w:eastAsia="en-US"/>
              </w:rPr>
            </w:pPr>
          </w:p>
          <w:p>
            <w:pPr>
              <w:rPr>
                <w:rFonts w:hint="eastAsia"/>
                <w:color w:val="000000"/>
                <w:lang w:eastAsia="en-US"/>
              </w:rPr>
            </w:pPr>
          </w:p>
          <w:p>
            <w:pPr>
              <w:rPr>
                <w:rFonts w:hint="eastAsia"/>
                <w:color w:val="000000"/>
                <w:lang w:eastAsia="en-US"/>
              </w:rPr>
            </w:pPr>
          </w:p>
          <w:p>
            <w:pPr>
              <w:rPr>
                <w:rFonts w:hint="eastAsia"/>
                <w:color w:val="000000"/>
                <w:lang w:eastAsia="en-US"/>
              </w:rPr>
            </w:pPr>
          </w:p>
          <w:p>
            <w:pPr>
              <w:rPr>
                <w:rFonts w:hint="eastAsia"/>
                <w:color w:val="000000"/>
                <w:lang w:eastAsia="en-US"/>
              </w:rPr>
            </w:pPr>
          </w:p>
          <w:p>
            <w:pPr>
              <w:rPr>
                <w:color w:val="000000"/>
                <w:lang w:eastAsia="en-US"/>
              </w:rPr>
            </w:pPr>
          </w:p>
        </w:tc>
        <w:tc>
          <w:tcPr>
            <w:tcW w:w="1166" w:type="dxa"/>
            <w:vMerge w:val="restart"/>
            <w:tcBorders>
              <w:top w:val="single" w:color="auto" w:sz="4" w:space="0"/>
              <w:left w:val="single" w:color="auto" w:sz="4" w:space="0"/>
              <w:bottom w:val="single" w:color="auto" w:sz="4" w:space="0"/>
              <w:right w:val="single" w:color="auto" w:sz="4" w:space="0"/>
            </w:tcBorders>
            <w:vAlign w:val="top"/>
          </w:tcPr>
          <w:p>
            <w:pPr>
              <w:pStyle w:val="25"/>
              <w:rPr>
                <w:rFonts w:ascii="宋体" w:hAnsi="宋体" w:cs="宋体"/>
                <w:color w:val="000000"/>
                <w:sz w:val="20"/>
                <w:szCs w:val="20"/>
              </w:rPr>
            </w:pPr>
          </w:p>
          <w:p>
            <w:pPr>
              <w:pStyle w:val="25"/>
              <w:rPr>
                <w:rFonts w:hint="eastAsia" w:ascii="宋体" w:hAnsi="宋体" w:cs="宋体"/>
                <w:color w:val="000000"/>
                <w:sz w:val="20"/>
                <w:szCs w:val="20"/>
              </w:rPr>
            </w:pPr>
          </w:p>
          <w:p>
            <w:pPr>
              <w:pStyle w:val="25"/>
              <w:spacing w:before="9"/>
              <w:rPr>
                <w:rFonts w:hint="eastAsia" w:ascii="宋体" w:hAnsi="宋体" w:cs="宋体"/>
                <w:color w:val="000000"/>
                <w:sz w:val="17"/>
                <w:szCs w:val="17"/>
              </w:rPr>
            </w:pPr>
          </w:p>
          <w:p>
            <w:pPr>
              <w:pStyle w:val="25"/>
              <w:ind w:left="7"/>
              <w:rPr>
                <w:rFonts w:hint="eastAsia" w:ascii="宋体" w:hAnsi="宋体" w:cs="宋体"/>
                <w:color w:val="000000"/>
                <w:sz w:val="20"/>
                <w:szCs w:val="20"/>
              </w:rPr>
            </w:pPr>
            <w:r>
              <w:rPr>
                <w:rFonts w:hint="eastAsia" w:ascii="宋体" w:hAnsi="宋体" w:cs="宋体"/>
                <w:color w:val="000000"/>
                <w:w w:val="99"/>
                <w:sz w:val="20"/>
                <w:szCs w:val="20"/>
              </w:rPr>
              <w:t>★</w:t>
            </w:r>
            <w:r>
              <w:rPr>
                <w:rFonts w:hint="eastAsia" w:ascii="宋体" w:hAnsi="宋体" w:cs="宋体"/>
                <w:color w:val="000000"/>
                <w:spacing w:val="1"/>
                <w:w w:val="99"/>
                <w:sz w:val="20"/>
                <w:szCs w:val="20"/>
              </w:rPr>
              <w:t>A060</w:t>
            </w:r>
            <w:r>
              <w:rPr>
                <w:rFonts w:hint="eastAsia" w:ascii="宋体" w:hAnsi="宋体" w:cs="宋体"/>
                <w:color w:val="000000"/>
                <w:w w:val="99"/>
                <w:sz w:val="20"/>
                <w:szCs w:val="20"/>
              </w:rPr>
              <w:t>805便</w:t>
            </w:r>
          </w:p>
          <w:p>
            <w:pPr>
              <w:pStyle w:val="25"/>
              <w:spacing w:before="50"/>
              <w:ind w:left="7"/>
              <w:rPr>
                <w:rFonts w:hint="eastAsia" w:ascii="宋体" w:hAnsi="宋体" w:cs="宋体"/>
                <w:color w:val="000000"/>
                <w:w w:val="99"/>
                <w:sz w:val="20"/>
                <w:szCs w:val="20"/>
              </w:rPr>
            </w:pPr>
            <w:r>
              <w:rPr>
                <w:rFonts w:hint="eastAsia" w:ascii="宋体" w:hAnsi="宋体" w:cs="宋体"/>
                <w:color w:val="000000"/>
                <w:w w:val="99"/>
                <w:sz w:val="20"/>
                <w:szCs w:val="20"/>
              </w:rPr>
              <w:t>器</w:t>
            </w:r>
          </w:p>
          <w:p>
            <w:pPr>
              <w:rPr>
                <w:rFonts w:hint="eastAsia"/>
                <w:color w:val="000000"/>
                <w:lang w:eastAsia="en-US"/>
              </w:rPr>
            </w:pPr>
          </w:p>
          <w:p>
            <w:pPr>
              <w:rPr>
                <w:rFonts w:hint="eastAsia"/>
                <w:color w:val="000000"/>
                <w:lang w:eastAsia="en-US"/>
              </w:rPr>
            </w:pPr>
          </w:p>
          <w:p>
            <w:pPr>
              <w:rPr>
                <w:rFonts w:hint="eastAsia"/>
                <w:color w:val="000000"/>
                <w:lang w:eastAsia="en-US"/>
              </w:rPr>
            </w:pPr>
          </w:p>
          <w:p>
            <w:pPr>
              <w:rPr>
                <w:rFonts w:hint="eastAsia"/>
                <w:color w:val="000000"/>
                <w:lang w:eastAsia="en-US"/>
              </w:rPr>
            </w:pPr>
          </w:p>
          <w:p>
            <w:pPr>
              <w:rPr>
                <w:rFonts w:hint="eastAsia"/>
                <w:color w:val="000000"/>
                <w:lang w:eastAsia="en-US"/>
              </w:rPr>
            </w:pPr>
          </w:p>
          <w:p>
            <w:pPr>
              <w:rPr>
                <w:rFonts w:hint="eastAsia"/>
                <w:color w:val="000000"/>
                <w:lang w:eastAsia="en-US"/>
              </w:rPr>
            </w:pPr>
          </w:p>
          <w:p>
            <w:pPr>
              <w:rPr>
                <w:rFonts w:hint="eastAsia"/>
                <w:color w:val="000000"/>
                <w:lang w:eastAsia="en-US"/>
              </w:rPr>
            </w:pPr>
          </w:p>
          <w:p>
            <w:pPr>
              <w:rPr>
                <w:rFonts w:hint="eastAsia"/>
                <w:color w:val="000000"/>
                <w:lang w:eastAsia="en-US"/>
              </w:rPr>
            </w:pPr>
          </w:p>
          <w:p>
            <w:pPr>
              <w:rPr>
                <w:rFonts w:hint="eastAsia"/>
                <w:color w:val="000000"/>
                <w:lang w:eastAsia="en-US"/>
              </w:rPr>
            </w:pPr>
          </w:p>
          <w:p>
            <w:pPr>
              <w:rPr>
                <w:rFonts w:hint="eastAsia"/>
                <w:color w:val="000000"/>
                <w:lang w:eastAsia="en-US"/>
              </w:rPr>
            </w:pPr>
          </w:p>
          <w:p>
            <w:pPr>
              <w:rPr>
                <w:rFonts w:hint="eastAsia"/>
                <w:color w:val="000000"/>
                <w:lang w:eastAsia="en-US"/>
              </w:rPr>
            </w:pPr>
          </w:p>
          <w:p>
            <w:pPr>
              <w:rPr>
                <w:color w:val="000000"/>
                <w:lang w:eastAsia="en-US"/>
              </w:rPr>
            </w:pPr>
          </w:p>
        </w:tc>
        <w:tc>
          <w:tcPr>
            <w:tcW w:w="1800" w:type="dxa"/>
            <w:tcBorders>
              <w:top w:val="single" w:color="auto" w:sz="4" w:space="0"/>
              <w:left w:val="single" w:color="auto" w:sz="4" w:space="0"/>
              <w:bottom w:val="single" w:color="auto" w:sz="4" w:space="0"/>
              <w:right w:val="single" w:color="auto" w:sz="4" w:space="0"/>
            </w:tcBorders>
            <w:vAlign w:val="top"/>
          </w:tcPr>
          <w:p>
            <w:pPr>
              <w:pStyle w:val="25"/>
              <w:spacing w:before="5"/>
              <w:rPr>
                <w:rFonts w:ascii="宋体" w:hAnsi="宋体" w:cs="宋体"/>
                <w:color w:val="000000"/>
                <w:sz w:val="21"/>
                <w:szCs w:val="21"/>
              </w:rPr>
            </w:pPr>
          </w:p>
          <w:p>
            <w:pPr>
              <w:pStyle w:val="25"/>
              <w:ind w:left="7"/>
              <w:rPr>
                <w:rFonts w:ascii="宋体" w:hAnsi="宋体" w:cs="宋体"/>
                <w:color w:val="000000"/>
                <w:sz w:val="20"/>
                <w:szCs w:val="20"/>
              </w:rPr>
            </w:pPr>
            <w:r>
              <w:rPr>
                <w:rFonts w:hint="eastAsia" w:ascii="宋体" w:hAnsi="宋体" w:cs="宋体"/>
                <w:color w:val="000000"/>
                <w:w w:val="99"/>
                <w:sz w:val="20"/>
                <w:szCs w:val="20"/>
              </w:rPr>
              <w:t>坐便器</w:t>
            </w:r>
          </w:p>
        </w:tc>
        <w:tc>
          <w:tcPr>
            <w:tcW w:w="1915" w:type="dxa"/>
            <w:tcBorders>
              <w:top w:val="single" w:color="auto" w:sz="4" w:space="0"/>
              <w:left w:val="single" w:color="auto" w:sz="4" w:space="0"/>
              <w:bottom w:val="single" w:color="auto" w:sz="4" w:space="0"/>
              <w:right w:val="single" w:color="auto" w:sz="4" w:space="0"/>
            </w:tcBorders>
            <w:vAlign w:val="top"/>
          </w:tcPr>
          <w:p>
            <w:pPr>
              <w:rPr>
                <w:rFonts w:ascii="Calibri" w:hAnsi="Calibri"/>
                <w:color w:val="000000"/>
                <w:sz w:val="22"/>
                <w:szCs w:val="22"/>
              </w:rPr>
            </w:pPr>
          </w:p>
        </w:tc>
        <w:tc>
          <w:tcPr>
            <w:tcW w:w="2966" w:type="dxa"/>
            <w:tcBorders>
              <w:top w:val="single" w:color="auto" w:sz="4" w:space="0"/>
              <w:left w:val="single" w:color="auto" w:sz="4" w:space="0"/>
              <w:bottom w:val="single" w:color="auto" w:sz="4" w:space="0"/>
              <w:right w:val="single" w:color="auto" w:sz="4" w:space="0"/>
            </w:tcBorders>
            <w:vAlign w:val="top"/>
          </w:tcPr>
          <w:p>
            <w:pPr>
              <w:pStyle w:val="25"/>
              <w:spacing w:before="124"/>
              <w:ind w:left="7"/>
              <w:rPr>
                <w:rFonts w:ascii="宋体" w:hAnsi="宋体" w:cs="宋体"/>
                <w:color w:val="000000"/>
                <w:sz w:val="20"/>
                <w:szCs w:val="20"/>
                <w:lang w:eastAsia="zh-CN"/>
              </w:rPr>
            </w:pPr>
            <w:r>
              <w:rPr>
                <w:rFonts w:hint="eastAsia" w:ascii="宋体" w:hAnsi="宋体" w:cs="宋体"/>
                <w:color w:val="000000"/>
                <w:w w:val="99"/>
                <w:sz w:val="20"/>
                <w:szCs w:val="20"/>
                <w:lang w:eastAsia="zh-CN"/>
              </w:rPr>
              <w:t>《坐便</w:t>
            </w:r>
            <w:r>
              <w:rPr>
                <w:rFonts w:hint="eastAsia" w:ascii="宋体" w:hAnsi="宋体" w:cs="宋体"/>
                <w:color w:val="000000"/>
                <w:spacing w:val="2"/>
                <w:w w:val="99"/>
                <w:sz w:val="20"/>
                <w:szCs w:val="20"/>
                <w:lang w:eastAsia="zh-CN"/>
              </w:rPr>
              <w:t>器</w:t>
            </w:r>
            <w:r>
              <w:rPr>
                <w:rFonts w:hint="eastAsia" w:ascii="宋体" w:hAnsi="宋体" w:cs="宋体"/>
                <w:color w:val="000000"/>
                <w:w w:val="99"/>
                <w:sz w:val="20"/>
                <w:szCs w:val="20"/>
                <w:lang w:eastAsia="zh-CN"/>
              </w:rPr>
              <w:t>水效</w:t>
            </w:r>
            <w:r>
              <w:rPr>
                <w:rFonts w:hint="eastAsia" w:ascii="宋体" w:hAnsi="宋体" w:cs="宋体"/>
                <w:color w:val="000000"/>
                <w:spacing w:val="2"/>
                <w:w w:val="99"/>
                <w:sz w:val="20"/>
                <w:szCs w:val="20"/>
                <w:lang w:eastAsia="zh-CN"/>
              </w:rPr>
              <w:t>限</w:t>
            </w:r>
            <w:r>
              <w:rPr>
                <w:rFonts w:hint="eastAsia" w:ascii="宋体" w:hAnsi="宋体" w:cs="宋体"/>
                <w:color w:val="000000"/>
                <w:w w:val="99"/>
                <w:sz w:val="20"/>
                <w:szCs w:val="20"/>
                <w:lang w:eastAsia="zh-CN"/>
              </w:rPr>
              <w:t>定值</w:t>
            </w:r>
            <w:r>
              <w:rPr>
                <w:rFonts w:hint="eastAsia" w:ascii="宋体" w:hAnsi="宋体" w:cs="宋体"/>
                <w:color w:val="000000"/>
                <w:spacing w:val="2"/>
                <w:w w:val="99"/>
                <w:sz w:val="20"/>
                <w:szCs w:val="20"/>
                <w:lang w:eastAsia="zh-CN"/>
              </w:rPr>
              <w:t>及</w:t>
            </w:r>
            <w:r>
              <w:rPr>
                <w:rFonts w:hint="eastAsia" w:ascii="宋体" w:hAnsi="宋体" w:cs="宋体"/>
                <w:color w:val="000000"/>
                <w:w w:val="99"/>
                <w:sz w:val="20"/>
                <w:szCs w:val="20"/>
                <w:lang w:eastAsia="zh-CN"/>
              </w:rPr>
              <w:t>水</w:t>
            </w:r>
            <w:r>
              <w:rPr>
                <w:rFonts w:hint="eastAsia" w:ascii="宋体" w:hAnsi="宋体" w:cs="宋体"/>
                <w:color w:val="000000"/>
                <w:spacing w:val="2"/>
                <w:w w:val="99"/>
                <w:sz w:val="20"/>
                <w:szCs w:val="20"/>
                <w:lang w:eastAsia="zh-CN"/>
              </w:rPr>
              <w:t>效</w:t>
            </w:r>
            <w:r>
              <w:rPr>
                <w:rFonts w:hint="eastAsia" w:ascii="宋体" w:hAnsi="宋体" w:cs="宋体"/>
                <w:color w:val="000000"/>
                <w:w w:val="99"/>
                <w:sz w:val="20"/>
                <w:szCs w:val="20"/>
                <w:lang w:eastAsia="zh-CN"/>
              </w:rPr>
              <w:t>等级</w:t>
            </w:r>
          </w:p>
          <w:p>
            <w:pPr>
              <w:pStyle w:val="25"/>
              <w:spacing w:before="50"/>
              <w:ind w:left="7"/>
              <w:rPr>
                <w:rFonts w:ascii="宋体" w:hAnsi="宋体" w:cs="宋体"/>
                <w:color w:val="000000"/>
                <w:sz w:val="20"/>
                <w:szCs w:val="20"/>
              </w:rPr>
            </w:pPr>
            <w:r>
              <w:rPr>
                <w:rFonts w:hint="eastAsia" w:ascii="宋体" w:hAnsi="宋体" w:cs="宋体"/>
                <w:color w:val="000000"/>
                <w:w w:val="99"/>
                <w:sz w:val="20"/>
                <w:szCs w:val="20"/>
              </w:rPr>
              <w:t>（</w:t>
            </w:r>
            <w:r>
              <w:rPr>
                <w:rFonts w:hint="eastAsia" w:ascii="宋体" w:hAnsi="宋体" w:cs="宋体"/>
                <w:color w:val="000000"/>
                <w:spacing w:val="1"/>
                <w:w w:val="99"/>
                <w:sz w:val="20"/>
                <w:szCs w:val="20"/>
              </w:rPr>
              <w:t>G</w:t>
            </w:r>
            <w:r>
              <w:rPr>
                <w:rFonts w:hint="eastAsia" w:ascii="宋体" w:hAnsi="宋体" w:cs="宋体"/>
                <w:color w:val="000000"/>
                <w:w w:val="99"/>
                <w:sz w:val="20"/>
                <w:szCs w:val="20"/>
              </w:rPr>
              <w:t>B</w:t>
            </w:r>
            <w:r>
              <w:rPr>
                <w:rFonts w:hint="eastAsia" w:ascii="宋体" w:hAnsi="宋体" w:cs="宋体"/>
                <w:color w:val="000000"/>
                <w:spacing w:val="1"/>
                <w:w w:val="99"/>
                <w:sz w:val="20"/>
                <w:szCs w:val="20"/>
              </w:rPr>
              <w:t>2</w:t>
            </w:r>
            <w:r>
              <w:rPr>
                <w:rFonts w:hint="eastAsia" w:ascii="宋体" w:hAnsi="宋体" w:cs="宋体"/>
                <w:color w:val="000000"/>
                <w:w w:val="99"/>
                <w:sz w:val="20"/>
                <w:szCs w:val="20"/>
              </w:rPr>
              <w:t>55</w:t>
            </w:r>
            <w:r>
              <w:rPr>
                <w:rFonts w:hint="eastAsia" w:ascii="宋体" w:hAnsi="宋体" w:cs="宋体"/>
                <w:color w:val="000000"/>
                <w:spacing w:val="1"/>
                <w:w w:val="99"/>
                <w:sz w:val="20"/>
                <w:szCs w:val="20"/>
              </w:rPr>
              <w:t>02</w:t>
            </w:r>
            <w:r>
              <w:rPr>
                <w:rFonts w:hint="eastAsia" w:ascii="宋体" w:hAnsi="宋体" w:cs="宋体"/>
                <w:color w:val="000000"/>
                <w:w w:val="99"/>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6" w:hRule="exact"/>
          <w:jc w:val="center"/>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Times New Roman" w:cs="宋体"/>
                <w:color w:val="000000"/>
                <w:kern w:val="0"/>
                <w:sz w:val="20"/>
                <w:szCs w:val="20"/>
                <w:lang w:eastAsia="en-US"/>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Times New Roman" w:cs="宋体"/>
                <w:color w:val="000000"/>
                <w:kern w:val="0"/>
                <w:sz w:val="20"/>
                <w:szCs w:val="20"/>
                <w:lang w:eastAsia="en-US"/>
              </w:rPr>
            </w:pPr>
          </w:p>
        </w:tc>
        <w:tc>
          <w:tcPr>
            <w:tcW w:w="1800" w:type="dxa"/>
            <w:tcBorders>
              <w:top w:val="single" w:color="auto" w:sz="4" w:space="0"/>
              <w:left w:val="single" w:color="auto" w:sz="4" w:space="0"/>
              <w:bottom w:val="single" w:color="auto" w:sz="4" w:space="0"/>
              <w:right w:val="single" w:color="auto" w:sz="4" w:space="0"/>
            </w:tcBorders>
            <w:vAlign w:val="top"/>
          </w:tcPr>
          <w:p>
            <w:pPr>
              <w:pStyle w:val="25"/>
              <w:spacing w:before="5"/>
              <w:rPr>
                <w:rFonts w:ascii="宋体" w:hAnsi="宋体" w:cs="宋体"/>
                <w:color w:val="000000"/>
                <w:sz w:val="21"/>
                <w:szCs w:val="21"/>
              </w:rPr>
            </w:pPr>
          </w:p>
          <w:p>
            <w:pPr>
              <w:pStyle w:val="25"/>
              <w:ind w:left="7"/>
              <w:rPr>
                <w:rFonts w:ascii="宋体" w:hAnsi="宋体" w:cs="宋体"/>
                <w:color w:val="000000"/>
                <w:sz w:val="20"/>
                <w:szCs w:val="20"/>
              </w:rPr>
            </w:pPr>
            <w:r>
              <w:rPr>
                <w:rFonts w:hint="eastAsia" w:ascii="宋体" w:hAnsi="宋体" w:cs="宋体"/>
                <w:color w:val="000000"/>
                <w:w w:val="99"/>
                <w:sz w:val="20"/>
                <w:szCs w:val="20"/>
              </w:rPr>
              <w:t>蹲便器</w:t>
            </w:r>
          </w:p>
        </w:tc>
        <w:tc>
          <w:tcPr>
            <w:tcW w:w="1915" w:type="dxa"/>
            <w:tcBorders>
              <w:top w:val="single" w:color="auto" w:sz="4" w:space="0"/>
              <w:left w:val="single" w:color="auto" w:sz="4" w:space="0"/>
              <w:bottom w:val="single" w:color="auto" w:sz="4" w:space="0"/>
              <w:right w:val="single" w:color="auto" w:sz="4" w:space="0"/>
            </w:tcBorders>
            <w:vAlign w:val="top"/>
          </w:tcPr>
          <w:p>
            <w:pPr>
              <w:rPr>
                <w:rFonts w:ascii="Calibri" w:hAnsi="Calibri"/>
                <w:color w:val="000000"/>
                <w:sz w:val="22"/>
                <w:szCs w:val="22"/>
              </w:rPr>
            </w:pPr>
          </w:p>
        </w:tc>
        <w:tc>
          <w:tcPr>
            <w:tcW w:w="2966" w:type="dxa"/>
            <w:tcBorders>
              <w:top w:val="single" w:color="auto" w:sz="4" w:space="0"/>
              <w:left w:val="single" w:color="auto" w:sz="4" w:space="0"/>
              <w:bottom w:val="single" w:color="auto" w:sz="4" w:space="0"/>
              <w:right w:val="single" w:color="auto" w:sz="4" w:space="0"/>
            </w:tcBorders>
            <w:vAlign w:val="top"/>
          </w:tcPr>
          <w:p>
            <w:pPr>
              <w:pStyle w:val="25"/>
              <w:spacing w:before="124" w:line="280" w:lineRule="auto"/>
              <w:ind w:left="7" w:right="4"/>
              <w:rPr>
                <w:rFonts w:ascii="宋体" w:hAnsi="宋体" w:cs="宋体"/>
                <w:color w:val="000000"/>
                <w:sz w:val="20"/>
                <w:szCs w:val="20"/>
                <w:lang w:eastAsia="zh-CN"/>
              </w:rPr>
            </w:pPr>
            <w:r>
              <w:rPr>
                <w:rFonts w:hint="eastAsia" w:ascii="宋体" w:hAnsi="宋体" w:cs="宋体"/>
                <w:color w:val="000000"/>
                <w:spacing w:val="12"/>
                <w:w w:val="99"/>
                <w:sz w:val="20"/>
                <w:szCs w:val="20"/>
                <w:lang w:eastAsia="zh-CN"/>
              </w:rPr>
              <w:t>《蹲便器用水效率限定</w:t>
            </w:r>
            <w:r>
              <w:rPr>
                <w:rFonts w:hint="eastAsia" w:ascii="宋体" w:hAnsi="宋体" w:cs="宋体"/>
                <w:color w:val="000000"/>
                <w:spacing w:val="9"/>
                <w:w w:val="99"/>
                <w:sz w:val="20"/>
                <w:szCs w:val="20"/>
                <w:lang w:eastAsia="zh-CN"/>
              </w:rPr>
              <w:t>值</w:t>
            </w:r>
            <w:r>
              <w:rPr>
                <w:rFonts w:hint="eastAsia" w:ascii="宋体" w:hAnsi="宋体" w:cs="宋体"/>
                <w:color w:val="000000"/>
                <w:spacing w:val="12"/>
                <w:w w:val="99"/>
                <w:sz w:val="20"/>
                <w:szCs w:val="20"/>
                <w:lang w:eastAsia="zh-CN"/>
              </w:rPr>
              <w:t>及用</w:t>
            </w:r>
            <w:r>
              <w:rPr>
                <w:rFonts w:hint="eastAsia" w:ascii="宋体" w:hAnsi="宋体" w:cs="宋体"/>
                <w:color w:val="000000"/>
                <w:w w:val="99"/>
                <w:sz w:val="20"/>
                <w:szCs w:val="20"/>
                <w:lang w:eastAsia="zh-CN"/>
              </w:rPr>
              <w:t>水效率等</w:t>
            </w:r>
            <w:r>
              <w:rPr>
                <w:rFonts w:hint="eastAsia" w:ascii="宋体" w:hAnsi="宋体" w:cs="宋体"/>
                <w:color w:val="000000"/>
                <w:spacing w:val="2"/>
                <w:w w:val="99"/>
                <w:sz w:val="20"/>
                <w:szCs w:val="20"/>
                <w:lang w:eastAsia="zh-CN"/>
              </w:rPr>
              <w:t>级</w:t>
            </w:r>
            <w:r>
              <w:rPr>
                <w:rFonts w:hint="eastAsia" w:ascii="宋体" w:hAnsi="宋体" w:cs="宋体"/>
                <w:color w:val="000000"/>
                <w:w w:val="99"/>
                <w:sz w:val="20"/>
                <w:szCs w:val="20"/>
                <w:lang w:eastAsia="zh-CN"/>
              </w:rPr>
              <w:t>》（</w:t>
            </w:r>
            <w:r>
              <w:rPr>
                <w:rFonts w:hint="eastAsia" w:ascii="宋体" w:hAnsi="宋体" w:cs="宋体"/>
                <w:color w:val="000000"/>
                <w:spacing w:val="1"/>
                <w:w w:val="99"/>
                <w:sz w:val="20"/>
                <w:szCs w:val="20"/>
                <w:lang w:eastAsia="zh-CN"/>
              </w:rPr>
              <w:t>G</w:t>
            </w:r>
            <w:r>
              <w:rPr>
                <w:rFonts w:hint="eastAsia" w:ascii="宋体" w:hAnsi="宋体" w:cs="宋体"/>
                <w:color w:val="000000"/>
                <w:w w:val="99"/>
                <w:sz w:val="20"/>
                <w:szCs w:val="20"/>
                <w:lang w:eastAsia="zh-CN"/>
              </w:rPr>
              <w:t>B</w:t>
            </w:r>
            <w:r>
              <w:rPr>
                <w:rFonts w:hint="eastAsia" w:ascii="宋体" w:hAnsi="宋体" w:cs="宋体"/>
                <w:color w:val="000000"/>
                <w:spacing w:val="1"/>
                <w:w w:val="99"/>
                <w:sz w:val="20"/>
                <w:szCs w:val="20"/>
                <w:lang w:eastAsia="zh-CN"/>
              </w:rPr>
              <w:t>307</w:t>
            </w:r>
            <w:r>
              <w:rPr>
                <w:rFonts w:hint="eastAsia" w:ascii="宋体" w:hAnsi="宋体" w:cs="宋体"/>
                <w:color w:val="000000"/>
                <w:w w:val="99"/>
                <w:sz w:val="20"/>
                <w:szCs w:val="20"/>
                <w:lang w:eastAsia="zh-CN"/>
              </w:rPr>
              <w:t>1</w:t>
            </w:r>
            <w:r>
              <w:rPr>
                <w:rFonts w:hint="eastAsia" w:ascii="宋体" w:hAnsi="宋体" w:cs="宋体"/>
                <w:color w:val="000000"/>
                <w:spacing w:val="-1"/>
                <w:w w:val="99"/>
                <w:sz w:val="20"/>
                <w:szCs w:val="20"/>
                <w:lang w:eastAsia="zh-CN"/>
              </w:rPr>
              <w:t>7</w:t>
            </w:r>
            <w:r>
              <w:rPr>
                <w:rFonts w:hint="eastAsia" w:ascii="宋体" w:hAnsi="宋体" w:cs="宋体"/>
                <w:color w:val="000000"/>
                <w:w w:val="99"/>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8" w:hRule="exact"/>
          <w:jc w:val="center"/>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Times New Roman" w:cs="宋体"/>
                <w:color w:val="000000"/>
                <w:kern w:val="0"/>
                <w:sz w:val="20"/>
                <w:szCs w:val="20"/>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Times New Roman" w:cs="宋体"/>
                <w:color w:val="000000"/>
                <w:kern w:val="0"/>
                <w:sz w:val="20"/>
                <w:szCs w:val="20"/>
              </w:rPr>
            </w:pPr>
          </w:p>
        </w:tc>
        <w:tc>
          <w:tcPr>
            <w:tcW w:w="1800" w:type="dxa"/>
            <w:tcBorders>
              <w:top w:val="single" w:color="auto" w:sz="4" w:space="0"/>
              <w:left w:val="single" w:color="auto" w:sz="4" w:space="0"/>
              <w:bottom w:val="single" w:color="auto" w:sz="4" w:space="0"/>
              <w:right w:val="single" w:color="auto" w:sz="4" w:space="0"/>
            </w:tcBorders>
            <w:vAlign w:val="top"/>
          </w:tcPr>
          <w:p>
            <w:pPr>
              <w:pStyle w:val="25"/>
              <w:spacing w:before="5"/>
              <w:rPr>
                <w:rFonts w:ascii="宋体" w:hAnsi="宋体" w:cs="宋体"/>
                <w:color w:val="000000"/>
                <w:sz w:val="21"/>
                <w:szCs w:val="21"/>
                <w:lang w:eastAsia="zh-CN"/>
              </w:rPr>
            </w:pPr>
          </w:p>
          <w:p>
            <w:pPr>
              <w:pStyle w:val="25"/>
              <w:ind w:left="7"/>
              <w:rPr>
                <w:rFonts w:ascii="宋体" w:hAnsi="宋体" w:cs="宋体"/>
                <w:color w:val="000000"/>
                <w:sz w:val="20"/>
                <w:szCs w:val="20"/>
              </w:rPr>
            </w:pPr>
            <w:r>
              <w:rPr>
                <w:rFonts w:hint="eastAsia" w:ascii="宋体" w:hAnsi="宋体" w:cs="宋体"/>
                <w:color w:val="000000"/>
                <w:w w:val="99"/>
                <w:sz w:val="20"/>
                <w:szCs w:val="20"/>
              </w:rPr>
              <w:t>小便器</w:t>
            </w:r>
          </w:p>
        </w:tc>
        <w:tc>
          <w:tcPr>
            <w:tcW w:w="1915" w:type="dxa"/>
            <w:tcBorders>
              <w:top w:val="single" w:color="auto" w:sz="4" w:space="0"/>
              <w:left w:val="single" w:color="auto" w:sz="4" w:space="0"/>
              <w:bottom w:val="single" w:color="auto" w:sz="4" w:space="0"/>
              <w:right w:val="single" w:color="auto" w:sz="4" w:space="0"/>
            </w:tcBorders>
            <w:vAlign w:val="top"/>
          </w:tcPr>
          <w:p>
            <w:pPr>
              <w:rPr>
                <w:rFonts w:ascii="Calibri" w:hAnsi="Calibri"/>
                <w:color w:val="000000"/>
                <w:sz w:val="22"/>
                <w:szCs w:val="22"/>
              </w:rPr>
            </w:pPr>
          </w:p>
        </w:tc>
        <w:tc>
          <w:tcPr>
            <w:tcW w:w="2966" w:type="dxa"/>
            <w:tcBorders>
              <w:top w:val="single" w:color="auto" w:sz="4" w:space="0"/>
              <w:left w:val="single" w:color="auto" w:sz="4" w:space="0"/>
              <w:bottom w:val="single" w:color="auto" w:sz="4" w:space="0"/>
              <w:right w:val="single" w:color="auto" w:sz="4" w:space="0"/>
            </w:tcBorders>
            <w:vAlign w:val="top"/>
          </w:tcPr>
          <w:p>
            <w:pPr>
              <w:pStyle w:val="25"/>
              <w:spacing w:before="124" w:line="280" w:lineRule="auto"/>
              <w:ind w:left="7" w:right="4"/>
              <w:rPr>
                <w:rFonts w:ascii="宋体" w:hAnsi="宋体" w:cs="宋体"/>
                <w:color w:val="000000"/>
                <w:sz w:val="20"/>
                <w:szCs w:val="20"/>
                <w:lang w:eastAsia="zh-CN"/>
              </w:rPr>
            </w:pPr>
            <w:r>
              <w:rPr>
                <w:rFonts w:hint="eastAsia" w:ascii="宋体" w:hAnsi="宋体" w:cs="宋体"/>
                <w:color w:val="000000"/>
                <w:spacing w:val="12"/>
                <w:w w:val="99"/>
                <w:sz w:val="20"/>
                <w:szCs w:val="20"/>
                <w:lang w:eastAsia="zh-CN"/>
              </w:rPr>
              <w:t>《小便器用水效率限定</w:t>
            </w:r>
            <w:r>
              <w:rPr>
                <w:rFonts w:hint="eastAsia" w:ascii="宋体" w:hAnsi="宋体" w:cs="宋体"/>
                <w:color w:val="000000"/>
                <w:spacing w:val="9"/>
                <w:w w:val="99"/>
                <w:sz w:val="20"/>
                <w:szCs w:val="20"/>
                <w:lang w:eastAsia="zh-CN"/>
              </w:rPr>
              <w:t>值</w:t>
            </w:r>
            <w:r>
              <w:rPr>
                <w:rFonts w:hint="eastAsia" w:ascii="宋体" w:hAnsi="宋体" w:cs="宋体"/>
                <w:color w:val="000000"/>
                <w:spacing w:val="12"/>
                <w:w w:val="99"/>
                <w:sz w:val="20"/>
                <w:szCs w:val="20"/>
                <w:lang w:eastAsia="zh-CN"/>
              </w:rPr>
              <w:t>及用</w:t>
            </w:r>
            <w:r>
              <w:rPr>
                <w:rFonts w:hint="eastAsia" w:ascii="宋体" w:hAnsi="宋体" w:cs="宋体"/>
                <w:color w:val="000000"/>
                <w:w w:val="99"/>
                <w:sz w:val="20"/>
                <w:szCs w:val="20"/>
                <w:lang w:eastAsia="zh-CN"/>
              </w:rPr>
              <w:t>水效率等</w:t>
            </w:r>
            <w:r>
              <w:rPr>
                <w:rFonts w:hint="eastAsia" w:ascii="宋体" w:hAnsi="宋体" w:cs="宋体"/>
                <w:color w:val="000000"/>
                <w:spacing w:val="2"/>
                <w:w w:val="99"/>
                <w:sz w:val="20"/>
                <w:szCs w:val="20"/>
                <w:lang w:eastAsia="zh-CN"/>
              </w:rPr>
              <w:t>级</w:t>
            </w:r>
            <w:r>
              <w:rPr>
                <w:rFonts w:hint="eastAsia" w:ascii="宋体" w:hAnsi="宋体" w:cs="宋体"/>
                <w:color w:val="000000"/>
                <w:w w:val="99"/>
                <w:sz w:val="20"/>
                <w:szCs w:val="20"/>
                <w:lang w:eastAsia="zh-CN"/>
              </w:rPr>
              <w:t>》（</w:t>
            </w:r>
            <w:r>
              <w:rPr>
                <w:rFonts w:hint="eastAsia" w:ascii="宋体" w:hAnsi="宋体" w:cs="宋体"/>
                <w:color w:val="000000"/>
                <w:spacing w:val="1"/>
                <w:w w:val="99"/>
                <w:sz w:val="20"/>
                <w:szCs w:val="20"/>
                <w:lang w:eastAsia="zh-CN"/>
              </w:rPr>
              <w:t>G</w:t>
            </w:r>
            <w:r>
              <w:rPr>
                <w:rFonts w:hint="eastAsia" w:ascii="宋体" w:hAnsi="宋体" w:cs="宋体"/>
                <w:color w:val="000000"/>
                <w:w w:val="99"/>
                <w:sz w:val="20"/>
                <w:szCs w:val="20"/>
                <w:lang w:eastAsia="zh-CN"/>
              </w:rPr>
              <w:t>B</w:t>
            </w:r>
            <w:r>
              <w:rPr>
                <w:rFonts w:hint="eastAsia" w:ascii="宋体" w:hAnsi="宋体" w:cs="宋体"/>
                <w:color w:val="000000"/>
                <w:spacing w:val="1"/>
                <w:w w:val="99"/>
                <w:sz w:val="20"/>
                <w:szCs w:val="20"/>
                <w:lang w:eastAsia="zh-CN"/>
              </w:rPr>
              <w:t>283</w:t>
            </w:r>
            <w:r>
              <w:rPr>
                <w:rFonts w:hint="eastAsia" w:ascii="宋体" w:hAnsi="宋体" w:cs="宋体"/>
                <w:color w:val="000000"/>
                <w:w w:val="99"/>
                <w:sz w:val="20"/>
                <w:szCs w:val="20"/>
                <w:lang w:eastAsia="zh-CN"/>
              </w:rPr>
              <w:t>7</w:t>
            </w:r>
            <w:r>
              <w:rPr>
                <w:rFonts w:hint="eastAsia" w:ascii="宋体" w:hAnsi="宋体" w:cs="宋体"/>
                <w:color w:val="000000"/>
                <w:spacing w:val="-1"/>
                <w:w w:val="99"/>
                <w:sz w:val="20"/>
                <w:szCs w:val="20"/>
                <w:lang w:eastAsia="zh-CN"/>
              </w:rPr>
              <w:t>7</w:t>
            </w:r>
            <w:r>
              <w:rPr>
                <w:rFonts w:hint="eastAsia" w:ascii="宋体" w:hAnsi="宋体" w:cs="宋体"/>
                <w:color w:val="000000"/>
                <w:w w:val="99"/>
                <w:sz w:val="20"/>
                <w:szCs w:val="20"/>
                <w:lang w:eastAsia="zh-CN"/>
              </w:rPr>
              <w:t>）</w:t>
            </w:r>
          </w:p>
        </w:tc>
      </w:tr>
    </w:tbl>
    <w:p>
      <w:pPr>
        <w:widowControl/>
        <w:jc w:val="left"/>
        <w:rPr>
          <w:rFonts w:ascii="宋体" w:hAnsi="宋体" w:cs="宋体"/>
          <w:color w:val="000000"/>
          <w:sz w:val="20"/>
          <w:szCs w:val="20"/>
        </w:rPr>
        <w:sectPr>
          <w:pgSz w:w="11910" w:h="16840"/>
          <w:pgMar w:top="1440" w:right="1440" w:bottom="1440" w:left="1440" w:header="720" w:footer="720" w:gutter="0"/>
          <w:cols w:space="0" w:num="1"/>
          <w:rtlGutter w:val="0"/>
          <w:docGrid w:linePitch="0" w:charSpace="0"/>
        </w:sectPr>
      </w:pPr>
    </w:p>
    <w:p>
      <w:pPr>
        <w:rPr>
          <w:rFonts w:hint="eastAsia" w:ascii="宋体" w:hAnsi="宋体" w:cs="宋体"/>
          <w:color w:val="000000"/>
          <w:sz w:val="20"/>
          <w:szCs w:val="20"/>
        </w:rPr>
      </w:pPr>
    </w:p>
    <w:p>
      <w:pPr>
        <w:widowControl/>
        <w:jc w:val="left"/>
        <w:rPr>
          <w:rFonts w:ascii="宋体" w:hAnsi="宋体" w:cs="宋体"/>
          <w:color w:val="000000"/>
          <w:sz w:val="20"/>
          <w:szCs w:val="20"/>
        </w:rPr>
      </w:pPr>
    </w:p>
    <w:tbl>
      <w:tblPr>
        <w:tblStyle w:val="24"/>
        <w:tblW w:w="8421" w:type="dxa"/>
        <w:jc w:val="center"/>
        <w:tblInd w:w="0" w:type="dxa"/>
        <w:tblLayout w:type="fixed"/>
        <w:tblCellMar>
          <w:top w:w="0" w:type="dxa"/>
          <w:left w:w="0" w:type="dxa"/>
          <w:bottom w:w="0" w:type="dxa"/>
          <w:right w:w="0" w:type="dxa"/>
        </w:tblCellMar>
      </w:tblPr>
      <w:tblGrid>
        <w:gridCol w:w="574"/>
        <w:gridCol w:w="1166"/>
        <w:gridCol w:w="1800"/>
        <w:gridCol w:w="1915"/>
        <w:gridCol w:w="2966"/>
      </w:tblGrid>
      <w:tr>
        <w:tblPrEx>
          <w:tblLayout w:type="fixed"/>
          <w:tblCellMar>
            <w:top w:w="0" w:type="dxa"/>
            <w:left w:w="0" w:type="dxa"/>
            <w:bottom w:w="0" w:type="dxa"/>
            <w:right w:w="0" w:type="dxa"/>
          </w:tblCellMar>
        </w:tblPrEx>
        <w:trPr>
          <w:trHeight w:val="943" w:hRule="exact"/>
          <w:jc w:val="center"/>
        </w:trPr>
        <w:tc>
          <w:tcPr>
            <w:tcW w:w="574" w:type="dxa"/>
            <w:tcBorders>
              <w:top w:val="single" w:color="000000" w:sz="4" w:space="0"/>
              <w:left w:val="single" w:color="000000" w:sz="4" w:space="0"/>
              <w:bottom w:val="single" w:color="000000" w:sz="4" w:space="0"/>
              <w:right w:val="single" w:color="000000" w:sz="4" w:space="0"/>
            </w:tcBorders>
            <w:vAlign w:val="top"/>
          </w:tcPr>
          <w:p>
            <w:pPr>
              <w:pStyle w:val="25"/>
              <w:spacing w:before="8"/>
              <w:rPr>
                <w:rFonts w:ascii="宋体" w:hAnsi="宋体" w:cs="宋体"/>
                <w:color w:val="000000"/>
                <w:sz w:val="23"/>
                <w:szCs w:val="23"/>
                <w:lang w:eastAsia="zh-CN"/>
              </w:rPr>
            </w:pPr>
          </w:p>
          <w:p>
            <w:pPr>
              <w:pStyle w:val="25"/>
              <w:ind w:left="182"/>
              <w:rPr>
                <w:rFonts w:ascii="宋体" w:hAnsi="宋体" w:cs="宋体"/>
                <w:color w:val="000000"/>
                <w:sz w:val="20"/>
                <w:szCs w:val="20"/>
              </w:rPr>
            </w:pPr>
            <w:r>
              <w:rPr>
                <w:rFonts w:hint="eastAsia" w:ascii="宋体"/>
                <w:color w:val="000000"/>
                <w:sz w:val="20"/>
              </w:rPr>
              <w:t>16</w:t>
            </w:r>
          </w:p>
        </w:tc>
        <w:tc>
          <w:tcPr>
            <w:tcW w:w="1166" w:type="dxa"/>
            <w:tcBorders>
              <w:top w:val="single" w:color="000000" w:sz="4" w:space="0"/>
              <w:left w:val="single" w:color="000000" w:sz="4" w:space="0"/>
              <w:bottom w:val="single" w:color="000000" w:sz="4" w:space="0"/>
              <w:right w:val="single" w:color="000000" w:sz="4" w:space="0"/>
            </w:tcBorders>
            <w:vAlign w:val="top"/>
          </w:tcPr>
          <w:p>
            <w:pPr>
              <w:pStyle w:val="25"/>
              <w:spacing w:before="153"/>
              <w:ind w:left="7"/>
              <w:rPr>
                <w:rFonts w:ascii="宋体" w:hAnsi="宋体" w:cs="宋体"/>
                <w:color w:val="000000"/>
                <w:sz w:val="20"/>
                <w:szCs w:val="20"/>
              </w:rPr>
            </w:pPr>
            <w:r>
              <w:rPr>
                <w:rFonts w:hint="eastAsia" w:ascii="宋体" w:hAnsi="宋体" w:cs="宋体"/>
                <w:color w:val="000000"/>
                <w:sz w:val="20"/>
                <w:szCs w:val="20"/>
              </w:rPr>
              <w:t>★A060806水</w:t>
            </w:r>
          </w:p>
          <w:p>
            <w:pPr>
              <w:pStyle w:val="25"/>
              <w:spacing w:before="50"/>
              <w:ind w:left="7"/>
              <w:rPr>
                <w:rFonts w:ascii="宋体" w:hAnsi="宋体" w:cs="宋体"/>
                <w:color w:val="000000"/>
                <w:sz w:val="20"/>
                <w:szCs w:val="20"/>
              </w:rPr>
            </w:pPr>
            <w:r>
              <w:rPr>
                <w:rFonts w:hint="eastAsia" w:ascii="宋体" w:hAnsi="宋体" w:cs="宋体"/>
                <w:color w:val="000000"/>
                <w:w w:val="99"/>
                <w:sz w:val="20"/>
                <w:szCs w:val="20"/>
              </w:rPr>
              <w:t>嘴</w:t>
            </w:r>
          </w:p>
        </w:tc>
        <w:tc>
          <w:tcPr>
            <w:tcW w:w="1800" w:type="dxa"/>
            <w:tcBorders>
              <w:top w:val="single" w:color="000000" w:sz="4" w:space="0"/>
              <w:left w:val="single" w:color="000000" w:sz="4" w:space="0"/>
              <w:bottom w:val="single" w:color="000000" w:sz="4" w:space="0"/>
              <w:right w:val="single" w:color="000000" w:sz="4" w:space="0"/>
            </w:tcBorders>
            <w:vAlign w:val="top"/>
          </w:tcPr>
          <w:p>
            <w:pPr>
              <w:rPr>
                <w:rFonts w:ascii="Calibri" w:hAnsi="Calibri"/>
                <w:color w:val="000000"/>
                <w:sz w:val="22"/>
                <w:szCs w:val="22"/>
                <w:lang w:eastAsia="en-US"/>
              </w:rPr>
            </w:pPr>
          </w:p>
        </w:tc>
        <w:tc>
          <w:tcPr>
            <w:tcW w:w="1915" w:type="dxa"/>
            <w:tcBorders>
              <w:top w:val="single" w:color="000000" w:sz="4" w:space="0"/>
              <w:left w:val="single" w:color="000000" w:sz="4" w:space="0"/>
              <w:bottom w:val="single" w:color="000000" w:sz="4" w:space="0"/>
              <w:right w:val="single" w:color="000000" w:sz="4" w:space="0"/>
            </w:tcBorders>
            <w:vAlign w:val="top"/>
          </w:tcPr>
          <w:p>
            <w:pPr>
              <w:rPr>
                <w:rFonts w:ascii="Calibri" w:hAnsi="Calibri"/>
                <w:color w:val="000000"/>
                <w:sz w:val="22"/>
                <w:szCs w:val="22"/>
                <w:lang w:eastAsia="en-US"/>
              </w:rPr>
            </w:pPr>
          </w:p>
        </w:tc>
        <w:tc>
          <w:tcPr>
            <w:tcW w:w="2966" w:type="dxa"/>
            <w:tcBorders>
              <w:top w:val="single" w:color="000000" w:sz="4" w:space="0"/>
              <w:left w:val="single" w:color="000000" w:sz="4" w:space="0"/>
              <w:bottom w:val="single" w:color="000000" w:sz="4" w:space="0"/>
              <w:right w:val="single" w:color="000000" w:sz="4" w:space="0"/>
            </w:tcBorders>
            <w:vAlign w:val="top"/>
          </w:tcPr>
          <w:p>
            <w:pPr>
              <w:pStyle w:val="25"/>
              <w:spacing w:before="153" w:line="280" w:lineRule="auto"/>
              <w:ind w:left="7" w:right="4"/>
              <w:rPr>
                <w:rFonts w:ascii="宋体" w:hAnsi="宋体" w:cs="宋体"/>
                <w:color w:val="000000"/>
                <w:sz w:val="20"/>
                <w:szCs w:val="20"/>
                <w:lang w:eastAsia="zh-CN"/>
              </w:rPr>
            </w:pPr>
            <w:r>
              <w:rPr>
                <w:rFonts w:hint="eastAsia" w:ascii="宋体" w:hAnsi="宋体" w:cs="宋体"/>
                <w:color w:val="000000"/>
                <w:spacing w:val="10"/>
                <w:sz w:val="20"/>
                <w:szCs w:val="20"/>
                <w:lang w:eastAsia="zh-CN"/>
              </w:rPr>
              <w:t>《水嘴用水效率限定值及用水效</w:t>
            </w:r>
            <w:r>
              <w:rPr>
                <w:rFonts w:hint="eastAsia" w:ascii="宋体" w:hAnsi="宋体" w:cs="宋体"/>
                <w:color w:val="000000"/>
                <w:sz w:val="20"/>
                <w:szCs w:val="20"/>
                <w:lang w:eastAsia="zh-CN"/>
              </w:rPr>
              <w:t>率等级》（GB 25501）</w:t>
            </w:r>
          </w:p>
        </w:tc>
      </w:tr>
      <w:tr>
        <w:tblPrEx>
          <w:tblLayout w:type="fixed"/>
          <w:tblCellMar>
            <w:top w:w="0" w:type="dxa"/>
            <w:left w:w="0" w:type="dxa"/>
            <w:bottom w:w="0" w:type="dxa"/>
            <w:right w:w="0" w:type="dxa"/>
          </w:tblCellMar>
        </w:tblPrEx>
        <w:trPr>
          <w:trHeight w:val="862" w:hRule="exact"/>
          <w:jc w:val="center"/>
        </w:trPr>
        <w:tc>
          <w:tcPr>
            <w:tcW w:w="574" w:type="dxa"/>
            <w:tcBorders>
              <w:top w:val="single" w:color="000000" w:sz="4" w:space="0"/>
              <w:left w:val="single" w:color="000000" w:sz="4" w:space="0"/>
              <w:bottom w:val="single" w:color="000000" w:sz="4" w:space="0"/>
              <w:right w:val="single" w:color="000000" w:sz="4" w:space="0"/>
            </w:tcBorders>
            <w:vAlign w:val="top"/>
          </w:tcPr>
          <w:p>
            <w:pPr>
              <w:pStyle w:val="25"/>
              <w:spacing w:before="6"/>
              <w:rPr>
                <w:rFonts w:ascii="宋体" w:hAnsi="宋体" w:cs="宋体"/>
                <w:color w:val="000000"/>
                <w:sz w:val="20"/>
                <w:szCs w:val="20"/>
                <w:lang w:eastAsia="zh-CN"/>
              </w:rPr>
            </w:pPr>
          </w:p>
          <w:p>
            <w:pPr>
              <w:pStyle w:val="25"/>
              <w:ind w:left="182"/>
              <w:rPr>
                <w:rFonts w:ascii="宋体" w:hAnsi="宋体" w:cs="宋体"/>
                <w:color w:val="000000"/>
                <w:sz w:val="20"/>
                <w:szCs w:val="20"/>
              </w:rPr>
            </w:pPr>
            <w:r>
              <w:rPr>
                <w:rFonts w:hint="eastAsia" w:ascii="宋体"/>
                <w:color w:val="000000"/>
                <w:sz w:val="20"/>
              </w:rPr>
              <w:t>17</w:t>
            </w:r>
          </w:p>
        </w:tc>
        <w:tc>
          <w:tcPr>
            <w:tcW w:w="1166" w:type="dxa"/>
            <w:tcBorders>
              <w:top w:val="single" w:color="000000" w:sz="4" w:space="0"/>
              <w:left w:val="single" w:color="000000" w:sz="4" w:space="0"/>
              <w:bottom w:val="single" w:color="000000" w:sz="4" w:space="0"/>
              <w:right w:val="single" w:color="000000" w:sz="4" w:space="0"/>
            </w:tcBorders>
            <w:vAlign w:val="top"/>
          </w:tcPr>
          <w:p>
            <w:pPr>
              <w:pStyle w:val="25"/>
              <w:spacing w:before="112"/>
              <w:ind w:left="7"/>
              <w:rPr>
                <w:rFonts w:ascii="宋体" w:hAnsi="宋体" w:cs="宋体"/>
                <w:color w:val="000000"/>
                <w:sz w:val="20"/>
                <w:szCs w:val="20"/>
              </w:rPr>
            </w:pPr>
            <w:r>
              <w:rPr>
                <w:rFonts w:hint="eastAsia" w:ascii="宋体" w:hAnsi="宋体" w:cs="宋体"/>
                <w:color w:val="000000"/>
                <w:sz w:val="20"/>
                <w:szCs w:val="20"/>
              </w:rPr>
              <w:t>A060807便器</w:t>
            </w:r>
          </w:p>
          <w:p>
            <w:pPr>
              <w:pStyle w:val="25"/>
              <w:spacing w:before="50"/>
              <w:ind w:left="7"/>
              <w:rPr>
                <w:rFonts w:ascii="宋体" w:hAnsi="宋体" w:cs="宋体"/>
                <w:color w:val="000000"/>
                <w:sz w:val="20"/>
                <w:szCs w:val="20"/>
              </w:rPr>
            </w:pPr>
            <w:r>
              <w:rPr>
                <w:rFonts w:hint="eastAsia" w:ascii="宋体" w:hAnsi="宋体" w:cs="宋体"/>
                <w:color w:val="000000"/>
                <w:sz w:val="20"/>
                <w:szCs w:val="20"/>
              </w:rPr>
              <w:t>冲洗阀</w:t>
            </w:r>
          </w:p>
        </w:tc>
        <w:tc>
          <w:tcPr>
            <w:tcW w:w="1800" w:type="dxa"/>
            <w:tcBorders>
              <w:top w:val="single" w:color="000000" w:sz="4" w:space="0"/>
              <w:left w:val="single" w:color="000000" w:sz="4" w:space="0"/>
              <w:bottom w:val="single" w:color="000000" w:sz="4" w:space="0"/>
              <w:right w:val="single" w:color="000000" w:sz="4" w:space="0"/>
            </w:tcBorders>
            <w:vAlign w:val="top"/>
          </w:tcPr>
          <w:p>
            <w:pPr>
              <w:rPr>
                <w:rFonts w:ascii="Calibri" w:hAnsi="Calibri"/>
                <w:color w:val="000000"/>
                <w:sz w:val="22"/>
                <w:szCs w:val="22"/>
                <w:lang w:eastAsia="en-US"/>
              </w:rPr>
            </w:pPr>
          </w:p>
        </w:tc>
        <w:tc>
          <w:tcPr>
            <w:tcW w:w="1915" w:type="dxa"/>
            <w:tcBorders>
              <w:top w:val="single" w:color="000000" w:sz="4" w:space="0"/>
              <w:left w:val="single" w:color="000000" w:sz="4" w:space="0"/>
              <w:bottom w:val="single" w:color="000000" w:sz="4" w:space="0"/>
              <w:right w:val="single" w:color="000000" w:sz="4" w:space="0"/>
            </w:tcBorders>
            <w:vAlign w:val="top"/>
          </w:tcPr>
          <w:p>
            <w:pPr>
              <w:rPr>
                <w:rFonts w:ascii="Calibri" w:hAnsi="Calibri"/>
                <w:color w:val="000000"/>
                <w:sz w:val="22"/>
                <w:szCs w:val="22"/>
                <w:lang w:eastAsia="en-US"/>
              </w:rPr>
            </w:pPr>
          </w:p>
        </w:tc>
        <w:tc>
          <w:tcPr>
            <w:tcW w:w="2966" w:type="dxa"/>
            <w:tcBorders>
              <w:top w:val="single" w:color="000000" w:sz="4" w:space="0"/>
              <w:left w:val="single" w:color="000000" w:sz="4" w:space="0"/>
              <w:bottom w:val="single" w:color="000000" w:sz="4" w:space="0"/>
              <w:right w:val="single" w:color="000000" w:sz="4" w:space="0"/>
            </w:tcBorders>
            <w:vAlign w:val="top"/>
          </w:tcPr>
          <w:p>
            <w:pPr>
              <w:pStyle w:val="25"/>
              <w:spacing w:before="112" w:line="280" w:lineRule="auto"/>
              <w:ind w:left="7" w:right="4"/>
              <w:rPr>
                <w:rFonts w:ascii="宋体" w:hAnsi="宋体" w:cs="宋体"/>
                <w:color w:val="000000"/>
                <w:sz w:val="20"/>
                <w:szCs w:val="20"/>
                <w:lang w:eastAsia="zh-CN"/>
              </w:rPr>
            </w:pPr>
            <w:r>
              <w:rPr>
                <w:rFonts w:hint="eastAsia" w:ascii="宋体" w:hAnsi="宋体" w:cs="宋体"/>
                <w:color w:val="000000"/>
                <w:spacing w:val="10"/>
                <w:sz w:val="20"/>
                <w:szCs w:val="20"/>
                <w:lang w:eastAsia="zh-CN"/>
              </w:rPr>
              <w:t>《便器冲洗阀用水效率限定值及</w:t>
            </w:r>
            <w:r>
              <w:rPr>
                <w:rFonts w:hint="eastAsia" w:ascii="宋体" w:hAnsi="宋体" w:cs="宋体"/>
                <w:color w:val="000000"/>
                <w:sz w:val="20"/>
                <w:szCs w:val="20"/>
                <w:lang w:eastAsia="zh-CN"/>
              </w:rPr>
              <w:t>用水效率等级》（GB28379）</w:t>
            </w:r>
          </w:p>
        </w:tc>
      </w:tr>
      <w:tr>
        <w:tblPrEx>
          <w:tblLayout w:type="fixed"/>
          <w:tblCellMar>
            <w:top w:w="0" w:type="dxa"/>
            <w:left w:w="0" w:type="dxa"/>
            <w:bottom w:w="0" w:type="dxa"/>
            <w:right w:w="0" w:type="dxa"/>
          </w:tblCellMar>
        </w:tblPrEx>
        <w:trPr>
          <w:trHeight w:val="902" w:hRule="exact"/>
          <w:jc w:val="center"/>
        </w:trPr>
        <w:tc>
          <w:tcPr>
            <w:tcW w:w="574" w:type="dxa"/>
            <w:tcBorders>
              <w:top w:val="single" w:color="000000" w:sz="4" w:space="0"/>
              <w:left w:val="single" w:color="000000" w:sz="4" w:space="0"/>
              <w:bottom w:val="single" w:color="000000" w:sz="4" w:space="0"/>
              <w:right w:val="single" w:color="000000" w:sz="4" w:space="0"/>
            </w:tcBorders>
            <w:vAlign w:val="top"/>
          </w:tcPr>
          <w:p>
            <w:pPr>
              <w:pStyle w:val="25"/>
              <w:spacing w:before="12"/>
              <w:rPr>
                <w:rFonts w:ascii="宋体" w:hAnsi="宋体" w:cs="宋体"/>
                <w:color w:val="000000"/>
                <w:sz w:val="21"/>
                <w:szCs w:val="21"/>
                <w:lang w:eastAsia="zh-CN"/>
              </w:rPr>
            </w:pPr>
          </w:p>
          <w:p>
            <w:pPr>
              <w:pStyle w:val="25"/>
              <w:ind w:left="182"/>
              <w:rPr>
                <w:rFonts w:ascii="宋体" w:hAnsi="宋体" w:cs="宋体"/>
                <w:color w:val="000000"/>
                <w:sz w:val="20"/>
                <w:szCs w:val="20"/>
              </w:rPr>
            </w:pPr>
            <w:r>
              <w:rPr>
                <w:rFonts w:hint="eastAsia" w:ascii="宋体"/>
                <w:color w:val="000000"/>
                <w:sz w:val="20"/>
              </w:rPr>
              <w:t>18</w:t>
            </w:r>
          </w:p>
        </w:tc>
        <w:tc>
          <w:tcPr>
            <w:tcW w:w="1166" w:type="dxa"/>
            <w:tcBorders>
              <w:top w:val="single" w:color="000000" w:sz="4" w:space="0"/>
              <w:left w:val="single" w:color="000000" w:sz="4" w:space="0"/>
              <w:bottom w:val="single" w:color="000000" w:sz="4" w:space="0"/>
              <w:right w:val="single" w:color="000000" w:sz="4" w:space="0"/>
            </w:tcBorders>
            <w:vAlign w:val="top"/>
          </w:tcPr>
          <w:p>
            <w:pPr>
              <w:pStyle w:val="25"/>
              <w:spacing w:before="131"/>
              <w:ind w:left="7"/>
              <w:rPr>
                <w:rFonts w:ascii="宋体" w:hAnsi="宋体" w:cs="宋体"/>
                <w:color w:val="000000"/>
                <w:sz w:val="20"/>
                <w:szCs w:val="20"/>
              </w:rPr>
            </w:pPr>
            <w:r>
              <w:rPr>
                <w:rFonts w:hint="eastAsia" w:ascii="宋体" w:hAnsi="宋体" w:cs="宋体"/>
                <w:color w:val="000000"/>
                <w:sz w:val="20"/>
                <w:szCs w:val="20"/>
              </w:rPr>
              <w:t>A060810淋浴</w:t>
            </w:r>
          </w:p>
          <w:p>
            <w:pPr>
              <w:pStyle w:val="25"/>
              <w:spacing w:before="50"/>
              <w:ind w:left="7"/>
              <w:rPr>
                <w:rFonts w:ascii="宋体" w:hAnsi="宋体" w:cs="宋体"/>
                <w:color w:val="000000"/>
                <w:sz w:val="20"/>
                <w:szCs w:val="20"/>
              </w:rPr>
            </w:pPr>
            <w:r>
              <w:rPr>
                <w:rFonts w:hint="eastAsia" w:ascii="宋体" w:hAnsi="宋体" w:cs="宋体"/>
                <w:color w:val="000000"/>
                <w:w w:val="99"/>
                <w:sz w:val="20"/>
                <w:szCs w:val="20"/>
              </w:rPr>
              <w:t>器</w:t>
            </w:r>
          </w:p>
        </w:tc>
        <w:tc>
          <w:tcPr>
            <w:tcW w:w="1800" w:type="dxa"/>
            <w:tcBorders>
              <w:top w:val="single" w:color="000000" w:sz="4" w:space="0"/>
              <w:left w:val="single" w:color="000000" w:sz="4" w:space="0"/>
              <w:bottom w:val="single" w:color="000000" w:sz="4" w:space="0"/>
              <w:right w:val="single" w:color="000000" w:sz="4" w:space="0"/>
            </w:tcBorders>
            <w:vAlign w:val="top"/>
          </w:tcPr>
          <w:p>
            <w:pPr>
              <w:rPr>
                <w:rFonts w:ascii="Calibri" w:hAnsi="Calibri"/>
                <w:color w:val="000000"/>
                <w:sz w:val="22"/>
                <w:szCs w:val="22"/>
                <w:lang w:eastAsia="en-US"/>
              </w:rPr>
            </w:pPr>
          </w:p>
        </w:tc>
        <w:tc>
          <w:tcPr>
            <w:tcW w:w="1915" w:type="dxa"/>
            <w:tcBorders>
              <w:top w:val="single" w:color="000000" w:sz="4" w:space="0"/>
              <w:left w:val="single" w:color="000000" w:sz="4" w:space="0"/>
              <w:bottom w:val="single" w:color="000000" w:sz="4" w:space="0"/>
              <w:right w:val="single" w:color="000000" w:sz="4" w:space="0"/>
            </w:tcBorders>
            <w:vAlign w:val="top"/>
          </w:tcPr>
          <w:p>
            <w:pPr>
              <w:rPr>
                <w:rFonts w:ascii="Calibri" w:hAnsi="Calibri"/>
                <w:color w:val="000000"/>
                <w:sz w:val="22"/>
                <w:szCs w:val="22"/>
                <w:lang w:eastAsia="en-US"/>
              </w:rPr>
            </w:pPr>
          </w:p>
        </w:tc>
        <w:tc>
          <w:tcPr>
            <w:tcW w:w="2966" w:type="dxa"/>
            <w:tcBorders>
              <w:top w:val="single" w:color="000000" w:sz="4" w:space="0"/>
              <w:left w:val="single" w:color="000000" w:sz="4" w:space="0"/>
              <w:bottom w:val="single" w:color="000000" w:sz="4" w:space="0"/>
              <w:right w:val="single" w:color="000000" w:sz="4" w:space="0"/>
            </w:tcBorders>
            <w:vAlign w:val="top"/>
          </w:tcPr>
          <w:p>
            <w:pPr>
              <w:pStyle w:val="25"/>
              <w:spacing w:before="131" w:line="280" w:lineRule="auto"/>
              <w:ind w:left="7" w:right="4"/>
              <w:rPr>
                <w:rFonts w:ascii="宋体" w:hAnsi="宋体" w:cs="宋体"/>
                <w:color w:val="000000"/>
                <w:sz w:val="20"/>
                <w:szCs w:val="20"/>
                <w:lang w:eastAsia="zh-CN"/>
              </w:rPr>
            </w:pPr>
            <w:r>
              <w:rPr>
                <w:rFonts w:hint="eastAsia" w:ascii="宋体" w:hAnsi="宋体" w:cs="宋体"/>
                <w:color w:val="000000"/>
                <w:spacing w:val="10"/>
                <w:sz w:val="20"/>
                <w:szCs w:val="20"/>
                <w:lang w:eastAsia="zh-CN"/>
              </w:rPr>
              <w:t>《淋浴器用水效率限定值及用水</w:t>
            </w:r>
            <w:r>
              <w:rPr>
                <w:rFonts w:hint="eastAsia" w:ascii="宋体" w:hAnsi="宋体" w:cs="宋体"/>
                <w:color w:val="000000"/>
                <w:sz w:val="20"/>
                <w:szCs w:val="20"/>
                <w:lang w:eastAsia="zh-CN"/>
              </w:rPr>
              <w:t>效率等级》（GB28378）</w:t>
            </w:r>
          </w:p>
        </w:tc>
      </w:tr>
    </w:tbl>
    <w:p>
      <w:pPr>
        <w:pStyle w:val="2"/>
        <w:spacing w:line="360" w:lineRule="auto"/>
        <w:rPr>
          <w:rFonts w:hint="eastAsia" w:ascii="宋体" w:hAnsi="宋体"/>
          <w:color w:val="000000"/>
          <w:sz w:val="21"/>
          <w:szCs w:val="21"/>
        </w:rPr>
      </w:pPr>
      <w:r>
        <w:rPr>
          <w:rFonts w:hint="eastAsia"/>
          <w:color w:val="000000"/>
          <w:spacing w:val="-3"/>
          <w:sz w:val="21"/>
          <w:szCs w:val="21"/>
        </w:rPr>
        <w:t>注：</w:t>
      </w:r>
      <w:r>
        <w:rPr>
          <w:color w:val="000000"/>
          <w:spacing w:val="-3"/>
          <w:sz w:val="21"/>
          <w:szCs w:val="21"/>
        </w:rPr>
        <w:t>1.</w:t>
      </w:r>
      <w:r>
        <w:rPr>
          <w:rFonts w:hint="eastAsia"/>
          <w:color w:val="000000"/>
          <w:spacing w:val="-3"/>
          <w:sz w:val="21"/>
          <w:szCs w:val="21"/>
        </w:rPr>
        <w:t>节能产品认证应依据相关国家标准的最新版本，依据国家标准中二级能效（水效）</w:t>
      </w:r>
      <w:r>
        <w:rPr>
          <w:rFonts w:hint="eastAsia"/>
          <w:color w:val="000000"/>
          <w:sz w:val="21"/>
          <w:szCs w:val="21"/>
        </w:rPr>
        <w:t>指标。</w:t>
      </w:r>
    </w:p>
    <w:p>
      <w:pPr>
        <w:pStyle w:val="2"/>
        <w:spacing w:line="360" w:lineRule="auto"/>
        <w:rPr>
          <w:rFonts w:ascii="宋体" w:hAnsi="宋体" w:cs="宋体"/>
          <w:color w:val="000000"/>
          <w:sz w:val="20"/>
          <w:szCs w:val="20"/>
        </w:rPr>
      </w:pPr>
      <w:r>
        <w:rPr>
          <w:rFonts w:hint="eastAsia" w:ascii="宋体" w:hAnsi="宋体"/>
          <w:color w:val="000000"/>
          <w:sz w:val="21"/>
          <w:szCs w:val="21"/>
        </w:rPr>
        <w:t xml:space="preserve">    </w:t>
      </w:r>
      <w:r>
        <w:rPr>
          <w:color w:val="000000"/>
          <w:sz w:val="21"/>
          <w:szCs w:val="21"/>
        </w:rPr>
        <w:t>2.</w:t>
      </w:r>
      <w:r>
        <w:rPr>
          <w:rFonts w:hint="eastAsia"/>
          <w:color w:val="000000"/>
          <w:szCs w:val="21"/>
        </w:rPr>
        <w:t>以</w:t>
      </w:r>
      <w:r>
        <w:rPr>
          <w:color w:val="000000"/>
          <w:szCs w:val="21"/>
        </w:rPr>
        <w:t>“</w:t>
      </w:r>
      <w:r>
        <w:rPr>
          <w:rFonts w:hint="eastAsia"/>
          <w:color w:val="000000"/>
          <w:szCs w:val="21"/>
        </w:rPr>
        <w:t>★</w:t>
      </w:r>
      <w:r>
        <w:rPr>
          <w:color w:val="000000"/>
          <w:szCs w:val="21"/>
        </w:rPr>
        <w:t>”</w:t>
      </w:r>
      <w:r>
        <w:rPr>
          <w:rFonts w:hint="eastAsia"/>
          <w:color w:val="000000"/>
          <w:szCs w:val="21"/>
        </w:rPr>
        <w:t>标注的为政府强制采购产品。</w:t>
      </w:r>
    </w:p>
    <w:p>
      <w:pPr>
        <w:widowControl/>
        <w:jc w:val="left"/>
        <w:rPr>
          <w:rFonts w:ascii="宋体" w:hAnsi="宋体" w:cs="宋体"/>
          <w:color w:val="000000"/>
          <w:sz w:val="20"/>
          <w:szCs w:val="20"/>
        </w:rPr>
      </w:pPr>
    </w:p>
    <w:p>
      <w:pPr>
        <w:widowControl/>
        <w:jc w:val="left"/>
        <w:rPr>
          <w:rFonts w:ascii="宋体" w:hAnsi="宋体" w:cs="宋体"/>
          <w:color w:val="000000"/>
          <w:sz w:val="20"/>
          <w:szCs w:val="20"/>
        </w:rPr>
      </w:pPr>
    </w:p>
    <w:p>
      <w:pPr>
        <w:widowControl/>
        <w:jc w:val="left"/>
        <w:rPr>
          <w:rFonts w:ascii="宋体" w:hAnsi="宋体" w:cs="宋体"/>
          <w:color w:val="000000"/>
          <w:sz w:val="20"/>
          <w:szCs w:val="20"/>
        </w:rPr>
      </w:pPr>
    </w:p>
    <w:p>
      <w:pPr>
        <w:pStyle w:val="5"/>
        <w:spacing w:before="0" w:after="0" w:line="360" w:lineRule="auto"/>
        <w:jc w:val="center"/>
        <w:rPr>
          <w:rFonts w:hint="eastAsia"/>
          <w:color w:val="000000"/>
        </w:rPr>
      </w:pPr>
      <w:bookmarkStart w:id="48" w:name="_Toc74320802"/>
      <w:r>
        <w:rPr>
          <w:color w:val="000000"/>
        </w:rPr>
        <w:br w:type="page"/>
      </w:r>
      <w:r>
        <w:rPr>
          <w:rFonts w:hint="eastAsia"/>
          <w:color w:val="000000"/>
        </w:rPr>
        <w:t>第三章  投标人须知</w:t>
      </w:r>
      <w:bookmarkEnd w:id="48"/>
    </w:p>
    <w:p>
      <w:pPr>
        <w:jc w:val="center"/>
        <w:rPr>
          <w:rFonts w:hint="eastAsia"/>
          <w:color w:val="000000"/>
          <w:sz w:val="36"/>
          <w:szCs w:val="36"/>
        </w:rPr>
      </w:pPr>
      <w:bookmarkStart w:id="49" w:name="_Toc254970667"/>
      <w:bookmarkStart w:id="50" w:name="_Toc254970526"/>
      <w:r>
        <w:rPr>
          <w:rFonts w:hint="eastAsia"/>
          <w:color w:val="000000"/>
          <w:sz w:val="36"/>
          <w:szCs w:val="36"/>
        </w:rPr>
        <w:t>投标人须知前附表</w:t>
      </w:r>
      <w:bookmarkEnd w:id="49"/>
      <w:bookmarkEnd w:id="50"/>
    </w:p>
    <w:tbl>
      <w:tblPr>
        <w:tblStyle w:val="24"/>
        <w:tblW w:w="861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9"/>
        <w:gridCol w:w="76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hint="eastAsia" w:ascii="宋体" w:hAnsi="宋体"/>
                <w:color w:val="000000"/>
                <w:szCs w:val="21"/>
              </w:rPr>
            </w:pPr>
            <w:r>
              <w:rPr>
                <w:rFonts w:hint="eastAsia" w:ascii="宋体" w:hAnsi="宋体"/>
                <w:color w:val="000000"/>
                <w:szCs w:val="21"/>
              </w:rPr>
              <w:t>条款号</w:t>
            </w:r>
          </w:p>
        </w:tc>
        <w:tc>
          <w:tcPr>
            <w:tcW w:w="765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color w:val="000000"/>
                <w:szCs w:val="21"/>
              </w:rPr>
            </w:pPr>
            <w:r>
              <w:rPr>
                <w:rFonts w:hint="eastAsia" w:ascii="宋体" w:hAnsi="宋体"/>
                <w:color w:val="000000"/>
                <w:szCs w:val="21"/>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olor w:val="000000"/>
                <w:szCs w:val="21"/>
              </w:rPr>
            </w:pPr>
            <w:r>
              <w:rPr>
                <w:rFonts w:hint="eastAsia" w:ascii="宋体" w:hAnsi="宋体"/>
                <w:color w:val="000000"/>
                <w:szCs w:val="21"/>
              </w:rPr>
              <w:t>3</w:t>
            </w:r>
          </w:p>
        </w:tc>
        <w:tc>
          <w:tcPr>
            <w:tcW w:w="765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olor w:val="000000"/>
                <w:szCs w:val="21"/>
              </w:rPr>
            </w:pPr>
            <w:r>
              <w:rPr>
                <w:rFonts w:hint="eastAsia" w:ascii="宋体" w:hAnsi="宋体"/>
                <w:color w:val="000000"/>
                <w:szCs w:val="21"/>
              </w:rPr>
              <w:t>1</w:t>
            </w:r>
            <w:r>
              <w:rPr>
                <w:rFonts w:ascii="宋体" w:hAnsi="宋体"/>
                <w:color w:val="000000"/>
                <w:szCs w:val="21"/>
              </w:rPr>
              <w:t>.</w:t>
            </w:r>
            <w:r>
              <w:rPr>
                <w:rFonts w:hint="eastAsia" w:ascii="宋体" w:hAnsi="宋体"/>
                <w:color w:val="000000"/>
                <w:szCs w:val="21"/>
              </w:rPr>
              <w:t>投标人的资格要求详见招标公告。</w:t>
            </w:r>
          </w:p>
          <w:p>
            <w:pPr>
              <w:snapToGrid w:val="0"/>
              <w:spacing w:line="400" w:lineRule="exact"/>
              <w:jc w:val="left"/>
              <w:rPr>
                <w:rFonts w:hint="eastAsia" w:ascii="宋体" w:hAnsi="宋体"/>
                <w:color w:val="000000"/>
                <w:szCs w:val="21"/>
              </w:rPr>
            </w:pPr>
            <w:r>
              <w:rPr>
                <w:rFonts w:hint="eastAsia" w:ascii="宋体" w:hAnsi="宋体"/>
                <w:color w:val="000000"/>
                <w:szCs w:val="21"/>
              </w:rPr>
              <w:t>2</w:t>
            </w:r>
            <w:r>
              <w:rPr>
                <w:rFonts w:ascii="宋体" w:hAnsi="宋体"/>
                <w:color w:val="000000"/>
                <w:szCs w:val="21"/>
              </w:rPr>
              <w:t>.</w:t>
            </w:r>
            <w:r>
              <w:rPr>
                <w:rFonts w:hint="eastAsia" w:ascii="宋体" w:hAnsi="宋体"/>
                <w:color w:val="000000"/>
                <w:szCs w:val="21"/>
              </w:rPr>
              <w:t>投标人出现下列情形之一的，不得参加政府采购活动：</w:t>
            </w:r>
          </w:p>
          <w:p>
            <w:pPr>
              <w:snapToGrid w:val="0"/>
              <w:spacing w:line="400" w:lineRule="exact"/>
              <w:jc w:val="left"/>
              <w:rPr>
                <w:rFonts w:hint="eastAsia" w:ascii="宋体" w:hAnsi="宋体"/>
                <w:color w:val="000000"/>
                <w:szCs w:val="21"/>
              </w:rPr>
            </w:pPr>
            <w:r>
              <w:rPr>
                <w:rFonts w:ascii="宋体" w:hAnsi="宋体"/>
                <w:color w:val="000000"/>
                <w:szCs w:val="21"/>
              </w:rPr>
              <w:t>2.1</w:t>
            </w:r>
            <w:r>
              <w:rPr>
                <w:rFonts w:hint="eastAsia" w:ascii="宋体" w:hAnsi="宋体"/>
                <w:color w:val="000000"/>
                <w:szCs w:val="21"/>
              </w:rPr>
              <w:t>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napToGrid w:val="0"/>
              <w:spacing w:line="400" w:lineRule="exact"/>
              <w:jc w:val="left"/>
              <w:rPr>
                <w:rFonts w:ascii="宋体" w:hAnsi="宋体"/>
                <w:color w:val="000000"/>
                <w:szCs w:val="21"/>
              </w:rPr>
            </w:pPr>
            <w:r>
              <w:rPr>
                <w:rFonts w:ascii="宋体" w:hAnsi="宋体"/>
                <w:color w:val="000000"/>
                <w:szCs w:val="21"/>
              </w:rPr>
              <w:t>2.2</w:t>
            </w:r>
            <w:r>
              <w:rPr>
                <w:rFonts w:hint="eastAsia" w:ascii="宋体" w:hAnsi="宋体"/>
                <w:color w:val="000000"/>
                <w:szCs w:val="21"/>
              </w:rPr>
              <w:t>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pStyle w:val="2"/>
              <w:rPr>
                <w:rFonts w:hint="eastAsia"/>
                <w:color w:val="000000"/>
                <w:lang w:val="en-US" w:eastAsia="zh-CN"/>
              </w:rPr>
            </w:pPr>
            <w:r>
              <w:rPr>
                <w:rFonts w:hint="eastAsia" w:ascii="宋体" w:hAnsi="宋体"/>
                <w:color w:val="000000"/>
                <w:kern w:val="2"/>
                <w:sz w:val="21"/>
                <w:szCs w:val="21"/>
                <w:lang w:val="en-US" w:eastAsia="zh-CN"/>
              </w:rPr>
              <w:t>2.3本项目不接受未购买本招标文件的投标人参与投标。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bookmarkStart w:id="51" w:name="_8.1"/>
            <w:bookmarkEnd w:id="51"/>
            <w:bookmarkStart w:id="52" w:name="_5"/>
            <w:bookmarkEnd w:id="52"/>
            <w:bookmarkStart w:id="53" w:name="_9.2"/>
            <w:bookmarkEnd w:id="53"/>
            <w:r>
              <w:rPr>
                <w:rFonts w:hint="eastAsia" w:ascii="宋体" w:hAnsi="宋体"/>
                <w:color w:val="000000"/>
                <w:szCs w:val="21"/>
              </w:rPr>
              <w:t>6.1</w:t>
            </w:r>
          </w:p>
        </w:tc>
        <w:tc>
          <w:tcPr>
            <w:tcW w:w="7654" w:type="dxa"/>
            <w:tcBorders>
              <w:top w:val="single" w:color="auto" w:sz="4" w:space="0"/>
              <w:left w:val="single" w:color="auto" w:sz="4" w:space="0"/>
              <w:bottom w:val="single" w:color="auto" w:sz="4" w:space="0"/>
              <w:right w:val="single" w:color="auto" w:sz="4" w:space="0"/>
            </w:tcBorders>
            <w:vAlign w:val="center"/>
          </w:tcPr>
          <w:p>
            <w:pPr>
              <w:pStyle w:val="13"/>
              <w:spacing w:line="400" w:lineRule="exact"/>
              <w:rPr>
                <w:rFonts w:hint="eastAsia" w:ascii="宋体" w:hAnsi="宋体"/>
                <w:color w:val="000000"/>
                <w:szCs w:val="21"/>
                <w:lang w:val="en-US" w:eastAsia="zh-CN"/>
              </w:rPr>
            </w:pPr>
            <w:r>
              <w:rPr>
                <w:rFonts w:hint="eastAsia" w:ascii="宋体" w:hAnsi="宋体"/>
                <w:color w:val="000000"/>
                <w:szCs w:val="21"/>
                <w:lang w:val="en-US" w:eastAsia="zh-CN"/>
              </w:rPr>
              <w:t>本项目是否接受联合体投标：详见招标公告。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olor w:val="000000"/>
                <w:szCs w:val="21"/>
              </w:rPr>
            </w:pPr>
            <w:r>
              <w:rPr>
                <w:rFonts w:ascii="宋体" w:hAnsi="宋体"/>
                <w:color w:val="000000"/>
                <w:szCs w:val="21"/>
              </w:rPr>
              <w:t>6.2</w:t>
            </w:r>
          </w:p>
        </w:tc>
        <w:tc>
          <w:tcPr>
            <w:tcW w:w="7654" w:type="dxa"/>
            <w:tcBorders>
              <w:top w:val="single" w:color="auto" w:sz="4" w:space="0"/>
              <w:left w:val="single" w:color="auto" w:sz="4" w:space="0"/>
              <w:bottom w:val="single" w:color="auto" w:sz="4" w:space="0"/>
              <w:right w:val="single" w:color="auto" w:sz="4" w:space="0"/>
            </w:tcBorders>
            <w:vAlign w:val="center"/>
          </w:tcPr>
          <w:p>
            <w:pPr>
              <w:pStyle w:val="13"/>
              <w:spacing w:line="400" w:lineRule="exact"/>
              <w:rPr>
                <w:rFonts w:hint="eastAsia" w:ascii="宋体" w:hAnsi="宋体"/>
                <w:color w:val="000000"/>
                <w:szCs w:val="21"/>
                <w:lang w:val="en-US" w:eastAsia="zh-CN"/>
              </w:rPr>
            </w:pPr>
            <w:bookmarkStart w:id="54" w:name="_Hlk54105293"/>
            <w:r>
              <w:rPr>
                <w:rFonts w:hint="eastAsia" w:ascii="宋体" w:hAnsi="宋体"/>
                <w:color w:val="000000"/>
                <w:szCs w:val="21"/>
                <w:lang w:val="en-US" w:eastAsia="zh-CN"/>
              </w:rPr>
              <w:t>如接受联合体投标，</w:t>
            </w:r>
            <w:bookmarkEnd w:id="54"/>
            <w:r>
              <w:rPr>
                <w:rFonts w:hint="eastAsia" w:ascii="宋体" w:hAnsi="宋体"/>
                <w:color w:val="000000"/>
                <w:szCs w:val="21"/>
                <w:lang w:val="en-US" w:eastAsia="zh-CN"/>
              </w:rPr>
              <w:t>联合体投标要求如下：</w:t>
            </w:r>
          </w:p>
          <w:p>
            <w:pPr>
              <w:pStyle w:val="13"/>
              <w:spacing w:line="400" w:lineRule="exact"/>
              <w:rPr>
                <w:rFonts w:hint="eastAsia" w:ascii="宋体" w:hAnsi="宋体"/>
                <w:color w:val="000000"/>
                <w:szCs w:val="21"/>
                <w:lang w:val="en-US" w:eastAsia="zh-CN"/>
              </w:rPr>
            </w:pPr>
            <w:r>
              <w:rPr>
                <w:rFonts w:hint="eastAsia" w:ascii="宋体" w:hAnsi="宋体"/>
                <w:color w:val="000000"/>
                <w:szCs w:val="21"/>
                <w:lang w:val="en-US" w:eastAsia="zh-CN"/>
              </w:rPr>
              <w:t>1</w:t>
            </w:r>
            <w:r>
              <w:rPr>
                <w:rFonts w:ascii="宋体" w:hAnsi="宋体"/>
                <w:color w:val="000000"/>
                <w:szCs w:val="21"/>
                <w:lang w:val="en-US" w:eastAsia="zh-CN"/>
              </w:rPr>
              <w:t>.</w:t>
            </w:r>
            <w:r>
              <w:rPr>
                <w:rFonts w:hint="eastAsia" w:ascii="宋体" w:hAnsi="宋体"/>
                <w:color w:val="000000"/>
                <w:szCs w:val="21"/>
                <w:lang w:val="en-US" w:eastAsia="zh-CN"/>
              </w:rPr>
              <w:t>两个以上投标人可以组成一个投标联合体，以一个投标人的身份共同参加投标。联合体投标的，须提供《联合体投标协议书》（格式后附）。</w:t>
            </w:r>
          </w:p>
          <w:p>
            <w:pPr>
              <w:pStyle w:val="13"/>
              <w:spacing w:line="400" w:lineRule="exact"/>
              <w:rPr>
                <w:rFonts w:hint="eastAsia" w:ascii="宋体" w:hAnsi="宋体"/>
                <w:color w:val="000000"/>
                <w:szCs w:val="21"/>
                <w:lang w:val="en-US" w:eastAsia="zh-CN"/>
              </w:rPr>
            </w:pPr>
            <w:r>
              <w:rPr>
                <w:rFonts w:hint="eastAsia" w:ascii="宋体" w:hAnsi="宋体"/>
                <w:color w:val="000000"/>
                <w:szCs w:val="21"/>
                <w:lang w:val="en-US" w:eastAsia="zh-CN"/>
              </w:rPr>
              <w:t>2</w:t>
            </w:r>
            <w:r>
              <w:rPr>
                <w:rFonts w:ascii="宋体" w:hAnsi="宋体"/>
                <w:color w:val="000000"/>
                <w:szCs w:val="21"/>
                <w:lang w:val="en-US" w:eastAsia="zh-CN"/>
              </w:rPr>
              <w:t>.</w:t>
            </w:r>
            <w:r>
              <w:rPr>
                <w:rFonts w:hint="eastAsia" w:ascii="宋体" w:hAnsi="宋体"/>
                <w:color w:val="000000"/>
                <w:szCs w:val="21"/>
                <w:lang w:val="en-US" w:eastAsia="zh-CN"/>
              </w:rPr>
              <w:t>以联合体形式参加投标的，联合体各方均必须具备《中华人民共和国政府采购法》第二十二条第一款规定的基本条件（涉及行政许可范围的内容，联合体各方均应具备相应资质）。本项目有特殊要求规定投标人特定条件的，联合体各方中至少有一方必须符合招标文件规定的特定条件。</w:t>
            </w:r>
          </w:p>
          <w:p>
            <w:pPr>
              <w:pStyle w:val="13"/>
              <w:spacing w:line="400" w:lineRule="exact"/>
              <w:rPr>
                <w:rFonts w:hint="eastAsia" w:ascii="宋体" w:hAnsi="宋体"/>
                <w:color w:val="000000"/>
                <w:szCs w:val="21"/>
                <w:lang w:val="en-US" w:eastAsia="zh-CN"/>
              </w:rPr>
            </w:pPr>
            <w:r>
              <w:rPr>
                <w:rFonts w:hint="eastAsia" w:ascii="宋体" w:hAnsi="宋体"/>
                <w:color w:val="000000"/>
                <w:szCs w:val="21"/>
                <w:lang w:val="en-US" w:eastAsia="zh-CN"/>
              </w:rPr>
              <w:t>3</w:t>
            </w:r>
            <w:r>
              <w:rPr>
                <w:rFonts w:ascii="宋体" w:hAnsi="宋体"/>
                <w:color w:val="000000"/>
                <w:szCs w:val="21"/>
                <w:lang w:val="en-US" w:eastAsia="zh-CN"/>
              </w:rPr>
              <w:t>.</w:t>
            </w:r>
            <w:r>
              <w:rPr>
                <w:rFonts w:hint="eastAsia" w:ascii="宋体" w:hAnsi="宋体"/>
                <w:color w:val="000000"/>
                <w:szCs w:val="21"/>
                <w:lang w:val="en-US" w:eastAsia="zh-CN"/>
              </w:rPr>
              <w:t>联合体各方之间必须签订联合投标协议，协议书必须明确主体方（或者牵头方）并明确约定联合体各方承担的工作和相应的责任（各方承担责任与义务的分工必须符合采购需求，否则，</w:t>
            </w:r>
            <w:r>
              <w:rPr>
                <w:rFonts w:hint="eastAsia" w:ascii="宋体" w:hAnsi="宋体"/>
                <w:b/>
                <w:bCs/>
                <w:color w:val="000000"/>
                <w:szCs w:val="21"/>
                <w:lang w:val="en-US" w:eastAsia="zh-CN"/>
              </w:rPr>
              <w:t>联合体投标无效</w:t>
            </w:r>
            <w:r>
              <w:rPr>
                <w:rFonts w:hint="eastAsia" w:ascii="宋体" w:hAnsi="宋体"/>
                <w:color w:val="000000"/>
                <w:szCs w:val="21"/>
                <w:lang w:val="en-US" w:eastAsia="zh-CN"/>
              </w:rPr>
              <w:t>），并将联合投标协议放入投标文件。联合体各方必须共同与采购人签订采购合同，就采购合同约定的事项对采购人承担连带责任。</w:t>
            </w:r>
          </w:p>
          <w:p>
            <w:pPr>
              <w:pStyle w:val="13"/>
              <w:spacing w:line="400" w:lineRule="exact"/>
              <w:rPr>
                <w:rFonts w:hint="eastAsia" w:ascii="宋体" w:hAnsi="宋体"/>
                <w:color w:val="000000"/>
                <w:szCs w:val="21"/>
                <w:lang w:val="en-US" w:eastAsia="zh-CN"/>
              </w:rPr>
            </w:pPr>
            <w:r>
              <w:rPr>
                <w:rFonts w:hint="eastAsia" w:ascii="宋体" w:hAnsi="宋体"/>
                <w:color w:val="000000"/>
                <w:szCs w:val="21"/>
                <w:lang w:val="en-US" w:eastAsia="zh-CN"/>
              </w:rPr>
              <w:t>4</w:t>
            </w:r>
            <w:r>
              <w:rPr>
                <w:rFonts w:ascii="宋体" w:hAnsi="宋体"/>
                <w:color w:val="000000"/>
                <w:szCs w:val="21"/>
                <w:lang w:val="en-US" w:eastAsia="zh-CN"/>
              </w:rPr>
              <w:t>.</w:t>
            </w:r>
            <w:r>
              <w:rPr>
                <w:rFonts w:hint="eastAsia" w:ascii="宋体" w:hAnsi="宋体"/>
                <w:color w:val="000000"/>
                <w:szCs w:val="21"/>
                <w:lang w:val="en-US" w:eastAsia="zh-CN"/>
              </w:rPr>
              <w:t>以联合体形式参加政府采购活动的，联合体各方不得再单独参加或者与其他投标人另外组成联合体参加同一合同项下的政府采购活动。</w:t>
            </w:r>
          </w:p>
          <w:p>
            <w:pPr>
              <w:pStyle w:val="13"/>
              <w:spacing w:line="400" w:lineRule="exact"/>
              <w:rPr>
                <w:rFonts w:hint="eastAsia" w:ascii="宋体" w:hAnsi="宋体"/>
                <w:color w:val="000000"/>
                <w:szCs w:val="21"/>
                <w:lang w:val="en-US" w:eastAsia="zh-CN"/>
              </w:rPr>
            </w:pPr>
            <w:r>
              <w:rPr>
                <w:rFonts w:hint="eastAsia" w:ascii="宋体" w:hAnsi="宋体"/>
                <w:color w:val="000000"/>
                <w:szCs w:val="21"/>
                <w:lang w:val="en-US" w:eastAsia="zh-CN"/>
              </w:rPr>
              <w:t>5</w:t>
            </w:r>
            <w:r>
              <w:rPr>
                <w:rFonts w:ascii="宋体" w:hAnsi="宋体"/>
                <w:color w:val="000000"/>
                <w:szCs w:val="21"/>
                <w:lang w:val="en-US" w:eastAsia="zh-CN"/>
              </w:rPr>
              <w:t>.</w:t>
            </w:r>
            <w:r>
              <w:rPr>
                <w:rFonts w:hint="eastAsia" w:ascii="宋体" w:hAnsi="宋体"/>
                <w:color w:val="000000"/>
                <w:szCs w:val="21"/>
                <w:lang w:val="en-US" w:eastAsia="zh-CN"/>
              </w:rPr>
              <w:t>联合体中有同类资质的投标人按照联合体分工承担相同工作的，应当按照资质等级较低的投标人确定资质等级。</w:t>
            </w:r>
          </w:p>
          <w:p>
            <w:pPr>
              <w:pStyle w:val="13"/>
              <w:spacing w:line="400" w:lineRule="exact"/>
              <w:rPr>
                <w:rFonts w:hint="eastAsia" w:ascii="宋体" w:hAnsi="宋体"/>
                <w:color w:val="000000"/>
                <w:szCs w:val="21"/>
                <w:lang w:val="en-US" w:eastAsia="zh-CN"/>
              </w:rPr>
            </w:pPr>
            <w:r>
              <w:rPr>
                <w:rFonts w:hint="eastAsia" w:ascii="宋体" w:hAnsi="宋体"/>
                <w:color w:val="000000"/>
                <w:szCs w:val="21"/>
                <w:lang w:val="en-US" w:eastAsia="zh-CN"/>
              </w:rPr>
              <w:t>6</w:t>
            </w:r>
            <w:r>
              <w:rPr>
                <w:rFonts w:ascii="宋体" w:hAnsi="宋体"/>
                <w:color w:val="000000"/>
                <w:szCs w:val="21"/>
                <w:lang w:val="en-US" w:eastAsia="zh-CN"/>
              </w:rPr>
              <w:t>.</w:t>
            </w:r>
            <w:r>
              <w:rPr>
                <w:rFonts w:hint="eastAsia" w:ascii="宋体" w:hAnsi="宋体"/>
                <w:color w:val="000000"/>
                <w:szCs w:val="21"/>
                <w:lang w:val="en-US" w:eastAsia="zh-CN"/>
              </w:rPr>
              <w:t>联合体投标业绩、履约能力按照联合体各方其中较高的一方认定并计算（招标文件另有规定的除外）。</w:t>
            </w:r>
          </w:p>
          <w:p>
            <w:pPr>
              <w:pStyle w:val="13"/>
              <w:spacing w:line="400" w:lineRule="exact"/>
              <w:rPr>
                <w:rFonts w:hint="eastAsia" w:ascii="宋体" w:hAnsi="宋体"/>
                <w:color w:val="000000"/>
                <w:szCs w:val="21"/>
                <w:lang w:val="en-US" w:eastAsia="zh-CN"/>
              </w:rPr>
            </w:pPr>
            <w:r>
              <w:rPr>
                <w:rFonts w:hint="eastAsia" w:ascii="宋体" w:hAnsi="宋体"/>
                <w:color w:val="000000"/>
                <w:szCs w:val="21"/>
                <w:lang w:val="en-US" w:eastAsia="zh-CN"/>
              </w:rPr>
              <w:t>7</w:t>
            </w:r>
            <w:r>
              <w:rPr>
                <w:rFonts w:ascii="宋体" w:hAnsi="宋体"/>
                <w:color w:val="000000"/>
                <w:szCs w:val="21"/>
                <w:lang w:val="en-US" w:eastAsia="zh-CN"/>
              </w:rPr>
              <w:t>.</w:t>
            </w:r>
            <w:r>
              <w:rPr>
                <w:rFonts w:hint="eastAsia" w:ascii="宋体" w:hAnsi="宋体"/>
                <w:color w:val="000000"/>
                <w:szCs w:val="21"/>
                <w:lang w:val="en-US" w:eastAsia="zh-CN"/>
              </w:rPr>
              <w:t>投标人为联合体的，可以由联合体中的一方或者多方共同交纳投标保证金，其交纳的保证金对联合体各方均具有约束力。</w:t>
            </w:r>
          </w:p>
          <w:p>
            <w:pPr>
              <w:pStyle w:val="13"/>
              <w:spacing w:line="400" w:lineRule="exact"/>
              <w:rPr>
                <w:rFonts w:hint="eastAsia" w:ascii="宋体" w:hAnsi="宋体"/>
                <w:color w:val="000000"/>
                <w:szCs w:val="21"/>
                <w:lang w:val="en-US" w:eastAsia="zh-CN"/>
              </w:rPr>
            </w:pPr>
            <w:r>
              <w:rPr>
                <w:rFonts w:hint="eastAsia" w:ascii="宋体" w:hAnsi="宋体"/>
                <w:color w:val="000000"/>
                <w:szCs w:val="21"/>
                <w:lang w:val="en-US" w:eastAsia="zh-CN"/>
              </w:rPr>
              <w:t>8</w:t>
            </w:r>
            <w:r>
              <w:rPr>
                <w:rFonts w:ascii="宋体" w:hAnsi="宋体"/>
                <w:color w:val="000000"/>
                <w:szCs w:val="21"/>
                <w:lang w:val="en-US" w:eastAsia="zh-CN"/>
              </w:rPr>
              <w:t>.</w:t>
            </w:r>
            <w:r>
              <w:rPr>
                <w:rFonts w:hint="eastAsia" w:ascii="宋体" w:hAnsi="宋体"/>
                <w:color w:val="000000"/>
                <w:szCs w:val="21"/>
                <w:lang w:val="en-US" w:eastAsia="zh-CN"/>
              </w:rPr>
              <w:t>联合体各方均应按照招标文件的规定提交资格证明文件。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7.2</w:t>
            </w:r>
          </w:p>
        </w:tc>
        <w:tc>
          <w:tcPr>
            <w:tcW w:w="7654" w:type="dxa"/>
            <w:tcBorders>
              <w:top w:val="single" w:color="auto" w:sz="4" w:space="0"/>
              <w:left w:val="single" w:color="auto" w:sz="4" w:space="0"/>
              <w:bottom w:val="single" w:color="auto" w:sz="4" w:space="0"/>
              <w:right w:val="single" w:color="auto" w:sz="4" w:space="0"/>
            </w:tcBorders>
            <w:vAlign w:val="center"/>
          </w:tcPr>
          <w:p>
            <w:pPr>
              <w:pStyle w:val="13"/>
              <w:spacing w:line="400" w:lineRule="exact"/>
              <w:rPr>
                <w:rFonts w:hint="eastAsia" w:ascii="宋体" w:hAnsi="宋体"/>
                <w:color w:val="000000"/>
                <w:szCs w:val="21"/>
                <w:lang w:val="en-US" w:eastAsia="zh-CN"/>
              </w:rPr>
            </w:pPr>
            <w:r>
              <w:rPr>
                <w:rFonts w:hint="eastAsia" w:ascii="宋体" w:hAnsi="宋体"/>
                <w:color w:val="000000"/>
                <w:szCs w:val="21"/>
                <w:bdr w:val="single" w:color="auto" w:sz="4" w:space="0"/>
                <w:lang w:val="en-US" w:eastAsia="zh-CN"/>
              </w:rPr>
              <w:t>√</w:t>
            </w:r>
            <w:r>
              <w:rPr>
                <w:rFonts w:hint="eastAsia" w:ascii="宋体" w:hAnsi="宋体"/>
                <w:color w:val="000000"/>
                <w:szCs w:val="21"/>
                <w:lang w:val="en-US" w:eastAsia="zh-CN"/>
              </w:rPr>
              <w:t>不允许分包</w:t>
            </w:r>
          </w:p>
          <w:p>
            <w:pPr>
              <w:pStyle w:val="13"/>
              <w:spacing w:line="400" w:lineRule="exact"/>
              <w:rPr>
                <w:rFonts w:hint="eastAsia" w:ascii="宋体" w:hAnsi="宋体"/>
                <w:color w:val="000000"/>
                <w:szCs w:val="21"/>
                <w:lang w:val="en-US" w:eastAsia="zh-CN"/>
              </w:rPr>
            </w:pPr>
            <w:r>
              <w:rPr>
                <w:rFonts w:hint="eastAsia" w:ascii="宋体" w:hAnsi="宋体"/>
                <w:color w:val="000000"/>
                <w:szCs w:val="21"/>
                <w:lang w:val="en-US" w:eastAsia="zh-CN"/>
              </w:rPr>
              <w:t>□允许分包</w:t>
            </w:r>
          </w:p>
          <w:p>
            <w:pPr>
              <w:pStyle w:val="13"/>
              <w:spacing w:line="400" w:lineRule="exact"/>
              <w:rPr>
                <w:rFonts w:hint="eastAsia" w:ascii="宋体" w:hAnsi="宋体"/>
                <w:color w:val="000000"/>
                <w:szCs w:val="21"/>
                <w:u w:val="single"/>
                <w:lang w:val="en-US" w:eastAsia="zh-CN"/>
              </w:rPr>
            </w:pPr>
            <w:r>
              <w:rPr>
                <w:rFonts w:hint="eastAsia" w:ascii="宋体" w:hAnsi="宋体"/>
                <w:color w:val="000000"/>
                <w:szCs w:val="21"/>
                <w:lang w:val="en-US" w:eastAsia="zh-CN"/>
              </w:rPr>
              <w:t>分包内容：</w:t>
            </w:r>
            <w:r>
              <w:rPr>
                <w:rFonts w:hint="eastAsia" w:ascii="宋体" w:hAnsi="宋体"/>
                <w:color w:val="000000"/>
                <w:szCs w:val="21"/>
                <w:u w:val="single"/>
                <w:lang w:val="en-US" w:eastAsia="zh-CN"/>
              </w:rPr>
              <w:t xml:space="preserve">                                     。</w:t>
            </w:r>
          </w:p>
          <w:p>
            <w:pPr>
              <w:pStyle w:val="13"/>
              <w:spacing w:line="400" w:lineRule="exact"/>
              <w:jc w:val="both"/>
              <w:rPr>
                <w:rFonts w:hint="eastAsia" w:ascii="宋体" w:hAnsi="宋体"/>
                <w:color w:val="000000"/>
                <w:szCs w:val="21"/>
                <w:u w:val="single"/>
                <w:lang w:val="en-US" w:eastAsia="zh-CN"/>
              </w:rPr>
            </w:pPr>
            <w:r>
              <w:rPr>
                <w:rFonts w:hint="eastAsia" w:ascii="宋体" w:hAnsi="宋体"/>
                <w:color w:val="000000"/>
                <w:szCs w:val="21"/>
                <w:lang w:val="en-US" w:eastAsia="zh-CN"/>
              </w:rPr>
              <w:t>分包金额或者比例：</w:t>
            </w:r>
            <w:r>
              <w:rPr>
                <w:rFonts w:hint="eastAsia" w:ascii="宋体" w:hAnsi="宋体"/>
                <w:color w:val="000000"/>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olor w:val="000000"/>
                <w:szCs w:val="21"/>
              </w:rPr>
            </w:pPr>
            <w:r>
              <w:rPr>
                <w:rFonts w:hint="eastAsia" w:ascii="宋体" w:hAnsi="宋体"/>
                <w:color w:val="000000"/>
                <w:szCs w:val="21"/>
              </w:rPr>
              <w:t>8.1</w:t>
            </w:r>
          </w:p>
        </w:tc>
        <w:tc>
          <w:tcPr>
            <w:tcW w:w="765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hint="eastAsia" w:ascii="宋体" w:hAnsi="宋体"/>
                <w:color w:val="000000"/>
                <w:szCs w:val="21"/>
              </w:rPr>
            </w:pPr>
            <w:r>
              <w:rPr>
                <w:rFonts w:hint="eastAsia" w:ascii="宋体" w:hAnsi="宋体"/>
                <w:color w:val="000000"/>
                <w:szCs w:val="21"/>
              </w:rPr>
              <w:t>采用综合评分法的采购项目，提供相同品牌产品（非单一产品采购项目的，指核心产品）的不同投标人评审得分相同时，按照下列方式确定一个投标人获得中标人推荐资格：</w:t>
            </w:r>
          </w:p>
          <w:p>
            <w:pPr>
              <w:autoSpaceDE w:val="0"/>
              <w:autoSpaceDN w:val="0"/>
              <w:snapToGrid w:val="0"/>
              <w:spacing w:line="400" w:lineRule="exact"/>
              <w:textAlignment w:val="bottom"/>
              <w:rPr>
                <w:rFonts w:hint="eastAsia" w:ascii="宋体" w:hAnsi="宋体"/>
                <w:color w:val="000000"/>
                <w:szCs w:val="21"/>
              </w:rPr>
            </w:pPr>
            <w:r>
              <w:rPr>
                <w:rFonts w:hint="eastAsia" w:ascii="宋体" w:hAnsi="宋体"/>
                <w:color w:val="000000"/>
                <w:szCs w:val="21"/>
                <w:bdr w:val="single" w:color="auto" w:sz="4" w:space="0"/>
              </w:rPr>
              <w:t>√</w:t>
            </w:r>
            <w:r>
              <w:rPr>
                <w:rFonts w:hint="eastAsia" w:ascii="宋体" w:hAnsi="宋体"/>
                <w:color w:val="000000"/>
                <w:szCs w:val="21"/>
              </w:rPr>
              <w:t>依次按投标报价低的优先、政策分得分高的优先、技术评分高的优先、商务评分高的优先、保修期长优先、交货期短优先、故障响应时间短优先的顺序推荐；</w:t>
            </w:r>
          </w:p>
          <w:p>
            <w:pPr>
              <w:autoSpaceDE w:val="0"/>
              <w:autoSpaceDN w:val="0"/>
              <w:snapToGrid w:val="0"/>
              <w:spacing w:line="400" w:lineRule="exact"/>
              <w:textAlignment w:val="bottom"/>
              <w:rPr>
                <w:rFonts w:hint="eastAsia" w:ascii="宋体" w:hAnsi="宋体"/>
                <w:color w:val="000000"/>
                <w:szCs w:val="21"/>
              </w:rPr>
            </w:pPr>
            <w:r>
              <w:rPr>
                <w:rFonts w:hint="eastAsia" w:ascii="宋体" w:hAnsi="宋体"/>
                <w:color w:val="000000"/>
                <w:szCs w:val="21"/>
              </w:rPr>
              <w:t>□随机抽取；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11" w:hRule="atLeast"/>
        </w:trPr>
        <w:tc>
          <w:tcPr>
            <w:tcW w:w="959" w:type="dxa"/>
            <w:vMerge w:val="restart"/>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color w:val="000000"/>
                <w:szCs w:val="21"/>
              </w:rPr>
            </w:pPr>
            <w:r>
              <w:rPr>
                <w:rFonts w:hint="eastAsia" w:ascii="宋体" w:hAnsi="宋体"/>
                <w:color w:val="000000"/>
                <w:szCs w:val="21"/>
              </w:rPr>
              <w:t>1</w:t>
            </w:r>
            <w:r>
              <w:rPr>
                <w:rFonts w:ascii="宋体" w:hAnsi="宋体"/>
                <w:color w:val="000000"/>
                <w:szCs w:val="21"/>
              </w:rPr>
              <w:t>1.2</w:t>
            </w:r>
          </w:p>
        </w:tc>
        <w:tc>
          <w:tcPr>
            <w:tcW w:w="765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000000"/>
                <w:szCs w:val="21"/>
              </w:rPr>
            </w:pPr>
            <w:r>
              <w:rPr>
                <w:rFonts w:hint="eastAsia" w:ascii="宋体" w:hAnsi="宋体"/>
                <w:color w:val="000000"/>
                <w:szCs w:val="21"/>
                <w:bdr w:val="single" w:color="auto" w:sz="4" w:space="0"/>
              </w:rPr>
              <w:t>√</w:t>
            </w:r>
            <w:r>
              <w:rPr>
                <w:rFonts w:hint="eastAsia" w:ascii="宋体" w:hAnsi="宋体"/>
                <w:color w:val="000000"/>
                <w:szCs w:val="21"/>
              </w:rPr>
              <w:t>不组织现场考察</w:t>
            </w:r>
          </w:p>
          <w:p>
            <w:pPr>
              <w:snapToGrid w:val="0"/>
              <w:spacing w:line="400" w:lineRule="exact"/>
              <w:rPr>
                <w:rFonts w:ascii="宋体" w:hAnsi="宋体"/>
                <w:color w:val="000000"/>
                <w:szCs w:val="21"/>
              </w:rPr>
            </w:pPr>
            <w:r>
              <w:rPr>
                <w:rFonts w:hint="eastAsia" w:ascii="宋体" w:hAnsi="宋体"/>
                <w:color w:val="000000"/>
                <w:szCs w:val="21"/>
              </w:rPr>
              <w:t>□组织现场考察：</w:t>
            </w:r>
          </w:p>
          <w:p>
            <w:pPr>
              <w:snapToGrid w:val="0"/>
              <w:spacing w:line="400" w:lineRule="exact"/>
              <w:rPr>
                <w:rFonts w:ascii="宋体" w:hAnsi="宋体"/>
                <w:color w:val="000000"/>
                <w:szCs w:val="21"/>
                <w:u w:val="single"/>
              </w:rPr>
            </w:pPr>
            <w:r>
              <w:rPr>
                <w:rFonts w:hint="eastAsia" w:ascii="宋体" w:hAnsi="宋体"/>
                <w:color w:val="000000"/>
                <w:szCs w:val="21"/>
              </w:rPr>
              <w:t>集中时间：</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 xml:space="preserve">日 </w:t>
            </w:r>
            <w:r>
              <w:rPr>
                <w:rFonts w:hint="eastAsia" w:ascii="宋体" w:hAnsi="宋体"/>
                <w:color w:val="000000"/>
                <w:szCs w:val="21"/>
                <w:u w:val="single"/>
              </w:rPr>
              <w:t xml:space="preserve">  </w:t>
            </w:r>
            <w:r>
              <w:rPr>
                <w:rFonts w:hint="eastAsia" w:ascii="宋体" w:hAnsi="宋体"/>
                <w:color w:val="000000"/>
                <w:szCs w:val="21"/>
              </w:rPr>
              <w:t>时</w:t>
            </w:r>
            <w:r>
              <w:rPr>
                <w:rFonts w:hint="eastAsia" w:ascii="宋体" w:hAnsi="宋体"/>
                <w:color w:val="000000"/>
                <w:szCs w:val="21"/>
                <w:u w:val="single"/>
              </w:rPr>
              <w:t xml:space="preserve">  分</w:t>
            </w:r>
            <w:r>
              <w:rPr>
                <w:rFonts w:hint="eastAsia" w:ascii="宋体" w:hAnsi="宋体"/>
                <w:color w:val="000000"/>
                <w:szCs w:val="21"/>
              </w:rPr>
              <w:t>，逾期后果自负。集中地点：</w:t>
            </w:r>
            <w:r>
              <w:rPr>
                <w:rFonts w:hint="eastAsia" w:ascii="宋体" w:hAnsi="宋体"/>
                <w:color w:val="000000"/>
                <w:szCs w:val="21"/>
                <w:u w:val="single"/>
              </w:rPr>
              <w:t xml:space="preserve"> </w:t>
            </w:r>
            <w:r>
              <w:rPr>
                <w:rFonts w:ascii="宋体" w:hAnsi="宋体"/>
                <w:color w:val="000000"/>
                <w:szCs w:val="21"/>
                <w:u w:val="single"/>
              </w:rPr>
              <w:t xml:space="preserve">             </w:t>
            </w:r>
          </w:p>
          <w:p>
            <w:pPr>
              <w:snapToGrid w:val="0"/>
              <w:spacing w:line="400" w:lineRule="exact"/>
              <w:rPr>
                <w:rFonts w:hint="eastAsia" w:ascii="宋体" w:hAnsi="宋体"/>
                <w:color w:val="000000"/>
                <w:szCs w:val="21"/>
              </w:rPr>
            </w:pPr>
            <w:r>
              <w:rPr>
                <w:rFonts w:hint="eastAsia" w:ascii="宋体" w:hAnsi="宋体"/>
                <w:color w:val="000000"/>
                <w:szCs w:val="21"/>
              </w:rPr>
              <w:t>联系人：</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rPr>
              <w:t>；联系电话：</w:t>
            </w:r>
            <w:r>
              <w:rPr>
                <w:rFonts w:ascii="宋体" w:hAnsi="宋体"/>
                <w:color w:val="000000"/>
                <w:szCs w:val="21"/>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58" w:hRule="atLeast"/>
        </w:trPr>
        <w:tc>
          <w:tcPr>
            <w:tcW w:w="959" w:type="dxa"/>
            <w:vMerge w:val="continue"/>
            <w:tcBorders>
              <w:left w:val="single" w:color="auto" w:sz="4" w:space="0"/>
              <w:bottom w:val="single" w:color="auto" w:sz="4" w:space="0"/>
              <w:right w:val="single" w:color="auto" w:sz="4" w:space="0"/>
            </w:tcBorders>
            <w:vAlign w:val="center"/>
          </w:tcPr>
          <w:p>
            <w:pPr>
              <w:spacing w:line="400" w:lineRule="exact"/>
              <w:jc w:val="center"/>
              <w:rPr>
                <w:rFonts w:hint="eastAsia" w:ascii="宋体" w:hAnsi="宋体"/>
                <w:color w:val="000000"/>
                <w:szCs w:val="21"/>
              </w:rPr>
            </w:pPr>
          </w:p>
        </w:tc>
        <w:tc>
          <w:tcPr>
            <w:tcW w:w="765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000000"/>
                <w:szCs w:val="21"/>
              </w:rPr>
            </w:pPr>
            <w:r>
              <w:rPr>
                <w:rFonts w:hint="eastAsia" w:ascii="宋体" w:hAnsi="宋体"/>
                <w:color w:val="000000"/>
                <w:szCs w:val="21"/>
                <w:bdr w:val="single" w:color="auto" w:sz="4" w:space="0"/>
              </w:rPr>
              <w:t>√</w:t>
            </w:r>
            <w:r>
              <w:rPr>
                <w:rFonts w:hint="eastAsia" w:ascii="宋体" w:hAnsi="宋体"/>
                <w:color w:val="000000"/>
                <w:szCs w:val="21"/>
              </w:rPr>
              <w:t>不组织召开开标前答疑会</w:t>
            </w:r>
          </w:p>
          <w:p>
            <w:pPr>
              <w:snapToGrid w:val="0"/>
              <w:spacing w:line="400" w:lineRule="exact"/>
              <w:rPr>
                <w:rFonts w:ascii="宋体" w:hAnsi="宋体"/>
                <w:color w:val="000000"/>
                <w:szCs w:val="21"/>
              </w:rPr>
            </w:pPr>
            <w:r>
              <w:rPr>
                <w:rFonts w:hint="eastAsia" w:ascii="宋体" w:hAnsi="宋体"/>
                <w:color w:val="000000"/>
                <w:szCs w:val="21"/>
              </w:rPr>
              <w:t>□组织召开开标前答疑会</w:t>
            </w:r>
          </w:p>
          <w:p>
            <w:pPr>
              <w:snapToGrid w:val="0"/>
              <w:spacing w:line="400" w:lineRule="exact"/>
              <w:rPr>
                <w:rFonts w:hint="eastAsia" w:ascii="宋体" w:hAnsi="宋体"/>
                <w:color w:val="000000"/>
                <w:szCs w:val="21"/>
              </w:rPr>
            </w:pPr>
            <w:r>
              <w:rPr>
                <w:rFonts w:hint="eastAsia" w:ascii="宋体" w:hAnsi="宋体"/>
                <w:color w:val="000000"/>
                <w:szCs w:val="21"/>
              </w:rPr>
              <w:t>会议开始时间：</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 xml:space="preserve">日 </w:t>
            </w:r>
            <w:r>
              <w:rPr>
                <w:rFonts w:hint="eastAsia" w:ascii="宋体" w:hAnsi="宋体"/>
                <w:color w:val="000000"/>
                <w:szCs w:val="21"/>
                <w:u w:val="single"/>
              </w:rPr>
              <w:t xml:space="preserve">  </w:t>
            </w:r>
            <w:r>
              <w:rPr>
                <w:rFonts w:hint="eastAsia" w:ascii="宋体" w:hAnsi="宋体"/>
                <w:color w:val="000000"/>
                <w:szCs w:val="21"/>
              </w:rPr>
              <w:t>时</w:t>
            </w:r>
            <w:r>
              <w:rPr>
                <w:rFonts w:hint="eastAsia" w:ascii="宋体" w:hAnsi="宋体"/>
                <w:color w:val="000000"/>
                <w:szCs w:val="21"/>
                <w:u w:val="single"/>
              </w:rPr>
              <w:t xml:space="preserve">  分</w:t>
            </w:r>
            <w:r>
              <w:rPr>
                <w:rFonts w:hint="eastAsia" w:ascii="宋体" w:hAnsi="宋体"/>
                <w:color w:val="000000"/>
                <w:szCs w:val="21"/>
              </w:rPr>
              <w:t>，逾期后果自负。会议地点：</w:t>
            </w:r>
            <w:r>
              <w:rPr>
                <w:rFonts w:hint="eastAsia" w:ascii="宋体" w:hAnsi="宋体"/>
                <w:color w:val="000000"/>
                <w:szCs w:val="21"/>
                <w:u w:val="single"/>
              </w:rPr>
              <w:t xml:space="preserve"> </w:t>
            </w:r>
            <w:r>
              <w:rPr>
                <w:rFonts w:ascii="宋体" w:hAnsi="宋体"/>
                <w:color w:val="000000"/>
                <w:szCs w:val="21"/>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59" w:type="dxa"/>
            <w:vMerge w:val="restart"/>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color w:val="000000"/>
                <w:szCs w:val="21"/>
              </w:rPr>
            </w:pPr>
            <w:bookmarkStart w:id="55" w:name="_13.1"/>
            <w:bookmarkEnd w:id="55"/>
            <w:r>
              <w:rPr>
                <w:rFonts w:hint="eastAsia" w:ascii="宋体" w:hAnsi="宋体"/>
                <w:color w:val="000000"/>
                <w:szCs w:val="21"/>
              </w:rPr>
              <w:t>13</w:t>
            </w:r>
          </w:p>
        </w:tc>
        <w:tc>
          <w:tcPr>
            <w:tcW w:w="765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hint="eastAsia" w:ascii="宋体" w:hAnsi="宋体" w:cs="Courier New"/>
                <w:b/>
                <w:color w:val="000000"/>
                <w:szCs w:val="21"/>
              </w:rPr>
            </w:pPr>
            <w:r>
              <w:rPr>
                <w:rFonts w:hint="eastAsia" w:ascii="宋体" w:hAnsi="宋体" w:cs="Courier New"/>
                <w:b/>
                <w:color w:val="000000"/>
                <w:szCs w:val="21"/>
              </w:rPr>
              <w:t>报价文件：</w:t>
            </w:r>
          </w:p>
          <w:p>
            <w:pPr>
              <w:numPr>
                <w:ilvl w:val="0"/>
                <w:numId w:val="29"/>
              </w:numPr>
              <w:tabs>
                <w:tab w:val="left" w:pos="34"/>
              </w:tabs>
              <w:snapToGrid w:val="0"/>
              <w:spacing w:line="400" w:lineRule="exact"/>
              <w:ind w:left="0" w:firstLine="0"/>
              <w:jc w:val="left"/>
              <w:rPr>
                <w:rFonts w:hint="eastAsia" w:ascii="宋体" w:hAnsi="宋体"/>
                <w:color w:val="000000"/>
                <w:szCs w:val="21"/>
              </w:rPr>
            </w:pPr>
            <w:r>
              <w:rPr>
                <w:rFonts w:hint="eastAsia" w:ascii="宋体" w:hAnsi="宋体"/>
                <w:color w:val="000000"/>
                <w:szCs w:val="21"/>
              </w:rPr>
              <w:t>投标函（格式后附）；</w:t>
            </w:r>
            <w:r>
              <w:rPr>
                <w:rFonts w:hint="eastAsia" w:ascii="宋体" w:hAnsi="宋体"/>
                <w:b/>
                <w:color w:val="000000"/>
                <w:szCs w:val="21"/>
              </w:rPr>
              <w:t>（必须提供，否则按无效投标处理）</w:t>
            </w:r>
          </w:p>
          <w:p>
            <w:pPr>
              <w:numPr>
                <w:ilvl w:val="0"/>
                <w:numId w:val="29"/>
              </w:numPr>
              <w:tabs>
                <w:tab w:val="left" w:pos="34"/>
              </w:tabs>
              <w:snapToGrid w:val="0"/>
              <w:spacing w:line="400" w:lineRule="exact"/>
              <w:ind w:left="0" w:firstLine="0"/>
              <w:jc w:val="left"/>
              <w:rPr>
                <w:rFonts w:hint="eastAsia" w:ascii="宋体" w:hAnsi="宋体"/>
                <w:color w:val="000000"/>
                <w:szCs w:val="21"/>
              </w:rPr>
            </w:pPr>
            <w:bookmarkStart w:id="56" w:name="_Hlk71299233"/>
            <w:r>
              <w:rPr>
                <w:rFonts w:hint="eastAsia" w:ascii="宋体" w:hAnsi="宋体"/>
                <w:color w:val="000000"/>
                <w:szCs w:val="21"/>
              </w:rPr>
              <w:t>开标一览表</w:t>
            </w:r>
            <w:bookmarkEnd w:id="56"/>
            <w:r>
              <w:rPr>
                <w:rFonts w:hint="eastAsia" w:ascii="宋体" w:hAnsi="宋体"/>
                <w:color w:val="000000"/>
                <w:szCs w:val="21"/>
              </w:rPr>
              <w:t>（格式后附）； （</w:t>
            </w:r>
            <w:r>
              <w:rPr>
                <w:rFonts w:hint="eastAsia" w:ascii="宋体" w:hAnsi="宋体"/>
                <w:b/>
                <w:color w:val="000000"/>
                <w:szCs w:val="21"/>
              </w:rPr>
              <w:t>必须提供，否则按无效投标处理</w:t>
            </w:r>
            <w:r>
              <w:rPr>
                <w:rFonts w:hint="eastAsia" w:ascii="宋体" w:hAnsi="宋体"/>
                <w:color w:val="000000"/>
                <w:szCs w:val="21"/>
              </w:rPr>
              <w:t>）</w:t>
            </w:r>
          </w:p>
          <w:p>
            <w:pPr>
              <w:numPr>
                <w:ilvl w:val="0"/>
                <w:numId w:val="29"/>
              </w:numPr>
              <w:tabs>
                <w:tab w:val="left" w:pos="34"/>
              </w:tabs>
              <w:snapToGrid w:val="0"/>
              <w:spacing w:line="400" w:lineRule="exact"/>
              <w:ind w:left="0" w:firstLine="0"/>
              <w:jc w:val="left"/>
              <w:rPr>
                <w:rFonts w:hint="eastAsia" w:ascii="宋体" w:hAnsi="宋体"/>
                <w:color w:val="000000"/>
                <w:szCs w:val="21"/>
              </w:rPr>
            </w:pPr>
            <w:r>
              <w:rPr>
                <w:rFonts w:hint="eastAsia" w:ascii="宋体" w:hAnsi="宋体"/>
                <w:color w:val="000000"/>
                <w:szCs w:val="21"/>
              </w:rPr>
              <w:t>投标人针对报价需要说明的其他文件和说明（格式自拟）。</w:t>
            </w:r>
          </w:p>
          <w:p>
            <w:pPr>
              <w:tabs>
                <w:tab w:val="left" w:pos="34"/>
              </w:tabs>
              <w:snapToGrid w:val="0"/>
              <w:spacing w:line="400" w:lineRule="exact"/>
              <w:jc w:val="left"/>
              <w:rPr>
                <w:rFonts w:hint="eastAsia" w:ascii="宋体" w:hAnsi="宋体"/>
                <w:color w:val="000000"/>
                <w:szCs w:val="21"/>
              </w:rPr>
            </w:pPr>
            <w:r>
              <w:rPr>
                <w:rFonts w:hint="eastAsia" w:ascii="宋体" w:hAnsi="宋体"/>
                <w:b/>
                <w:bCs/>
                <w:color w:val="000000"/>
                <w:szCs w:val="21"/>
              </w:rPr>
              <w:t>注：投标函、开标一览表必须由法定代表人或者委托代理人在规定签章处逐一签字或者电子签名并加盖投标人公章，否则按无效投标</w:t>
            </w:r>
            <w:r>
              <w:rPr>
                <w:rFonts w:hint="eastAsia" w:ascii="宋体" w:hAnsi="宋体" w:cs="Courier New"/>
                <w:b/>
                <w:color w:val="000000"/>
                <w:szCs w:val="21"/>
              </w:rPr>
              <w:t>处理</w:t>
            </w:r>
            <w:r>
              <w:rPr>
                <w:rFonts w:hint="eastAsia" w:ascii="宋体" w:hAnsi="宋体"/>
                <w:b/>
                <w:bCs/>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59" w:type="dxa"/>
            <w:vMerge w:val="continue"/>
            <w:tcBorders>
              <w:left w:val="single" w:color="auto" w:sz="4" w:space="0"/>
              <w:right w:val="single" w:color="auto" w:sz="4" w:space="0"/>
            </w:tcBorders>
            <w:vAlign w:val="center"/>
          </w:tcPr>
          <w:p>
            <w:pPr>
              <w:spacing w:line="400" w:lineRule="exact"/>
              <w:rPr>
                <w:rFonts w:hint="eastAsia" w:ascii="宋体" w:hAnsi="宋体"/>
                <w:color w:val="000000"/>
                <w:szCs w:val="21"/>
              </w:rPr>
            </w:pPr>
            <w:bookmarkStart w:id="57" w:name="_13.2"/>
            <w:bookmarkEnd w:id="57"/>
          </w:p>
        </w:tc>
        <w:tc>
          <w:tcPr>
            <w:tcW w:w="765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hint="eastAsia" w:ascii="宋体" w:hAnsi="宋体" w:cs="Courier New"/>
                <w:b/>
                <w:color w:val="000000"/>
                <w:szCs w:val="21"/>
              </w:rPr>
            </w:pPr>
            <w:r>
              <w:rPr>
                <w:rFonts w:hint="eastAsia" w:ascii="宋体" w:hAnsi="宋体" w:cs="Courier New"/>
                <w:b/>
                <w:color w:val="000000"/>
                <w:szCs w:val="21"/>
              </w:rPr>
              <w:t>资格证明文件</w:t>
            </w:r>
          </w:p>
          <w:p>
            <w:pPr>
              <w:snapToGrid w:val="0"/>
              <w:spacing w:line="400" w:lineRule="exact"/>
              <w:jc w:val="left"/>
              <w:rPr>
                <w:rFonts w:ascii="宋体" w:hAnsi="宋体" w:cs="Courier New"/>
                <w:b/>
                <w:color w:val="000000"/>
                <w:szCs w:val="21"/>
              </w:rPr>
            </w:pPr>
            <w:r>
              <w:rPr>
                <w:rFonts w:hint="eastAsia" w:ascii="宋体" w:hAnsi="宋体"/>
                <w:color w:val="000000"/>
                <w:szCs w:val="21"/>
              </w:rPr>
              <w:t>1.投标人为法人或者其他组织的，提供营业执照等证明文件</w:t>
            </w:r>
            <w:r>
              <w:rPr>
                <w:rFonts w:hint="eastAsia" w:ascii="宋体" w:hAnsi="宋体" w:cs="宋体"/>
                <w:color w:val="000000"/>
                <w:szCs w:val="21"/>
              </w:rPr>
              <w:t>（如营业执照或者事业单位法人证书或者</w:t>
            </w:r>
            <w:r>
              <w:rPr>
                <w:rStyle w:val="26"/>
                <w:sz w:val="21"/>
                <w:szCs w:val="21"/>
              </w:rPr>
              <w:t>执业许可证</w:t>
            </w:r>
            <w:r>
              <w:rPr>
                <w:rFonts w:hint="eastAsia" w:ascii="宋体" w:hAnsi="宋体" w:cs="宋体"/>
                <w:color w:val="000000"/>
                <w:szCs w:val="21"/>
              </w:rPr>
              <w:t>或者登记证书等）</w:t>
            </w:r>
            <w:r>
              <w:rPr>
                <w:rFonts w:hint="eastAsia" w:ascii="宋体" w:hAnsi="宋体"/>
                <w:color w:val="000000"/>
                <w:szCs w:val="21"/>
              </w:rPr>
              <w:t>，投标人为自然人的，提供身份证</w:t>
            </w:r>
            <w:r>
              <w:rPr>
                <w:rFonts w:hint="eastAsia" w:ascii="宋体" w:hAnsi="宋体" w:cs="宋体"/>
                <w:color w:val="000000"/>
                <w:szCs w:val="21"/>
              </w:rPr>
              <w:t>复印件</w:t>
            </w:r>
            <w:r>
              <w:rPr>
                <w:rFonts w:hint="eastAsia" w:ascii="宋体" w:hAnsi="宋体"/>
                <w:color w:val="000000"/>
                <w:szCs w:val="21"/>
              </w:rPr>
              <w:t>；（</w:t>
            </w:r>
            <w:r>
              <w:rPr>
                <w:rFonts w:hint="eastAsia" w:ascii="宋体" w:hAnsi="宋体"/>
                <w:b/>
                <w:color w:val="000000"/>
                <w:szCs w:val="21"/>
              </w:rPr>
              <w:t>必须提供，否则按无效投标处理</w:t>
            </w:r>
            <w:r>
              <w:rPr>
                <w:rFonts w:hint="eastAsia" w:ascii="宋体" w:hAnsi="宋体"/>
                <w:color w:val="000000"/>
                <w:szCs w:val="21"/>
              </w:rPr>
              <w:t>）</w:t>
            </w:r>
          </w:p>
          <w:p>
            <w:pPr>
              <w:snapToGrid w:val="0"/>
              <w:spacing w:line="400" w:lineRule="exact"/>
              <w:jc w:val="left"/>
              <w:rPr>
                <w:rFonts w:hint="eastAsia" w:ascii="宋体" w:hAnsi="宋体" w:cs="Courier New"/>
                <w:b/>
                <w:color w:val="000000"/>
                <w:szCs w:val="21"/>
              </w:rPr>
            </w:pPr>
            <w:r>
              <w:rPr>
                <w:rFonts w:hint="eastAsia" w:ascii="宋体" w:hAnsi="宋体" w:cs="宋体"/>
                <w:color w:val="000000"/>
                <w:szCs w:val="21"/>
              </w:rPr>
              <w:t>2.投标人依法缴纳税收的相关材料（2021年</w:t>
            </w:r>
            <w:r>
              <w:rPr>
                <w:rFonts w:hint="eastAsia" w:ascii="宋体" w:hAnsi="宋体" w:cs="宋体"/>
                <w:color w:val="000000"/>
                <w:szCs w:val="21"/>
                <w:lang w:val="en-US" w:eastAsia="zh-CN"/>
              </w:rPr>
              <w:t>11</w:t>
            </w:r>
            <w:r>
              <w:rPr>
                <w:rFonts w:hint="eastAsia" w:ascii="宋体" w:hAnsi="宋体" w:cs="宋体"/>
                <w:color w:val="000000"/>
                <w:szCs w:val="21"/>
              </w:rPr>
              <w:t>月至2</w:t>
            </w:r>
            <w:r>
              <w:rPr>
                <w:rFonts w:hint="eastAsia" w:ascii="宋体" w:hAnsi="宋体" w:cs="宋体"/>
                <w:color w:val="000000"/>
                <w:szCs w:val="21"/>
                <w:lang w:val="en-US" w:eastAsia="zh-CN"/>
              </w:rPr>
              <w:t>022</w:t>
            </w:r>
            <w:r>
              <w:rPr>
                <w:rFonts w:hint="eastAsia" w:ascii="宋体" w:hAnsi="宋体" w:cs="宋体"/>
                <w:color w:val="000000"/>
                <w:szCs w:val="21"/>
              </w:rPr>
              <w:t>年</w:t>
            </w:r>
            <w:r>
              <w:rPr>
                <w:rFonts w:hint="eastAsia" w:ascii="宋体" w:hAnsi="宋体" w:cs="宋体"/>
                <w:color w:val="000000"/>
                <w:szCs w:val="21"/>
                <w:lang w:val="en-US" w:eastAsia="zh-CN"/>
              </w:rPr>
              <w:t>1</w:t>
            </w:r>
            <w:r>
              <w:rPr>
                <w:rFonts w:hint="eastAsia" w:ascii="宋体" w:hAnsi="宋体" w:cs="宋体"/>
                <w:color w:val="000000"/>
                <w:szCs w:val="21"/>
              </w:rPr>
              <w:t>月内连续</w:t>
            </w:r>
            <w:r>
              <w:rPr>
                <w:rFonts w:hint="eastAsia" w:ascii="宋体" w:hAnsi="宋体" w:cs="宋体"/>
                <w:color w:val="000000"/>
                <w:szCs w:val="21"/>
                <w:u w:val="single"/>
              </w:rPr>
              <w:t xml:space="preserve"> 3</w:t>
            </w:r>
            <w:r>
              <w:rPr>
                <w:rFonts w:hint="eastAsia" w:ascii="宋体" w:hAnsi="宋体" w:cs="宋体"/>
                <w:color w:val="000000"/>
                <w:szCs w:val="21"/>
              </w:rPr>
              <w:t>个月的依法缴纳税收的凭据复印件；</w:t>
            </w:r>
            <w:r>
              <w:rPr>
                <w:rFonts w:hint="eastAsia" w:ascii="宋体" w:hAnsi="宋体"/>
                <w:color w:val="000000"/>
                <w:szCs w:val="21"/>
              </w:rPr>
              <w:t>依法免税的供应商，必须提供相应文件证明其依法免税。</w:t>
            </w:r>
            <w:r>
              <w:rPr>
                <w:rFonts w:hint="eastAsia" w:ascii="宋体" w:hAnsi="宋体" w:cs="宋体"/>
                <w:color w:val="000000"/>
                <w:szCs w:val="21"/>
              </w:rPr>
              <w:t>从</w:t>
            </w:r>
            <w:r>
              <w:rPr>
                <w:rFonts w:hint="eastAsia" w:ascii="宋体" w:hAnsi="宋体"/>
                <w:color w:val="000000"/>
                <w:szCs w:val="21"/>
              </w:rPr>
              <w:t>成立之日</w:t>
            </w:r>
            <w:r>
              <w:rPr>
                <w:rFonts w:hint="eastAsia" w:ascii="宋体" w:hAnsi="宋体" w:cs="宋体"/>
                <w:color w:val="000000"/>
                <w:szCs w:val="21"/>
              </w:rPr>
              <w:t>起到投标文件提交截止时间止不足要求月数的，只需提供从</w:t>
            </w:r>
            <w:r>
              <w:rPr>
                <w:rFonts w:hint="eastAsia" w:ascii="宋体" w:hAnsi="宋体"/>
                <w:color w:val="000000"/>
                <w:szCs w:val="21"/>
              </w:rPr>
              <w:t>成立之日起</w:t>
            </w:r>
            <w:r>
              <w:rPr>
                <w:rFonts w:hint="eastAsia" w:ascii="宋体" w:hAnsi="宋体" w:cs="宋体"/>
                <w:color w:val="000000"/>
                <w:szCs w:val="21"/>
              </w:rPr>
              <w:t>的依法缴纳税收</w:t>
            </w:r>
            <w:r>
              <w:rPr>
                <w:rFonts w:hint="eastAsia" w:ascii="宋体" w:hAnsi="宋体"/>
                <w:color w:val="000000"/>
                <w:szCs w:val="21"/>
              </w:rPr>
              <w:t>相应证明文件</w:t>
            </w:r>
            <w:r>
              <w:rPr>
                <w:rFonts w:hint="eastAsia" w:ascii="宋体" w:hAnsi="宋体" w:cs="宋体"/>
                <w:color w:val="000000"/>
                <w:szCs w:val="21"/>
              </w:rPr>
              <w:t>）</w:t>
            </w:r>
            <w:r>
              <w:rPr>
                <w:rFonts w:hint="eastAsia" w:ascii="宋体" w:hAnsi="宋体"/>
                <w:color w:val="000000"/>
                <w:szCs w:val="21"/>
              </w:rPr>
              <w:t>；（</w:t>
            </w:r>
            <w:r>
              <w:rPr>
                <w:rFonts w:hint="eastAsia" w:ascii="宋体" w:hAnsi="宋体"/>
                <w:b/>
                <w:color w:val="000000"/>
                <w:szCs w:val="21"/>
              </w:rPr>
              <w:t>必须提供，否则按无效投标处理</w:t>
            </w:r>
            <w:r>
              <w:rPr>
                <w:rFonts w:hint="eastAsia" w:ascii="宋体" w:hAnsi="宋体"/>
                <w:color w:val="000000"/>
                <w:szCs w:val="21"/>
              </w:rPr>
              <w:t>）</w:t>
            </w:r>
          </w:p>
          <w:p>
            <w:pPr>
              <w:snapToGrid w:val="0"/>
              <w:spacing w:line="400" w:lineRule="exact"/>
              <w:jc w:val="left"/>
              <w:rPr>
                <w:rFonts w:hint="eastAsia" w:ascii="宋体" w:hAnsi="宋体" w:cs="Courier New"/>
                <w:b/>
                <w:color w:val="000000"/>
                <w:szCs w:val="21"/>
              </w:rPr>
            </w:pPr>
            <w:r>
              <w:rPr>
                <w:rFonts w:hint="eastAsia" w:ascii="宋体" w:hAnsi="宋体" w:cs="宋体"/>
                <w:color w:val="000000"/>
                <w:szCs w:val="21"/>
              </w:rPr>
              <w:t>3.投标人依法缴纳社会保障资金的相关材料[2021年</w:t>
            </w:r>
            <w:r>
              <w:rPr>
                <w:rFonts w:hint="eastAsia" w:ascii="宋体" w:hAnsi="宋体" w:cs="宋体"/>
                <w:color w:val="000000"/>
                <w:szCs w:val="21"/>
                <w:lang w:val="en-US" w:eastAsia="zh-CN"/>
              </w:rPr>
              <w:t>11</w:t>
            </w:r>
            <w:r>
              <w:rPr>
                <w:rFonts w:hint="eastAsia" w:ascii="宋体" w:hAnsi="宋体" w:cs="宋体"/>
                <w:color w:val="000000"/>
                <w:szCs w:val="21"/>
              </w:rPr>
              <w:t>月至20</w:t>
            </w:r>
            <w:r>
              <w:rPr>
                <w:rFonts w:hint="eastAsia" w:ascii="宋体" w:hAnsi="宋体" w:cs="宋体"/>
                <w:color w:val="000000"/>
                <w:szCs w:val="21"/>
                <w:lang w:val="en-US" w:eastAsia="zh-CN"/>
              </w:rPr>
              <w:t>22</w:t>
            </w:r>
            <w:r>
              <w:rPr>
                <w:rFonts w:hint="eastAsia" w:ascii="宋体" w:hAnsi="宋体" w:cs="宋体"/>
                <w:color w:val="000000"/>
                <w:szCs w:val="21"/>
              </w:rPr>
              <w:t>年</w:t>
            </w:r>
            <w:r>
              <w:rPr>
                <w:rFonts w:hint="eastAsia" w:ascii="宋体" w:hAnsi="宋体" w:cs="宋体"/>
                <w:color w:val="000000"/>
                <w:szCs w:val="21"/>
                <w:lang w:val="en-US" w:eastAsia="zh-CN"/>
              </w:rPr>
              <w:t>1</w:t>
            </w:r>
            <w:r>
              <w:rPr>
                <w:rFonts w:hint="eastAsia" w:ascii="宋体" w:hAnsi="宋体" w:cs="宋体"/>
                <w:color w:val="000000"/>
                <w:szCs w:val="21"/>
              </w:rPr>
              <w:t>月内连续</w:t>
            </w:r>
            <w:r>
              <w:rPr>
                <w:rFonts w:hint="eastAsia" w:ascii="宋体" w:hAnsi="宋体" w:cs="宋体"/>
                <w:color w:val="000000"/>
                <w:szCs w:val="21"/>
                <w:u w:val="single"/>
              </w:rPr>
              <w:t>3</w:t>
            </w:r>
            <w:r>
              <w:rPr>
                <w:rFonts w:hint="eastAsia" w:ascii="宋体" w:hAnsi="宋体" w:cs="宋体"/>
                <w:color w:val="000000"/>
                <w:szCs w:val="21"/>
              </w:rPr>
              <w:t>个月的依法缴纳社会保障资金的缴费凭证（专用收据或者社会保险缴纳清单）复印件；</w:t>
            </w:r>
            <w:r>
              <w:rPr>
                <w:rFonts w:hint="eastAsia" w:ascii="宋体" w:hAnsi="宋体"/>
                <w:color w:val="000000"/>
                <w:szCs w:val="21"/>
              </w:rPr>
              <w:t>依法不需要缴纳社会保障资金的供应商，必须提供相应文件证明不需要缴纳社会保障资金。</w:t>
            </w:r>
            <w:r>
              <w:rPr>
                <w:rFonts w:hint="eastAsia" w:ascii="宋体" w:hAnsi="宋体" w:cs="宋体"/>
                <w:color w:val="000000"/>
                <w:szCs w:val="21"/>
              </w:rPr>
              <w:t>从</w:t>
            </w:r>
            <w:r>
              <w:rPr>
                <w:rFonts w:hint="eastAsia" w:ascii="宋体" w:hAnsi="宋体"/>
                <w:color w:val="000000"/>
                <w:szCs w:val="21"/>
              </w:rPr>
              <w:t>成立之日起</w:t>
            </w:r>
            <w:r>
              <w:rPr>
                <w:rFonts w:hint="eastAsia" w:ascii="宋体" w:hAnsi="宋体" w:cs="宋体"/>
                <w:color w:val="000000"/>
                <w:szCs w:val="21"/>
              </w:rPr>
              <w:t>到投标文件提交截止时间止不足要求月数的只需提供从</w:t>
            </w:r>
            <w:r>
              <w:rPr>
                <w:rFonts w:hint="eastAsia" w:ascii="宋体" w:hAnsi="宋体"/>
                <w:color w:val="000000"/>
                <w:szCs w:val="21"/>
              </w:rPr>
              <w:t>成立之日起</w:t>
            </w:r>
            <w:r>
              <w:rPr>
                <w:rFonts w:hint="eastAsia" w:ascii="宋体" w:hAnsi="宋体" w:cs="宋体"/>
                <w:color w:val="000000"/>
                <w:szCs w:val="21"/>
              </w:rPr>
              <w:t>的依法缴纳社会保障资金的</w:t>
            </w:r>
            <w:r>
              <w:rPr>
                <w:rFonts w:hint="eastAsia" w:ascii="宋体" w:hAnsi="宋体"/>
                <w:color w:val="000000"/>
                <w:szCs w:val="21"/>
              </w:rPr>
              <w:t>相应证明文件</w:t>
            </w:r>
            <w:r>
              <w:rPr>
                <w:rFonts w:hint="eastAsia" w:ascii="宋体" w:hAnsi="宋体" w:cs="宋体"/>
                <w:color w:val="000000"/>
                <w:szCs w:val="21"/>
              </w:rPr>
              <w:t>]</w:t>
            </w:r>
            <w:r>
              <w:rPr>
                <w:rFonts w:hint="eastAsia" w:ascii="宋体" w:hAnsi="宋体"/>
                <w:color w:val="000000"/>
                <w:szCs w:val="21"/>
              </w:rPr>
              <w:t>；（</w:t>
            </w:r>
            <w:r>
              <w:rPr>
                <w:rFonts w:hint="eastAsia" w:ascii="宋体" w:hAnsi="宋体"/>
                <w:b/>
                <w:color w:val="000000"/>
                <w:szCs w:val="21"/>
              </w:rPr>
              <w:t>必须提供，否则按无效投标处理</w:t>
            </w:r>
            <w:r>
              <w:rPr>
                <w:rFonts w:hint="eastAsia" w:ascii="宋体" w:hAnsi="宋体"/>
                <w:color w:val="000000"/>
                <w:szCs w:val="21"/>
              </w:rPr>
              <w:t>）</w:t>
            </w:r>
          </w:p>
          <w:p>
            <w:pPr>
              <w:snapToGrid w:val="0"/>
              <w:spacing w:line="360" w:lineRule="exact"/>
              <w:ind w:firstLine="420" w:firstLineChars="200"/>
              <w:jc w:val="left"/>
              <w:rPr>
                <w:rFonts w:hint="eastAsia" w:ascii="宋体" w:hAnsi="宋体" w:cs="Courier New"/>
                <w:b/>
                <w:color w:val="000000"/>
                <w:szCs w:val="21"/>
              </w:rPr>
            </w:pPr>
            <w:r>
              <w:rPr>
                <w:rFonts w:hint="eastAsia" w:ascii="宋体" w:hAnsi="宋体" w:cs="宋体"/>
                <w:color w:val="000000"/>
                <w:szCs w:val="21"/>
              </w:rPr>
              <w:t>4.投标人</w:t>
            </w:r>
            <w:r>
              <w:rPr>
                <w:rFonts w:hint="eastAsia" w:ascii="宋体" w:hAnsi="宋体"/>
                <w:color w:val="000000"/>
                <w:szCs w:val="21"/>
              </w:rPr>
              <w:t>财务状况报告（</w:t>
            </w:r>
            <w:r>
              <w:rPr>
                <w:rFonts w:hint="eastAsia" w:ascii="宋体" w:hAnsi="宋体"/>
                <w:bCs/>
              </w:rPr>
              <w:t>投标人经第三方审计的2020年度的财务报表（账务报表至少包含资产负债表、利润表、现金流量表及其附注、加盖会计师事务所公章页）复印件（新成立的公司提供公司成立日之后次月起到投标文件递交截止前一个月的财务报表复印件）或投标截止之日前三个月内投标人基本开户银行出具的资信证明（仅提供银行出具的存款证明不能作为其银行资信证明）复印件；(必须提供)</w:t>
            </w:r>
            <w:r>
              <w:rPr>
                <w:rFonts w:hint="eastAsia" w:ascii="宋体" w:hAnsi="宋体"/>
                <w:color w:val="000000"/>
                <w:szCs w:val="21"/>
              </w:rPr>
              <w:t>（</w:t>
            </w:r>
            <w:r>
              <w:rPr>
                <w:rFonts w:hint="eastAsia" w:ascii="宋体" w:hAnsi="宋体"/>
                <w:b/>
                <w:color w:val="000000"/>
                <w:szCs w:val="21"/>
              </w:rPr>
              <w:t>必须提供，否则按无效投标处理</w:t>
            </w:r>
            <w:r>
              <w:rPr>
                <w:rFonts w:hint="eastAsia" w:ascii="宋体" w:hAnsi="宋体"/>
                <w:color w:val="000000"/>
                <w:szCs w:val="21"/>
              </w:rPr>
              <w:t>）</w:t>
            </w:r>
          </w:p>
          <w:p>
            <w:pPr>
              <w:snapToGrid w:val="0"/>
              <w:spacing w:line="400" w:lineRule="exact"/>
              <w:jc w:val="left"/>
              <w:rPr>
                <w:rFonts w:hint="eastAsia" w:ascii="宋体" w:hAnsi="宋体"/>
                <w:color w:val="000000"/>
                <w:szCs w:val="21"/>
              </w:rPr>
            </w:pPr>
            <w:r>
              <w:rPr>
                <w:rFonts w:hint="eastAsia" w:ascii="宋体" w:hAnsi="宋体"/>
                <w:color w:val="000000"/>
                <w:szCs w:val="21"/>
              </w:rPr>
              <w:t>5.投标人直接控股、管理关系信息表（格式后附）；（</w:t>
            </w:r>
            <w:r>
              <w:rPr>
                <w:rFonts w:hint="eastAsia" w:ascii="宋体" w:hAnsi="宋体"/>
                <w:b/>
                <w:color w:val="000000"/>
                <w:szCs w:val="21"/>
              </w:rPr>
              <w:t>必须提供，否则按无效投标处理</w:t>
            </w:r>
            <w:r>
              <w:rPr>
                <w:rFonts w:hint="eastAsia" w:ascii="宋体" w:hAnsi="宋体"/>
                <w:color w:val="000000"/>
                <w:szCs w:val="21"/>
              </w:rPr>
              <w:t>）</w:t>
            </w:r>
          </w:p>
          <w:p>
            <w:pPr>
              <w:snapToGrid w:val="0"/>
              <w:spacing w:line="400" w:lineRule="exact"/>
              <w:jc w:val="left"/>
              <w:rPr>
                <w:rFonts w:hint="eastAsia" w:ascii="宋体" w:hAnsi="宋体" w:cs="Courier New"/>
                <w:b/>
                <w:color w:val="000000"/>
                <w:szCs w:val="21"/>
              </w:rPr>
            </w:pPr>
            <w:r>
              <w:rPr>
                <w:rFonts w:hint="eastAsia" w:ascii="宋体" w:hAnsi="宋体"/>
                <w:color w:val="000000"/>
                <w:szCs w:val="21"/>
              </w:rPr>
              <w:t>6.投标声明（格式后附）；（</w:t>
            </w:r>
            <w:r>
              <w:rPr>
                <w:rFonts w:hint="eastAsia" w:ascii="宋体" w:hAnsi="宋体"/>
                <w:b/>
                <w:color w:val="000000"/>
                <w:szCs w:val="21"/>
              </w:rPr>
              <w:t>必须提供，否则按无效投标处理</w:t>
            </w:r>
            <w:r>
              <w:rPr>
                <w:rFonts w:hint="eastAsia" w:ascii="宋体" w:hAnsi="宋体"/>
                <w:color w:val="000000"/>
                <w:szCs w:val="21"/>
              </w:rPr>
              <w:t>）</w:t>
            </w:r>
          </w:p>
          <w:p>
            <w:pPr>
              <w:snapToGrid w:val="0"/>
              <w:spacing w:line="360" w:lineRule="exact"/>
              <w:jc w:val="left"/>
              <w:rPr>
                <w:rFonts w:hint="eastAsia" w:ascii="宋体" w:hAnsi="宋体" w:cs="Courier New"/>
                <w:b/>
                <w:color w:val="000000"/>
                <w:szCs w:val="21"/>
              </w:rPr>
            </w:pPr>
            <w:r>
              <w:rPr>
                <w:rFonts w:hint="eastAsia" w:ascii="宋体" w:hAnsi="宋体"/>
                <w:color w:val="000000"/>
                <w:szCs w:val="21"/>
                <w:lang w:val="en-US" w:eastAsia="zh-CN"/>
              </w:rPr>
              <w:t>7</w:t>
            </w:r>
            <w:r>
              <w:rPr>
                <w:rFonts w:hint="eastAsia" w:ascii="宋体" w:hAnsi="宋体"/>
                <w:color w:val="000000"/>
                <w:szCs w:val="21"/>
              </w:rPr>
              <w:t>.</w:t>
            </w:r>
            <w:r>
              <w:rPr>
                <w:rFonts w:hint="eastAsia" w:ascii="宋体" w:hAnsi="宋体"/>
                <w:szCs w:val="21"/>
              </w:rPr>
              <w:t>每分标按投标人资格要求提供具有国家主管部门颁发的有效的《医疗器械经营企业许可证》或《第二类医疗器械经营备案凭证》或《医疗器械生产企业许可证》或《医疗器械生产备案表》复印件,同时加盖公章</w:t>
            </w:r>
            <w:r>
              <w:rPr>
                <w:rFonts w:hint="eastAsia" w:ascii="宋体" w:hAnsi="宋体" w:cs="宋体"/>
                <w:color w:val="000000"/>
                <w:szCs w:val="21"/>
              </w:rPr>
              <w:t>（</w:t>
            </w:r>
            <w:r>
              <w:rPr>
                <w:rFonts w:hint="eastAsia" w:ascii="宋体" w:hAnsi="宋体" w:cs="宋体"/>
                <w:b/>
                <w:color w:val="000000"/>
                <w:szCs w:val="21"/>
              </w:rPr>
              <w:t>必须提供，否则响应文件按无效处理</w:t>
            </w:r>
            <w:r>
              <w:rPr>
                <w:rFonts w:hint="eastAsia" w:ascii="宋体" w:hAnsi="宋体" w:cs="宋体"/>
                <w:color w:val="000000"/>
                <w:szCs w:val="21"/>
              </w:rPr>
              <w:t>）</w:t>
            </w:r>
          </w:p>
          <w:p>
            <w:pPr>
              <w:snapToGrid w:val="0"/>
              <w:spacing w:line="400" w:lineRule="exact"/>
              <w:jc w:val="left"/>
              <w:rPr>
                <w:rFonts w:hint="eastAsia" w:ascii="宋体" w:hAnsi="宋体" w:cs="Courier New"/>
                <w:b/>
                <w:color w:val="000000"/>
                <w:szCs w:val="21"/>
              </w:rPr>
            </w:pPr>
            <w:r>
              <w:rPr>
                <w:rFonts w:hint="eastAsia" w:ascii="宋体" w:hAnsi="宋体"/>
                <w:color w:val="000000"/>
                <w:szCs w:val="21"/>
                <w:lang w:val="en-US" w:eastAsia="zh-CN"/>
              </w:rPr>
              <w:t>8</w:t>
            </w:r>
            <w:r>
              <w:rPr>
                <w:rFonts w:hint="eastAsia" w:ascii="宋体" w:hAnsi="宋体"/>
                <w:color w:val="000000"/>
                <w:szCs w:val="21"/>
              </w:rPr>
              <w:t>.除招标文件规定必须提供以外，投标人认为需要提供的其他证明材料。</w:t>
            </w:r>
          </w:p>
          <w:p>
            <w:pPr>
              <w:tabs>
                <w:tab w:val="left" w:pos="0"/>
              </w:tabs>
              <w:snapToGrid w:val="0"/>
              <w:spacing w:line="400" w:lineRule="exact"/>
              <w:jc w:val="left"/>
              <w:rPr>
                <w:rFonts w:hint="eastAsia" w:ascii="宋体" w:hAnsi="宋体" w:cs="Courier New"/>
                <w:b/>
                <w:color w:val="000000"/>
                <w:szCs w:val="21"/>
              </w:rPr>
            </w:pPr>
            <w:r>
              <w:rPr>
                <w:rFonts w:hint="eastAsia" w:ascii="宋体" w:hAnsi="宋体"/>
                <w:b/>
                <w:bCs/>
                <w:color w:val="000000"/>
                <w:szCs w:val="21"/>
              </w:rPr>
              <w:t>注：1.</w:t>
            </w:r>
            <w:r>
              <w:rPr>
                <w:rFonts w:hint="eastAsia" w:ascii="宋体" w:hAnsi="宋体"/>
                <w:color w:val="000000"/>
                <w:szCs w:val="21"/>
              </w:rPr>
              <w:t xml:space="preserve"> </w:t>
            </w:r>
            <w:r>
              <w:rPr>
                <w:rFonts w:hint="eastAsia" w:ascii="宋体" w:hAnsi="宋体"/>
                <w:b/>
                <w:bCs/>
                <w:color w:val="000000"/>
                <w:szCs w:val="21"/>
              </w:rPr>
              <w:t>以上标明“必须提供”的材料属于复印件的，必须加盖投标人公章，否则按无效投标</w:t>
            </w:r>
            <w:r>
              <w:rPr>
                <w:rFonts w:hint="eastAsia" w:ascii="宋体" w:hAnsi="宋体" w:cs="Courier New"/>
                <w:b/>
                <w:color w:val="000000"/>
                <w:szCs w:val="21"/>
              </w:rPr>
              <w:t>处理。</w:t>
            </w:r>
          </w:p>
          <w:p>
            <w:pPr>
              <w:tabs>
                <w:tab w:val="left" w:pos="0"/>
              </w:tabs>
              <w:snapToGrid w:val="0"/>
              <w:spacing w:line="400" w:lineRule="exact"/>
              <w:ind w:firstLine="422" w:firstLineChars="200"/>
              <w:jc w:val="left"/>
              <w:rPr>
                <w:rFonts w:hint="eastAsia" w:ascii="宋体" w:hAnsi="宋体"/>
                <w:b/>
                <w:bCs/>
                <w:color w:val="000000"/>
                <w:szCs w:val="21"/>
              </w:rPr>
            </w:pPr>
            <w:r>
              <w:rPr>
                <w:rFonts w:hint="eastAsia" w:ascii="宋体" w:hAnsi="宋体" w:cs="Courier New"/>
                <w:b/>
                <w:color w:val="000000"/>
                <w:szCs w:val="21"/>
              </w:rPr>
              <w:t>2.</w:t>
            </w:r>
            <w:r>
              <w:rPr>
                <w:rFonts w:hint="eastAsia" w:ascii="宋体" w:hAnsi="宋体"/>
                <w:b/>
                <w:bCs/>
                <w:color w:val="000000"/>
                <w:szCs w:val="21"/>
              </w:rPr>
              <w:t>投标声明必须由法定代表人在规定签章处签字或者电子签名并加盖投标人公章，否则按无效投标处理。</w:t>
            </w:r>
          </w:p>
          <w:p>
            <w:pPr>
              <w:tabs>
                <w:tab w:val="left" w:pos="0"/>
              </w:tabs>
              <w:snapToGrid w:val="0"/>
              <w:spacing w:line="400" w:lineRule="exact"/>
              <w:ind w:firstLine="422" w:firstLineChars="200"/>
              <w:jc w:val="left"/>
              <w:rPr>
                <w:rFonts w:hint="eastAsia" w:ascii="宋体" w:hAnsi="宋体"/>
                <w:b/>
                <w:bCs/>
                <w:color w:val="000000"/>
                <w:szCs w:val="21"/>
              </w:rPr>
            </w:pPr>
            <w:r>
              <w:rPr>
                <w:rFonts w:hint="eastAsia" w:ascii="宋体" w:hAnsi="宋体"/>
                <w:b/>
                <w:bCs/>
                <w:color w:val="000000"/>
                <w:szCs w:val="21"/>
              </w:rPr>
              <w:t>3.投标人直接控股、管理关系信息表必须由法定代表人或者委托代理人在规定签章处签字或者电子签名并加盖投标人公章，否则按无效投标</w:t>
            </w:r>
            <w:r>
              <w:rPr>
                <w:rFonts w:hint="eastAsia" w:ascii="宋体" w:hAnsi="宋体" w:cs="Courier New"/>
                <w:b/>
                <w:color w:val="000000"/>
                <w:szCs w:val="21"/>
              </w:rPr>
              <w:t>处理</w:t>
            </w:r>
            <w:r>
              <w:rPr>
                <w:rFonts w:hint="eastAsia" w:ascii="宋体" w:hAnsi="宋体"/>
                <w:b/>
                <w:bCs/>
                <w:color w:val="000000"/>
                <w:szCs w:val="21"/>
              </w:rPr>
              <w:t>。</w:t>
            </w:r>
          </w:p>
          <w:p>
            <w:pPr>
              <w:tabs>
                <w:tab w:val="left" w:pos="0"/>
              </w:tabs>
              <w:snapToGrid w:val="0"/>
              <w:spacing w:line="400" w:lineRule="exact"/>
              <w:ind w:firstLine="422" w:firstLineChars="200"/>
              <w:jc w:val="left"/>
              <w:rPr>
                <w:rFonts w:hint="eastAsia" w:ascii="宋体" w:hAnsi="宋体"/>
                <w:b/>
                <w:bCs/>
                <w:color w:val="000000"/>
                <w:szCs w:val="21"/>
              </w:rPr>
            </w:pPr>
            <w:r>
              <w:rPr>
                <w:rFonts w:hint="eastAsia" w:ascii="宋体" w:hAnsi="宋体"/>
                <w:b/>
                <w:bCs/>
                <w:color w:val="000000"/>
                <w:szCs w:val="21"/>
              </w:rPr>
              <w:t>4.联合体投标时，第1-5项资格证明文件联合体各方均必须分别提供，联合体各方分别盖章和签字（或者电子签名），否则按无效投标</w:t>
            </w:r>
            <w:r>
              <w:rPr>
                <w:rFonts w:hint="eastAsia" w:ascii="宋体" w:hAnsi="宋体" w:cs="Courier New"/>
                <w:b/>
                <w:color w:val="000000"/>
                <w:szCs w:val="21"/>
              </w:rPr>
              <w:t>处理</w:t>
            </w:r>
            <w:r>
              <w:rPr>
                <w:rFonts w:hint="eastAsia" w:ascii="宋体" w:hAnsi="宋体"/>
                <w:b/>
                <w:bCs/>
                <w:color w:val="000000"/>
                <w:szCs w:val="21"/>
              </w:rPr>
              <w:t>。</w:t>
            </w:r>
          </w:p>
          <w:p>
            <w:pPr>
              <w:tabs>
                <w:tab w:val="left" w:pos="0"/>
              </w:tabs>
              <w:snapToGrid w:val="0"/>
              <w:spacing w:line="400" w:lineRule="exact"/>
              <w:ind w:firstLine="422" w:firstLineChars="200"/>
              <w:jc w:val="left"/>
              <w:rPr>
                <w:rFonts w:ascii="宋体" w:hAnsi="宋体"/>
                <w:b/>
                <w:bCs/>
                <w:color w:val="000000"/>
                <w:szCs w:val="21"/>
              </w:rPr>
            </w:pPr>
            <w:r>
              <w:rPr>
                <w:rFonts w:hint="eastAsia" w:ascii="宋体" w:hAnsi="宋体"/>
                <w:b/>
                <w:bCs/>
                <w:color w:val="000000"/>
                <w:szCs w:val="21"/>
              </w:rPr>
              <w:t>5.分公司参加投标的，应当取得总公司授权。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59" w:type="dxa"/>
            <w:vMerge w:val="continue"/>
            <w:tcBorders>
              <w:left w:val="single" w:color="auto" w:sz="4" w:space="0"/>
              <w:right w:val="single" w:color="auto" w:sz="4" w:space="0"/>
            </w:tcBorders>
            <w:vAlign w:val="center"/>
          </w:tcPr>
          <w:p>
            <w:pPr>
              <w:spacing w:line="400" w:lineRule="exact"/>
              <w:rPr>
                <w:rFonts w:hint="eastAsia" w:ascii="宋体" w:hAnsi="宋体"/>
                <w:color w:val="000000"/>
                <w:szCs w:val="21"/>
              </w:rPr>
            </w:pPr>
            <w:bookmarkStart w:id="58" w:name="_13.3"/>
            <w:bookmarkEnd w:id="58"/>
          </w:p>
        </w:tc>
        <w:tc>
          <w:tcPr>
            <w:tcW w:w="765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hint="eastAsia" w:ascii="宋体" w:hAnsi="宋体" w:cs="Courier New"/>
                <w:b/>
                <w:color w:val="000000"/>
                <w:szCs w:val="21"/>
              </w:rPr>
            </w:pPr>
            <w:r>
              <w:rPr>
                <w:rFonts w:hint="eastAsia" w:ascii="宋体" w:hAnsi="宋体" w:cs="Courier New"/>
                <w:b/>
                <w:color w:val="000000"/>
                <w:szCs w:val="21"/>
              </w:rPr>
              <w:t>商务文件：</w:t>
            </w:r>
          </w:p>
          <w:p>
            <w:pPr>
              <w:snapToGrid w:val="0"/>
              <w:spacing w:line="400" w:lineRule="exact"/>
              <w:ind w:left="34"/>
              <w:jc w:val="left"/>
              <w:rPr>
                <w:rFonts w:hint="eastAsia" w:ascii="宋体" w:hAnsi="宋体"/>
                <w:color w:val="000000"/>
                <w:szCs w:val="21"/>
              </w:rPr>
            </w:pPr>
            <w:r>
              <w:rPr>
                <w:rFonts w:hint="eastAsia" w:ascii="宋体" w:hAnsi="宋体"/>
                <w:color w:val="000000"/>
                <w:szCs w:val="21"/>
              </w:rPr>
              <w:t>1.无串通投标行为的承诺函（格式后附）；（</w:t>
            </w:r>
            <w:r>
              <w:rPr>
                <w:rFonts w:hint="eastAsia" w:ascii="宋体" w:hAnsi="宋体"/>
                <w:b/>
                <w:color w:val="000000"/>
                <w:szCs w:val="21"/>
              </w:rPr>
              <w:t>必须提供，否则按无效投标处理</w:t>
            </w:r>
            <w:r>
              <w:rPr>
                <w:rFonts w:hint="eastAsia" w:ascii="宋体" w:hAnsi="宋体"/>
                <w:color w:val="000000"/>
                <w:szCs w:val="21"/>
              </w:rPr>
              <w:t>）</w:t>
            </w:r>
          </w:p>
          <w:p>
            <w:pPr>
              <w:snapToGrid w:val="0"/>
              <w:spacing w:line="400" w:lineRule="exact"/>
              <w:ind w:left="34"/>
              <w:jc w:val="left"/>
              <w:rPr>
                <w:rFonts w:hint="eastAsia" w:ascii="宋体" w:hAnsi="宋体"/>
                <w:color w:val="000000"/>
                <w:szCs w:val="21"/>
              </w:rPr>
            </w:pPr>
            <w:r>
              <w:rPr>
                <w:rFonts w:hint="eastAsia" w:ascii="宋体" w:hAnsi="宋体"/>
                <w:color w:val="000000"/>
                <w:szCs w:val="21"/>
              </w:rPr>
              <w:t>2.投标保证金提交凭证；（</w:t>
            </w:r>
            <w:r>
              <w:rPr>
                <w:rFonts w:hint="eastAsia" w:ascii="宋体" w:hAnsi="宋体"/>
                <w:b/>
                <w:bCs/>
                <w:color w:val="000000"/>
                <w:szCs w:val="21"/>
              </w:rPr>
              <w:t>必须提供</w:t>
            </w:r>
            <w:r>
              <w:rPr>
                <w:rFonts w:hint="eastAsia" w:ascii="宋体" w:hAnsi="宋体"/>
                <w:b/>
                <w:color w:val="000000"/>
                <w:szCs w:val="21"/>
              </w:rPr>
              <w:t>，否则按无效投标处理</w:t>
            </w:r>
            <w:r>
              <w:rPr>
                <w:rFonts w:hint="eastAsia" w:ascii="宋体" w:hAnsi="宋体"/>
                <w:color w:val="000000"/>
                <w:szCs w:val="21"/>
              </w:rPr>
              <w:t>）</w:t>
            </w:r>
          </w:p>
          <w:p>
            <w:pPr>
              <w:snapToGrid w:val="0"/>
              <w:spacing w:line="400" w:lineRule="exact"/>
              <w:ind w:left="34"/>
              <w:jc w:val="left"/>
              <w:rPr>
                <w:rFonts w:ascii="宋体" w:hAnsi="宋体"/>
                <w:color w:val="000000"/>
                <w:szCs w:val="21"/>
              </w:rPr>
            </w:pPr>
            <w:r>
              <w:rPr>
                <w:rFonts w:hint="eastAsia" w:ascii="宋体" w:hAnsi="宋体"/>
                <w:color w:val="000000"/>
                <w:szCs w:val="21"/>
              </w:rPr>
              <w:t>3.法定代表人身份证明及法定代表人有效身份证正反面复印件（格式后附）；（</w:t>
            </w:r>
            <w:r>
              <w:rPr>
                <w:rFonts w:hint="eastAsia" w:ascii="宋体" w:hAnsi="宋体" w:cs="宋体"/>
                <w:b/>
                <w:bCs/>
                <w:color w:val="000000"/>
                <w:szCs w:val="21"/>
              </w:rPr>
              <w:t>除自然人投标外</w:t>
            </w:r>
            <w:r>
              <w:rPr>
                <w:rFonts w:hint="eastAsia" w:ascii="宋体" w:hAnsi="宋体"/>
                <w:b/>
                <w:color w:val="000000"/>
                <w:szCs w:val="21"/>
              </w:rPr>
              <w:t>必须提供，否则按无效投标处理</w:t>
            </w:r>
            <w:r>
              <w:rPr>
                <w:rFonts w:hint="eastAsia" w:ascii="宋体" w:hAnsi="宋体"/>
                <w:color w:val="000000"/>
                <w:szCs w:val="21"/>
              </w:rPr>
              <w:t>）</w:t>
            </w:r>
          </w:p>
          <w:p>
            <w:pPr>
              <w:snapToGrid w:val="0"/>
              <w:spacing w:line="400" w:lineRule="exact"/>
              <w:ind w:left="34"/>
              <w:jc w:val="left"/>
              <w:rPr>
                <w:rFonts w:ascii="宋体" w:hAnsi="宋体"/>
                <w:color w:val="000000"/>
                <w:szCs w:val="21"/>
              </w:rPr>
            </w:pPr>
            <w:r>
              <w:rPr>
                <w:rFonts w:hint="eastAsia" w:ascii="宋体" w:hAnsi="宋体"/>
                <w:color w:val="000000"/>
                <w:szCs w:val="21"/>
              </w:rPr>
              <w:t>4.授权委托书及委托代理人有效身份证正反面复印件（格式后附）；（</w:t>
            </w:r>
            <w:r>
              <w:rPr>
                <w:rFonts w:hint="eastAsia" w:ascii="宋体" w:hAnsi="宋体"/>
                <w:b/>
                <w:color w:val="000000"/>
                <w:szCs w:val="21"/>
              </w:rPr>
              <w:t>委托时必须提供，否则按无效投标处理</w:t>
            </w:r>
            <w:r>
              <w:rPr>
                <w:rFonts w:hint="eastAsia" w:ascii="宋体" w:hAnsi="宋体"/>
                <w:color w:val="000000"/>
                <w:szCs w:val="21"/>
              </w:rPr>
              <w:t>）</w:t>
            </w:r>
          </w:p>
          <w:p>
            <w:pPr>
              <w:snapToGrid w:val="0"/>
              <w:spacing w:line="400" w:lineRule="exact"/>
              <w:ind w:left="34"/>
              <w:jc w:val="left"/>
              <w:rPr>
                <w:rFonts w:hint="eastAsia" w:ascii="宋体" w:hAnsi="宋体"/>
                <w:color w:val="000000"/>
                <w:szCs w:val="21"/>
              </w:rPr>
            </w:pPr>
            <w:r>
              <w:rPr>
                <w:rFonts w:hint="eastAsia" w:ascii="宋体" w:hAnsi="宋体"/>
                <w:color w:val="000000"/>
                <w:szCs w:val="21"/>
              </w:rPr>
              <w:t>5</w:t>
            </w:r>
            <w:r>
              <w:rPr>
                <w:rFonts w:ascii="宋体" w:hAnsi="宋体"/>
                <w:color w:val="000000"/>
                <w:szCs w:val="21"/>
              </w:rPr>
              <w:t>.</w:t>
            </w:r>
            <w:r>
              <w:rPr>
                <w:rFonts w:hint="eastAsia" w:ascii="宋体" w:hAnsi="宋体"/>
                <w:color w:val="000000"/>
                <w:szCs w:val="21"/>
              </w:rPr>
              <w:t>商务要求偏离表（格式后附）；（</w:t>
            </w:r>
            <w:r>
              <w:rPr>
                <w:rFonts w:hint="eastAsia" w:ascii="宋体" w:hAnsi="宋体"/>
                <w:b/>
                <w:color w:val="000000"/>
                <w:szCs w:val="21"/>
              </w:rPr>
              <w:t>必须提供，否则按无效投标处理</w:t>
            </w:r>
            <w:r>
              <w:rPr>
                <w:rFonts w:hint="eastAsia" w:ascii="宋体" w:hAnsi="宋体"/>
                <w:color w:val="000000"/>
                <w:szCs w:val="21"/>
              </w:rPr>
              <w:t>）</w:t>
            </w:r>
          </w:p>
          <w:p>
            <w:pPr>
              <w:snapToGrid w:val="0"/>
              <w:spacing w:line="400" w:lineRule="exact"/>
              <w:ind w:left="34"/>
              <w:jc w:val="left"/>
              <w:rPr>
                <w:rFonts w:hint="eastAsia" w:ascii="宋体" w:hAnsi="宋体"/>
                <w:color w:val="000000"/>
                <w:szCs w:val="21"/>
              </w:rPr>
            </w:pPr>
            <w:r>
              <w:rPr>
                <w:rFonts w:ascii="宋体" w:hAnsi="宋体"/>
                <w:color w:val="000000"/>
                <w:szCs w:val="21"/>
              </w:rPr>
              <w:t>6</w:t>
            </w:r>
            <w:r>
              <w:rPr>
                <w:rFonts w:hint="eastAsia" w:ascii="宋体" w:hAnsi="宋体"/>
                <w:color w:val="000000"/>
                <w:szCs w:val="21"/>
              </w:rPr>
              <w:t>.售后服务承诺（格式自拟）；（</w:t>
            </w:r>
            <w:r>
              <w:rPr>
                <w:rFonts w:hint="eastAsia" w:ascii="宋体" w:hAnsi="宋体"/>
                <w:b/>
                <w:color w:val="000000"/>
                <w:szCs w:val="21"/>
              </w:rPr>
              <w:t>必须提供，否则按无效投标处理</w:t>
            </w:r>
            <w:r>
              <w:rPr>
                <w:rFonts w:hint="eastAsia" w:ascii="宋体" w:hAnsi="宋体"/>
                <w:color w:val="000000"/>
                <w:szCs w:val="21"/>
              </w:rPr>
              <w:t>）</w:t>
            </w:r>
          </w:p>
          <w:p>
            <w:pPr>
              <w:snapToGrid w:val="0"/>
              <w:spacing w:line="400" w:lineRule="exact"/>
              <w:ind w:left="34"/>
              <w:jc w:val="left"/>
              <w:rPr>
                <w:rFonts w:hint="eastAsia" w:ascii="宋体" w:hAnsi="宋体"/>
                <w:color w:val="000000"/>
                <w:szCs w:val="21"/>
              </w:rPr>
            </w:pPr>
            <w:r>
              <w:rPr>
                <w:rFonts w:ascii="宋体" w:hAnsi="宋体"/>
                <w:color w:val="000000"/>
                <w:szCs w:val="21"/>
              </w:rPr>
              <w:t>7</w:t>
            </w:r>
            <w:r>
              <w:rPr>
                <w:rFonts w:hint="eastAsia" w:ascii="宋体" w:hAnsi="宋体"/>
                <w:color w:val="000000"/>
                <w:szCs w:val="21"/>
              </w:rPr>
              <w:t>.投标人情况介绍（格式自拟）；</w:t>
            </w:r>
          </w:p>
          <w:p>
            <w:pPr>
              <w:snapToGrid w:val="0"/>
              <w:spacing w:line="400" w:lineRule="exact"/>
              <w:ind w:left="34"/>
              <w:jc w:val="left"/>
              <w:rPr>
                <w:rFonts w:hint="eastAsia" w:ascii="宋体" w:hAnsi="宋体"/>
                <w:color w:val="000000"/>
                <w:szCs w:val="21"/>
              </w:rPr>
            </w:pPr>
            <w:r>
              <w:rPr>
                <w:rFonts w:ascii="宋体" w:hAnsi="宋体"/>
                <w:color w:val="000000"/>
                <w:szCs w:val="21"/>
              </w:rPr>
              <w:t>8</w:t>
            </w:r>
            <w:r>
              <w:rPr>
                <w:rFonts w:hint="eastAsia" w:ascii="宋体" w:hAnsi="宋体"/>
                <w:color w:val="000000"/>
                <w:szCs w:val="21"/>
              </w:rPr>
              <w:t>.联合体协议书（格式后附）；（</w:t>
            </w:r>
            <w:r>
              <w:rPr>
                <w:rFonts w:hint="eastAsia" w:ascii="宋体" w:hAnsi="宋体"/>
                <w:b/>
                <w:color w:val="000000"/>
                <w:szCs w:val="21"/>
              </w:rPr>
              <w:t>联合体投标时必须提供，否则按无效投标处理</w:t>
            </w:r>
            <w:r>
              <w:rPr>
                <w:rFonts w:hint="eastAsia" w:ascii="宋体" w:hAnsi="宋体"/>
                <w:color w:val="000000"/>
                <w:szCs w:val="21"/>
              </w:rPr>
              <w:t>）</w:t>
            </w:r>
          </w:p>
          <w:p>
            <w:pPr>
              <w:snapToGrid w:val="0"/>
              <w:spacing w:line="400" w:lineRule="exact"/>
              <w:ind w:left="34"/>
              <w:jc w:val="left"/>
              <w:rPr>
                <w:rFonts w:hint="eastAsia" w:ascii="宋体" w:hAnsi="宋体"/>
                <w:color w:val="000000"/>
                <w:szCs w:val="21"/>
              </w:rPr>
            </w:pPr>
            <w:r>
              <w:rPr>
                <w:rFonts w:ascii="宋体" w:hAnsi="宋体"/>
                <w:color w:val="000000"/>
                <w:szCs w:val="21"/>
              </w:rPr>
              <w:t>9</w:t>
            </w:r>
            <w:r>
              <w:rPr>
                <w:rFonts w:hint="eastAsia" w:ascii="宋体" w:hAnsi="宋体"/>
                <w:color w:val="000000"/>
                <w:szCs w:val="21"/>
              </w:rPr>
              <w:t>.除招标文件规定必须提供以外，投标人认为需要提供的其他证明材料（格式自拟）。（投标人根据“第二章 采购需求”及“第四章 评标方法及评标标准”提供有关证明材料）。</w:t>
            </w:r>
          </w:p>
          <w:p>
            <w:pPr>
              <w:snapToGrid w:val="0"/>
              <w:spacing w:line="400" w:lineRule="exact"/>
              <w:jc w:val="left"/>
              <w:rPr>
                <w:rFonts w:hint="eastAsia" w:ascii="宋体" w:hAnsi="宋体"/>
                <w:color w:val="000000"/>
                <w:szCs w:val="21"/>
              </w:rPr>
            </w:pPr>
            <w:r>
              <w:rPr>
                <w:rFonts w:hint="eastAsia" w:ascii="宋体" w:hAnsi="宋体"/>
                <w:b/>
                <w:bCs/>
                <w:color w:val="000000"/>
                <w:szCs w:val="21"/>
              </w:rPr>
              <w:t>注：以上标明“必须提供”的材料属于复印件的，必须加盖投标人公章，否则按无效投标</w:t>
            </w:r>
            <w:r>
              <w:rPr>
                <w:rFonts w:hint="eastAsia" w:ascii="宋体" w:hAnsi="宋体" w:cs="Courier New"/>
                <w:b/>
                <w:color w:val="000000"/>
                <w:szCs w:val="21"/>
              </w:rPr>
              <w:t>处理</w:t>
            </w:r>
            <w:r>
              <w:rPr>
                <w:rFonts w:hint="eastAsia" w:ascii="宋体" w:hAnsi="宋体"/>
                <w:b/>
                <w:bCs/>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59" w:type="dxa"/>
            <w:vMerge w:val="continue"/>
            <w:tcBorders>
              <w:left w:val="single" w:color="auto" w:sz="4" w:space="0"/>
              <w:bottom w:val="single" w:color="auto" w:sz="4" w:space="0"/>
              <w:right w:val="single" w:color="auto" w:sz="4" w:space="0"/>
            </w:tcBorders>
            <w:vAlign w:val="center"/>
          </w:tcPr>
          <w:p>
            <w:pPr>
              <w:spacing w:line="400" w:lineRule="exact"/>
              <w:rPr>
                <w:rFonts w:hint="eastAsia" w:ascii="宋体" w:hAnsi="宋体"/>
                <w:color w:val="000000"/>
                <w:szCs w:val="21"/>
              </w:rPr>
            </w:pPr>
            <w:bookmarkStart w:id="59" w:name="_13.4"/>
            <w:bookmarkEnd w:id="59"/>
          </w:p>
        </w:tc>
        <w:tc>
          <w:tcPr>
            <w:tcW w:w="765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hint="eastAsia" w:ascii="宋体" w:hAnsi="宋体" w:cs="Courier New"/>
                <w:b/>
                <w:color w:val="000000"/>
                <w:szCs w:val="21"/>
              </w:rPr>
            </w:pPr>
            <w:r>
              <w:rPr>
                <w:rFonts w:hint="eastAsia" w:ascii="宋体" w:hAnsi="宋体" w:cs="Courier New"/>
                <w:b/>
                <w:color w:val="000000"/>
                <w:szCs w:val="21"/>
              </w:rPr>
              <w:t>技术文件：</w:t>
            </w:r>
          </w:p>
          <w:p>
            <w:pPr>
              <w:snapToGrid w:val="0"/>
              <w:spacing w:line="360" w:lineRule="exact"/>
              <w:ind w:left="420"/>
              <w:jc w:val="left"/>
              <w:rPr>
                <w:rFonts w:ascii="宋体" w:hAnsi="宋体"/>
                <w:szCs w:val="21"/>
              </w:rPr>
            </w:pPr>
            <w:r>
              <w:rPr>
                <w:rFonts w:hint="eastAsia" w:ascii="宋体" w:hAnsi="宋体"/>
                <w:szCs w:val="21"/>
              </w:rPr>
              <w:t>1.技术偏离表（格式后附）；（</w:t>
            </w:r>
            <w:r>
              <w:rPr>
                <w:rFonts w:hint="eastAsia" w:ascii="宋体" w:hAnsi="宋体"/>
                <w:b/>
                <w:szCs w:val="21"/>
              </w:rPr>
              <w:t>必须提供，否则作无效投标处理</w:t>
            </w:r>
            <w:r>
              <w:rPr>
                <w:rFonts w:hint="eastAsia" w:ascii="宋体" w:hAnsi="宋体"/>
                <w:szCs w:val="21"/>
              </w:rPr>
              <w:t>）</w:t>
            </w:r>
          </w:p>
          <w:p>
            <w:pPr>
              <w:snapToGrid w:val="0"/>
              <w:spacing w:line="360" w:lineRule="exact"/>
              <w:ind w:left="420"/>
              <w:jc w:val="left"/>
              <w:rPr>
                <w:rFonts w:ascii="宋体" w:hAnsi="宋体"/>
                <w:szCs w:val="21"/>
              </w:rPr>
            </w:pPr>
            <w:r>
              <w:rPr>
                <w:rFonts w:hint="eastAsia" w:ascii="宋体" w:hAnsi="宋体"/>
                <w:szCs w:val="21"/>
              </w:rPr>
              <w:t>2.项目实施人员一览表；</w:t>
            </w:r>
          </w:p>
          <w:p>
            <w:pPr>
              <w:snapToGrid w:val="0"/>
              <w:spacing w:line="360" w:lineRule="exact"/>
              <w:ind w:left="420"/>
              <w:jc w:val="left"/>
              <w:rPr>
                <w:rFonts w:ascii="宋体" w:hAnsi="宋体"/>
                <w:szCs w:val="21"/>
              </w:rPr>
            </w:pPr>
            <w:r>
              <w:rPr>
                <w:rFonts w:hint="eastAsia" w:ascii="宋体" w:hAnsi="宋体"/>
                <w:szCs w:val="21"/>
              </w:rPr>
              <w:t>3.服务方案（内容格式自拟）；</w:t>
            </w:r>
          </w:p>
          <w:p>
            <w:pPr>
              <w:snapToGrid w:val="0"/>
              <w:spacing w:line="360" w:lineRule="exact"/>
              <w:ind w:firstLine="420" w:firstLineChars="200"/>
              <w:jc w:val="left"/>
              <w:rPr>
                <w:rFonts w:ascii="宋体" w:hAnsi="宋体"/>
                <w:szCs w:val="21"/>
              </w:rPr>
            </w:pPr>
            <w:r>
              <w:rPr>
                <w:rFonts w:hint="eastAsia" w:ascii="宋体" w:hAnsi="宋体"/>
                <w:szCs w:val="21"/>
              </w:rPr>
              <w:t>4.提供所有投标单个产品的照片，照片拍摄要求：单个产品正面左前方45度方位，俯视30度拍摄的照片一张，白底，JPEG格式，图像清晰，像素≧5M，并按照“生产厂家+品名+规格型号+主要材料”内容顺序，逐项作书面说明，A4纸单面限于两个产品；</w:t>
            </w:r>
          </w:p>
          <w:p>
            <w:pPr>
              <w:snapToGrid w:val="0"/>
              <w:spacing w:line="360" w:lineRule="exact"/>
              <w:ind w:left="420"/>
              <w:jc w:val="left"/>
              <w:rPr>
                <w:rFonts w:ascii="宋体" w:hAnsi="宋体"/>
                <w:bCs/>
              </w:rPr>
            </w:pPr>
            <w:r>
              <w:rPr>
                <w:rFonts w:hint="eastAsia" w:ascii="宋体" w:hAnsi="宋体"/>
                <w:szCs w:val="21"/>
              </w:rPr>
              <w:t>5.除招标文件规定必须提供以外，投标人需要说明的其他文件和说明（格式自拟）。</w:t>
            </w:r>
          </w:p>
          <w:p>
            <w:pPr>
              <w:snapToGrid w:val="0"/>
              <w:spacing w:line="400" w:lineRule="exact"/>
              <w:jc w:val="left"/>
              <w:rPr>
                <w:rFonts w:hint="eastAsia" w:ascii="宋体" w:hAnsi="宋体"/>
                <w:szCs w:val="21"/>
              </w:rPr>
            </w:pPr>
            <w:r>
              <w:rPr>
                <w:rFonts w:hint="eastAsia" w:ascii="宋体" w:hAnsi="宋体"/>
                <w:szCs w:val="21"/>
              </w:rPr>
              <w:t>注： 以上材料属于复印件的，必须加盖投标人公章，否则</w:t>
            </w:r>
            <w:r>
              <w:rPr>
                <w:rFonts w:hint="eastAsia" w:ascii="宋体" w:hAnsi="宋体" w:cs="Courier New"/>
                <w:szCs w:val="21"/>
              </w:rPr>
              <w:t>作无效投标处理</w:t>
            </w:r>
            <w:r>
              <w:rPr>
                <w:rFonts w:hint="eastAsia" w:ascii="宋体" w:hAnsi="宋体"/>
                <w:szCs w:val="21"/>
              </w:rPr>
              <w:t>。</w:t>
            </w:r>
          </w:p>
          <w:p>
            <w:pPr>
              <w:snapToGrid w:val="0"/>
              <w:spacing w:line="400" w:lineRule="exact"/>
              <w:jc w:val="left"/>
              <w:rPr>
                <w:rFonts w:hint="eastAsia" w:ascii="宋体" w:hAnsi="宋体"/>
                <w:b/>
                <w:bCs/>
                <w:color w:val="000000"/>
                <w:szCs w:val="21"/>
              </w:rPr>
            </w:pPr>
            <w:r>
              <w:rPr>
                <w:rFonts w:hint="eastAsia" w:ascii="宋体" w:hAnsi="宋体"/>
                <w:b/>
                <w:bCs/>
                <w:color w:val="000000"/>
                <w:szCs w:val="21"/>
              </w:rPr>
              <w:t>注：以上标明“必须提供”的材料属于复印件的，必须加盖投标人公章，否则按无效投标</w:t>
            </w:r>
            <w:r>
              <w:rPr>
                <w:rFonts w:hint="eastAsia" w:ascii="宋体" w:hAnsi="宋体" w:cs="Courier New"/>
                <w:b/>
                <w:color w:val="000000"/>
                <w:szCs w:val="21"/>
              </w:rPr>
              <w:t>处理</w:t>
            </w:r>
            <w:r>
              <w:rPr>
                <w:rFonts w:hint="eastAsia" w:ascii="宋体" w:hAnsi="宋体"/>
                <w:b/>
                <w:bCs/>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olor w:val="000000"/>
                <w:szCs w:val="21"/>
              </w:rPr>
            </w:pPr>
            <w:bookmarkStart w:id="60" w:name="_13.5"/>
            <w:bookmarkEnd w:id="60"/>
            <w:bookmarkStart w:id="61" w:name="_16.2"/>
            <w:bookmarkEnd w:id="61"/>
            <w:r>
              <w:rPr>
                <w:rFonts w:hint="eastAsia" w:ascii="宋体" w:hAnsi="宋体"/>
                <w:color w:val="000000"/>
                <w:szCs w:val="21"/>
              </w:rPr>
              <w:t>16</w:t>
            </w:r>
            <w:bookmarkStart w:id="62" w:name="_Hlt19693758"/>
            <w:bookmarkStart w:id="63" w:name="_Hlt19693759"/>
            <w:bookmarkStart w:id="64" w:name="_Hlt19194066"/>
            <w:bookmarkStart w:id="65" w:name="_Hlt19194067"/>
            <w:r>
              <w:rPr>
                <w:rFonts w:hint="eastAsia" w:ascii="宋体" w:hAnsi="宋体"/>
                <w:color w:val="000000"/>
                <w:szCs w:val="21"/>
              </w:rPr>
              <w:t>.</w:t>
            </w:r>
            <w:bookmarkEnd w:id="62"/>
            <w:bookmarkEnd w:id="63"/>
            <w:bookmarkEnd w:id="64"/>
            <w:bookmarkEnd w:id="65"/>
            <w:r>
              <w:rPr>
                <w:rFonts w:hint="eastAsia" w:ascii="宋体" w:hAnsi="宋体"/>
                <w:color w:val="000000"/>
                <w:szCs w:val="21"/>
              </w:rPr>
              <w:t>2</w:t>
            </w:r>
          </w:p>
        </w:tc>
        <w:tc>
          <w:tcPr>
            <w:tcW w:w="765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宋体" w:hAnsi="宋体"/>
                <w:b/>
                <w:color w:val="000000"/>
                <w:szCs w:val="21"/>
              </w:rPr>
            </w:pPr>
            <w:r>
              <w:rPr>
                <w:rFonts w:hint="eastAsia" w:ascii="宋体" w:hAnsi="宋体"/>
                <w:color w:val="000000"/>
                <w:szCs w:val="21"/>
              </w:rPr>
              <w:t>投标报价包含货物、货物标准附件、备品备件、专用工具、设备安装辅材、施工辅材、包装、运输、装卸、保险、货到就位的各种费用以及安装、调试等本采购文件所列设备材料需进行补充完善才能完成本项目的功能配置或实际采购中产品材料有任何遗漏的费用（含本项目需要但本文件中未列出的设备材料、功能配置）、税金、售后服务、技术培训及其他所有成本费用，以及合同明示或暗示的所有责任、义务和一般风险等一切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olor w:val="000000"/>
                <w:szCs w:val="21"/>
              </w:rPr>
            </w:pPr>
            <w:bookmarkStart w:id="66" w:name="_17.1"/>
            <w:bookmarkEnd w:id="66"/>
            <w:r>
              <w:rPr>
                <w:rFonts w:hint="eastAsia" w:ascii="宋体" w:hAnsi="宋体"/>
                <w:color w:val="000000"/>
                <w:szCs w:val="21"/>
              </w:rPr>
              <w:t>17.</w:t>
            </w:r>
            <w:r>
              <w:rPr>
                <w:rFonts w:ascii="宋体" w:hAnsi="宋体"/>
                <w:color w:val="000000"/>
                <w:szCs w:val="21"/>
              </w:rPr>
              <w:t>2</w:t>
            </w:r>
          </w:p>
        </w:tc>
        <w:tc>
          <w:tcPr>
            <w:tcW w:w="765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宋体" w:hAnsi="宋体"/>
                <w:color w:val="000000"/>
                <w:szCs w:val="21"/>
              </w:rPr>
            </w:pPr>
            <w:r>
              <w:rPr>
                <w:rFonts w:hint="eastAsia" w:ascii="宋体" w:hAnsi="宋体"/>
                <w:color w:val="000000"/>
                <w:szCs w:val="21"/>
              </w:rPr>
              <w:t>投标有效期：自投标截止之日起</w:t>
            </w:r>
            <w:r>
              <w:rPr>
                <w:rFonts w:hint="eastAsia" w:ascii="宋体" w:hAnsi="宋体"/>
                <w:color w:val="000000"/>
                <w:szCs w:val="21"/>
                <w:u w:val="single"/>
                <w:lang w:val="en-US" w:eastAsia="zh-CN"/>
              </w:rPr>
              <w:t>120</w:t>
            </w:r>
            <w:r>
              <w:rPr>
                <w:rFonts w:hint="eastAsia" w:ascii="宋体" w:hAnsi="宋体"/>
                <w:color w:val="000000"/>
                <w:szCs w:val="21"/>
                <w:u w:val="single"/>
              </w:rPr>
              <w:t>日</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olor w:val="000000"/>
                <w:szCs w:val="21"/>
              </w:rPr>
            </w:pPr>
            <w:bookmarkStart w:id="67" w:name="_18"/>
            <w:bookmarkEnd w:id="67"/>
            <w:r>
              <w:rPr>
                <w:rFonts w:hint="eastAsia" w:ascii="宋体" w:hAnsi="宋体"/>
                <w:color w:val="000000"/>
                <w:szCs w:val="21"/>
              </w:rPr>
              <w:t>18</w:t>
            </w:r>
            <w:r>
              <w:rPr>
                <w:rFonts w:ascii="宋体" w:hAnsi="宋体"/>
                <w:color w:val="000000"/>
                <w:szCs w:val="21"/>
              </w:rPr>
              <w:t>.1</w:t>
            </w:r>
          </w:p>
        </w:tc>
        <w:tc>
          <w:tcPr>
            <w:tcW w:w="765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olor w:val="000000"/>
                <w:szCs w:val="21"/>
              </w:rPr>
            </w:pPr>
            <w:r>
              <w:rPr>
                <w:rFonts w:hint="eastAsia" w:ascii="宋体" w:hAnsi="宋体"/>
                <w:color w:val="000000"/>
                <w:szCs w:val="21"/>
              </w:rPr>
              <w:t>□本项目不收取投标保证金。</w:t>
            </w:r>
          </w:p>
          <w:p>
            <w:pPr>
              <w:snapToGrid w:val="0"/>
              <w:spacing w:line="400" w:lineRule="exact"/>
              <w:rPr>
                <w:rFonts w:hint="eastAsia" w:ascii="宋体" w:hAnsi="宋体"/>
                <w:color w:val="000000"/>
                <w:szCs w:val="21"/>
              </w:rPr>
            </w:pPr>
            <w:r>
              <w:rPr>
                <w:rFonts w:hint="eastAsia" w:ascii="宋体" w:hAnsi="宋体"/>
                <w:color w:val="000000"/>
                <w:szCs w:val="21"/>
                <w:bdr w:val="single" w:color="auto" w:sz="4" w:space="0"/>
              </w:rPr>
              <w:t>√</w:t>
            </w:r>
            <w:r>
              <w:rPr>
                <w:rFonts w:hint="eastAsia" w:ascii="宋体" w:hAnsi="宋体"/>
                <w:color w:val="000000"/>
                <w:szCs w:val="21"/>
              </w:rPr>
              <w:t>本项目收取投标保证金，具体规定如下：</w:t>
            </w:r>
          </w:p>
          <w:p>
            <w:pPr>
              <w:snapToGrid w:val="0"/>
              <w:spacing w:line="400" w:lineRule="exact"/>
              <w:rPr>
                <w:rFonts w:hint="eastAsia" w:ascii="宋体" w:hAnsi="宋体"/>
                <w:color w:val="000000"/>
                <w:szCs w:val="21"/>
              </w:rPr>
            </w:pPr>
            <w:r>
              <w:rPr>
                <w:rFonts w:hint="eastAsia" w:ascii="宋体" w:hAnsi="宋体" w:cs="宋体"/>
                <w:b/>
                <w:bCs/>
                <w:color w:val="000000"/>
                <w:kern w:val="0"/>
                <w:szCs w:val="21"/>
                <w:lang w:val="en-US" w:eastAsia="zh-CN"/>
              </w:rPr>
              <w:t>每个分标人民币贰万元整</w:t>
            </w:r>
            <w:r>
              <w:rPr>
                <w:rFonts w:hint="eastAsia" w:ascii="宋体" w:hAnsi="宋体"/>
                <w:szCs w:val="21"/>
              </w:rPr>
              <w:t>,不得少于规定金额交纳，否则投标无效</w:t>
            </w:r>
          </w:p>
          <w:p>
            <w:pPr>
              <w:snapToGrid w:val="0"/>
              <w:spacing w:line="400" w:lineRule="exact"/>
              <w:rPr>
                <w:rFonts w:hint="eastAsia" w:ascii="宋体" w:hAnsi="宋体"/>
                <w:color w:val="000000"/>
                <w:szCs w:val="21"/>
              </w:rPr>
            </w:pPr>
            <w:r>
              <w:rPr>
                <w:rFonts w:hint="eastAsia" w:ascii="宋体" w:hAnsi="宋体" w:cs="宋体"/>
                <w:color w:val="000000"/>
                <w:kern w:val="0"/>
                <w:szCs w:val="21"/>
              </w:rPr>
              <w:t>投标保证金的交纳方式：银行转账、支票、汇票、本票或者银行、保险机构出具的保函，禁止采用现钞方式。采用银行转账方式的，在投标截止时间前交至指定账户并且到账（</w:t>
            </w:r>
            <w:r>
              <w:rPr>
                <w:rFonts w:hint="eastAsia" w:ascii="宋体" w:hAnsi="宋体" w:cs="宋体"/>
                <w:kern w:val="0"/>
                <w:szCs w:val="21"/>
              </w:rPr>
              <w:t>开户银行：</w:t>
            </w:r>
            <w:r>
              <w:rPr>
                <w:rFonts w:hint="eastAsia" w:ascii="宋体" w:hAnsi="宋体" w:cs="宋体"/>
                <w:kern w:val="0"/>
                <w:szCs w:val="21"/>
                <w:u w:val="single"/>
              </w:rPr>
              <w:t xml:space="preserve"> 招商银行南宁分行营业部 </w:t>
            </w:r>
            <w:r>
              <w:rPr>
                <w:rFonts w:hint="eastAsia" w:ascii="宋体" w:hAnsi="宋体" w:cs="宋体"/>
                <w:kern w:val="0"/>
                <w:szCs w:val="21"/>
              </w:rPr>
              <w:t>，开户名称：</w:t>
            </w:r>
            <w:r>
              <w:rPr>
                <w:rFonts w:hint="eastAsia" w:ascii="宋体" w:hAnsi="宋体" w:cs="宋体"/>
                <w:kern w:val="0"/>
                <w:szCs w:val="21"/>
                <w:u w:val="single"/>
              </w:rPr>
              <w:t xml:space="preserve"> 广西建设工程机电设备招标中心有限公司</w:t>
            </w:r>
            <w:r>
              <w:rPr>
                <w:rFonts w:hint="eastAsia" w:ascii="宋体" w:hAnsi="宋体" w:cs="宋体"/>
                <w:kern w:val="0"/>
                <w:szCs w:val="21"/>
              </w:rPr>
              <w:t>，银行账号：</w:t>
            </w:r>
            <w:r>
              <w:rPr>
                <w:rFonts w:hint="eastAsia" w:ascii="宋体" w:hAnsi="宋体" w:cs="宋体"/>
                <w:kern w:val="0"/>
                <w:szCs w:val="21"/>
                <w:u w:val="single"/>
              </w:rPr>
              <w:t xml:space="preserve">  7719 0142 3310 201</w:t>
            </w:r>
            <w:r>
              <w:rPr>
                <w:rFonts w:hint="eastAsia" w:ascii="宋体" w:hAnsi="宋体" w:cs="宋体"/>
                <w:color w:val="000000"/>
                <w:kern w:val="0"/>
                <w:szCs w:val="21"/>
              </w:rPr>
              <w:t>）；采用支票、汇票、本票或者保函等方式的，在投标截止时间前，投标人必须递交单独密封的支票、汇票、本票或者保函原件。否则视为无效投标保证金。</w:t>
            </w:r>
          </w:p>
          <w:p>
            <w:pPr>
              <w:snapToGrid w:val="0"/>
              <w:spacing w:line="400" w:lineRule="exact"/>
              <w:rPr>
                <w:rFonts w:hint="eastAsia" w:ascii="宋体" w:hAnsi="宋体"/>
                <w:color w:val="000000"/>
                <w:szCs w:val="21"/>
              </w:rPr>
            </w:pPr>
            <w:r>
              <w:rPr>
                <w:rFonts w:hint="eastAsia" w:ascii="宋体" w:hAnsi="宋体"/>
                <w:color w:val="000000"/>
                <w:szCs w:val="21"/>
              </w:rPr>
              <w:t>相关要求：</w:t>
            </w:r>
          </w:p>
          <w:p>
            <w:pPr>
              <w:pStyle w:val="13"/>
              <w:spacing w:line="400" w:lineRule="exact"/>
              <w:rPr>
                <w:rFonts w:hint="eastAsia" w:ascii="宋体" w:hAnsi="宋体"/>
                <w:color w:val="000000"/>
                <w:szCs w:val="21"/>
                <w:lang w:val="en-US" w:eastAsia="zh-CN"/>
              </w:rPr>
            </w:pPr>
            <w:r>
              <w:rPr>
                <w:rFonts w:hint="eastAsia" w:ascii="宋体" w:hAnsi="宋体"/>
                <w:color w:val="000000"/>
                <w:szCs w:val="21"/>
                <w:lang w:val="en-US" w:eastAsia="zh-CN"/>
              </w:rPr>
              <w:t>1.投标保证金采用银行转账交纳方式的，在投标截止时间前交至指定账户并且到账，投标人应将银行转账底单的复印件作为投标保证金提交凭证，</w:t>
            </w:r>
            <w:r>
              <w:rPr>
                <w:rFonts w:ascii="宋体" w:hAnsi="宋体"/>
                <w:color w:val="000000"/>
                <w:szCs w:val="21"/>
                <w:lang w:val="en-US" w:eastAsia="zh-CN"/>
              </w:rPr>
              <w:t>放置于</w:t>
            </w:r>
            <w:r>
              <w:rPr>
                <w:rFonts w:hint="eastAsia" w:ascii="宋体" w:hAnsi="宋体"/>
                <w:color w:val="000000"/>
                <w:szCs w:val="21"/>
                <w:lang w:val="en-US" w:eastAsia="zh-CN"/>
              </w:rPr>
              <w:t>商务文件</w:t>
            </w:r>
            <w:r>
              <w:rPr>
                <w:rFonts w:ascii="宋体" w:hAnsi="宋体"/>
                <w:color w:val="000000"/>
                <w:szCs w:val="21"/>
                <w:lang w:val="en-US" w:eastAsia="zh-CN"/>
              </w:rPr>
              <w:t>中</w:t>
            </w:r>
            <w:r>
              <w:rPr>
                <w:rFonts w:hint="eastAsia" w:ascii="宋体" w:hAnsi="宋体"/>
                <w:color w:val="000000"/>
                <w:szCs w:val="21"/>
                <w:lang w:val="en-US" w:eastAsia="zh-CN"/>
              </w:rPr>
              <w:t>，</w:t>
            </w:r>
            <w:r>
              <w:rPr>
                <w:rFonts w:hint="eastAsia" w:ascii="宋体" w:hAnsi="宋体"/>
                <w:b/>
                <w:color w:val="000000"/>
                <w:szCs w:val="21"/>
                <w:lang w:val="en-US" w:eastAsia="zh-CN"/>
              </w:rPr>
              <w:t>否则投标无效</w:t>
            </w:r>
            <w:r>
              <w:rPr>
                <w:rFonts w:hint="eastAsia" w:ascii="宋体" w:hAnsi="宋体"/>
                <w:color w:val="000000"/>
                <w:szCs w:val="21"/>
                <w:lang w:val="en-US" w:eastAsia="zh-CN"/>
              </w:rPr>
              <w:t>。</w:t>
            </w:r>
          </w:p>
          <w:p>
            <w:pPr>
              <w:snapToGrid w:val="0"/>
              <w:spacing w:line="400" w:lineRule="exact"/>
              <w:rPr>
                <w:rFonts w:hint="eastAsia" w:ascii="宋体" w:hAnsi="宋体"/>
                <w:color w:val="000000"/>
                <w:szCs w:val="21"/>
              </w:rPr>
            </w:pPr>
            <w:r>
              <w:rPr>
                <w:rFonts w:hint="eastAsia" w:ascii="宋体" w:hAnsi="宋体"/>
                <w:color w:val="000000"/>
                <w:szCs w:val="21"/>
              </w:rPr>
              <w:t>2.投标保证金采用支票、汇票、本票或者银行、保险机构出具的保函交纳方式的，投标人应将支票、汇票、本票或者银行、保险机构出具的保函的复印件作为投标保证金提交凭证，放置于商务文件中，</w:t>
            </w:r>
            <w:r>
              <w:rPr>
                <w:rFonts w:hint="eastAsia" w:ascii="宋体" w:hAnsi="宋体"/>
                <w:b/>
                <w:color w:val="000000"/>
                <w:szCs w:val="21"/>
              </w:rPr>
              <w:t>否则投标无效</w:t>
            </w:r>
            <w:r>
              <w:rPr>
                <w:rFonts w:hint="eastAsia" w:ascii="宋体" w:hAnsi="宋体"/>
                <w:color w:val="000000"/>
                <w:szCs w:val="21"/>
              </w:rPr>
              <w:t>。投标人必须在投标截止时间前采用现场或邮寄方式（</w:t>
            </w:r>
            <w:r>
              <w:rPr>
                <w:rFonts w:hint="eastAsia" w:ascii="宋体" w:hAnsi="宋体"/>
                <w:color w:val="000000"/>
                <w:szCs w:val="21"/>
                <w:u w:val="single"/>
              </w:rPr>
              <w:t>现场提交</w:t>
            </w:r>
            <w:r>
              <w:rPr>
                <w:rFonts w:hint="eastAsia" w:ascii="宋体" w:hAnsi="宋体"/>
                <w:color w:val="000000"/>
                <w:szCs w:val="21"/>
                <w:u w:val="single"/>
                <w:lang w:val="en-US" w:eastAsia="zh-CN"/>
              </w:rPr>
              <w:t>地址：开标截止时间前递交至</w:t>
            </w:r>
            <w:r>
              <w:rPr>
                <w:rFonts w:hint="eastAsia" w:ascii="宋体" w:hAnsi="宋体"/>
                <w:szCs w:val="21"/>
              </w:rPr>
              <w:t>南宁市青秀区金湖北路 52-1 号东方曼哈顿三楼广西国资招投标中心</w:t>
            </w:r>
            <w:r>
              <w:rPr>
                <w:rFonts w:hint="eastAsia" w:ascii="宋体" w:hAnsi="宋体"/>
                <w:color w:val="000000"/>
                <w:szCs w:val="21"/>
                <w:u w:val="single"/>
                <w:lang w:eastAsia="zh-CN"/>
              </w:rPr>
              <w:t>，</w:t>
            </w:r>
            <w:r>
              <w:rPr>
                <w:rFonts w:hint="eastAsia" w:ascii="宋体" w:hAnsi="宋体"/>
                <w:color w:val="000000"/>
                <w:szCs w:val="21"/>
                <w:u w:val="single"/>
              </w:rPr>
              <w:t>邮寄地址：</w:t>
            </w:r>
            <w:r>
              <w:rPr>
                <w:rFonts w:hint="eastAsia" w:ascii="宋体" w:hAnsi="宋体"/>
                <w:color w:val="000000"/>
                <w:szCs w:val="21"/>
                <w:u w:val="single"/>
                <w:lang w:val="en-US" w:eastAsia="zh-CN"/>
              </w:rPr>
              <w:t>南宁市纬武路165号</w:t>
            </w:r>
            <w:r>
              <w:rPr>
                <w:rFonts w:hint="eastAsia" w:ascii="宋体" w:hAnsi="宋体"/>
                <w:color w:val="000000"/>
                <w:szCs w:val="21"/>
                <w:u w:val="single"/>
              </w:rPr>
              <w:t>，联系人：</w:t>
            </w:r>
            <w:r>
              <w:rPr>
                <w:rFonts w:hint="eastAsia" w:ascii="宋体" w:hAnsi="宋体"/>
                <w:color w:val="000000"/>
                <w:szCs w:val="21"/>
                <w:u w:val="single"/>
                <w:lang w:val="en-US" w:eastAsia="zh-CN"/>
              </w:rPr>
              <w:t>黄工</w:t>
            </w:r>
            <w:r>
              <w:rPr>
                <w:rFonts w:hint="eastAsia" w:ascii="宋体" w:hAnsi="宋体"/>
                <w:color w:val="000000"/>
                <w:szCs w:val="21"/>
              </w:rPr>
              <w:t>）将</w:t>
            </w:r>
            <w:r>
              <w:rPr>
                <w:rFonts w:hint="eastAsia" w:ascii="宋体" w:hAnsi="宋体" w:cs="宋体"/>
                <w:color w:val="000000"/>
                <w:kern w:val="0"/>
                <w:szCs w:val="21"/>
              </w:rPr>
              <w:t>单独密封的</w:t>
            </w:r>
            <w:r>
              <w:rPr>
                <w:rFonts w:hint="eastAsia" w:ascii="宋体" w:hAnsi="宋体"/>
                <w:color w:val="000000"/>
                <w:szCs w:val="21"/>
              </w:rPr>
              <w:t>支票、汇票、本票或者银行、保险机构出具的保函原件提交给采购人或者采购代理机构，由采购人或者采购代理机构向投标人出具回执（邮寄方式的除外），并妥善保管。</w:t>
            </w:r>
          </w:p>
          <w:p>
            <w:pPr>
              <w:snapToGrid w:val="0"/>
              <w:spacing w:line="400" w:lineRule="exact"/>
              <w:rPr>
                <w:rFonts w:hint="eastAsia" w:ascii="宋体" w:hAnsi="宋体"/>
                <w:color w:val="000000"/>
                <w:szCs w:val="21"/>
              </w:rPr>
            </w:pPr>
            <w:r>
              <w:rPr>
                <w:rFonts w:hint="eastAsia" w:ascii="宋体" w:hAnsi="宋体" w:cs="宋体"/>
                <w:color w:val="000000"/>
                <w:szCs w:val="21"/>
              </w:rPr>
              <w:t>3.投标人为联合体的，可以由联合体中的一方或者多方共同交纳投标保证金，其交纳的保证金对联合体各方均具有约束力。</w:t>
            </w:r>
          </w:p>
          <w:p>
            <w:pPr>
              <w:snapToGrid w:val="0"/>
              <w:spacing w:line="400" w:lineRule="exact"/>
              <w:rPr>
                <w:rFonts w:hint="eastAsia" w:ascii="宋体" w:hAnsi="宋体"/>
                <w:b/>
                <w:color w:val="000000"/>
                <w:szCs w:val="21"/>
              </w:rPr>
            </w:pPr>
            <w:r>
              <w:rPr>
                <w:rFonts w:hint="eastAsia" w:ascii="宋体" w:hAnsi="宋体"/>
                <w:b/>
                <w:color w:val="000000"/>
                <w:szCs w:val="21"/>
              </w:rPr>
              <w:t xml:space="preserve">备注： </w:t>
            </w:r>
          </w:p>
          <w:p>
            <w:pPr>
              <w:snapToGrid w:val="0"/>
              <w:spacing w:line="400" w:lineRule="exact"/>
              <w:rPr>
                <w:rFonts w:hint="eastAsia" w:ascii="宋体" w:hAnsi="宋体"/>
                <w:b/>
                <w:color w:val="000000"/>
                <w:szCs w:val="21"/>
              </w:rPr>
            </w:pPr>
            <w:r>
              <w:rPr>
                <w:rFonts w:hint="eastAsia" w:ascii="宋体" w:hAnsi="宋体"/>
                <w:b/>
                <w:color w:val="000000"/>
                <w:szCs w:val="21"/>
              </w:rPr>
              <w:t>1. 投标保证金在投标截止时间后提交的，或者不按规定交纳方式交纳的，或者未足额交纳的（包含保函额度不足的），视为无效投标保证金。</w:t>
            </w:r>
          </w:p>
          <w:p>
            <w:pPr>
              <w:snapToGrid w:val="0"/>
              <w:spacing w:line="400" w:lineRule="exact"/>
              <w:rPr>
                <w:rFonts w:hint="eastAsia" w:ascii="宋体" w:hAnsi="宋体"/>
                <w:b/>
                <w:color w:val="000000"/>
                <w:szCs w:val="21"/>
              </w:rPr>
            </w:pPr>
            <w:r>
              <w:rPr>
                <w:rFonts w:hint="eastAsia" w:ascii="宋体" w:hAnsi="宋体"/>
                <w:b/>
                <w:color w:val="000000"/>
                <w:szCs w:val="21"/>
              </w:rPr>
              <w:t>2.投标人采用现钞方式或者从个人账户（自然人投标除外）转出的投标保证金，视为无效投标保证金。</w:t>
            </w:r>
          </w:p>
          <w:p>
            <w:pPr>
              <w:snapToGrid w:val="0"/>
              <w:spacing w:line="400" w:lineRule="exact"/>
              <w:rPr>
                <w:rFonts w:hint="eastAsia" w:ascii="宋体" w:hAnsi="宋体"/>
                <w:b/>
                <w:color w:val="000000"/>
                <w:szCs w:val="21"/>
              </w:rPr>
            </w:pPr>
            <w:r>
              <w:rPr>
                <w:rFonts w:hint="eastAsia" w:ascii="宋体" w:hAnsi="宋体"/>
                <w:b/>
                <w:color w:val="000000"/>
                <w:szCs w:val="21"/>
              </w:rPr>
              <w:t>3.支票、汇票或者本票出现无效或者背书情形的，视为无效投标保证金。</w:t>
            </w:r>
          </w:p>
          <w:p>
            <w:pPr>
              <w:snapToGrid w:val="0"/>
              <w:spacing w:line="400" w:lineRule="exact"/>
              <w:rPr>
                <w:rFonts w:hint="eastAsia" w:ascii="宋体" w:hAnsi="宋体"/>
                <w:b/>
                <w:color w:val="000000"/>
                <w:szCs w:val="21"/>
              </w:rPr>
            </w:pPr>
            <w:r>
              <w:rPr>
                <w:rFonts w:hint="eastAsia" w:ascii="宋体" w:hAnsi="宋体"/>
                <w:b/>
                <w:color w:val="000000"/>
                <w:szCs w:val="21"/>
              </w:rPr>
              <w:t>4.保函有效期低于投标有效期的，视为无效投标保证金。</w:t>
            </w:r>
          </w:p>
          <w:p>
            <w:pPr>
              <w:snapToGrid w:val="0"/>
              <w:spacing w:line="400" w:lineRule="exact"/>
              <w:rPr>
                <w:rFonts w:ascii="宋体" w:hAnsi="宋体"/>
                <w:b/>
                <w:color w:val="000000"/>
                <w:szCs w:val="21"/>
              </w:rPr>
            </w:pPr>
            <w:r>
              <w:rPr>
                <w:rFonts w:hint="eastAsia" w:ascii="宋体" w:hAnsi="宋体"/>
                <w:b/>
                <w:color w:val="000000"/>
                <w:szCs w:val="21"/>
              </w:rPr>
              <w:t>5.采用银行、保险机构出具保函的，必须为无条件保函，否则视为无效投标保证金。</w:t>
            </w:r>
          </w:p>
          <w:p>
            <w:pPr>
              <w:pStyle w:val="2"/>
              <w:spacing w:line="400" w:lineRule="exact"/>
              <w:rPr>
                <w:rFonts w:hint="eastAsia" w:ascii="宋体" w:hAnsi="宋体"/>
                <w:color w:val="000000"/>
                <w:sz w:val="21"/>
                <w:szCs w:val="21"/>
                <w:lang w:val="en-US" w:eastAsia="zh-CN"/>
              </w:rPr>
            </w:pPr>
            <w:r>
              <w:rPr>
                <w:rFonts w:hint="eastAsia" w:ascii="宋体" w:hAnsi="宋体"/>
                <w:b/>
                <w:color w:val="000000"/>
                <w:kern w:val="2"/>
                <w:sz w:val="21"/>
                <w:szCs w:val="21"/>
                <w:lang w:val="en-US" w:eastAsia="zh-CN"/>
              </w:rPr>
              <w:t>6</w:t>
            </w:r>
            <w:r>
              <w:rPr>
                <w:rFonts w:ascii="宋体" w:hAnsi="宋体"/>
                <w:b/>
                <w:color w:val="000000"/>
                <w:kern w:val="2"/>
                <w:sz w:val="21"/>
                <w:szCs w:val="21"/>
                <w:lang w:val="en-US" w:eastAsia="zh-CN"/>
              </w:rPr>
              <w:t>.政采云平台</w:t>
            </w:r>
            <w:r>
              <w:rPr>
                <w:rFonts w:hint="eastAsia" w:ascii="宋体" w:hAnsi="宋体"/>
                <w:b/>
                <w:color w:val="000000"/>
                <w:kern w:val="2"/>
                <w:sz w:val="21"/>
                <w:szCs w:val="21"/>
                <w:lang w:val="en-US" w:eastAsia="zh-CN"/>
              </w:rPr>
              <w:t>暂未</w:t>
            </w:r>
            <w:r>
              <w:rPr>
                <w:rFonts w:ascii="宋体" w:hAnsi="宋体"/>
                <w:b/>
                <w:color w:val="000000"/>
                <w:kern w:val="2"/>
                <w:sz w:val="21"/>
                <w:szCs w:val="21"/>
                <w:lang w:val="en-US" w:eastAsia="zh-CN"/>
              </w:rPr>
              <w:t>支持电子保函功能</w:t>
            </w:r>
            <w:r>
              <w:rPr>
                <w:rFonts w:hint="eastAsia" w:ascii="宋体" w:hAnsi="宋体"/>
                <w:b/>
                <w:color w:val="000000"/>
                <w:kern w:val="2"/>
                <w:sz w:val="21"/>
                <w:szCs w:val="21"/>
                <w:lang w:val="en-US" w:eastAsia="zh-CN"/>
              </w:rPr>
              <w:t>，</w:t>
            </w:r>
            <w:r>
              <w:rPr>
                <w:rFonts w:ascii="宋体" w:hAnsi="宋体"/>
                <w:b/>
                <w:color w:val="000000"/>
                <w:kern w:val="2"/>
                <w:sz w:val="21"/>
                <w:szCs w:val="21"/>
                <w:lang w:val="en-US" w:eastAsia="zh-CN"/>
              </w:rPr>
              <w:t>故本项目暂不接受电子保函形式的保证金</w:t>
            </w:r>
            <w:r>
              <w:rPr>
                <w:rFonts w:hint="eastAsia" w:ascii="宋体" w:hAnsi="宋体"/>
                <w:b/>
                <w:color w:val="000000"/>
                <w:kern w:val="2"/>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olor w:val="000000"/>
                <w:szCs w:val="21"/>
              </w:rPr>
            </w:pPr>
            <w:bookmarkStart w:id="68" w:name="_19.2"/>
            <w:bookmarkEnd w:id="68"/>
            <w:r>
              <w:rPr>
                <w:rFonts w:hint="eastAsia" w:ascii="宋体" w:hAnsi="宋体"/>
                <w:color w:val="000000"/>
                <w:szCs w:val="21"/>
              </w:rPr>
              <w:t>20</w:t>
            </w:r>
          </w:p>
        </w:tc>
        <w:tc>
          <w:tcPr>
            <w:tcW w:w="765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hint="eastAsia" w:ascii="宋体" w:hAnsi="宋体"/>
                <w:color w:val="000000"/>
                <w:szCs w:val="21"/>
              </w:rPr>
            </w:pPr>
            <w:r>
              <w:rPr>
                <w:rFonts w:hint="eastAsia" w:ascii="宋体" w:hAnsi="宋体"/>
                <w:color w:val="000000"/>
                <w:szCs w:val="21"/>
                <w:bdr w:val="single" w:color="auto" w:sz="4" w:space="0"/>
              </w:rPr>
              <w:t>√</w:t>
            </w:r>
            <w:r>
              <w:rPr>
                <w:rFonts w:hint="eastAsia" w:ascii="宋体" w:hAnsi="宋体"/>
                <w:color w:val="000000"/>
                <w:szCs w:val="21"/>
              </w:rPr>
              <w:t>本项目不接受电子备份投标文件；</w:t>
            </w:r>
          </w:p>
          <w:p>
            <w:pPr>
              <w:autoSpaceDE w:val="0"/>
              <w:autoSpaceDN w:val="0"/>
              <w:snapToGrid w:val="0"/>
              <w:spacing w:line="400" w:lineRule="exact"/>
              <w:textAlignment w:val="bottom"/>
              <w:rPr>
                <w:rFonts w:hint="eastAsia" w:ascii="宋体" w:hAnsi="宋体"/>
                <w:color w:val="000000"/>
                <w:szCs w:val="21"/>
              </w:rPr>
            </w:pPr>
            <w:r>
              <w:rPr>
                <w:rFonts w:hint="eastAsia" w:ascii="宋体" w:hAnsi="宋体"/>
                <w:color w:val="000000"/>
                <w:szCs w:val="21"/>
              </w:rPr>
              <w:t>□本项目接受电子备份投标文件。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76"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olor w:val="000000"/>
                <w:szCs w:val="21"/>
              </w:rPr>
            </w:pPr>
            <w:bookmarkStart w:id="69" w:name="_21.1"/>
            <w:bookmarkEnd w:id="69"/>
            <w:r>
              <w:rPr>
                <w:rFonts w:hint="eastAsia" w:ascii="宋体" w:hAnsi="宋体"/>
                <w:color w:val="000000"/>
                <w:szCs w:val="21"/>
              </w:rPr>
              <w:t>21.1</w:t>
            </w:r>
          </w:p>
        </w:tc>
        <w:tc>
          <w:tcPr>
            <w:tcW w:w="765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宋体" w:hAnsi="宋体"/>
                <w:color w:val="000000"/>
                <w:szCs w:val="21"/>
                <w:u w:val="single"/>
              </w:rPr>
            </w:pPr>
            <w:r>
              <w:rPr>
                <w:rFonts w:hint="eastAsia" w:ascii="宋体" w:hAnsi="宋体"/>
                <w:color w:val="000000"/>
                <w:szCs w:val="21"/>
              </w:rPr>
              <w:t>1.投标文件提交截止时间：详见招标公告</w:t>
            </w:r>
          </w:p>
          <w:p>
            <w:pPr>
              <w:snapToGrid w:val="0"/>
              <w:spacing w:line="400" w:lineRule="exact"/>
              <w:rPr>
                <w:rFonts w:hint="eastAsia" w:ascii="宋体" w:hAnsi="宋体"/>
                <w:color w:val="000000"/>
                <w:szCs w:val="21"/>
              </w:rPr>
            </w:pPr>
            <w:r>
              <w:rPr>
                <w:rFonts w:hint="eastAsia" w:ascii="宋体" w:hAnsi="宋体"/>
                <w:color w:val="000000"/>
                <w:szCs w:val="21"/>
              </w:rPr>
              <w:t>2.投标地点：详见招标公告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olor w:val="000000"/>
                <w:szCs w:val="21"/>
              </w:rPr>
            </w:pPr>
            <w:bookmarkStart w:id="70" w:name="_23"/>
            <w:bookmarkEnd w:id="70"/>
            <w:r>
              <w:rPr>
                <w:rFonts w:hint="eastAsia" w:ascii="宋体" w:hAnsi="宋体"/>
                <w:color w:val="000000"/>
                <w:szCs w:val="21"/>
              </w:rPr>
              <w:t>23</w:t>
            </w:r>
          </w:p>
        </w:tc>
        <w:tc>
          <w:tcPr>
            <w:tcW w:w="765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宋体" w:hAnsi="宋体"/>
                <w:color w:val="000000"/>
                <w:szCs w:val="21"/>
              </w:rPr>
            </w:pPr>
            <w:r>
              <w:rPr>
                <w:rFonts w:hint="eastAsia" w:ascii="宋体" w:hAnsi="宋体"/>
                <w:color w:val="000000"/>
                <w:szCs w:val="21"/>
              </w:rPr>
              <w:t>1.开标时间：详见招标公告</w:t>
            </w:r>
          </w:p>
          <w:p>
            <w:pPr>
              <w:snapToGrid w:val="0"/>
              <w:spacing w:line="400" w:lineRule="exact"/>
              <w:rPr>
                <w:rFonts w:hint="eastAsia" w:ascii="宋体" w:hAnsi="宋体"/>
                <w:color w:val="000000"/>
                <w:szCs w:val="21"/>
              </w:rPr>
            </w:pPr>
            <w:r>
              <w:rPr>
                <w:rFonts w:hint="eastAsia" w:ascii="宋体" w:hAnsi="宋体"/>
                <w:color w:val="000000"/>
                <w:szCs w:val="21"/>
              </w:rPr>
              <w:t>2.开标地点：详见招标公告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olor w:val="000000"/>
                <w:szCs w:val="21"/>
              </w:rPr>
            </w:pPr>
            <w:r>
              <w:rPr>
                <w:rFonts w:hint="eastAsia" w:ascii="宋体" w:hAnsi="宋体"/>
                <w:color w:val="000000"/>
                <w:szCs w:val="21"/>
              </w:rPr>
              <w:t>24.3（1）</w:t>
            </w:r>
          </w:p>
        </w:tc>
        <w:tc>
          <w:tcPr>
            <w:tcW w:w="765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宋体" w:hAnsi="宋体"/>
                <w:color w:val="000000"/>
                <w:szCs w:val="21"/>
                <w:u w:val="single"/>
              </w:rPr>
            </w:pPr>
            <w:r>
              <w:rPr>
                <w:rFonts w:hint="eastAsia" w:ascii="宋体" w:hAnsi="宋体"/>
                <w:color w:val="000000"/>
                <w:szCs w:val="21"/>
              </w:rPr>
              <w:t>电子投标文件解密时间：</w:t>
            </w:r>
            <w:r>
              <w:rPr>
                <w:rFonts w:hint="eastAsia" w:ascii="宋体" w:hAnsi="宋体"/>
                <w:color w:val="000000"/>
                <w:szCs w:val="21"/>
                <w:u w:val="single"/>
              </w:rPr>
              <w:t>30</w:t>
            </w:r>
            <w:r>
              <w:rPr>
                <w:rFonts w:hint="eastAsia" w:ascii="宋体" w:hAnsi="宋体"/>
                <w:color w:val="000000"/>
                <w:szCs w:val="21"/>
              </w:rPr>
              <w:t>分钟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24</w:t>
            </w:r>
            <w:r>
              <w:rPr>
                <w:rFonts w:ascii="宋体" w:hAnsi="宋体"/>
                <w:color w:val="000000"/>
                <w:szCs w:val="21"/>
              </w:rPr>
              <w:t>.3</w:t>
            </w: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w:t>
            </w:r>
          </w:p>
        </w:tc>
        <w:tc>
          <w:tcPr>
            <w:tcW w:w="765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000000"/>
                <w:szCs w:val="21"/>
              </w:rPr>
            </w:pPr>
            <w:r>
              <w:rPr>
                <w:rFonts w:hint="eastAsia" w:ascii="宋体" w:hAnsi="宋体"/>
                <w:color w:val="000000"/>
                <w:szCs w:val="21"/>
              </w:rPr>
              <w:t>宣布的内容：投标人名称、投标价格</w:t>
            </w:r>
            <w:r>
              <w:rPr>
                <w:rFonts w:ascii="宋体" w:hAnsi="宋体"/>
                <w:color w:val="000000"/>
                <w:szCs w:val="21"/>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olor w:val="000000"/>
                <w:szCs w:val="21"/>
              </w:rPr>
            </w:pPr>
            <w:bookmarkStart w:id="71" w:name="_25.3"/>
            <w:bookmarkEnd w:id="71"/>
            <w:r>
              <w:rPr>
                <w:rFonts w:hint="eastAsia" w:ascii="宋体" w:hAnsi="宋体"/>
                <w:color w:val="000000"/>
                <w:szCs w:val="21"/>
              </w:rPr>
              <w:t>25.3（</w:t>
            </w:r>
            <w:r>
              <w:rPr>
                <w:rFonts w:ascii="宋体" w:hAnsi="宋体"/>
                <w:color w:val="000000"/>
                <w:szCs w:val="21"/>
              </w:rPr>
              <w:t>2</w:t>
            </w:r>
            <w:r>
              <w:rPr>
                <w:rFonts w:hint="eastAsia" w:ascii="宋体" w:hAnsi="宋体"/>
                <w:color w:val="000000"/>
                <w:szCs w:val="21"/>
              </w:rPr>
              <w:t>）</w:t>
            </w:r>
          </w:p>
        </w:tc>
        <w:tc>
          <w:tcPr>
            <w:tcW w:w="765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宋体" w:hAnsi="宋体"/>
                <w:color w:val="000000"/>
                <w:szCs w:val="21"/>
              </w:rPr>
            </w:pPr>
            <w:r>
              <w:rPr>
                <w:rFonts w:hint="eastAsia" w:ascii="宋体" w:hAnsi="宋体"/>
                <w:color w:val="000000"/>
                <w:szCs w:val="21"/>
              </w:rPr>
              <w:t>采购人或者采购代理机构在资格审查结束前，对投标人进行信用查询。</w:t>
            </w:r>
          </w:p>
          <w:p>
            <w:pPr>
              <w:snapToGrid w:val="0"/>
              <w:spacing w:line="400" w:lineRule="exact"/>
              <w:rPr>
                <w:rFonts w:hint="eastAsia" w:ascii="宋体" w:hAnsi="宋体"/>
                <w:color w:val="000000"/>
                <w:szCs w:val="21"/>
              </w:rPr>
            </w:pPr>
            <w:r>
              <w:rPr>
                <w:rFonts w:hint="eastAsia" w:ascii="宋体" w:hAnsi="宋体"/>
                <w:color w:val="000000"/>
                <w:szCs w:val="21"/>
              </w:rPr>
              <w:t>查询渠道：“信用中国”网站（www.creditchina.gov.cn） 、中国政府采购网（www.ccgp.gov.cn）。</w:t>
            </w:r>
          </w:p>
          <w:p>
            <w:pPr>
              <w:snapToGrid w:val="0"/>
              <w:spacing w:line="400" w:lineRule="exact"/>
              <w:rPr>
                <w:rFonts w:hint="eastAsia" w:ascii="宋体" w:hAnsi="宋体"/>
                <w:color w:val="000000"/>
                <w:szCs w:val="21"/>
              </w:rPr>
            </w:pPr>
            <w:r>
              <w:rPr>
                <w:rFonts w:hint="eastAsia" w:ascii="宋体" w:hAnsi="宋体"/>
                <w:color w:val="000000"/>
                <w:szCs w:val="21"/>
              </w:rPr>
              <w:t>信用查询截止时点：资格审查结束前</w:t>
            </w:r>
          </w:p>
          <w:p>
            <w:pPr>
              <w:snapToGrid w:val="0"/>
              <w:spacing w:line="400" w:lineRule="exact"/>
              <w:rPr>
                <w:rFonts w:hint="eastAsia" w:ascii="宋体" w:hAnsi="宋体"/>
                <w:color w:val="000000"/>
                <w:szCs w:val="21"/>
              </w:rPr>
            </w:pPr>
            <w:r>
              <w:rPr>
                <w:rFonts w:hint="eastAsia" w:ascii="宋体" w:hAnsi="宋体"/>
                <w:color w:val="000000"/>
                <w:szCs w:val="21"/>
              </w:rPr>
              <w:t>查询记录和证据留存方式：在查询网站中直接截图查询记录，截图作为在“政采云”平台作为附件上传保存。</w:t>
            </w:r>
          </w:p>
          <w:p>
            <w:pPr>
              <w:snapToGrid w:val="0"/>
              <w:spacing w:line="400" w:lineRule="exact"/>
              <w:rPr>
                <w:rFonts w:hint="eastAsia" w:ascii="宋体" w:hAnsi="宋体"/>
                <w:b/>
                <w:color w:val="000000"/>
                <w:szCs w:val="21"/>
              </w:rPr>
            </w:pPr>
            <w:r>
              <w:rPr>
                <w:rFonts w:hint="eastAsia" w:ascii="宋体" w:hAnsi="宋体"/>
                <w:color w:val="000000"/>
                <w:szCs w:val="21"/>
              </w:rPr>
              <w:t>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采购人或者采购代理机构应当拒绝其参与政府采购活动。两个以上的自然人、法人或者其他组织组成一个联合体，以一个供应商的身份共同参加政府采购活动的，应当对所有联合体成员进行信用记录查询，联合体成员存在不良信用记录（被列入失信被执行人、重大税收违法案件当事人名单、政府采购严重违法失信行为记录名单及其他不符合《中华人民共和国政府采购法》第二十二条规定条件的供应商）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olor w:val="000000"/>
                <w:szCs w:val="21"/>
              </w:rPr>
            </w:pPr>
            <w:bookmarkStart w:id="72" w:name="_26"/>
            <w:bookmarkEnd w:id="72"/>
            <w:r>
              <w:rPr>
                <w:rFonts w:hint="eastAsia" w:ascii="宋体" w:hAnsi="宋体"/>
                <w:color w:val="000000"/>
                <w:szCs w:val="21"/>
              </w:rPr>
              <w:t>26</w:t>
            </w:r>
            <w:r>
              <w:rPr>
                <w:rFonts w:ascii="宋体" w:hAnsi="宋体"/>
                <w:color w:val="000000"/>
                <w:szCs w:val="21"/>
              </w:rPr>
              <w:t>.1</w:t>
            </w:r>
          </w:p>
        </w:tc>
        <w:tc>
          <w:tcPr>
            <w:tcW w:w="765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hint="eastAsia" w:ascii="宋体" w:hAnsi="宋体"/>
                <w:color w:val="000000"/>
                <w:szCs w:val="21"/>
              </w:rPr>
            </w:pPr>
            <w:r>
              <w:rPr>
                <w:rFonts w:hint="eastAsia" w:ascii="宋体" w:hAnsi="宋体"/>
                <w:color w:val="000000"/>
                <w:szCs w:val="21"/>
              </w:rPr>
              <w:t>评标委员会的人数：</w:t>
            </w:r>
            <w:r>
              <w:rPr>
                <w:rFonts w:hint="eastAsia" w:ascii="宋体" w:hAnsi="宋体"/>
                <w:color w:val="000000"/>
                <w:szCs w:val="21"/>
                <w:u w:val="single"/>
                <w:lang w:val="en-US" w:eastAsia="zh-CN"/>
              </w:rPr>
              <w:t>7</w:t>
            </w:r>
            <w:r>
              <w:rPr>
                <w:rFonts w:hint="eastAsia" w:ascii="宋体" w:hAnsi="宋体"/>
                <w:color w:val="000000"/>
                <w:szCs w:val="21"/>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olor w:val="000000"/>
                <w:szCs w:val="21"/>
              </w:rPr>
            </w:pPr>
            <w:bookmarkStart w:id="73" w:name="_28.3"/>
            <w:bookmarkEnd w:id="73"/>
            <w:r>
              <w:rPr>
                <w:rFonts w:ascii="宋体" w:hAnsi="宋体"/>
                <w:color w:val="000000"/>
                <w:szCs w:val="21"/>
              </w:rPr>
              <w:t>29.1</w:t>
            </w:r>
          </w:p>
        </w:tc>
        <w:tc>
          <w:tcPr>
            <w:tcW w:w="765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hint="eastAsia" w:ascii="宋体" w:hAnsi="宋体"/>
                <w:color w:val="000000"/>
                <w:szCs w:val="21"/>
              </w:rPr>
            </w:pPr>
            <w:r>
              <w:rPr>
                <w:rFonts w:hint="eastAsia" w:ascii="宋体" w:hAnsi="宋体"/>
                <w:color w:val="000000"/>
                <w:szCs w:val="21"/>
              </w:rPr>
              <w:t>评标方法：</w:t>
            </w:r>
          </w:p>
          <w:p>
            <w:pPr>
              <w:autoSpaceDE w:val="0"/>
              <w:autoSpaceDN w:val="0"/>
              <w:snapToGrid w:val="0"/>
              <w:spacing w:line="400" w:lineRule="exact"/>
              <w:textAlignment w:val="bottom"/>
              <w:rPr>
                <w:rFonts w:hint="eastAsia" w:ascii="宋体" w:hAnsi="宋体"/>
                <w:color w:val="000000"/>
                <w:szCs w:val="21"/>
              </w:rPr>
            </w:pPr>
            <w:r>
              <w:rPr>
                <w:rFonts w:hint="eastAsia" w:ascii="宋体" w:hAnsi="宋体"/>
                <w:color w:val="000000"/>
                <w:szCs w:val="21"/>
                <w:bdr w:val="single" w:color="auto" w:sz="4" w:space="0"/>
              </w:rPr>
              <w:t>√</w:t>
            </w:r>
            <w:r>
              <w:rPr>
                <w:rFonts w:hint="eastAsia" w:ascii="宋体" w:hAnsi="宋体"/>
                <w:color w:val="000000"/>
                <w:szCs w:val="21"/>
              </w:rPr>
              <w:t>综合评分法</w:t>
            </w:r>
          </w:p>
          <w:p>
            <w:pPr>
              <w:autoSpaceDE w:val="0"/>
              <w:autoSpaceDN w:val="0"/>
              <w:snapToGrid w:val="0"/>
              <w:spacing w:line="400" w:lineRule="exact"/>
              <w:textAlignment w:val="bottom"/>
              <w:rPr>
                <w:rFonts w:hint="eastAsia" w:ascii="宋体" w:hAnsi="宋体"/>
                <w:color w:val="000000"/>
                <w:szCs w:val="21"/>
              </w:rPr>
            </w:pPr>
            <w:r>
              <w:rPr>
                <w:rFonts w:hint="eastAsia" w:ascii="宋体" w:hAnsi="宋体"/>
                <w:color w:val="000000"/>
                <w:szCs w:val="21"/>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olor w:val="000000"/>
                <w:szCs w:val="21"/>
              </w:rPr>
            </w:pPr>
            <w:bookmarkStart w:id="74" w:name="_29.2.2（2）"/>
            <w:bookmarkEnd w:id="74"/>
            <w:r>
              <w:rPr>
                <w:rFonts w:hint="eastAsia" w:ascii="宋体" w:hAnsi="宋体"/>
                <w:color w:val="000000"/>
                <w:szCs w:val="21"/>
              </w:rPr>
              <w:t>2</w:t>
            </w:r>
            <w:r>
              <w:rPr>
                <w:rFonts w:ascii="宋体" w:hAnsi="宋体"/>
                <w:color w:val="000000"/>
                <w:szCs w:val="21"/>
              </w:rPr>
              <w:t>9.2</w:t>
            </w:r>
          </w:p>
        </w:tc>
        <w:tc>
          <w:tcPr>
            <w:tcW w:w="7654" w:type="dxa"/>
            <w:tcBorders>
              <w:top w:val="single" w:color="auto" w:sz="4" w:space="0"/>
              <w:left w:val="single" w:color="auto" w:sz="4" w:space="0"/>
              <w:right w:val="single" w:color="auto" w:sz="4" w:space="0"/>
            </w:tcBorders>
            <w:vAlign w:val="center"/>
          </w:tcPr>
          <w:p>
            <w:pPr>
              <w:snapToGrid w:val="0"/>
              <w:spacing w:line="400" w:lineRule="exact"/>
              <w:rPr>
                <w:rFonts w:ascii="宋体" w:hAnsi="宋体"/>
                <w:color w:val="000000"/>
                <w:szCs w:val="21"/>
              </w:rPr>
            </w:pPr>
            <w:r>
              <w:rPr>
                <w:rFonts w:hint="eastAsia" w:ascii="宋体" w:hAnsi="宋体" w:cs="宋体"/>
                <w:color w:val="000000"/>
                <w:szCs w:val="21"/>
              </w:rPr>
              <w:t>商务要求</w:t>
            </w:r>
            <w:r>
              <w:rPr>
                <w:rFonts w:hint="eastAsia" w:ascii="宋体" w:hAnsi="宋体"/>
                <w:color w:val="000000"/>
                <w:szCs w:val="21"/>
              </w:rPr>
              <w:t>评审中允许负偏离的条款数为</w:t>
            </w:r>
            <w:r>
              <w:rPr>
                <w:rFonts w:hint="eastAsia" w:ascii="宋体" w:hAnsi="宋体"/>
                <w:color w:val="000000"/>
                <w:szCs w:val="21"/>
                <w:u w:val="single"/>
              </w:rPr>
              <w:t>0</w:t>
            </w:r>
            <w:r>
              <w:rPr>
                <w:rFonts w:hint="eastAsia" w:ascii="宋体" w:hAnsi="宋体"/>
                <w:color w:val="000000"/>
                <w:szCs w:val="21"/>
              </w:rPr>
              <w:t>项。</w:t>
            </w:r>
          </w:p>
          <w:p>
            <w:pPr>
              <w:snapToGrid w:val="0"/>
              <w:spacing w:line="400" w:lineRule="exact"/>
              <w:rPr>
                <w:rFonts w:hint="eastAsia" w:ascii="宋体" w:hAnsi="宋体" w:cs="宋体"/>
                <w:color w:val="000000"/>
                <w:szCs w:val="21"/>
              </w:rPr>
            </w:pPr>
            <w:r>
              <w:rPr>
                <w:rFonts w:hint="eastAsia" w:ascii="宋体" w:hAnsi="宋体" w:cs="宋体"/>
                <w:color w:val="000000"/>
                <w:szCs w:val="21"/>
              </w:rPr>
              <w:t>技术评审中允许负偏离的项目数为</w:t>
            </w:r>
            <w:r>
              <w:rPr>
                <w:rFonts w:hint="eastAsia" w:ascii="宋体" w:hAnsi="宋体" w:cs="宋体"/>
                <w:color w:val="000000"/>
                <w:szCs w:val="21"/>
                <w:u w:val="single"/>
                <w:lang w:val="en-US" w:eastAsia="zh-CN"/>
              </w:rPr>
              <w:t>3</w:t>
            </w:r>
            <w:r>
              <w:rPr>
                <w:rFonts w:hint="eastAsia" w:ascii="宋体" w:hAnsi="宋体" w:cs="宋体"/>
                <w:color w:val="000000"/>
                <w:szCs w:val="21"/>
              </w:rPr>
              <w:t>项。（负偏离达到</w:t>
            </w:r>
            <w:r>
              <w:rPr>
                <w:rFonts w:hint="eastAsia" w:ascii="宋体" w:hAnsi="宋体" w:cs="宋体"/>
                <w:color w:val="000000"/>
                <w:szCs w:val="21"/>
                <w:lang w:val="en-US" w:eastAsia="zh-CN"/>
              </w:rPr>
              <w:t>4</w:t>
            </w:r>
            <w:r>
              <w:rPr>
                <w:rFonts w:hint="eastAsia" w:ascii="宋体" w:hAnsi="宋体" w:cs="宋体"/>
                <w:color w:val="000000"/>
                <w:szCs w:val="21"/>
              </w:rPr>
              <w:t>项或以上则投标无效）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olor w:val="000000"/>
                <w:szCs w:val="21"/>
              </w:rPr>
            </w:pPr>
            <w:r>
              <w:rPr>
                <w:rFonts w:hint="eastAsia" w:ascii="宋体" w:hAnsi="宋体"/>
                <w:color w:val="000000"/>
                <w:szCs w:val="21"/>
              </w:rPr>
              <w:t>2</w:t>
            </w:r>
            <w:r>
              <w:rPr>
                <w:rFonts w:ascii="宋体" w:hAnsi="宋体"/>
                <w:color w:val="000000"/>
                <w:szCs w:val="21"/>
              </w:rPr>
              <w:t>9.3</w:t>
            </w:r>
          </w:p>
        </w:tc>
        <w:tc>
          <w:tcPr>
            <w:tcW w:w="7654" w:type="dxa"/>
            <w:tcBorders>
              <w:top w:val="single" w:color="auto" w:sz="4" w:space="0"/>
              <w:left w:val="single" w:color="auto" w:sz="4" w:space="0"/>
              <w:right w:val="single" w:color="auto" w:sz="4" w:space="0"/>
            </w:tcBorders>
            <w:vAlign w:val="center"/>
          </w:tcPr>
          <w:p>
            <w:pPr>
              <w:snapToGrid w:val="0"/>
              <w:spacing w:line="400" w:lineRule="exact"/>
              <w:rPr>
                <w:rFonts w:ascii="宋体" w:hAnsi="宋体"/>
                <w:color w:val="000000"/>
                <w:szCs w:val="21"/>
              </w:rPr>
            </w:pPr>
            <w:r>
              <w:rPr>
                <w:rFonts w:ascii="宋体" w:hAnsi="宋体"/>
                <w:color w:val="000000"/>
                <w:szCs w:val="21"/>
              </w:rPr>
              <w:t>中标候选人推荐数量</w:t>
            </w:r>
            <w:r>
              <w:rPr>
                <w:rFonts w:hint="eastAsia" w:ascii="宋体" w:hAnsi="宋体"/>
                <w:color w:val="000000"/>
                <w:szCs w:val="21"/>
              </w:rPr>
              <w:t>：</w:t>
            </w:r>
          </w:p>
          <w:p>
            <w:pPr>
              <w:snapToGrid w:val="0"/>
              <w:spacing w:line="400" w:lineRule="exact"/>
              <w:rPr>
                <w:rFonts w:ascii="宋体" w:hAnsi="宋体"/>
                <w:color w:val="000000"/>
                <w:szCs w:val="21"/>
              </w:rPr>
            </w:pPr>
            <w:r>
              <w:rPr>
                <w:rFonts w:hint="eastAsia" w:ascii="宋体" w:hAnsi="宋体"/>
                <w:color w:val="000000"/>
                <w:szCs w:val="21"/>
                <w:bdr w:val="single" w:color="auto" w:sz="4" w:space="0"/>
              </w:rPr>
              <w:t>√</w:t>
            </w:r>
            <w:r>
              <w:rPr>
                <w:rFonts w:hint="eastAsia" w:ascii="宋体" w:hAnsi="宋体"/>
                <w:color w:val="000000"/>
                <w:szCs w:val="21"/>
                <w:u w:val="single"/>
              </w:rPr>
              <w:t>3</w:t>
            </w:r>
            <w:r>
              <w:rPr>
                <w:rFonts w:ascii="宋体" w:hAnsi="宋体"/>
                <w:color w:val="000000"/>
                <w:szCs w:val="21"/>
              </w:rPr>
              <w:t>名</w:t>
            </w:r>
          </w:p>
          <w:p>
            <w:pPr>
              <w:snapToGrid w:val="0"/>
              <w:spacing w:line="400" w:lineRule="exact"/>
              <w:rPr>
                <w:rFonts w:hint="eastAsia" w:ascii="宋体" w:hAnsi="宋体" w:cs="宋体"/>
                <w:color w:val="000000"/>
                <w:szCs w:val="21"/>
                <w:u w:val="single"/>
              </w:rPr>
            </w:pPr>
            <w:r>
              <w:rPr>
                <w:rFonts w:hint="eastAsia" w:ascii="宋体" w:hAnsi="宋体"/>
                <w:color w:val="000000"/>
                <w:szCs w:val="21"/>
              </w:rPr>
              <w:t>根据[总得分由高到低排列次序并全部推荐为中标候选人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olor w:val="000000"/>
                <w:szCs w:val="21"/>
              </w:rPr>
            </w:pPr>
            <w:r>
              <w:rPr>
                <w:rFonts w:hint="eastAsia" w:ascii="宋体" w:hAnsi="宋体"/>
                <w:color w:val="000000"/>
                <w:szCs w:val="21"/>
              </w:rPr>
              <w:t>30</w:t>
            </w:r>
            <w:r>
              <w:rPr>
                <w:rFonts w:ascii="宋体" w:hAnsi="宋体"/>
                <w:color w:val="000000"/>
                <w:szCs w:val="21"/>
              </w:rPr>
              <w:t>.1</w:t>
            </w:r>
          </w:p>
        </w:tc>
        <w:tc>
          <w:tcPr>
            <w:tcW w:w="765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hint="eastAsia" w:ascii="宋体" w:hAnsi="宋体"/>
                <w:color w:val="000000"/>
                <w:szCs w:val="21"/>
              </w:rPr>
            </w:pPr>
            <w:r>
              <w:rPr>
                <w:rFonts w:hint="eastAsia" w:ascii="宋体" w:hAnsi="宋体"/>
                <w:color w:val="000000"/>
                <w:szCs w:val="21"/>
              </w:rPr>
              <w:t>采用综合评分法的采购项目，采购人确定中标人时，出现中标候选人并列的情形，采购人按以下的方式确定中标人：</w:t>
            </w:r>
          </w:p>
          <w:p>
            <w:pPr>
              <w:autoSpaceDE w:val="0"/>
              <w:autoSpaceDN w:val="0"/>
              <w:snapToGrid w:val="0"/>
              <w:spacing w:line="400" w:lineRule="exact"/>
              <w:textAlignment w:val="bottom"/>
              <w:rPr>
                <w:rFonts w:hint="eastAsia" w:ascii="宋体" w:hAnsi="宋体"/>
                <w:color w:val="000000"/>
                <w:szCs w:val="21"/>
              </w:rPr>
            </w:pPr>
            <w:r>
              <w:rPr>
                <w:rFonts w:hint="eastAsia" w:ascii="宋体" w:hAnsi="宋体"/>
                <w:color w:val="000000"/>
                <w:szCs w:val="21"/>
                <w:bdr w:val="single" w:color="auto" w:sz="4" w:space="0"/>
              </w:rPr>
              <w:t>√</w:t>
            </w:r>
            <w:r>
              <w:rPr>
                <w:rFonts w:hint="eastAsia" w:ascii="宋体" w:hAnsi="宋体"/>
                <w:color w:val="000000"/>
                <w:szCs w:val="21"/>
              </w:rPr>
              <w:t>依次按投标报价低的优先、政策分得分高的优先、技术评分高的优先、商务评分高的优先、保修期长优先、交货期短优先、故障响应时间短优先的顺序确定；</w:t>
            </w:r>
          </w:p>
          <w:p>
            <w:pPr>
              <w:autoSpaceDE w:val="0"/>
              <w:autoSpaceDN w:val="0"/>
              <w:snapToGrid w:val="0"/>
              <w:spacing w:line="400" w:lineRule="exact"/>
              <w:textAlignment w:val="bottom"/>
              <w:rPr>
                <w:rFonts w:hint="eastAsia" w:ascii="宋体" w:hAnsi="宋体"/>
                <w:color w:val="000000"/>
                <w:szCs w:val="21"/>
              </w:rPr>
            </w:pPr>
            <w:r>
              <w:rPr>
                <w:rFonts w:hint="eastAsia" w:ascii="宋体" w:hAnsi="宋体"/>
                <w:color w:val="000000"/>
                <w:szCs w:val="21"/>
              </w:rPr>
              <w:t>□随机抽取；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olor w:val="000000"/>
                <w:szCs w:val="21"/>
              </w:rPr>
            </w:pPr>
            <w:bookmarkStart w:id="75" w:name="_39.1"/>
            <w:bookmarkEnd w:id="75"/>
            <w:r>
              <w:rPr>
                <w:rFonts w:hint="eastAsia" w:ascii="宋体" w:hAnsi="宋体"/>
                <w:color w:val="000000"/>
                <w:szCs w:val="21"/>
              </w:rPr>
              <w:t>35</w:t>
            </w:r>
            <w:r>
              <w:rPr>
                <w:rFonts w:ascii="宋体" w:hAnsi="宋体"/>
                <w:color w:val="000000"/>
                <w:szCs w:val="21"/>
              </w:rPr>
              <w:t>.1</w:t>
            </w:r>
          </w:p>
        </w:tc>
        <w:tc>
          <w:tcPr>
            <w:tcW w:w="765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olor w:val="000000"/>
                <w:szCs w:val="21"/>
              </w:rPr>
            </w:pPr>
            <w:r>
              <w:rPr>
                <w:rFonts w:hint="eastAsia" w:ascii="宋体" w:hAnsi="宋体"/>
                <w:color w:val="000000"/>
                <w:szCs w:val="21"/>
                <w:bdr w:val="single" w:color="auto" w:sz="4" w:space="0"/>
              </w:rPr>
              <w:t>√</w:t>
            </w:r>
            <w:r>
              <w:rPr>
                <w:rFonts w:hint="eastAsia" w:ascii="宋体" w:hAnsi="宋体"/>
                <w:color w:val="000000"/>
                <w:szCs w:val="21"/>
              </w:rPr>
              <w:t>本项目不收取履约保证金。</w:t>
            </w:r>
          </w:p>
          <w:p>
            <w:pPr>
              <w:autoSpaceDE w:val="0"/>
              <w:autoSpaceDN w:val="0"/>
              <w:snapToGrid w:val="0"/>
              <w:spacing w:line="400" w:lineRule="exact"/>
              <w:textAlignment w:val="bottom"/>
              <w:rPr>
                <w:rFonts w:ascii="宋体" w:hAnsi="宋体"/>
                <w:color w:val="000000"/>
                <w:szCs w:val="21"/>
              </w:rPr>
            </w:pPr>
            <w:r>
              <w:rPr>
                <w:rFonts w:hint="eastAsia" w:ascii="宋体" w:hAnsi="宋体"/>
                <w:color w:val="000000"/>
                <w:szCs w:val="21"/>
              </w:rPr>
              <w:t>□本项目收取履约保证金，具体规定如下：</w:t>
            </w:r>
          </w:p>
          <w:p>
            <w:pPr>
              <w:pStyle w:val="13"/>
              <w:spacing w:line="400" w:lineRule="exact"/>
              <w:rPr>
                <w:rFonts w:hint="eastAsia" w:ascii="宋体" w:hAnsi="宋体"/>
                <w:color w:val="000000"/>
                <w:szCs w:val="21"/>
                <w:lang w:val="en-US" w:eastAsia="zh-CN"/>
              </w:rPr>
            </w:pPr>
            <w:r>
              <w:rPr>
                <w:rFonts w:hint="eastAsia" w:ascii="宋体" w:hAnsi="宋体"/>
                <w:color w:val="000000"/>
                <w:szCs w:val="21"/>
                <w:lang w:val="en-US" w:eastAsia="zh-CN"/>
              </w:rPr>
              <w:t>履约保证金金额：每分标按中标金额的</w:t>
            </w:r>
            <w:r>
              <w:rPr>
                <w:rFonts w:hint="eastAsia" w:ascii="宋体" w:hAnsi="宋体" w:cs="Arial"/>
                <w:color w:val="000000"/>
                <w:szCs w:val="21"/>
                <w:u w:val="single"/>
                <w:lang w:val="en-US" w:eastAsia="zh-CN"/>
              </w:rPr>
              <w:t>5</w:t>
            </w:r>
            <w:r>
              <w:rPr>
                <w:rFonts w:hint="eastAsia" w:ascii="宋体" w:hAnsi="宋体"/>
                <w:color w:val="000000"/>
                <w:szCs w:val="21"/>
                <w:lang w:val="en-US" w:eastAsia="zh-CN"/>
              </w:rPr>
              <w:t>%（注：履约保证金不超过政府采购合同金额的</w:t>
            </w:r>
            <w:r>
              <w:rPr>
                <w:rFonts w:ascii="宋体" w:hAnsi="宋体"/>
                <w:color w:val="000000"/>
                <w:szCs w:val="21"/>
                <w:lang w:val="en-US" w:eastAsia="zh-CN"/>
              </w:rPr>
              <w:t>5</w:t>
            </w:r>
            <w:r>
              <w:rPr>
                <w:rFonts w:hint="eastAsia" w:ascii="宋体" w:hAnsi="宋体"/>
                <w:color w:val="000000"/>
                <w:szCs w:val="21"/>
                <w:lang w:val="en-US" w:eastAsia="zh-CN"/>
              </w:rPr>
              <w:t>%）。</w:t>
            </w:r>
          </w:p>
          <w:p>
            <w:pPr>
              <w:autoSpaceDE w:val="0"/>
              <w:autoSpaceDN w:val="0"/>
              <w:snapToGrid w:val="0"/>
              <w:spacing w:line="400" w:lineRule="exact"/>
              <w:textAlignment w:val="bottom"/>
              <w:rPr>
                <w:rFonts w:hint="eastAsia" w:ascii="宋体" w:hAnsi="宋体"/>
                <w:color w:val="000000"/>
                <w:szCs w:val="21"/>
              </w:rPr>
            </w:pPr>
            <w:r>
              <w:rPr>
                <w:rFonts w:hint="eastAsia" w:ascii="宋体" w:hAnsi="宋体"/>
                <w:color w:val="000000"/>
                <w:szCs w:val="21"/>
              </w:rPr>
              <w:t>履约保证金递交方式：银行转账或电汇或其它政府采购法律法规允许的方式</w:t>
            </w:r>
          </w:p>
          <w:p>
            <w:pPr>
              <w:autoSpaceDE w:val="0"/>
              <w:autoSpaceDN w:val="0"/>
              <w:snapToGrid w:val="0"/>
              <w:spacing w:line="400" w:lineRule="exact"/>
              <w:textAlignment w:val="bottom"/>
              <w:rPr>
                <w:rFonts w:hint="eastAsia" w:ascii="宋体" w:hAnsi="宋体"/>
                <w:color w:val="000000"/>
                <w:szCs w:val="21"/>
                <w:u w:val="single"/>
              </w:rPr>
            </w:pPr>
            <w:r>
              <w:rPr>
                <w:rFonts w:hint="eastAsia" w:ascii="宋体" w:hAnsi="宋体"/>
                <w:color w:val="000000"/>
                <w:szCs w:val="21"/>
              </w:rPr>
              <w:t>履约保证金退付方式、时间及条件：</w:t>
            </w:r>
            <w:r>
              <w:rPr>
                <w:rFonts w:hint="eastAsia" w:ascii="宋体" w:hAnsi="宋体"/>
                <w:color w:val="000000"/>
                <w:szCs w:val="21"/>
                <w:u w:val="single"/>
              </w:rPr>
              <w:t>中标人在签订合同之前，足额提交履约保证金。未提交履约保证金的，不予签订合同。履约保证金自项目验收合格后，待中标供应商履行完质保义务后无息退还。</w:t>
            </w:r>
          </w:p>
          <w:p>
            <w:pPr>
              <w:autoSpaceDE w:val="0"/>
              <w:autoSpaceDN w:val="0"/>
              <w:snapToGrid w:val="0"/>
              <w:spacing w:line="400" w:lineRule="exact"/>
              <w:textAlignment w:val="bottom"/>
              <w:rPr>
                <w:rFonts w:hint="eastAsia" w:ascii="宋体" w:hAnsi="宋体"/>
                <w:color w:val="000000"/>
                <w:szCs w:val="21"/>
              </w:rPr>
            </w:pPr>
            <w:r>
              <w:rPr>
                <w:rFonts w:hint="eastAsia" w:ascii="宋体" w:hAnsi="宋体"/>
                <w:color w:val="000000"/>
                <w:szCs w:val="21"/>
              </w:rPr>
              <w:t>履约保证金指定账户：中标后采购人提供</w:t>
            </w:r>
          </w:p>
          <w:p>
            <w:pPr>
              <w:spacing w:line="400" w:lineRule="exact"/>
              <w:jc w:val="left"/>
              <w:rPr>
                <w:rFonts w:ascii="宋体" w:hAnsi="宋体" w:cs="Courier New"/>
                <w:color w:val="000000"/>
                <w:szCs w:val="21"/>
              </w:rPr>
            </w:pPr>
            <w:r>
              <w:rPr>
                <w:rFonts w:ascii="宋体" w:hAnsi="宋体" w:cs="Courier New"/>
                <w:color w:val="000000"/>
                <w:szCs w:val="21"/>
              </w:rPr>
              <w:t>备注：</w:t>
            </w:r>
          </w:p>
          <w:p>
            <w:pPr>
              <w:spacing w:line="400" w:lineRule="exact"/>
              <w:jc w:val="left"/>
              <w:rPr>
                <w:rFonts w:hint="eastAsia" w:ascii="宋体" w:hAnsi="宋体"/>
                <w:b/>
                <w:color w:val="000000"/>
                <w:szCs w:val="21"/>
              </w:rPr>
            </w:pPr>
            <w:r>
              <w:rPr>
                <w:rFonts w:ascii="宋体" w:hAnsi="宋体"/>
                <w:b/>
                <w:color w:val="000000"/>
                <w:szCs w:val="21"/>
              </w:rPr>
              <w:t>1.</w:t>
            </w:r>
            <w:r>
              <w:rPr>
                <w:rFonts w:hint="eastAsia" w:ascii="宋体" w:hAnsi="宋体"/>
                <w:b/>
                <w:color w:val="000000"/>
                <w:szCs w:val="21"/>
              </w:rPr>
              <w:t xml:space="preserve"> </w:t>
            </w:r>
            <w:bookmarkStart w:id="76" w:name="_Hlk54170335"/>
            <w:r>
              <w:rPr>
                <w:rFonts w:hint="eastAsia" w:ascii="宋体" w:hAnsi="宋体"/>
                <w:b/>
                <w:color w:val="000000"/>
                <w:szCs w:val="21"/>
              </w:rPr>
              <w:t>根据《广西壮族自治区财政厅关于贯彻落实政府采购优化营商环境百日攻坚行动方案的通知》（桂财采〔2020〕49号）规定，鼓励采购人在与中小微企业签订政府采购合同时，减少或免于收取履约保证金，有必要收取履约保证金的，收取的履约保证金不得超过政府采购合同金额的5%。</w:t>
            </w:r>
            <w:bookmarkEnd w:id="76"/>
          </w:p>
          <w:p>
            <w:pPr>
              <w:spacing w:line="400" w:lineRule="exact"/>
              <w:jc w:val="left"/>
              <w:rPr>
                <w:rFonts w:hint="eastAsia" w:ascii="宋体" w:hAnsi="宋体"/>
                <w:b/>
                <w:color w:val="000000"/>
                <w:szCs w:val="21"/>
              </w:rPr>
            </w:pPr>
            <w:r>
              <w:rPr>
                <w:rFonts w:ascii="宋体" w:hAnsi="宋体"/>
                <w:b/>
                <w:color w:val="000000"/>
                <w:szCs w:val="21"/>
              </w:rPr>
              <w:t>2.</w:t>
            </w:r>
            <w:r>
              <w:rPr>
                <w:rFonts w:hint="eastAsia" w:ascii="宋体" w:hAnsi="宋体"/>
                <w:color w:val="000000"/>
                <w:szCs w:val="21"/>
              </w:rPr>
              <w:t xml:space="preserve"> </w:t>
            </w:r>
            <w:r>
              <w:rPr>
                <w:rFonts w:hint="eastAsia" w:ascii="宋体" w:hAnsi="宋体"/>
                <w:b/>
                <w:color w:val="000000"/>
                <w:szCs w:val="21"/>
              </w:rPr>
              <w:t>履约保证金不足额缴纳的（包含保函额度不足的），或者不按规定提交方式提交的，或者保函有效期低于合同履行期限（即合同中规定的当事人履行自己的义务，如交付标的物、价款或者报酬，履行劳务、完成工作的时间界限）的，不予签订合同。</w:t>
            </w:r>
          </w:p>
          <w:p>
            <w:pPr>
              <w:spacing w:line="400" w:lineRule="exact"/>
              <w:jc w:val="left"/>
              <w:rPr>
                <w:rFonts w:hint="eastAsia" w:ascii="宋体" w:hAnsi="宋体"/>
                <w:b/>
                <w:color w:val="000000"/>
                <w:szCs w:val="21"/>
              </w:rPr>
            </w:pPr>
            <w:r>
              <w:rPr>
                <w:rFonts w:ascii="宋体" w:hAnsi="宋体"/>
                <w:b/>
                <w:color w:val="000000"/>
                <w:szCs w:val="21"/>
              </w:rPr>
              <w:t>3.采用银行、保险机构出具的保函的，必须为无条件保函，否则不予签订合同。</w:t>
            </w:r>
          </w:p>
          <w:p>
            <w:pPr>
              <w:spacing w:line="400" w:lineRule="exact"/>
              <w:jc w:val="left"/>
              <w:rPr>
                <w:rFonts w:hint="eastAsia" w:ascii="宋体" w:hAnsi="宋体" w:cs="宋体"/>
                <w:color w:val="000000"/>
                <w:kern w:val="0"/>
                <w:szCs w:val="21"/>
              </w:rPr>
            </w:pPr>
            <w:r>
              <w:rPr>
                <w:rFonts w:ascii="宋体" w:hAnsi="宋体"/>
                <w:b/>
                <w:color w:val="000000"/>
                <w:szCs w:val="21"/>
              </w:rPr>
              <w:t>4.</w:t>
            </w:r>
            <w:r>
              <w:rPr>
                <w:rFonts w:hint="eastAsia" w:ascii="宋体" w:hAnsi="宋体"/>
                <w:b/>
                <w:color w:val="000000"/>
                <w:szCs w:val="21"/>
              </w:rPr>
              <w:t>投标人为联合体的，由联合体其中一方按规定提交的履约保证金，视为有效履约保证金。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olor w:val="000000"/>
                <w:szCs w:val="21"/>
              </w:rPr>
            </w:pPr>
            <w:bookmarkStart w:id="77" w:name="_40.1"/>
            <w:bookmarkEnd w:id="77"/>
            <w:r>
              <w:rPr>
                <w:rFonts w:hint="eastAsia" w:ascii="宋体" w:hAnsi="宋体"/>
                <w:color w:val="000000"/>
                <w:szCs w:val="21"/>
              </w:rPr>
              <w:t>36.1</w:t>
            </w:r>
          </w:p>
        </w:tc>
        <w:tc>
          <w:tcPr>
            <w:tcW w:w="765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hint="eastAsia" w:ascii="宋体" w:hAnsi="宋体"/>
                <w:color w:val="000000"/>
                <w:szCs w:val="21"/>
              </w:rPr>
            </w:pPr>
            <w:r>
              <w:rPr>
                <w:rFonts w:hint="eastAsia" w:ascii="宋体" w:hAnsi="宋体"/>
                <w:color w:val="000000"/>
                <w:szCs w:val="21"/>
              </w:rPr>
              <w:t xml:space="preserve">签订合同携带的证明材料： </w:t>
            </w:r>
          </w:p>
          <w:p>
            <w:pPr>
              <w:autoSpaceDE w:val="0"/>
              <w:autoSpaceDN w:val="0"/>
              <w:snapToGrid w:val="0"/>
              <w:spacing w:line="400" w:lineRule="exact"/>
              <w:textAlignment w:val="bottom"/>
              <w:rPr>
                <w:rFonts w:hint="eastAsia" w:ascii="宋体" w:hAnsi="宋体"/>
                <w:color w:val="000000"/>
                <w:szCs w:val="21"/>
              </w:rPr>
            </w:pPr>
            <w:r>
              <w:rPr>
                <w:rFonts w:hint="eastAsia" w:ascii="宋体" w:hAnsi="宋体"/>
                <w:color w:val="000000"/>
                <w:szCs w:val="21"/>
              </w:rPr>
              <w:t>委托代理人负责签订合同的，须携带授权委托书及委托代理人身份证原件等其他资格证件。</w:t>
            </w:r>
          </w:p>
          <w:p>
            <w:pPr>
              <w:autoSpaceDE w:val="0"/>
              <w:autoSpaceDN w:val="0"/>
              <w:snapToGrid w:val="0"/>
              <w:spacing w:line="400" w:lineRule="exact"/>
              <w:textAlignment w:val="bottom"/>
              <w:rPr>
                <w:rFonts w:hint="eastAsia" w:ascii="宋体" w:hAnsi="宋体"/>
                <w:color w:val="000000"/>
                <w:szCs w:val="21"/>
              </w:rPr>
            </w:pPr>
            <w:r>
              <w:rPr>
                <w:rFonts w:hint="eastAsia" w:ascii="宋体" w:hAnsi="宋体"/>
                <w:color w:val="000000"/>
                <w:szCs w:val="21"/>
              </w:rPr>
              <w:t>法定代表人负责签订合同的，须携带法定代表人</w:t>
            </w:r>
            <w:r>
              <w:rPr>
                <w:rFonts w:ascii="宋体" w:hAnsi="宋体"/>
                <w:color w:val="000000"/>
                <w:szCs w:val="21"/>
              </w:rPr>
              <w:t>身份证明原件</w:t>
            </w:r>
            <w:r>
              <w:rPr>
                <w:rFonts w:hint="eastAsia" w:ascii="宋体" w:hAnsi="宋体"/>
                <w:color w:val="000000"/>
                <w:szCs w:val="21"/>
              </w:rPr>
              <w:t>及</w:t>
            </w:r>
            <w:r>
              <w:rPr>
                <w:rFonts w:ascii="宋体" w:hAnsi="宋体"/>
                <w:color w:val="000000"/>
                <w:szCs w:val="21"/>
              </w:rPr>
              <w:t>身份证原件</w:t>
            </w:r>
            <w:r>
              <w:rPr>
                <w:rFonts w:hint="eastAsia" w:ascii="宋体" w:hAnsi="宋体"/>
                <w:color w:val="000000"/>
                <w:szCs w:val="21"/>
              </w:rPr>
              <w:t>等其他证明材料。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olor w:val="000000"/>
                <w:szCs w:val="21"/>
              </w:rPr>
            </w:pPr>
            <w:r>
              <w:rPr>
                <w:rFonts w:hint="eastAsia" w:ascii="宋体" w:hAnsi="宋体"/>
                <w:color w:val="000000"/>
                <w:szCs w:val="21"/>
              </w:rPr>
              <w:t>3</w:t>
            </w:r>
            <w:r>
              <w:rPr>
                <w:rFonts w:ascii="宋体" w:hAnsi="宋体"/>
                <w:color w:val="000000"/>
                <w:szCs w:val="21"/>
              </w:rPr>
              <w:t>8.2</w:t>
            </w:r>
          </w:p>
        </w:tc>
        <w:tc>
          <w:tcPr>
            <w:tcW w:w="765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宋体" w:hAnsi="宋体"/>
                <w:color w:val="000000"/>
                <w:szCs w:val="21"/>
              </w:rPr>
            </w:pPr>
            <w:r>
              <w:rPr>
                <w:rFonts w:hint="eastAsia" w:ascii="宋体" w:hAnsi="宋体"/>
                <w:color w:val="000000"/>
                <w:szCs w:val="21"/>
              </w:rPr>
              <w:t>接收质疑函方式：以书面形式</w:t>
            </w:r>
          </w:p>
          <w:p>
            <w:pPr>
              <w:snapToGrid w:val="0"/>
              <w:spacing w:line="400" w:lineRule="exact"/>
              <w:rPr>
                <w:rFonts w:hint="default" w:ascii="宋体" w:hAnsi="宋体" w:eastAsia="宋体"/>
                <w:color w:val="000000"/>
                <w:szCs w:val="21"/>
                <w:lang w:val="en-US" w:eastAsia="zh-CN"/>
              </w:rPr>
            </w:pPr>
            <w:r>
              <w:rPr>
                <w:rFonts w:hint="eastAsia" w:ascii="宋体" w:hAnsi="宋体"/>
                <w:color w:val="000000"/>
                <w:szCs w:val="21"/>
              </w:rPr>
              <w:t>质疑联系部门及联系方式：</w:t>
            </w:r>
            <w:r>
              <w:rPr>
                <w:rFonts w:hint="eastAsia" w:ascii="宋体" w:hAnsi="宋体"/>
                <w:color w:val="000000"/>
                <w:szCs w:val="21"/>
                <w:lang w:val="en-US" w:eastAsia="zh-CN"/>
              </w:rPr>
              <w:t>广西建设工程机电设备招标中心有限公司</w:t>
            </w:r>
            <w:r>
              <w:rPr>
                <w:rFonts w:hint="eastAsia" w:ascii="宋体" w:hAnsi="宋体"/>
                <w:color w:val="000000"/>
                <w:szCs w:val="21"/>
              </w:rPr>
              <w:t>，</w:t>
            </w:r>
            <w:r>
              <w:rPr>
                <w:rFonts w:ascii="宋体" w:hAnsi="宋体"/>
                <w:color w:val="000000"/>
                <w:szCs w:val="21"/>
              </w:rPr>
              <w:t>联系电话</w:t>
            </w:r>
            <w:r>
              <w:rPr>
                <w:rFonts w:hint="eastAsia" w:ascii="宋体" w:hAnsi="宋体"/>
                <w:color w:val="000000"/>
                <w:szCs w:val="21"/>
              </w:rPr>
              <w:t>：0771-</w:t>
            </w:r>
            <w:r>
              <w:rPr>
                <w:rFonts w:hint="eastAsia" w:ascii="宋体" w:hAnsi="宋体"/>
                <w:color w:val="000000"/>
                <w:szCs w:val="21"/>
                <w:lang w:val="en-US" w:eastAsia="zh-CN"/>
              </w:rPr>
              <w:t>2819799</w:t>
            </w:r>
            <w:r>
              <w:rPr>
                <w:rFonts w:hint="eastAsia" w:ascii="宋体" w:hAnsi="宋体"/>
                <w:color w:val="000000"/>
                <w:szCs w:val="21"/>
              </w:rPr>
              <w:t>、，</w:t>
            </w:r>
            <w:r>
              <w:rPr>
                <w:rFonts w:ascii="宋体" w:hAnsi="宋体"/>
                <w:color w:val="000000"/>
                <w:szCs w:val="21"/>
              </w:rPr>
              <w:t>通讯地址</w:t>
            </w:r>
            <w:r>
              <w:rPr>
                <w:rFonts w:hint="eastAsia" w:ascii="宋体" w:hAnsi="宋体" w:cs="Helvetica"/>
                <w:color w:val="000000"/>
                <w:szCs w:val="21"/>
              </w:rPr>
              <w:t>：</w:t>
            </w:r>
            <w:r>
              <w:rPr>
                <w:rFonts w:hint="eastAsia" w:ascii="宋体" w:hAnsi="宋体" w:cs="Helvetica"/>
                <w:color w:val="000000"/>
                <w:szCs w:val="21"/>
                <w:lang w:val="en-US" w:eastAsia="zh-CN"/>
              </w:rPr>
              <w:t>南宁市纬武路165号</w:t>
            </w:r>
          </w:p>
          <w:p>
            <w:pPr>
              <w:autoSpaceDE w:val="0"/>
              <w:autoSpaceDN w:val="0"/>
              <w:snapToGrid w:val="0"/>
              <w:spacing w:line="400" w:lineRule="exact"/>
              <w:textAlignment w:val="bottom"/>
              <w:rPr>
                <w:rFonts w:hint="eastAsia" w:ascii="宋体" w:hAnsi="宋体"/>
                <w:color w:val="000000"/>
                <w:szCs w:val="21"/>
              </w:rPr>
            </w:pPr>
            <w:r>
              <w:rPr>
                <w:rFonts w:hint="eastAsia" w:ascii="宋体" w:hAnsi="宋体"/>
                <w:color w:val="000000"/>
                <w:szCs w:val="21"/>
              </w:rPr>
              <w:t>现场提交质疑办理业务时间：每天8时00分到12时00分，15时00分到18时 00分，业务时间以外、双休日和法定节假日不办理业务。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olor w:val="000000"/>
                <w:szCs w:val="21"/>
              </w:rPr>
            </w:pPr>
            <w:bookmarkStart w:id="78" w:name="_41"/>
            <w:bookmarkEnd w:id="78"/>
            <w:bookmarkStart w:id="79" w:name="_42"/>
            <w:bookmarkEnd w:id="79"/>
            <w:bookmarkStart w:id="80" w:name="_Hlt17709148"/>
            <w:r>
              <w:rPr>
                <w:rFonts w:hint="eastAsia" w:ascii="宋体" w:hAnsi="宋体"/>
                <w:color w:val="000000"/>
                <w:szCs w:val="21"/>
              </w:rPr>
              <w:t>3</w:t>
            </w:r>
            <w:bookmarkEnd w:id="80"/>
            <w:r>
              <w:rPr>
                <w:rFonts w:ascii="宋体" w:hAnsi="宋体"/>
                <w:color w:val="000000"/>
                <w:szCs w:val="21"/>
              </w:rPr>
              <w:t>9.1</w:t>
            </w:r>
          </w:p>
        </w:tc>
        <w:tc>
          <w:tcPr>
            <w:tcW w:w="7654" w:type="dxa"/>
            <w:tcBorders>
              <w:top w:val="single" w:color="auto" w:sz="4" w:space="0"/>
              <w:left w:val="single" w:color="auto" w:sz="4" w:space="0"/>
              <w:bottom w:val="single" w:color="auto" w:sz="4" w:space="0"/>
              <w:right w:val="single" w:color="auto" w:sz="4" w:space="0"/>
            </w:tcBorders>
            <w:vAlign w:val="center"/>
          </w:tcPr>
          <w:p>
            <w:pPr>
              <w:pStyle w:val="15"/>
              <w:snapToGrid w:val="0"/>
              <w:spacing w:line="400" w:lineRule="exact"/>
              <w:rPr>
                <w:rFonts w:hint="eastAsia" w:hAnsi="宋体" w:cs="宋体"/>
                <w:color w:val="000000"/>
                <w:sz w:val="21"/>
                <w:lang w:val="en-US" w:eastAsia="zh-CN"/>
              </w:rPr>
            </w:pPr>
            <w:r>
              <w:rPr>
                <w:rFonts w:hint="eastAsia" w:hAnsi="宋体" w:cs="宋体"/>
                <w:color w:val="000000"/>
                <w:sz w:val="21"/>
                <w:lang w:val="en-US" w:eastAsia="zh-CN"/>
              </w:rPr>
              <w:t>1.采购代理费支付方式：</w:t>
            </w:r>
          </w:p>
          <w:p>
            <w:pPr>
              <w:pStyle w:val="15"/>
              <w:snapToGrid w:val="0"/>
              <w:spacing w:line="400" w:lineRule="exact"/>
              <w:rPr>
                <w:rFonts w:hint="eastAsia" w:hAnsi="宋体" w:cs="宋体"/>
                <w:color w:val="000000"/>
                <w:sz w:val="21"/>
                <w:lang w:val="en-US" w:eastAsia="zh-CN"/>
              </w:rPr>
            </w:pPr>
            <w:r>
              <w:rPr>
                <w:rFonts w:hint="eastAsia" w:hAnsi="宋体"/>
                <w:color w:val="000000"/>
                <w:sz w:val="21"/>
                <w:bdr w:val="single" w:color="auto" w:sz="4" w:space="0"/>
                <w:lang w:val="en-US" w:eastAsia="zh-CN"/>
              </w:rPr>
              <w:t>√</w:t>
            </w:r>
            <w:r>
              <w:rPr>
                <w:rFonts w:hint="eastAsia" w:hAnsi="宋体" w:cs="宋体"/>
                <w:color w:val="000000"/>
                <w:sz w:val="21"/>
                <w:lang w:val="en-US" w:eastAsia="zh-CN"/>
              </w:rPr>
              <w:t>本项目代理服务费由</w:t>
            </w:r>
            <w:r>
              <w:rPr>
                <w:rFonts w:hint="eastAsia" w:hAnsi="宋体" w:cs="宋体"/>
                <w:color w:val="000000"/>
                <w:sz w:val="21"/>
                <w:u w:val="single"/>
                <w:lang w:val="en-US" w:eastAsia="zh-CN"/>
              </w:rPr>
              <w:t>中标人</w:t>
            </w:r>
            <w:r>
              <w:rPr>
                <w:rFonts w:hint="eastAsia" w:hAnsi="宋体" w:cs="宋体"/>
                <w:color w:val="000000"/>
                <w:sz w:val="21"/>
                <w:lang w:val="en-US" w:eastAsia="zh-CN"/>
              </w:rPr>
              <w:t>在领取中标通知书前，一次性向采购代理机构支付。</w:t>
            </w:r>
          </w:p>
          <w:p>
            <w:pPr>
              <w:pStyle w:val="15"/>
              <w:snapToGrid w:val="0"/>
              <w:spacing w:line="400" w:lineRule="exact"/>
              <w:rPr>
                <w:rFonts w:hint="eastAsia" w:hAnsi="宋体" w:cs="宋体"/>
                <w:color w:val="000000"/>
                <w:sz w:val="21"/>
                <w:lang w:val="en-US" w:eastAsia="zh-CN"/>
              </w:rPr>
            </w:pPr>
            <w:r>
              <w:rPr>
                <w:rFonts w:hint="eastAsia" w:hAnsi="宋体" w:cs="宋体"/>
                <w:color w:val="000000"/>
                <w:sz w:val="21"/>
                <w:lang w:val="en-US" w:eastAsia="zh-CN"/>
              </w:rPr>
              <w:t>□采购人支付。</w:t>
            </w:r>
          </w:p>
          <w:p>
            <w:pPr>
              <w:pStyle w:val="15"/>
              <w:snapToGrid w:val="0"/>
              <w:spacing w:line="400" w:lineRule="exact"/>
              <w:rPr>
                <w:rFonts w:hint="eastAsia" w:hAnsi="宋体" w:cs="宋体"/>
                <w:color w:val="000000"/>
                <w:sz w:val="21"/>
                <w:lang w:val="en-US" w:eastAsia="zh-CN"/>
              </w:rPr>
            </w:pPr>
            <w:r>
              <w:rPr>
                <w:rFonts w:hint="eastAsia" w:hAnsi="宋体" w:cs="宋体"/>
                <w:color w:val="000000"/>
                <w:sz w:val="21"/>
                <w:lang w:val="en-US" w:eastAsia="zh-CN"/>
              </w:rPr>
              <w:t>2.采购代理费收取标准：</w:t>
            </w:r>
          </w:p>
          <w:p>
            <w:pPr>
              <w:pStyle w:val="15"/>
              <w:snapToGrid w:val="0"/>
              <w:spacing w:line="400" w:lineRule="exact"/>
              <w:rPr>
                <w:rFonts w:hint="eastAsia" w:hAnsi="宋体" w:cs="宋体"/>
                <w:color w:val="000000"/>
                <w:sz w:val="21"/>
                <w:lang w:val="en-US" w:eastAsia="zh-CN"/>
              </w:rPr>
            </w:pPr>
            <w:r>
              <w:rPr>
                <w:rFonts w:hint="eastAsia" w:hAnsi="宋体" w:cs="宋体"/>
                <w:color w:val="000000"/>
                <w:sz w:val="21"/>
                <w:lang w:val="en-US" w:eastAsia="zh-CN"/>
              </w:rPr>
              <w:sym w:font="Wingdings 2" w:char="00A3"/>
            </w:r>
            <w:r>
              <w:rPr>
                <w:rFonts w:hint="eastAsia" w:hAnsi="宋体" w:cs="宋体"/>
                <w:color w:val="000000"/>
                <w:sz w:val="21"/>
                <w:lang w:val="en-US" w:eastAsia="zh-CN"/>
              </w:rPr>
              <w:t>以分标（</w:t>
            </w:r>
            <w:r>
              <w:rPr>
                <w:rFonts w:hint="eastAsia" w:hAnsi="宋体" w:cs="宋体"/>
                <w:color w:val="000000"/>
                <w:sz w:val="21"/>
                <w:lang w:val="en-US" w:eastAsia="zh-CN"/>
              </w:rPr>
              <w:sym w:font="Wingdings 2" w:char="00A3"/>
            </w:r>
            <w:r>
              <w:rPr>
                <w:rFonts w:hint="eastAsia" w:hAnsi="宋体" w:cs="宋体"/>
                <w:color w:val="000000"/>
                <w:sz w:val="21"/>
                <w:lang w:val="en-US" w:eastAsia="zh-CN"/>
              </w:rPr>
              <w:t>中标金额/</w:t>
            </w:r>
            <w:r>
              <w:rPr>
                <w:rFonts w:hint="eastAsia" w:hAnsi="宋体" w:cs="宋体"/>
                <w:color w:val="000000"/>
                <w:sz w:val="21"/>
                <w:lang w:val="en-US" w:eastAsia="zh-CN"/>
              </w:rPr>
              <w:sym w:font="Wingdings 2" w:char="00A3"/>
            </w:r>
            <w:r>
              <w:rPr>
                <w:rFonts w:hint="eastAsia" w:hAnsi="宋体" w:cs="宋体"/>
                <w:color w:val="000000"/>
                <w:sz w:val="21"/>
                <w:lang w:val="en-US" w:eastAsia="zh-CN"/>
              </w:rPr>
              <w:t>采购预算/□暂定中标金额/□其他</w:t>
            </w:r>
            <w:r>
              <w:rPr>
                <w:rFonts w:hint="eastAsia" w:hAnsi="宋体" w:cs="宋体"/>
                <w:color w:val="000000"/>
                <w:sz w:val="21"/>
                <w:u w:val="single"/>
                <w:lang w:val="en-US" w:eastAsia="zh-CN"/>
              </w:rPr>
              <w:t xml:space="preserve"> </w:t>
            </w:r>
            <w:r>
              <w:rPr>
                <w:rFonts w:hAnsi="宋体" w:cs="宋体"/>
                <w:color w:val="000000"/>
                <w:sz w:val="21"/>
                <w:u w:val="single"/>
                <w:lang w:val="en-US" w:eastAsia="zh-CN"/>
              </w:rPr>
              <w:t xml:space="preserve">  </w:t>
            </w:r>
            <w:r>
              <w:rPr>
                <w:rFonts w:hint="eastAsia" w:hAnsi="宋体" w:cs="宋体"/>
                <w:color w:val="000000"/>
                <w:sz w:val="21"/>
                <w:lang w:val="en-US" w:eastAsia="zh-CN"/>
              </w:rPr>
              <w:t>）为计费额，按本须知正文第</w:t>
            </w:r>
            <w:r>
              <w:rPr>
                <w:rFonts w:hAnsi="宋体" w:cs="宋体"/>
                <w:color w:val="000000"/>
                <w:sz w:val="21"/>
                <w:lang w:val="en-US" w:eastAsia="zh-CN"/>
              </w:rPr>
              <w:t>39</w:t>
            </w:r>
            <w:r>
              <w:rPr>
                <w:rFonts w:hint="eastAsia" w:hAnsi="宋体" w:cs="宋体"/>
                <w:color w:val="000000"/>
                <w:sz w:val="21"/>
                <w:lang w:val="en-US" w:eastAsia="zh-CN"/>
              </w:rPr>
              <w:t>.</w:t>
            </w:r>
            <w:r>
              <w:rPr>
                <w:rFonts w:hAnsi="宋体" w:cs="宋体"/>
                <w:color w:val="000000"/>
                <w:sz w:val="21"/>
                <w:lang w:val="en-US" w:eastAsia="zh-CN"/>
              </w:rPr>
              <w:t>2</w:t>
            </w:r>
            <w:r>
              <w:rPr>
                <w:rFonts w:hint="eastAsia" w:hAnsi="宋体" w:cs="宋体"/>
                <w:color w:val="000000"/>
                <w:sz w:val="21"/>
                <w:lang w:val="en-US" w:eastAsia="zh-CN"/>
              </w:rPr>
              <w:t>条规定的收费计算标准（</w:t>
            </w:r>
            <w:r>
              <w:rPr>
                <w:rFonts w:hint="eastAsia" w:hAnsi="宋体" w:cs="宋体"/>
                <w:color w:val="000000"/>
                <w:sz w:val="21"/>
                <w:lang w:val="en-US" w:eastAsia="zh-CN"/>
              </w:rPr>
              <w:sym w:font="Wingdings 2" w:char="00A3"/>
            </w:r>
            <w:r>
              <w:rPr>
                <w:rFonts w:hint="eastAsia" w:hAnsi="宋体" w:cs="宋体"/>
                <w:color w:val="000000"/>
                <w:sz w:val="21"/>
                <w:lang w:val="en-US" w:eastAsia="zh-CN"/>
              </w:rPr>
              <w:t>货物招标/□服务招标/□工程招标）采用差额定率累进法计算出收费基准价格，采购代理收费以（□收费基准价格/</w:t>
            </w:r>
            <w:r>
              <w:rPr>
                <w:rFonts w:hint="eastAsia" w:hAnsi="宋体"/>
                <w:color w:val="000000"/>
                <w:sz w:val="21"/>
                <w:bdr w:val="single" w:color="auto" w:sz="4" w:space="0"/>
                <w:lang w:val="en-US" w:eastAsia="zh-CN"/>
              </w:rPr>
              <w:t>√</w:t>
            </w:r>
            <w:r>
              <w:rPr>
                <w:rFonts w:hint="eastAsia" w:hAnsi="宋体" w:cs="宋体"/>
                <w:color w:val="000000"/>
                <w:sz w:val="21"/>
                <w:lang w:val="en-US" w:eastAsia="zh-CN"/>
              </w:rPr>
              <w:t>收费基准价格下浮</w:t>
            </w:r>
            <w:r>
              <w:rPr>
                <w:rFonts w:hint="eastAsia" w:hAnsi="宋体" w:cs="宋体"/>
                <w:color w:val="000000"/>
                <w:sz w:val="21"/>
                <w:u w:val="single"/>
                <w:lang w:val="en-US" w:eastAsia="zh-CN"/>
              </w:rPr>
              <w:t>20%</w:t>
            </w:r>
            <w:r>
              <w:rPr>
                <w:rFonts w:hAnsi="宋体" w:cs="宋体"/>
                <w:color w:val="000000"/>
                <w:sz w:val="21"/>
                <w:lang w:val="en-US" w:eastAsia="zh-CN"/>
              </w:rPr>
              <w:t>/</w:t>
            </w:r>
            <w:r>
              <w:rPr>
                <w:rFonts w:hint="eastAsia" w:hAnsi="宋体" w:cs="宋体"/>
                <w:color w:val="000000"/>
                <w:sz w:val="21"/>
                <w:lang w:val="en-US" w:eastAsia="zh-CN"/>
              </w:rPr>
              <w:t>□收费基准价格上浮</w:t>
            </w:r>
            <w:r>
              <w:rPr>
                <w:rFonts w:hint="eastAsia" w:hAnsi="宋体" w:cs="宋体"/>
                <w:color w:val="000000"/>
                <w:sz w:val="21"/>
                <w:u w:val="single"/>
                <w:lang w:val="en-US" w:eastAsia="zh-CN"/>
              </w:rPr>
              <w:t xml:space="preserve"> </w:t>
            </w:r>
            <w:r>
              <w:rPr>
                <w:rFonts w:hAnsi="宋体" w:cs="宋体"/>
                <w:color w:val="000000"/>
                <w:sz w:val="21"/>
                <w:u w:val="single"/>
                <w:lang w:val="en-US" w:eastAsia="zh-CN"/>
              </w:rPr>
              <w:t xml:space="preserve">  </w:t>
            </w:r>
            <w:r>
              <w:rPr>
                <w:rFonts w:hint="eastAsia" w:hAnsi="宋体" w:cs="宋体"/>
                <w:color w:val="000000"/>
                <w:sz w:val="21"/>
                <w:u w:val="single"/>
                <w:lang w:val="en-US" w:eastAsia="zh-CN"/>
              </w:rPr>
              <w:t>%</w:t>
            </w:r>
            <w:r>
              <w:rPr>
                <w:rFonts w:hint="eastAsia" w:hAnsi="宋体" w:cs="宋体"/>
                <w:color w:val="000000"/>
                <w:sz w:val="21"/>
                <w:lang w:val="en-US" w:eastAsia="zh-CN"/>
              </w:rPr>
              <w:t>）收取。</w:t>
            </w:r>
          </w:p>
          <w:p>
            <w:pPr>
              <w:pStyle w:val="15"/>
              <w:snapToGrid w:val="0"/>
              <w:spacing w:line="400" w:lineRule="exact"/>
              <w:rPr>
                <w:rFonts w:hAnsi="宋体" w:cs="宋体"/>
                <w:color w:val="000000"/>
                <w:sz w:val="21"/>
                <w:u w:val="single"/>
                <w:lang w:val="en-US" w:eastAsia="zh-CN"/>
              </w:rPr>
            </w:pPr>
            <w:r>
              <w:rPr>
                <w:rFonts w:hint="eastAsia" w:hAnsi="宋体" w:cs="宋体"/>
                <w:color w:val="000000"/>
                <w:sz w:val="21"/>
                <w:lang w:val="en-US" w:eastAsia="zh-CN"/>
              </w:rPr>
              <w:sym w:font="Wingdings 2" w:char="0052"/>
            </w:r>
            <w:r>
              <w:rPr>
                <w:rFonts w:hint="eastAsia" w:hAnsi="宋体" w:cs="宋体"/>
                <w:color w:val="000000"/>
                <w:sz w:val="21"/>
                <w:lang w:val="en-US" w:eastAsia="zh-CN"/>
              </w:rPr>
              <w:t>固定采购代理收费</w:t>
            </w:r>
            <w:r>
              <w:rPr>
                <w:rFonts w:hint="eastAsia" w:hAnsi="宋体" w:cs="宋体"/>
                <w:color w:val="000000"/>
                <w:sz w:val="21"/>
                <w:u w:val="single"/>
                <w:lang w:val="en-US" w:eastAsia="zh-CN"/>
              </w:rPr>
              <w:t xml:space="preserve"> 每个分标15000.00元             。</w:t>
            </w:r>
          </w:p>
          <w:p>
            <w:pPr>
              <w:pStyle w:val="15"/>
              <w:snapToGrid w:val="0"/>
              <w:spacing w:line="400" w:lineRule="exact"/>
              <w:rPr>
                <w:rFonts w:hint="eastAsia" w:hAnsi="宋体" w:cs="宋体"/>
                <w:color w:val="000000"/>
                <w:sz w:val="21"/>
                <w:lang w:val="en-US" w:eastAsia="zh-CN"/>
              </w:rPr>
            </w:pPr>
            <w:r>
              <w:rPr>
                <w:rFonts w:hint="eastAsia" w:hAnsi="宋体" w:cs="宋体"/>
                <w:color w:val="000000"/>
                <w:sz w:val="21"/>
                <w:lang w:val="en-US" w:eastAsia="zh-CN"/>
              </w:rPr>
              <w:t>3</w:t>
            </w:r>
            <w:r>
              <w:rPr>
                <w:rFonts w:hAnsi="宋体" w:cs="宋体"/>
                <w:color w:val="000000"/>
                <w:sz w:val="21"/>
                <w:lang w:val="en-US" w:eastAsia="zh-CN"/>
              </w:rPr>
              <w:t>.</w:t>
            </w:r>
            <w:r>
              <w:rPr>
                <w:rFonts w:hint="eastAsia" w:hAnsi="宋体"/>
                <w:color w:val="000000"/>
                <w:sz w:val="21"/>
                <w:lang w:val="en-US" w:eastAsia="zh-CN"/>
              </w:rPr>
              <w:t xml:space="preserve"> </w:t>
            </w:r>
            <w:r>
              <w:rPr>
                <w:rFonts w:hint="eastAsia" w:hAnsi="宋体" w:cs="宋体"/>
                <w:color w:val="000000"/>
                <w:sz w:val="21"/>
                <w:lang w:val="en-US" w:eastAsia="zh-CN"/>
              </w:rPr>
              <w:t>账户信息：</w:t>
            </w:r>
          </w:p>
          <w:p>
            <w:pPr>
              <w:pStyle w:val="15"/>
              <w:snapToGrid w:val="0"/>
              <w:spacing w:line="400" w:lineRule="exact"/>
              <w:rPr>
                <w:rFonts w:hint="eastAsia" w:hAnsi="宋体" w:cs="宋体"/>
                <w:color w:val="000000"/>
                <w:sz w:val="21"/>
                <w:lang w:val="en-US" w:eastAsia="zh-CN"/>
              </w:rPr>
            </w:pPr>
            <w:r>
              <w:rPr>
                <w:rFonts w:hint="eastAsia" w:hAnsi="宋体" w:cs="宋体"/>
                <w:color w:val="000000"/>
                <w:sz w:val="21"/>
                <w:lang w:val="en-US" w:eastAsia="zh-CN"/>
              </w:rPr>
              <w:t>开户银行： 招商银行南宁分行营业部 ，</w:t>
            </w:r>
          </w:p>
          <w:p>
            <w:pPr>
              <w:pStyle w:val="15"/>
              <w:snapToGrid w:val="0"/>
              <w:spacing w:line="400" w:lineRule="exact"/>
              <w:rPr>
                <w:rFonts w:hint="eastAsia" w:hAnsi="宋体" w:cs="宋体"/>
                <w:color w:val="000000"/>
                <w:sz w:val="21"/>
                <w:lang w:val="en-US" w:eastAsia="zh-CN"/>
              </w:rPr>
            </w:pPr>
            <w:r>
              <w:rPr>
                <w:rFonts w:hint="eastAsia" w:hAnsi="宋体" w:cs="宋体"/>
                <w:color w:val="000000"/>
                <w:sz w:val="21"/>
                <w:lang w:val="en-US" w:eastAsia="zh-CN"/>
              </w:rPr>
              <w:t>开户名称： 广西建设工程机电设备招标中心有限公司，</w:t>
            </w:r>
          </w:p>
          <w:p>
            <w:pPr>
              <w:pStyle w:val="15"/>
              <w:snapToGrid w:val="0"/>
              <w:spacing w:line="400" w:lineRule="exact"/>
              <w:rPr>
                <w:rFonts w:hint="eastAsia" w:hAnsi="宋体" w:cs="宋体"/>
                <w:color w:val="000000"/>
                <w:sz w:val="21"/>
                <w:lang w:val="en-US" w:eastAsia="zh-CN"/>
              </w:rPr>
            </w:pPr>
            <w:r>
              <w:rPr>
                <w:rFonts w:hint="eastAsia" w:hAnsi="宋体" w:cs="宋体"/>
                <w:color w:val="000000"/>
                <w:sz w:val="21"/>
                <w:lang w:val="en-US" w:eastAsia="zh-CN"/>
              </w:rPr>
              <w:t xml:space="preserve">银行账号：  7719 0142 3310 201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color w:val="000000"/>
                <w:szCs w:val="21"/>
              </w:rPr>
            </w:pPr>
            <w:r>
              <w:rPr>
                <w:rFonts w:ascii="宋体" w:hAnsi="宋体"/>
                <w:color w:val="000000"/>
                <w:szCs w:val="21"/>
              </w:rPr>
              <w:t>40.1</w:t>
            </w:r>
          </w:p>
        </w:tc>
        <w:tc>
          <w:tcPr>
            <w:tcW w:w="765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宋体" w:hAnsi="宋体"/>
                <w:color w:val="000000"/>
                <w:szCs w:val="21"/>
              </w:rPr>
            </w:pPr>
            <w:r>
              <w:rPr>
                <w:rFonts w:hint="eastAsia" w:ascii="宋体" w:hAnsi="宋体"/>
                <w:color w:val="000000"/>
                <w:szCs w:val="21"/>
              </w:rPr>
              <w:t>解释：</w:t>
            </w:r>
            <w:r>
              <w:rPr>
                <w:rFonts w:ascii="宋体" w:hAnsi="宋体"/>
                <w:color w:val="000000"/>
                <w:szCs w:val="21"/>
              </w:rPr>
              <w:t>构成本招标文件的各个组成文件应互为解释，互为说明；除招标文件中有特别规定外，仅适用于招标投标阶段的规定，按</w:t>
            </w:r>
            <w:r>
              <w:rPr>
                <w:rFonts w:hint="eastAsia" w:ascii="宋体" w:hAnsi="宋体"/>
                <w:color w:val="000000"/>
                <w:szCs w:val="21"/>
              </w:rPr>
              <w:t>更正公告（澄清公告）</w:t>
            </w:r>
            <w:r>
              <w:rPr>
                <w:rFonts w:ascii="宋体" w:hAnsi="宋体"/>
                <w:color w:val="000000"/>
                <w:szCs w:val="21"/>
              </w:rPr>
              <w:t>、招标公告、</w:t>
            </w:r>
            <w:r>
              <w:rPr>
                <w:rFonts w:hint="eastAsia" w:ascii="宋体" w:hAnsi="宋体"/>
                <w:color w:val="000000"/>
                <w:szCs w:val="21"/>
              </w:rPr>
              <w:t>采购需求、</w:t>
            </w:r>
            <w:r>
              <w:rPr>
                <w:rFonts w:ascii="宋体" w:hAnsi="宋体"/>
                <w:color w:val="000000"/>
                <w:szCs w:val="21"/>
              </w:rPr>
              <w:t>投标人须知、</w:t>
            </w:r>
            <w:r>
              <w:rPr>
                <w:rFonts w:hint="eastAsia" w:ascii="宋体" w:hAnsi="宋体"/>
                <w:color w:val="000000"/>
                <w:szCs w:val="21"/>
              </w:rPr>
              <w:t>评标方法及评标标准</w:t>
            </w:r>
            <w:r>
              <w:rPr>
                <w:rFonts w:ascii="宋体" w:hAnsi="宋体"/>
                <w:color w:val="000000"/>
                <w:szCs w:val="21"/>
              </w:rPr>
              <w:t>、</w:t>
            </w:r>
            <w:r>
              <w:rPr>
                <w:rFonts w:hint="eastAsia" w:ascii="宋体" w:hAnsi="宋体"/>
                <w:color w:val="000000"/>
                <w:szCs w:val="21"/>
              </w:rPr>
              <w:t>拟签订的合同文本、</w:t>
            </w:r>
            <w:r>
              <w:rPr>
                <w:rFonts w:ascii="宋体" w:hAnsi="宋体"/>
                <w:color w:val="000000"/>
                <w:szCs w:val="21"/>
              </w:rPr>
              <w:t>投标文件格式的先后顺序解释；同一组成文件中就同一事项的规定或者约定不一致的，以编排顺序在后者为准；同一组成文件不同版本之间有不一致的，以形成时间在后者为准；</w:t>
            </w:r>
            <w:r>
              <w:rPr>
                <w:rFonts w:hint="eastAsia" w:ascii="宋体" w:hAnsi="宋体"/>
                <w:color w:val="000000"/>
                <w:szCs w:val="21"/>
              </w:rPr>
              <w:t>更正公告（澄清公告）</w:t>
            </w:r>
            <w:r>
              <w:rPr>
                <w:rFonts w:ascii="宋体" w:hAnsi="宋体"/>
                <w:color w:val="000000"/>
                <w:szCs w:val="21"/>
              </w:rPr>
              <w:t>与同步更新的招标文件不一致时以</w:t>
            </w:r>
            <w:r>
              <w:rPr>
                <w:rFonts w:hint="eastAsia" w:ascii="宋体" w:hAnsi="宋体"/>
                <w:color w:val="000000"/>
                <w:szCs w:val="21"/>
              </w:rPr>
              <w:t>更正公告（澄清公告）</w:t>
            </w:r>
            <w:r>
              <w:rPr>
                <w:rFonts w:ascii="宋体" w:hAnsi="宋体"/>
                <w:color w:val="000000"/>
                <w:szCs w:val="21"/>
              </w:rPr>
              <w:t>为准。按本款前述规定仍不能形成结论的，由</w:t>
            </w:r>
            <w:r>
              <w:rPr>
                <w:rFonts w:hint="eastAsia" w:ascii="宋体" w:hAnsi="宋体"/>
                <w:color w:val="000000"/>
                <w:szCs w:val="21"/>
              </w:rPr>
              <w:t>采购</w:t>
            </w:r>
            <w:r>
              <w:rPr>
                <w:rFonts w:ascii="宋体" w:hAnsi="宋体"/>
                <w:color w:val="000000"/>
                <w:szCs w:val="21"/>
              </w:rPr>
              <w:t>人</w:t>
            </w:r>
            <w:r>
              <w:rPr>
                <w:rFonts w:hint="eastAsia" w:ascii="宋体" w:hAnsi="宋体"/>
                <w:color w:val="000000"/>
                <w:szCs w:val="21"/>
              </w:rPr>
              <w:t>或者采购代理机构</w:t>
            </w:r>
            <w:r>
              <w:rPr>
                <w:rFonts w:ascii="宋体" w:hAnsi="宋体"/>
                <w:color w:val="000000"/>
                <w:szCs w:val="21"/>
              </w:rPr>
              <w:t>负责解释。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color w:val="000000"/>
                <w:szCs w:val="21"/>
              </w:rPr>
            </w:pPr>
            <w:r>
              <w:rPr>
                <w:rFonts w:ascii="宋体" w:hAnsi="宋体"/>
                <w:color w:val="000000"/>
                <w:szCs w:val="21"/>
              </w:rPr>
              <w:t>40.2</w:t>
            </w:r>
          </w:p>
        </w:tc>
        <w:tc>
          <w:tcPr>
            <w:tcW w:w="7654" w:type="dxa"/>
            <w:tcBorders>
              <w:top w:val="single" w:color="auto" w:sz="4" w:space="0"/>
              <w:left w:val="single" w:color="auto" w:sz="4" w:space="0"/>
              <w:bottom w:val="single" w:color="auto" w:sz="4" w:space="0"/>
              <w:right w:val="single" w:color="auto" w:sz="4" w:space="0"/>
            </w:tcBorders>
            <w:vAlign w:val="center"/>
          </w:tcPr>
          <w:p>
            <w:pPr>
              <w:pStyle w:val="15"/>
              <w:snapToGrid w:val="0"/>
              <w:spacing w:line="400" w:lineRule="exact"/>
              <w:rPr>
                <w:rFonts w:hint="eastAsia" w:hAnsi="宋体" w:cs="宋体"/>
                <w:bCs/>
                <w:color w:val="000000"/>
                <w:sz w:val="21"/>
                <w:lang w:val="en-US" w:eastAsia="zh-CN"/>
              </w:rPr>
            </w:pPr>
            <w:r>
              <w:rPr>
                <w:rFonts w:hint="eastAsia" w:hAnsi="宋体" w:cs="宋体"/>
                <w:bCs/>
                <w:color w:val="000000"/>
                <w:sz w:val="21"/>
                <w:lang w:val="en-US" w:eastAsia="zh-CN"/>
              </w:rPr>
              <w:t>1.本招标文件中描述投标人的“公章”是指根据我国对公章的管理规定，用投标人法定主体行为名称制作的印章，除本招标文件有特殊规定外，投标人的财务章、部门章、分公司章、工会章、合同章、投标专用章、业务专用章及银行的转账章、现金收讫章、现金付讫章等其他形式印章均不能代替公章。</w:t>
            </w:r>
          </w:p>
          <w:p>
            <w:pPr>
              <w:pStyle w:val="15"/>
              <w:snapToGrid w:val="0"/>
              <w:spacing w:line="400" w:lineRule="exact"/>
              <w:rPr>
                <w:rFonts w:hint="eastAsia" w:hAnsi="宋体" w:cs="宋体"/>
                <w:bCs/>
                <w:color w:val="000000"/>
                <w:sz w:val="21"/>
                <w:lang w:val="en-US" w:eastAsia="zh-CN"/>
              </w:rPr>
            </w:pPr>
            <w:r>
              <w:rPr>
                <w:rFonts w:hint="eastAsia" w:hAnsi="宋体" w:cs="宋体"/>
                <w:bCs/>
                <w:color w:val="000000"/>
                <w:sz w:val="21"/>
                <w:lang w:val="en-US" w:eastAsia="zh-CN"/>
              </w:rPr>
              <w:t>2.本招标文件所称的“</w:t>
            </w:r>
            <w:r>
              <w:rPr>
                <w:rFonts w:hint="eastAsia" w:hAnsi="宋体"/>
                <w:color w:val="000000"/>
                <w:sz w:val="21"/>
                <w:lang w:val="en-US" w:eastAsia="zh-CN"/>
              </w:rPr>
              <w:t>电子签章</w:t>
            </w:r>
            <w:r>
              <w:rPr>
                <w:rFonts w:hint="eastAsia" w:hAnsi="宋体" w:cs="宋体"/>
                <w:bCs/>
                <w:color w:val="000000"/>
                <w:sz w:val="21"/>
                <w:lang w:val="en-US" w:eastAsia="zh-CN"/>
              </w:rPr>
              <w:t>”“电子签名”</w:t>
            </w:r>
            <w:r>
              <w:rPr>
                <w:rFonts w:hint="eastAsia" w:hAnsi="宋体"/>
                <w:color w:val="000000"/>
                <w:sz w:val="21"/>
                <w:lang w:val="en-US" w:eastAsia="zh-CN"/>
              </w:rPr>
              <w:t>，是指经“政采云”平台认可的CA认证的电子签名数据为表现形式的印章，可用于签署电子投标文件，电子印章与实物印章具有同等法律效力，不因其采用电子化表现形式而否定其法律效力。</w:t>
            </w:r>
          </w:p>
          <w:p>
            <w:pPr>
              <w:pStyle w:val="15"/>
              <w:snapToGrid w:val="0"/>
              <w:spacing w:line="400" w:lineRule="exact"/>
              <w:rPr>
                <w:rFonts w:hint="eastAsia" w:hAnsi="宋体" w:cs="宋体"/>
                <w:bCs/>
                <w:color w:val="000000"/>
                <w:sz w:val="21"/>
                <w:lang w:val="en-US" w:eastAsia="zh-CN"/>
              </w:rPr>
            </w:pPr>
            <w:r>
              <w:rPr>
                <w:rFonts w:hint="eastAsia" w:hAnsi="宋体" w:cs="宋体"/>
                <w:bCs/>
                <w:color w:val="000000"/>
                <w:sz w:val="21"/>
                <w:lang w:val="en-US" w:eastAsia="zh-CN"/>
              </w:rPr>
              <w:t>3.投标人为其他组织或者自然人时，本招标文件规定的法定代表人指负责人或者自然人。本招标文件所称负责人是指参加投标的其他组织营业执照或者执业许可证等证照上的负责人，本招标文件所称自然人指参与投标的自然人本人，且应具备独立承担民事责任能力，自然人应当为年满18岁以上成年人（十六周岁以上的未成年人，以自己的劳动收入为主要生活来源的，视为完全民事行为能力人）。</w:t>
            </w:r>
          </w:p>
          <w:p>
            <w:pPr>
              <w:pStyle w:val="15"/>
              <w:snapToGrid w:val="0"/>
              <w:spacing w:line="400" w:lineRule="exact"/>
              <w:rPr>
                <w:rFonts w:hint="eastAsia" w:hAnsi="宋体" w:cs="宋体"/>
                <w:bCs/>
                <w:color w:val="000000"/>
                <w:sz w:val="21"/>
                <w:lang w:val="en-US" w:eastAsia="zh-CN"/>
              </w:rPr>
            </w:pPr>
            <w:r>
              <w:rPr>
                <w:rFonts w:hint="eastAsia" w:hAnsi="宋体" w:cs="宋体"/>
                <w:bCs/>
                <w:color w:val="000000"/>
                <w:sz w:val="21"/>
                <w:lang w:val="en-US" w:eastAsia="zh-CN"/>
              </w:rPr>
              <w:t>4.本招标文件中描述投标人的“签字”是指投标人的法定代表人或者委托代理人亲自在文件规定签字处亲笔写上个人的名字的行为，私章、签字章、印鉴、影印等其他形式均不能代替亲笔签字。</w:t>
            </w:r>
          </w:p>
          <w:p>
            <w:pPr>
              <w:pStyle w:val="15"/>
              <w:snapToGrid w:val="0"/>
              <w:spacing w:line="400" w:lineRule="exact"/>
              <w:rPr>
                <w:rFonts w:hint="eastAsia" w:hAnsi="宋体"/>
                <w:color w:val="000000"/>
                <w:sz w:val="21"/>
                <w:lang w:val="en-US" w:eastAsia="zh-CN"/>
              </w:rPr>
            </w:pPr>
            <w:r>
              <w:rPr>
                <w:rFonts w:hint="eastAsia" w:hAnsi="宋体" w:cs="宋体"/>
                <w:bCs/>
                <w:color w:val="000000"/>
                <w:sz w:val="21"/>
                <w:lang w:val="en-US" w:eastAsia="zh-CN"/>
              </w:rPr>
              <w:t>5.本招标文件所称的“以上”“以下”“以内”“届满”，包括本数；所称的“不满”“超过”“以外”，不包括本数。</w:t>
            </w:r>
          </w:p>
        </w:tc>
      </w:tr>
    </w:tbl>
    <w:p>
      <w:pPr>
        <w:snapToGrid w:val="0"/>
        <w:rPr>
          <w:rFonts w:hint="eastAsia" w:ascii="宋体" w:hAnsi="宋体"/>
          <w:color w:val="000000"/>
          <w:sz w:val="24"/>
          <w:szCs w:val="20"/>
        </w:rPr>
      </w:pPr>
    </w:p>
    <w:p>
      <w:pPr>
        <w:snapToGrid w:val="0"/>
        <w:rPr>
          <w:rFonts w:hint="eastAsia" w:ascii="宋体" w:hAnsi="宋体"/>
          <w:color w:val="000000"/>
          <w:sz w:val="24"/>
          <w:szCs w:val="20"/>
        </w:rPr>
      </w:pPr>
    </w:p>
    <w:p>
      <w:pPr>
        <w:pStyle w:val="7"/>
        <w:keepNext w:val="0"/>
        <w:keepLines w:val="0"/>
        <w:jc w:val="center"/>
        <w:rPr>
          <w:rFonts w:hint="eastAsia"/>
          <w:color w:val="000000"/>
        </w:rPr>
      </w:pPr>
      <w:r>
        <w:rPr>
          <w:color w:val="000000"/>
        </w:rPr>
        <w:br w:type="page"/>
      </w:r>
      <w:r>
        <w:rPr>
          <w:rFonts w:hint="eastAsia"/>
          <w:color w:val="000000"/>
        </w:rPr>
        <w:t>投标人须知正文</w:t>
      </w:r>
    </w:p>
    <w:p>
      <w:pPr>
        <w:pStyle w:val="7"/>
        <w:keepNext w:val="0"/>
        <w:keepLines w:val="0"/>
        <w:jc w:val="center"/>
        <w:rPr>
          <w:rFonts w:hint="eastAsia"/>
          <w:color w:val="000000"/>
        </w:rPr>
      </w:pPr>
      <w:r>
        <w:rPr>
          <w:rFonts w:hint="eastAsia"/>
          <w:color w:val="000000"/>
        </w:rPr>
        <w:t>一、总  则</w:t>
      </w:r>
    </w:p>
    <w:p>
      <w:pPr>
        <w:pStyle w:val="9"/>
        <w:keepNext w:val="0"/>
        <w:keepLines w:val="0"/>
        <w:spacing w:before="0" w:after="0" w:line="360" w:lineRule="auto"/>
        <w:ind w:left="420" w:leftChars="200"/>
        <w:rPr>
          <w:rFonts w:hint="eastAsia" w:ascii="黑体" w:hAnsi="黑体" w:eastAsia="黑体"/>
          <w:color w:val="000000"/>
          <w:sz w:val="24"/>
        </w:rPr>
      </w:pPr>
      <w:bookmarkStart w:id="81" w:name="_Toc254970668"/>
      <w:bookmarkStart w:id="82" w:name="_Toc254970527"/>
      <w:r>
        <w:rPr>
          <w:rFonts w:hint="eastAsia" w:ascii="黑体" w:hAnsi="黑体" w:eastAsia="黑体"/>
          <w:color w:val="000000"/>
          <w:sz w:val="24"/>
        </w:rPr>
        <w:t>1.适用范围</w:t>
      </w:r>
      <w:bookmarkEnd w:id="81"/>
      <w:bookmarkEnd w:id="82"/>
    </w:p>
    <w:p>
      <w:pPr>
        <w:snapToGrid w:val="0"/>
        <w:spacing w:line="360" w:lineRule="auto"/>
        <w:ind w:firstLine="420" w:firstLineChars="200"/>
        <w:jc w:val="left"/>
        <w:rPr>
          <w:rFonts w:hint="eastAsia" w:ascii="宋体" w:hAnsi="宋体"/>
          <w:color w:val="000000"/>
          <w:szCs w:val="21"/>
        </w:rPr>
      </w:pPr>
      <w:r>
        <w:rPr>
          <w:rFonts w:hint="eastAsia" w:ascii="宋体" w:hAnsi="宋体"/>
          <w:color w:val="000000"/>
          <w:szCs w:val="21"/>
        </w:rPr>
        <w:t>1.1适用法律：本项目采购人、采购代理机构、投标人、评标委员会的相关行为均受《中华人民共和国政府采购法》、《中华人民共和国政府采购法实施条例》、《政府采购货物和服务招标投标管理办法》及本项目本级和上级财政部门政府采购有关规定的约束和保护。</w:t>
      </w:r>
    </w:p>
    <w:p>
      <w:pPr>
        <w:snapToGrid w:val="0"/>
        <w:spacing w:line="360" w:lineRule="auto"/>
        <w:ind w:firstLine="420" w:firstLineChars="200"/>
        <w:jc w:val="left"/>
        <w:rPr>
          <w:rFonts w:ascii="宋体" w:hAnsi="宋体" w:cs="宋体"/>
          <w:color w:val="000000"/>
          <w:spacing w:val="-6"/>
          <w:szCs w:val="21"/>
        </w:rPr>
      </w:pPr>
      <w:r>
        <w:rPr>
          <w:rFonts w:hint="eastAsia" w:ascii="宋体" w:hAnsi="宋体"/>
          <w:color w:val="000000"/>
          <w:szCs w:val="21"/>
        </w:rPr>
        <w:t>1.2本招标文件</w:t>
      </w:r>
      <w:r>
        <w:rPr>
          <w:rFonts w:hint="eastAsia" w:ascii="宋体" w:hAnsi="宋体" w:cs="宋体"/>
          <w:color w:val="000000"/>
          <w:spacing w:val="-6"/>
          <w:szCs w:val="21"/>
        </w:rPr>
        <w:t>适用于本项目的所有采购程序和环节（法律、法规另有规定的，从其规定）。</w:t>
      </w:r>
    </w:p>
    <w:p>
      <w:pPr>
        <w:pStyle w:val="9"/>
        <w:keepNext w:val="0"/>
        <w:keepLines w:val="0"/>
        <w:spacing w:before="0" w:after="0" w:line="360" w:lineRule="auto"/>
        <w:ind w:left="420" w:leftChars="200"/>
        <w:rPr>
          <w:rFonts w:hint="eastAsia" w:ascii="黑体" w:hAnsi="黑体" w:eastAsia="黑体"/>
          <w:color w:val="000000"/>
          <w:sz w:val="24"/>
        </w:rPr>
      </w:pPr>
      <w:bookmarkStart w:id="83" w:name="_Toc254970669"/>
      <w:bookmarkStart w:id="84" w:name="_Toc254970528"/>
      <w:r>
        <w:rPr>
          <w:rFonts w:hint="eastAsia" w:ascii="黑体" w:hAnsi="黑体" w:eastAsia="黑体"/>
          <w:color w:val="000000"/>
          <w:sz w:val="24"/>
        </w:rPr>
        <w:t>2.定义</w:t>
      </w:r>
      <w:bookmarkEnd w:id="83"/>
      <w:bookmarkEnd w:id="84"/>
    </w:p>
    <w:p>
      <w:pPr>
        <w:pStyle w:val="9"/>
        <w:keepNext w:val="0"/>
        <w:keepLines w:val="0"/>
        <w:spacing w:before="0" w:after="0" w:line="360" w:lineRule="auto"/>
        <w:ind w:left="420" w:leftChars="200"/>
        <w:rPr>
          <w:rFonts w:hint="eastAsia" w:ascii="宋体" w:hAnsi="宋体"/>
          <w:b w:val="0"/>
          <w:color w:val="000000"/>
          <w:sz w:val="21"/>
          <w:szCs w:val="21"/>
        </w:rPr>
      </w:pPr>
      <w:r>
        <w:rPr>
          <w:rFonts w:hint="eastAsia" w:ascii="宋体" w:hAnsi="宋体"/>
          <w:b w:val="0"/>
          <w:color w:val="000000"/>
          <w:sz w:val="21"/>
          <w:szCs w:val="21"/>
        </w:rPr>
        <w:t>2.1“采购人”是指依法进行政府采购的国家机关、事业单位、团体组织。</w:t>
      </w:r>
    </w:p>
    <w:p>
      <w:pPr>
        <w:pStyle w:val="9"/>
        <w:keepNext w:val="0"/>
        <w:keepLines w:val="0"/>
        <w:spacing w:before="0" w:after="0" w:line="360" w:lineRule="auto"/>
        <w:ind w:left="420" w:leftChars="200"/>
        <w:rPr>
          <w:rFonts w:hint="eastAsia" w:ascii="宋体" w:hAnsi="宋体"/>
          <w:b w:val="0"/>
          <w:color w:val="000000"/>
          <w:sz w:val="21"/>
          <w:szCs w:val="21"/>
        </w:rPr>
      </w:pPr>
      <w:r>
        <w:rPr>
          <w:rFonts w:hint="eastAsia" w:ascii="宋体" w:hAnsi="宋体"/>
          <w:b w:val="0"/>
          <w:color w:val="000000"/>
          <w:sz w:val="21"/>
          <w:szCs w:val="21"/>
        </w:rPr>
        <w:t>2.2“采购代理机构”是指政府采购集中采购机构和集中采购机构以外的采购代理机构。</w:t>
      </w:r>
    </w:p>
    <w:p>
      <w:pPr>
        <w:pStyle w:val="9"/>
        <w:keepNext w:val="0"/>
        <w:keepLines w:val="0"/>
        <w:spacing w:before="0" w:after="0" w:line="360" w:lineRule="auto"/>
        <w:ind w:left="420" w:leftChars="200"/>
        <w:rPr>
          <w:rFonts w:hint="eastAsia" w:ascii="宋体" w:hAnsi="宋体"/>
          <w:b w:val="0"/>
          <w:color w:val="000000"/>
          <w:sz w:val="21"/>
          <w:szCs w:val="21"/>
        </w:rPr>
      </w:pPr>
      <w:r>
        <w:rPr>
          <w:rFonts w:hint="eastAsia" w:ascii="宋体" w:hAnsi="宋体"/>
          <w:b w:val="0"/>
          <w:color w:val="000000"/>
          <w:sz w:val="21"/>
          <w:szCs w:val="21"/>
        </w:rPr>
        <w:t>2.3“供应商”是指向采购人提供货物、工程或者服务的法人、其他组织或者自然人。</w:t>
      </w:r>
    </w:p>
    <w:p>
      <w:pPr>
        <w:pStyle w:val="10"/>
        <w:spacing w:line="360" w:lineRule="auto"/>
        <w:rPr>
          <w:rFonts w:hint="eastAsia" w:ascii="宋体" w:hAnsi="宋体"/>
          <w:color w:val="000000"/>
          <w:szCs w:val="21"/>
        </w:rPr>
      </w:pPr>
      <w:r>
        <w:rPr>
          <w:rFonts w:hint="eastAsia" w:ascii="宋体" w:hAnsi="宋体"/>
          <w:color w:val="000000"/>
          <w:szCs w:val="21"/>
        </w:rPr>
        <w:t>2.4“投标人”是指响应招标、参加投标竞争的法人、其他组织或者自然人。</w:t>
      </w:r>
    </w:p>
    <w:p>
      <w:pPr>
        <w:pStyle w:val="9"/>
        <w:keepNext w:val="0"/>
        <w:keepLines w:val="0"/>
        <w:spacing w:before="0" w:after="0" w:line="360" w:lineRule="auto"/>
        <w:ind w:firstLine="420" w:firstLineChars="200"/>
        <w:rPr>
          <w:rFonts w:hint="eastAsia" w:ascii="宋体" w:hAnsi="宋体"/>
          <w:b w:val="0"/>
          <w:color w:val="000000"/>
          <w:sz w:val="21"/>
          <w:szCs w:val="21"/>
        </w:rPr>
      </w:pPr>
      <w:r>
        <w:rPr>
          <w:rFonts w:hint="eastAsia" w:ascii="宋体" w:hAnsi="宋体"/>
          <w:b w:val="0"/>
          <w:color w:val="000000"/>
          <w:sz w:val="21"/>
          <w:szCs w:val="21"/>
        </w:rPr>
        <w:t>2.5“货物”是指各种形态和种类的物品，包括原材料、燃料、设备、产品等。</w:t>
      </w:r>
    </w:p>
    <w:p>
      <w:pPr>
        <w:pStyle w:val="9"/>
        <w:keepNext w:val="0"/>
        <w:keepLines w:val="0"/>
        <w:spacing w:before="0" w:after="0" w:line="360" w:lineRule="auto"/>
        <w:ind w:firstLine="420" w:firstLineChars="200"/>
        <w:rPr>
          <w:rFonts w:hint="eastAsia" w:ascii="宋体" w:hAnsi="宋体"/>
          <w:b w:val="0"/>
          <w:color w:val="000000"/>
          <w:sz w:val="21"/>
          <w:szCs w:val="21"/>
        </w:rPr>
      </w:pPr>
      <w:r>
        <w:rPr>
          <w:rFonts w:hint="eastAsia" w:ascii="宋体" w:hAnsi="宋体"/>
          <w:b w:val="0"/>
          <w:color w:val="000000"/>
          <w:sz w:val="21"/>
          <w:szCs w:val="21"/>
        </w:rPr>
        <w:t>2.6“售后服务” 是指商品出售以后所提供的各种服务，包含但不限于投标人须承担的备品备件、包装、运输、装卸、保险、货到就位以及安装、调试、培训、保修以及其他各种服务。</w:t>
      </w:r>
    </w:p>
    <w:p>
      <w:pPr>
        <w:pStyle w:val="9"/>
        <w:keepNext w:val="0"/>
        <w:keepLines w:val="0"/>
        <w:spacing w:before="0" w:after="0" w:line="360" w:lineRule="auto"/>
        <w:rPr>
          <w:rFonts w:hint="eastAsia" w:ascii="宋体" w:hAnsi="宋体"/>
          <w:b w:val="0"/>
          <w:color w:val="000000"/>
          <w:sz w:val="21"/>
          <w:szCs w:val="21"/>
        </w:rPr>
      </w:pPr>
      <w:r>
        <w:rPr>
          <w:rFonts w:hint="eastAsia" w:ascii="宋体" w:hAnsi="宋体"/>
          <w:b w:val="0"/>
          <w:color w:val="000000"/>
          <w:sz w:val="21"/>
          <w:szCs w:val="21"/>
        </w:rPr>
        <w:t xml:space="preserve">    2.7“书面形式”是指合同书、信件和数据电文（包括电报、电传、传真、电子数据交换和电子邮件）等可以有形地表现所载内容的形式。</w:t>
      </w:r>
    </w:p>
    <w:p>
      <w:pPr>
        <w:pStyle w:val="9"/>
        <w:keepNext w:val="0"/>
        <w:keepLines w:val="0"/>
        <w:spacing w:before="0" w:after="0" w:line="360" w:lineRule="auto"/>
        <w:ind w:firstLine="420" w:firstLineChars="200"/>
        <w:rPr>
          <w:rFonts w:hint="eastAsia" w:ascii="宋体" w:hAnsi="宋体"/>
          <w:b w:val="0"/>
          <w:color w:val="000000"/>
          <w:sz w:val="21"/>
          <w:szCs w:val="21"/>
        </w:rPr>
      </w:pPr>
      <w:r>
        <w:rPr>
          <w:rFonts w:hint="eastAsia" w:ascii="宋体" w:hAnsi="宋体"/>
          <w:b w:val="0"/>
          <w:color w:val="000000"/>
          <w:sz w:val="21"/>
          <w:szCs w:val="21"/>
        </w:rPr>
        <w:t>2.8“实质性要求”是指招标文件中已经指明不满足则投标无效的条款，或者不能负偏离的条款，或者采购需求中带“▲”的条款。</w:t>
      </w:r>
    </w:p>
    <w:p>
      <w:pPr>
        <w:snapToGrid w:val="0"/>
        <w:spacing w:line="360" w:lineRule="auto"/>
        <w:ind w:firstLine="420" w:firstLineChars="200"/>
        <w:jc w:val="left"/>
        <w:rPr>
          <w:rFonts w:ascii="宋体" w:hAnsi="宋体" w:cs="宋体"/>
          <w:color w:val="000000"/>
          <w:szCs w:val="21"/>
        </w:rPr>
      </w:pPr>
      <w:r>
        <w:rPr>
          <w:rFonts w:hint="eastAsia" w:ascii="宋体" w:hAnsi="宋体"/>
          <w:color w:val="000000"/>
          <w:szCs w:val="21"/>
        </w:rPr>
        <w:t xml:space="preserve">2.9 </w:t>
      </w:r>
      <w:r>
        <w:rPr>
          <w:rFonts w:hint="eastAsia" w:ascii="宋体" w:hAnsi="宋体" w:cs="宋体"/>
          <w:color w:val="000000"/>
          <w:szCs w:val="21"/>
        </w:rPr>
        <w:t>“正偏离”，是指投标文件对招标文件“采购需求”中有关条款作出的响应优于条款要求并有利于采购人的情形。</w:t>
      </w:r>
    </w:p>
    <w:p>
      <w:pPr>
        <w:snapToGrid w:val="0"/>
        <w:spacing w:line="360" w:lineRule="auto"/>
        <w:ind w:firstLine="420" w:firstLineChars="200"/>
        <w:jc w:val="left"/>
        <w:rPr>
          <w:rFonts w:ascii="宋体" w:hAnsi="宋体" w:cs="宋体"/>
          <w:color w:val="000000"/>
          <w:szCs w:val="21"/>
        </w:rPr>
      </w:pPr>
      <w:r>
        <w:rPr>
          <w:rFonts w:ascii="宋体" w:hAnsi="宋体" w:cs="宋体"/>
          <w:color w:val="000000"/>
          <w:szCs w:val="21"/>
        </w:rPr>
        <w:t>2.10</w:t>
      </w:r>
      <w:r>
        <w:rPr>
          <w:rFonts w:hint="eastAsia" w:ascii="宋体" w:hAnsi="宋体" w:cs="宋体"/>
          <w:color w:val="000000"/>
          <w:szCs w:val="21"/>
        </w:rPr>
        <w:t>“负偏离”，是指投标文件对招标文件“采购需求”中有关条款作出的响应不满足条款要求，导致采购人要求不能得到满足的情形。</w:t>
      </w:r>
    </w:p>
    <w:p>
      <w:pPr>
        <w:snapToGrid w:val="0"/>
        <w:spacing w:line="360" w:lineRule="auto"/>
        <w:ind w:firstLine="420" w:firstLineChars="200"/>
        <w:jc w:val="left"/>
        <w:rPr>
          <w:rFonts w:ascii="宋体" w:hAnsi="宋体" w:cs="宋体"/>
          <w:color w:val="000000"/>
          <w:szCs w:val="21"/>
        </w:rPr>
      </w:pPr>
      <w:r>
        <w:rPr>
          <w:rFonts w:hint="eastAsia" w:ascii="宋体" w:hAnsi="宋体"/>
          <w:color w:val="000000"/>
          <w:szCs w:val="21"/>
        </w:rPr>
        <w:t>2.1</w:t>
      </w:r>
      <w:r>
        <w:rPr>
          <w:rFonts w:ascii="宋体" w:hAnsi="宋体"/>
          <w:color w:val="000000"/>
          <w:szCs w:val="21"/>
        </w:rPr>
        <w:t>1</w:t>
      </w:r>
      <w:r>
        <w:rPr>
          <w:rFonts w:hint="eastAsia" w:ascii="宋体" w:hAnsi="宋体" w:cs="宋体"/>
          <w:color w:val="000000"/>
          <w:szCs w:val="21"/>
        </w:rPr>
        <w:t>“允许负偏离的条款”是指采购需求中的不属于“实质性要求”的条款。</w:t>
      </w:r>
      <w:bookmarkStart w:id="85" w:name="_Toc254970529"/>
      <w:bookmarkStart w:id="86" w:name="_Toc254970670"/>
    </w:p>
    <w:p>
      <w:pPr>
        <w:pStyle w:val="9"/>
        <w:keepNext w:val="0"/>
        <w:keepLines w:val="0"/>
        <w:spacing w:before="0" w:after="0" w:line="360" w:lineRule="auto"/>
        <w:ind w:left="420" w:leftChars="200"/>
        <w:rPr>
          <w:rFonts w:hint="eastAsia" w:ascii="黑体" w:hAnsi="黑体" w:eastAsia="黑体"/>
          <w:color w:val="000000"/>
          <w:sz w:val="24"/>
        </w:rPr>
      </w:pPr>
      <w:r>
        <w:rPr>
          <w:rFonts w:hint="eastAsia" w:ascii="黑体" w:hAnsi="黑体" w:eastAsia="黑体"/>
          <w:color w:val="000000"/>
          <w:sz w:val="24"/>
        </w:rPr>
        <w:t>3.</w:t>
      </w:r>
      <w:bookmarkEnd w:id="85"/>
      <w:bookmarkEnd w:id="86"/>
      <w:r>
        <w:rPr>
          <w:rFonts w:hint="eastAsia" w:ascii="黑体" w:hAnsi="黑体" w:eastAsia="黑体"/>
          <w:color w:val="000000"/>
          <w:sz w:val="24"/>
        </w:rPr>
        <w:t>投标人的资格要求</w:t>
      </w:r>
    </w:p>
    <w:p>
      <w:pPr>
        <w:snapToGrid w:val="0"/>
        <w:spacing w:line="360" w:lineRule="auto"/>
        <w:ind w:firstLine="420" w:firstLineChars="200"/>
        <w:jc w:val="left"/>
        <w:rPr>
          <w:rFonts w:hint="eastAsia" w:ascii="宋体" w:hAnsi="宋体"/>
          <w:color w:val="000000"/>
          <w:szCs w:val="21"/>
        </w:rPr>
      </w:pPr>
      <w:r>
        <w:rPr>
          <w:rFonts w:hint="eastAsia" w:ascii="宋体" w:hAnsi="宋体"/>
          <w:color w:val="000000"/>
          <w:szCs w:val="21"/>
        </w:rPr>
        <w:t>投标人的资格要求详见“投标人须知前附表”。</w:t>
      </w:r>
    </w:p>
    <w:p>
      <w:pPr>
        <w:pStyle w:val="9"/>
        <w:keepNext w:val="0"/>
        <w:keepLines w:val="0"/>
        <w:spacing w:before="0" w:after="0" w:line="360" w:lineRule="auto"/>
        <w:ind w:left="420" w:leftChars="200"/>
        <w:rPr>
          <w:rFonts w:hint="eastAsia" w:ascii="黑体" w:hAnsi="黑体" w:eastAsia="黑体"/>
          <w:color w:val="000000"/>
          <w:sz w:val="24"/>
        </w:rPr>
      </w:pPr>
      <w:bookmarkStart w:id="87" w:name="_Toc254970530"/>
      <w:bookmarkStart w:id="88" w:name="_Toc254970671"/>
      <w:r>
        <w:rPr>
          <w:rFonts w:hint="eastAsia" w:ascii="黑体" w:hAnsi="黑体" w:eastAsia="黑体"/>
          <w:color w:val="000000"/>
          <w:sz w:val="24"/>
        </w:rPr>
        <w:t>4.投标委托</w:t>
      </w:r>
      <w:bookmarkEnd w:id="87"/>
      <w:bookmarkEnd w:id="88"/>
    </w:p>
    <w:p>
      <w:pPr>
        <w:snapToGrid w:val="0"/>
        <w:spacing w:line="360" w:lineRule="auto"/>
        <w:ind w:firstLine="420" w:firstLineChars="200"/>
        <w:jc w:val="left"/>
        <w:rPr>
          <w:rFonts w:hint="eastAsia" w:ascii="宋体" w:hAnsi="宋体"/>
          <w:color w:val="000000"/>
          <w:szCs w:val="21"/>
        </w:rPr>
      </w:pPr>
      <w:r>
        <w:rPr>
          <w:rFonts w:hint="eastAsia" w:ascii="宋体" w:hAnsi="宋体"/>
          <w:color w:val="000000"/>
          <w:szCs w:val="21"/>
        </w:rPr>
        <w:t>投标人代表参加投标活动过程中必须携带个人有效身份证件。如投标人代表不是法定代表人，须持有授权委托书（按第六章要求格式填写）。</w:t>
      </w:r>
    </w:p>
    <w:p>
      <w:pPr>
        <w:pStyle w:val="9"/>
        <w:keepNext w:val="0"/>
        <w:keepLines w:val="0"/>
        <w:spacing w:before="0" w:after="0" w:line="360" w:lineRule="auto"/>
        <w:ind w:left="420" w:leftChars="200"/>
        <w:rPr>
          <w:rFonts w:hint="eastAsia" w:ascii="黑体" w:hAnsi="黑体" w:eastAsia="黑体"/>
          <w:color w:val="000000"/>
          <w:sz w:val="24"/>
        </w:rPr>
      </w:pPr>
      <w:bookmarkStart w:id="89" w:name="_5.投标费用"/>
      <w:bookmarkEnd w:id="89"/>
      <w:bookmarkStart w:id="90" w:name="_Toc254970672"/>
      <w:bookmarkStart w:id="91" w:name="_Toc254970531"/>
      <w:r>
        <w:rPr>
          <w:rFonts w:hint="eastAsia" w:ascii="黑体" w:hAnsi="黑体" w:eastAsia="黑体"/>
          <w:color w:val="000000"/>
          <w:sz w:val="24"/>
        </w:rPr>
        <w:t>5.投标费用</w:t>
      </w:r>
      <w:bookmarkEnd w:id="90"/>
      <w:bookmarkEnd w:id="91"/>
    </w:p>
    <w:p>
      <w:pPr>
        <w:snapToGrid w:val="0"/>
        <w:spacing w:line="360" w:lineRule="auto"/>
        <w:ind w:firstLine="420" w:firstLineChars="200"/>
        <w:jc w:val="left"/>
        <w:rPr>
          <w:rFonts w:hint="eastAsia" w:ascii="宋体" w:hAnsi="宋体"/>
          <w:color w:val="000000"/>
          <w:szCs w:val="21"/>
        </w:rPr>
      </w:pPr>
      <w:r>
        <w:rPr>
          <w:rFonts w:hint="eastAsia" w:ascii="宋体" w:hAnsi="宋体" w:cs="宋体"/>
          <w:color w:val="000000"/>
          <w:szCs w:val="21"/>
        </w:rPr>
        <w:t>投标费用：投标人应承担参与本次采购活动有关的所有费用，包括但不限于获取招标文件、勘查现场、编制和提交投标文件、参加澄清说明、签订合同等，不论投标结果如何，均应自行承担。</w:t>
      </w:r>
    </w:p>
    <w:p>
      <w:pPr>
        <w:pStyle w:val="9"/>
        <w:keepNext w:val="0"/>
        <w:keepLines w:val="0"/>
        <w:spacing w:before="0" w:after="0" w:line="360" w:lineRule="auto"/>
        <w:ind w:left="420" w:leftChars="200"/>
        <w:rPr>
          <w:rFonts w:hint="eastAsia" w:ascii="黑体" w:hAnsi="黑体" w:eastAsia="黑体"/>
          <w:color w:val="000000"/>
          <w:sz w:val="24"/>
        </w:rPr>
      </w:pPr>
      <w:r>
        <w:rPr>
          <w:rFonts w:hint="eastAsia" w:ascii="黑体" w:hAnsi="黑体" w:eastAsia="黑体"/>
          <w:color w:val="000000"/>
          <w:sz w:val="24"/>
        </w:rPr>
        <w:t>6.联合体投标</w:t>
      </w:r>
    </w:p>
    <w:p>
      <w:pPr>
        <w:snapToGrid w:val="0"/>
        <w:spacing w:line="360" w:lineRule="auto"/>
        <w:ind w:firstLine="420" w:firstLineChars="200"/>
        <w:jc w:val="left"/>
        <w:rPr>
          <w:rFonts w:ascii="宋体" w:hAnsi="宋体"/>
          <w:color w:val="000000"/>
          <w:szCs w:val="21"/>
        </w:rPr>
      </w:pPr>
      <w:r>
        <w:rPr>
          <w:rFonts w:hint="eastAsia" w:ascii="宋体" w:hAnsi="宋体"/>
          <w:color w:val="000000"/>
          <w:szCs w:val="21"/>
        </w:rPr>
        <w:t>6.1本项目是否接受联合体投标，详见“投标人须知前附表”。</w:t>
      </w:r>
    </w:p>
    <w:p>
      <w:pPr>
        <w:snapToGrid w:val="0"/>
        <w:spacing w:line="360" w:lineRule="auto"/>
        <w:ind w:firstLine="420" w:firstLineChars="200"/>
        <w:jc w:val="left"/>
        <w:rPr>
          <w:rFonts w:ascii="宋体" w:hAnsi="宋体"/>
          <w:bCs/>
          <w:color w:val="000000"/>
          <w:szCs w:val="21"/>
        </w:rPr>
      </w:pPr>
      <w:r>
        <w:rPr>
          <w:rFonts w:hint="eastAsia" w:ascii="宋体" w:hAnsi="宋体"/>
          <w:bCs/>
          <w:color w:val="000000"/>
          <w:szCs w:val="21"/>
        </w:rPr>
        <w:t>6.2如接受联合体投标，联合体投标要求详见“投标人须知前附表”。</w:t>
      </w:r>
    </w:p>
    <w:p>
      <w:pPr>
        <w:pStyle w:val="9"/>
        <w:keepNext w:val="0"/>
        <w:keepLines w:val="0"/>
        <w:spacing w:before="0" w:after="0" w:line="360" w:lineRule="auto"/>
        <w:ind w:firstLine="424" w:firstLineChars="202"/>
        <w:rPr>
          <w:rFonts w:hint="eastAsia" w:ascii="黑体" w:hAnsi="黑体" w:eastAsia="黑体"/>
          <w:color w:val="000000"/>
          <w:sz w:val="24"/>
        </w:rPr>
      </w:pPr>
      <w:r>
        <w:rPr>
          <w:rFonts w:hint="eastAsia" w:ascii="宋体" w:hAnsi="宋体"/>
          <w:b w:val="0"/>
          <w:bCs/>
          <w:color w:val="000000"/>
          <w:sz w:val="21"/>
          <w:szCs w:val="21"/>
        </w:rPr>
        <w:t>6.3</w:t>
      </w:r>
      <w:r>
        <w:rPr>
          <w:rFonts w:ascii="宋体" w:hAnsi="宋体"/>
          <w:b w:val="0"/>
          <w:bCs/>
          <w:color w:val="000000"/>
          <w:sz w:val="21"/>
          <w:szCs w:val="21"/>
        </w:rPr>
        <w:t xml:space="preserve"> </w:t>
      </w:r>
      <w:bookmarkStart w:id="92" w:name="_Hlk65857072"/>
      <w:r>
        <w:rPr>
          <w:rFonts w:hint="eastAsia" w:ascii="宋体" w:hAnsi="宋体"/>
          <w:b w:val="0"/>
          <w:bCs/>
          <w:color w:val="000000"/>
          <w:sz w:val="21"/>
          <w:szCs w:val="21"/>
        </w:rPr>
        <w:t>根据《政府采购促进中小企业发展管理办法》（财库〔2020〕46号）第九条第二款的规定，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的扣除，用扣除后的价格参加评审。</w:t>
      </w:r>
      <w:bookmarkEnd w:id="92"/>
    </w:p>
    <w:p>
      <w:pPr>
        <w:pStyle w:val="9"/>
        <w:keepNext w:val="0"/>
        <w:keepLines w:val="0"/>
        <w:spacing w:before="0" w:after="0" w:line="360" w:lineRule="auto"/>
        <w:ind w:left="420" w:leftChars="200"/>
        <w:rPr>
          <w:rFonts w:hint="eastAsia" w:ascii="黑体" w:hAnsi="黑体" w:eastAsia="黑体"/>
          <w:color w:val="000000"/>
          <w:sz w:val="24"/>
        </w:rPr>
      </w:pPr>
      <w:r>
        <w:rPr>
          <w:rFonts w:hint="eastAsia" w:ascii="黑体" w:hAnsi="黑体" w:eastAsia="黑体"/>
          <w:color w:val="000000"/>
          <w:sz w:val="24"/>
        </w:rPr>
        <w:t xml:space="preserve">7.转包与分包             </w:t>
      </w:r>
    </w:p>
    <w:p>
      <w:pPr>
        <w:pStyle w:val="9"/>
        <w:keepNext w:val="0"/>
        <w:keepLines w:val="0"/>
        <w:spacing w:before="0" w:after="0" w:line="360" w:lineRule="auto"/>
        <w:ind w:left="420" w:leftChars="200"/>
        <w:rPr>
          <w:rFonts w:hint="eastAsia" w:ascii="宋体" w:hAnsi="宋体"/>
          <w:b w:val="0"/>
          <w:color w:val="000000"/>
          <w:sz w:val="21"/>
          <w:szCs w:val="21"/>
        </w:rPr>
      </w:pPr>
      <w:r>
        <w:rPr>
          <w:rFonts w:hint="eastAsia" w:ascii="宋体" w:hAnsi="宋体"/>
          <w:b w:val="0"/>
          <w:color w:val="000000"/>
          <w:sz w:val="21"/>
          <w:szCs w:val="21"/>
        </w:rPr>
        <w:t>7.1本项目不允许转包。</w:t>
      </w:r>
    </w:p>
    <w:p>
      <w:pPr>
        <w:pStyle w:val="9"/>
        <w:keepNext w:val="0"/>
        <w:keepLines w:val="0"/>
        <w:spacing w:before="0" w:after="0" w:line="360" w:lineRule="auto"/>
        <w:ind w:firstLine="315" w:firstLineChars="150"/>
        <w:rPr>
          <w:rFonts w:hint="eastAsia" w:ascii="宋体" w:hAnsi="宋体"/>
          <w:b w:val="0"/>
          <w:color w:val="000000"/>
          <w:sz w:val="21"/>
          <w:szCs w:val="21"/>
        </w:rPr>
      </w:pPr>
      <w:r>
        <w:rPr>
          <w:rFonts w:hint="eastAsia" w:ascii="宋体" w:hAnsi="宋体"/>
          <w:b w:val="0"/>
          <w:color w:val="000000"/>
          <w:sz w:val="21"/>
          <w:szCs w:val="21"/>
        </w:rPr>
        <w:t xml:space="preserve"> 7.2本项目是否允许分包详见“投标人须知前附表”，本项目不允许违法分包。允许分包的非主体、非关键性工作，根据法律法规规定承担该工作需要行政许可的，如该工作由投标人自行承担，投标人应具备相应的行政许可，如投标人不具备相应的行政许可必须采用分包的方式，但分包投标人应具备相应行政许可。</w:t>
      </w:r>
    </w:p>
    <w:p>
      <w:pPr>
        <w:pStyle w:val="9"/>
        <w:keepNext w:val="0"/>
        <w:keepLines w:val="0"/>
        <w:spacing w:before="0" w:after="0" w:line="360" w:lineRule="auto"/>
        <w:ind w:firstLine="315" w:firstLineChars="150"/>
        <w:rPr>
          <w:rFonts w:hint="eastAsia" w:ascii="宋体" w:hAnsi="宋体"/>
          <w:b w:val="0"/>
          <w:color w:val="000000"/>
          <w:sz w:val="21"/>
          <w:szCs w:val="21"/>
        </w:rPr>
      </w:pPr>
      <w:r>
        <w:rPr>
          <w:rFonts w:hint="eastAsia" w:ascii="宋体" w:hAnsi="宋体"/>
          <w:b w:val="0"/>
          <w:color w:val="000000"/>
          <w:sz w:val="21"/>
          <w:szCs w:val="21"/>
        </w:rPr>
        <w:t xml:space="preserve"> 7.3投标人根据招标文件的规定和采购项目的实际情况，拟在中标后将中标项目的非主体、非关键性工作分包的，应当在投标文件中载明分包承担主体，分包承担主体应当具备相应资质条件且不得再次分包。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9"/>
        <w:keepNext w:val="0"/>
        <w:keepLines w:val="0"/>
        <w:spacing w:before="0" w:after="0" w:line="360" w:lineRule="auto"/>
        <w:ind w:left="420" w:leftChars="200"/>
        <w:rPr>
          <w:rFonts w:hint="eastAsia" w:ascii="黑体" w:hAnsi="黑体" w:eastAsia="黑体"/>
          <w:color w:val="000000"/>
          <w:sz w:val="24"/>
        </w:rPr>
      </w:pPr>
      <w:bookmarkStart w:id="93" w:name="_Toc254970673"/>
      <w:bookmarkStart w:id="94" w:name="_Toc254970532"/>
      <w:r>
        <w:rPr>
          <w:rFonts w:hint="eastAsia" w:ascii="黑体" w:hAnsi="黑体" w:eastAsia="黑体"/>
          <w:color w:val="000000"/>
          <w:sz w:val="24"/>
        </w:rPr>
        <w:t>8.特别说明</w:t>
      </w:r>
      <w:bookmarkEnd w:id="93"/>
      <w:bookmarkEnd w:id="94"/>
    </w:p>
    <w:p>
      <w:pPr>
        <w:pStyle w:val="9"/>
        <w:keepNext w:val="0"/>
        <w:keepLines w:val="0"/>
        <w:spacing w:before="0" w:after="0" w:line="360" w:lineRule="auto"/>
        <w:ind w:firstLine="420" w:firstLineChars="200"/>
        <w:rPr>
          <w:rFonts w:hint="eastAsia" w:ascii="宋体" w:hAnsi="宋体"/>
          <w:b w:val="0"/>
          <w:color w:val="000000"/>
          <w:sz w:val="21"/>
          <w:szCs w:val="21"/>
        </w:rPr>
      </w:pPr>
      <w:bookmarkStart w:id="95" w:name="_8.1提供相同品牌产品且通过资格审查、符合性审查的不同投标人参加同一合"/>
      <w:bookmarkEnd w:id="95"/>
      <w:r>
        <w:rPr>
          <w:rFonts w:ascii="宋体" w:hAnsi="宋体"/>
          <w:b w:val="0"/>
          <w:color w:val="000000"/>
          <w:sz w:val="21"/>
          <w:szCs w:val="21"/>
        </w:rPr>
        <w:fldChar w:fldCharType="begin"/>
      </w:r>
      <w:r>
        <w:rPr>
          <w:rFonts w:ascii="宋体" w:hAnsi="宋体"/>
          <w:b w:val="0"/>
          <w:color w:val="000000"/>
          <w:sz w:val="21"/>
          <w:szCs w:val="21"/>
        </w:rPr>
        <w:instrText xml:space="preserve"> HYPERLINK  \l "_8.1" </w:instrText>
      </w:r>
      <w:r>
        <w:rPr>
          <w:rFonts w:ascii="宋体" w:hAnsi="宋体"/>
          <w:b w:val="0"/>
          <w:color w:val="000000"/>
          <w:sz w:val="21"/>
          <w:szCs w:val="21"/>
        </w:rPr>
        <w:fldChar w:fldCharType="separate"/>
      </w:r>
      <w:r>
        <w:rPr>
          <w:rFonts w:hint="eastAsia" w:ascii="宋体" w:hAnsi="宋体"/>
          <w:b w:val="0"/>
          <w:color w:val="000000"/>
          <w:sz w:val="21"/>
          <w:szCs w:val="21"/>
        </w:rPr>
        <w:t>8.1</w:t>
      </w:r>
      <w:r>
        <w:rPr>
          <w:rFonts w:ascii="宋体" w:hAnsi="宋体"/>
          <w:b w:val="0"/>
          <w:color w:val="000000"/>
          <w:sz w:val="21"/>
          <w:szCs w:val="21"/>
        </w:rPr>
        <w:fldChar w:fldCharType="end"/>
      </w:r>
      <w:r>
        <w:rPr>
          <w:rFonts w:hint="eastAsia" w:ascii="宋体" w:hAnsi="宋体"/>
          <w:b w:val="0"/>
          <w:color w:val="000000"/>
          <w:sz w:val="21"/>
          <w:szCs w:val="21"/>
        </w:rPr>
        <w:t>采用最低评标价法的采购项目，提供相同品牌产品的不同投标人参加同一合同项下投标的，以其中通过资格审查、符合性审查且报价最低的参加评标；报价相同的，由采购人或者采购人委托评标委员会按照“投标人须知前附表”规定的方式确定一个参加评标的投标人，</w:t>
      </w:r>
      <w:r>
        <w:rPr>
          <w:rFonts w:hint="eastAsia" w:ascii="宋体" w:hAnsi="宋体"/>
          <w:color w:val="000000"/>
          <w:sz w:val="22"/>
          <w:szCs w:val="22"/>
        </w:rPr>
        <w:t>其他投标无效。</w:t>
      </w:r>
    </w:p>
    <w:p>
      <w:pPr>
        <w:pStyle w:val="9"/>
        <w:keepNext w:val="0"/>
        <w:keepLines w:val="0"/>
        <w:spacing w:before="0" w:after="0" w:line="360" w:lineRule="auto"/>
        <w:ind w:firstLine="420" w:firstLineChars="200"/>
        <w:rPr>
          <w:rFonts w:hint="eastAsia" w:ascii="宋体" w:hAnsi="宋体"/>
          <w:b w:val="0"/>
          <w:color w:val="000000"/>
          <w:sz w:val="21"/>
          <w:szCs w:val="21"/>
        </w:rPr>
      </w:pPr>
      <w:r>
        <w:rPr>
          <w:rFonts w:hint="eastAsia" w:ascii="宋体" w:hAnsi="宋体"/>
          <w:b w:val="0"/>
          <w:color w:val="000000"/>
          <w:sz w:val="21"/>
          <w:szCs w:val="21"/>
        </w:rPr>
        <w:t>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投标人须知前附表”规定的方式确定一个投标人获得中标人推荐资格，其他同品牌投标人不作为中标候选人。</w:t>
      </w:r>
    </w:p>
    <w:p>
      <w:pPr>
        <w:pStyle w:val="15"/>
        <w:snapToGrid w:val="0"/>
        <w:spacing w:line="360" w:lineRule="auto"/>
        <w:ind w:left="2" w:leftChars="1" w:firstLine="420" w:firstLineChars="200"/>
        <w:rPr>
          <w:rFonts w:hint="eastAsia" w:hAnsi="宋体"/>
          <w:color w:val="000000"/>
          <w:kern w:val="2"/>
          <w:sz w:val="21"/>
        </w:rPr>
      </w:pPr>
      <w:r>
        <w:rPr>
          <w:rFonts w:hint="eastAsia" w:hAnsi="宋体"/>
          <w:color w:val="000000"/>
          <w:kern w:val="2"/>
          <w:sz w:val="21"/>
        </w:rPr>
        <w:t>非单一产品采购项目，多家投标人提供的核心产品品牌相同的，</w:t>
      </w:r>
      <w:r>
        <w:rPr>
          <w:rFonts w:hint="eastAsia" w:hAnsi="宋体"/>
          <w:color w:val="000000"/>
          <w:sz w:val="22"/>
          <w:szCs w:val="22"/>
        </w:rPr>
        <w:t>按前两款规定处理</w:t>
      </w:r>
      <w:r>
        <w:rPr>
          <w:rFonts w:hint="eastAsia" w:hAnsi="宋体"/>
          <w:color w:val="000000"/>
          <w:kern w:val="2"/>
          <w:sz w:val="21"/>
        </w:rPr>
        <w:t>。</w:t>
      </w:r>
    </w:p>
    <w:p>
      <w:pPr>
        <w:pStyle w:val="9"/>
        <w:keepNext w:val="0"/>
        <w:keepLines w:val="0"/>
        <w:spacing w:before="0" w:after="0" w:line="360" w:lineRule="auto"/>
        <w:ind w:firstLine="367" w:firstLineChars="175"/>
        <w:rPr>
          <w:rFonts w:hint="eastAsia" w:ascii="宋体" w:hAnsi="宋体"/>
          <w:b w:val="0"/>
          <w:color w:val="000000"/>
          <w:sz w:val="21"/>
          <w:szCs w:val="21"/>
        </w:rPr>
      </w:pPr>
      <w:r>
        <w:rPr>
          <w:rFonts w:hint="eastAsia" w:ascii="宋体" w:hAnsi="宋体"/>
          <w:b w:val="0"/>
          <w:color w:val="000000"/>
          <w:sz w:val="21"/>
          <w:szCs w:val="21"/>
        </w:rPr>
        <w:t xml:space="preserve"> 8.2如果本招标文件要求提供投标人或制造商的资格、信誉、荣誉、业绩与企业认证等材料的，资格、信誉、荣誉、业绩与企业认证等必须为投标人或者制造商所拥有或自身获得 。</w:t>
      </w:r>
    </w:p>
    <w:p>
      <w:pPr>
        <w:pStyle w:val="9"/>
        <w:keepNext w:val="0"/>
        <w:keepLines w:val="0"/>
        <w:spacing w:before="0" w:after="0" w:line="360" w:lineRule="auto"/>
        <w:ind w:firstLine="367" w:firstLineChars="175"/>
        <w:rPr>
          <w:rFonts w:hint="eastAsia" w:ascii="宋体" w:hAnsi="宋体"/>
          <w:b w:val="0"/>
          <w:color w:val="000000"/>
          <w:sz w:val="21"/>
          <w:szCs w:val="21"/>
        </w:rPr>
      </w:pPr>
      <w:r>
        <w:rPr>
          <w:rFonts w:hint="eastAsia" w:ascii="宋体" w:hAnsi="宋体"/>
          <w:b w:val="0"/>
          <w:color w:val="000000"/>
          <w:sz w:val="21"/>
          <w:szCs w:val="21"/>
        </w:rPr>
        <w:t xml:space="preserve"> 8.3投标人应仔细阅读招标文件的所有内容，按照招标文件的要求提交投标文件，并对所提供的全部资料的真实性承担法律责任。</w:t>
      </w:r>
    </w:p>
    <w:p>
      <w:pPr>
        <w:pStyle w:val="9"/>
        <w:keepNext w:val="0"/>
        <w:keepLines w:val="0"/>
        <w:spacing w:before="0" w:after="0" w:line="360" w:lineRule="auto"/>
        <w:ind w:firstLine="367" w:firstLineChars="175"/>
        <w:rPr>
          <w:rFonts w:hint="eastAsia" w:ascii="宋体" w:hAnsi="宋体"/>
          <w:b w:val="0"/>
          <w:color w:val="000000"/>
          <w:sz w:val="21"/>
          <w:szCs w:val="21"/>
        </w:rPr>
      </w:pPr>
      <w:r>
        <w:rPr>
          <w:rFonts w:hint="eastAsia" w:ascii="宋体" w:hAnsi="宋体"/>
          <w:b w:val="0"/>
          <w:color w:val="000000"/>
          <w:sz w:val="21"/>
          <w:szCs w:val="21"/>
        </w:rPr>
        <w:t xml:space="preserve"> 8.4投标人在投标活动中提供任何虚假材料，将报监管部门查处；中标后发现的，中标人须依照《中华人民共和国消费者权益保护法》规定赔偿采购人，且民事赔偿并不免除违法投标人的行政与刑事责任。</w:t>
      </w:r>
    </w:p>
    <w:p>
      <w:pPr>
        <w:pStyle w:val="9"/>
        <w:keepNext w:val="0"/>
        <w:keepLines w:val="0"/>
        <w:spacing w:before="0" w:after="0" w:line="360" w:lineRule="auto"/>
        <w:ind w:left="420" w:leftChars="200"/>
        <w:rPr>
          <w:rFonts w:ascii="黑体" w:hAnsi="黑体" w:eastAsia="黑体"/>
          <w:color w:val="000000"/>
          <w:sz w:val="24"/>
        </w:rPr>
      </w:pPr>
      <w:r>
        <w:rPr>
          <w:rFonts w:ascii="黑体" w:hAnsi="黑体" w:eastAsia="黑体"/>
          <w:color w:val="000000"/>
          <w:sz w:val="24"/>
        </w:rPr>
        <w:t>9.</w:t>
      </w:r>
      <w:r>
        <w:rPr>
          <w:rFonts w:hint="eastAsia" w:ascii="黑体" w:hAnsi="黑体" w:eastAsia="黑体"/>
          <w:color w:val="000000"/>
          <w:sz w:val="24"/>
        </w:rPr>
        <w:t>回避与串通投标</w:t>
      </w:r>
    </w:p>
    <w:p>
      <w:pPr>
        <w:pStyle w:val="9"/>
        <w:keepNext w:val="0"/>
        <w:keepLines w:val="0"/>
        <w:spacing w:before="0" w:after="0" w:line="360" w:lineRule="auto"/>
        <w:ind w:firstLine="367" w:firstLineChars="175"/>
        <w:rPr>
          <w:rFonts w:ascii="宋体" w:hAnsi="宋体"/>
          <w:b w:val="0"/>
          <w:color w:val="000000"/>
          <w:sz w:val="21"/>
          <w:szCs w:val="21"/>
        </w:rPr>
      </w:pPr>
      <w:r>
        <w:rPr>
          <w:rFonts w:hint="eastAsia" w:ascii="宋体" w:hAnsi="宋体"/>
          <w:b w:val="0"/>
          <w:color w:val="000000"/>
          <w:sz w:val="21"/>
          <w:szCs w:val="21"/>
        </w:rPr>
        <w:t>9</w:t>
      </w:r>
      <w:r>
        <w:rPr>
          <w:rFonts w:ascii="宋体" w:hAnsi="宋体"/>
          <w:b w:val="0"/>
          <w:color w:val="000000"/>
          <w:sz w:val="21"/>
          <w:szCs w:val="21"/>
        </w:rPr>
        <w:t>.1在政府采购活动中，采购人员及相关人员与</w:t>
      </w:r>
      <w:r>
        <w:rPr>
          <w:rFonts w:hint="eastAsia" w:ascii="宋体" w:hAnsi="宋体"/>
          <w:b w:val="0"/>
          <w:color w:val="000000"/>
          <w:sz w:val="21"/>
          <w:szCs w:val="21"/>
        </w:rPr>
        <w:t>供应商</w:t>
      </w:r>
      <w:r>
        <w:rPr>
          <w:rFonts w:ascii="宋体" w:hAnsi="宋体"/>
          <w:b w:val="0"/>
          <w:color w:val="000000"/>
          <w:sz w:val="21"/>
          <w:szCs w:val="21"/>
        </w:rPr>
        <w:t>有下列利害关系之一的，应当回避：</w:t>
      </w:r>
    </w:p>
    <w:p>
      <w:pPr>
        <w:pStyle w:val="15"/>
        <w:snapToGrid w:val="0"/>
        <w:spacing w:line="360" w:lineRule="auto"/>
        <w:ind w:left="2" w:leftChars="1" w:firstLine="420" w:firstLineChars="200"/>
        <w:rPr>
          <w:rFonts w:hAnsi="宋体"/>
          <w:color w:val="000000"/>
          <w:kern w:val="2"/>
          <w:sz w:val="21"/>
        </w:rPr>
      </w:pPr>
      <w:r>
        <w:rPr>
          <w:rFonts w:hAnsi="宋体"/>
          <w:color w:val="000000"/>
          <w:kern w:val="2"/>
          <w:sz w:val="21"/>
        </w:rPr>
        <w:t>（</w:t>
      </w:r>
      <w:r>
        <w:rPr>
          <w:rFonts w:hint="eastAsia" w:hAnsi="宋体"/>
          <w:color w:val="000000"/>
          <w:kern w:val="2"/>
          <w:sz w:val="21"/>
        </w:rPr>
        <w:t>1</w:t>
      </w:r>
      <w:r>
        <w:rPr>
          <w:rFonts w:hAnsi="宋体"/>
          <w:color w:val="000000"/>
          <w:kern w:val="2"/>
          <w:sz w:val="21"/>
        </w:rPr>
        <w:t>）参加采购活动前3年内与</w:t>
      </w:r>
      <w:r>
        <w:rPr>
          <w:rFonts w:hint="eastAsia" w:hAnsi="宋体"/>
          <w:color w:val="000000"/>
          <w:kern w:val="2"/>
          <w:sz w:val="21"/>
        </w:rPr>
        <w:t>供应商</w:t>
      </w:r>
      <w:r>
        <w:rPr>
          <w:rFonts w:hAnsi="宋体"/>
          <w:color w:val="000000"/>
          <w:kern w:val="2"/>
          <w:sz w:val="21"/>
        </w:rPr>
        <w:t>存在劳动关系；</w:t>
      </w:r>
    </w:p>
    <w:p>
      <w:pPr>
        <w:pStyle w:val="15"/>
        <w:snapToGrid w:val="0"/>
        <w:spacing w:line="360" w:lineRule="auto"/>
        <w:ind w:left="2" w:leftChars="1" w:firstLine="420" w:firstLineChars="200"/>
        <w:rPr>
          <w:rFonts w:hAnsi="宋体"/>
          <w:color w:val="000000"/>
          <w:kern w:val="2"/>
          <w:sz w:val="21"/>
        </w:rPr>
      </w:pPr>
      <w:r>
        <w:rPr>
          <w:rFonts w:hAnsi="宋体"/>
          <w:color w:val="000000"/>
          <w:kern w:val="2"/>
          <w:sz w:val="21"/>
        </w:rPr>
        <w:t>（</w:t>
      </w:r>
      <w:r>
        <w:rPr>
          <w:rFonts w:hint="eastAsia" w:hAnsi="宋体"/>
          <w:color w:val="000000"/>
          <w:kern w:val="2"/>
          <w:sz w:val="21"/>
        </w:rPr>
        <w:t>2</w:t>
      </w:r>
      <w:r>
        <w:rPr>
          <w:rFonts w:hAnsi="宋体"/>
          <w:color w:val="000000"/>
          <w:kern w:val="2"/>
          <w:sz w:val="21"/>
        </w:rPr>
        <w:t>）参加采购活动前3年内担任</w:t>
      </w:r>
      <w:r>
        <w:rPr>
          <w:rFonts w:hint="eastAsia" w:hAnsi="宋体"/>
          <w:color w:val="000000"/>
          <w:kern w:val="2"/>
          <w:sz w:val="21"/>
        </w:rPr>
        <w:t>供应商</w:t>
      </w:r>
      <w:r>
        <w:rPr>
          <w:rFonts w:hAnsi="宋体"/>
          <w:color w:val="000000"/>
          <w:kern w:val="2"/>
          <w:sz w:val="21"/>
        </w:rPr>
        <w:t>的董事、监事；</w:t>
      </w:r>
    </w:p>
    <w:p>
      <w:pPr>
        <w:pStyle w:val="15"/>
        <w:snapToGrid w:val="0"/>
        <w:spacing w:line="360" w:lineRule="auto"/>
        <w:ind w:left="2" w:leftChars="1" w:firstLine="420" w:firstLineChars="200"/>
        <w:rPr>
          <w:rFonts w:hAnsi="宋体"/>
          <w:color w:val="000000"/>
          <w:kern w:val="2"/>
          <w:sz w:val="21"/>
        </w:rPr>
      </w:pPr>
      <w:r>
        <w:rPr>
          <w:rFonts w:hAnsi="宋体"/>
          <w:color w:val="000000"/>
          <w:kern w:val="2"/>
          <w:sz w:val="21"/>
        </w:rPr>
        <w:t>（</w:t>
      </w:r>
      <w:r>
        <w:rPr>
          <w:rFonts w:hint="eastAsia" w:hAnsi="宋体"/>
          <w:color w:val="000000"/>
          <w:kern w:val="2"/>
          <w:sz w:val="21"/>
        </w:rPr>
        <w:t>3</w:t>
      </w:r>
      <w:r>
        <w:rPr>
          <w:rFonts w:hAnsi="宋体"/>
          <w:color w:val="000000"/>
          <w:kern w:val="2"/>
          <w:sz w:val="21"/>
        </w:rPr>
        <w:t>）参加采购活动前3年内是</w:t>
      </w:r>
      <w:r>
        <w:rPr>
          <w:rFonts w:hint="eastAsia" w:hAnsi="宋体"/>
          <w:color w:val="000000"/>
          <w:kern w:val="2"/>
          <w:sz w:val="21"/>
        </w:rPr>
        <w:t>供应商</w:t>
      </w:r>
      <w:r>
        <w:rPr>
          <w:rFonts w:hAnsi="宋体"/>
          <w:color w:val="000000"/>
          <w:kern w:val="2"/>
          <w:sz w:val="21"/>
        </w:rPr>
        <w:t>的控股股东或者实际控制人；</w:t>
      </w:r>
    </w:p>
    <w:p>
      <w:pPr>
        <w:pStyle w:val="15"/>
        <w:snapToGrid w:val="0"/>
        <w:spacing w:line="360" w:lineRule="auto"/>
        <w:ind w:left="2" w:leftChars="1" w:firstLine="420" w:firstLineChars="200"/>
        <w:rPr>
          <w:rFonts w:hAnsi="宋体"/>
          <w:color w:val="000000"/>
          <w:kern w:val="2"/>
          <w:sz w:val="21"/>
        </w:rPr>
      </w:pPr>
      <w:r>
        <w:rPr>
          <w:rFonts w:hAnsi="宋体"/>
          <w:color w:val="000000"/>
          <w:kern w:val="2"/>
          <w:sz w:val="21"/>
        </w:rPr>
        <w:t>（</w:t>
      </w:r>
      <w:r>
        <w:rPr>
          <w:rFonts w:hint="eastAsia" w:hAnsi="宋体"/>
          <w:color w:val="000000"/>
          <w:kern w:val="2"/>
          <w:sz w:val="21"/>
        </w:rPr>
        <w:t>4</w:t>
      </w:r>
      <w:r>
        <w:rPr>
          <w:rFonts w:hAnsi="宋体"/>
          <w:color w:val="000000"/>
          <w:kern w:val="2"/>
          <w:sz w:val="21"/>
        </w:rPr>
        <w:t>）与</w:t>
      </w:r>
      <w:r>
        <w:rPr>
          <w:rFonts w:hint="eastAsia" w:hAnsi="宋体"/>
          <w:color w:val="000000"/>
          <w:kern w:val="2"/>
          <w:sz w:val="21"/>
        </w:rPr>
        <w:t>供应商</w:t>
      </w:r>
      <w:r>
        <w:rPr>
          <w:rFonts w:hAnsi="宋体"/>
          <w:color w:val="000000"/>
          <w:kern w:val="2"/>
          <w:sz w:val="21"/>
        </w:rPr>
        <w:t>的法定代表人或者负责人有夫妻、直系血亲、三代以内旁系血亲或者近姻亲关系；</w:t>
      </w:r>
    </w:p>
    <w:p>
      <w:pPr>
        <w:pStyle w:val="15"/>
        <w:snapToGrid w:val="0"/>
        <w:spacing w:line="360" w:lineRule="auto"/>
        <w:ind w:left="2" w:leftChars="1" w:firstLine="420" w:firstLineChars="200"/>
        <w:rPr>
          <w:rFonts w:hAnsi="宋体"/>
          <w:color w:val="000000"/>
          <w:kern w:val="2"/>
          <w:sz w:val="21"/>
        </w:rPr>
      </w:pPr>
      <w:r>
        <w:rPr>
          <w:rFonts w:hAnsi="宋体"/>
          <w:color w:val="000000"/>
          <w:kern w:val="2"/>
          <w:sz w:val="21"/>
        </w:rPr>
        <w:t>（</w:t>
      </w:r>
      <w:r>
        <w:rPr>
          <w:rFonts w:hint="eastAsia" w:hAnsi="宋体"/>
          <w:color w:val="000000"/>
          <w:kern w:val="2"/>
          <w:sz w:val="21"/>
        </w:rPr>
        <w:t>5</w:t>
      </w:r>
      <w:r>
        <w:rPr>
          <w:rFonts w:hAnsi="宋体"/>
          <w:color w:val="000000"/>
          <w:kern w:val="2"/>
          <w:sz w:val="21"/>
        </w:rPr>
        <w:t>）与</w:t>
      </w:r>
      <w:r>
        <w:rPr>
          <w:rFonts w:hint="eastAsia" w:hAnsi="宋体"/>
          <w:color w:val="000000"/>
          <w:kern w:val="2"/>
          <w:sz w:val="21"/>
        </w:rPr>
        <w:t>供应商</w:t>
      </w:r>
      <w:r>
        <w:rPr>
          <w:rFonts w:hAnsi="宋体"/>
          <w:color w:val="000000"/>
          <w:kern w:val="2"/>
          <w:sz w:val="21"/>
        </w:rPr>
        <w:t>有其他可能影响政府采购活动公平、公正进行的关系。</w:t>
      </w:r>
    </w:p>
    <w:p>
      <w:pPr>
        <w:pStyle w:val="15"/>
        <w:snapToGrid w:val="0"/>
        <w:spacing w:line="360" w:lineRule="auto"/>
        <w:ind w:left="2" w:leftChars="1" w:firstLine="420" w:firstLineChars="200"/>
        <w:rPr>
          <w:rFonts w:hint="eastAsia" w:hAnsi="宋体"/>
          <w:color w:val="000000"/>
          <w:kern w:val="2"/>
          <w:sz w:val="21"/>
        </w:rPr>
      </w:pPr>
      <w:r>
        <w:rPr>
          <w:rFonts w:hint="eastAsia" w:hAnsi="宋体"/>
          <w:color w:val="000000"/>
          <w:kern w:val="2"/>
          <w:sz w:val="21"/>
        </w:rPr>
        <w:t>供应商</w:t>
      </w:r>
      <w:r>
        <w:rPr>
          <w:rFonts w:hAnsi="宋体"/>
          <w:color w:val="000000"/>
          <w:kern w:val="2"/>
          <w:sz w:val="21"/>
        </w:rPr>
        <w:t>认为采购人员及相关人员与其他</w:t>
      </w:r>
      <w:r>
        <w:rPr>
          <w:rFonts w:hint="eastAsia" w:hAnsi="宋体"/>
          <w:color w:val="000000"/>
          <w:kern w:val="2"/>
          <w:sz w:val="21"/>
        </w:rPr>
        <w:t>供应商</w:t>
      </w:r>
      <w:r>
        <w:rPr>
          <w:rFonts w:hAnsi="宋体"/>
          <w:color w:val="000000"/>
          <w:kern w:val="2"/>
          <w:sz w:val="21"/>
        </w:rPr>
        <w:t>有利害关系的，可以向采购人或者采购代理机构书面提出回避申请，并说明理由。采购人或者采购代理机构应当及时询问被申请回避人员，有利害关系的被申请回避人员应当回避。</w:t>
      </w:r>
    </w:p>
    <w:p>
      <w:pPr>
        <w:pStyle w:val="9"/>
        <w:keepNext w:val="0"/>
        <w:keepLines w:val="0"/>
        <w:spacing w:before="0" w:after="0" w:line="360" w:lineRule="auto"/>
        <w:ind w:left="420" w:leftChars="200"/>
        <w:rPr>
          <w:rFonts w:hint="eastAsia" w:ascii="宋体" w:hAnsi="宋体"/>
          <w:color w:val="000000"/>
          <w:sz w:val="21"/>
          <w:szCs w:val="21"/>
        </w:rPr>
      </w:pPr>
      <w:r>
        <w:rPr>
          <w:rFonts w:ascii="宋体" w:hAnsi="宋体"/>
          <w:color w:val="000000"/>
          <w:sz w:val="21"/>
          <w:szCs w:val="21"/>
        </w:rPr>
        <w:t>9.2</w:t>
      </w:r>
      <w:r>
        <w:rPr>
          <w:rFonts w:hint="eastAsia" w:ascii="宋体" w:hAnsi="宋体"/>
          <w:color w:val="000000"/>
          <w:sz w:val="21"/>
          <w:szCs w:val="21"/>
        </w:rPr>
        <w:t>有下列情形之一的视为投标人相互串通投标，投标文件将被视为无效：</w:t>
      </w:r>
    </w:p>
    <w:p>
      <w:pPr>
        <w:pStyle w:val="15"/>
        <w:snapToGrid w:val="0"/>
        <w:spacing w:line="360" w:lineRule="auto"/>
        <w:ind w:left="2" w:leftChars="1" w:firstLine="422" w:firstLineChars="200"/>
        <w:rPr>
          <w:rFonts w:hint="eastAsia" w:hAnsi="宋体"/>
          <w:b/>
          <w:color w:val="000000"/>
          <w:kern w:val="2"/>
          <w:sz w:val="21"/>
        </w:rPr>
      </w:pPr>
      <w:r>
        <w:rPr>
          <w:rFonts w:hint="eastAsia" w:hAnsi="宋体"/>
          <w:b/>
          <w:color w:val="000000"/>
          <w:kern w:val="2"/>
          <w:sz w:val="21"/>
        </w:rPr>
        <w:t xml:space="preserve">（1）不同投标人的投标文件由同一单位或者个人编制； </w:t>
      </w:r>
    </w:p>
    <w:p>
      <w:pPr>
        <w:pStyle w:val="15"/>
        <w:snapToGrid w:val="0"/>
        <w:spacing w:line="360" w:lineRule="auto"/>
        <w:ind w:left="2" w:leftChars="1" w:firstLine="422" w:firstLineChars="200"/>
        <w:rPr>
          <w:rFonts w:hint="eastAsia" w:hAnsi="宋体"/>
          <w:b/>
          <w:color w:val="000000"/>
          <w:kern w:val="2"/>
          <w:sz w:val="21"/>
        </w:rPr>
      </w:pPr>
      <w:r>
        <w:rPr>
          <w:rFonts w:hint="eastAsia" w:hAnsi="宋体"/>
          <w:b/>
          <w:color w:val="000000"/>
          <w:kern w:val="2"/>
          <w:sz w:val="21"/>
        </w:rPr>
        <w:t>（2）不同投标人委托同一单位或者个人办理投标事宜；</w:t>
      </w:r>
    </w:p>
    <w:p>
      <w:pPr>
        <w:pStyle w:val="15"/>
        <w:snapToGrid w:val="0"/>
        <w:spacing w:line="360" w:lineRule="auto"/>
        <w:ind w:left="2" w:leftChars="1" w:firstLine="422" w:firstLineChars="200"/>
        <w:rPr>
          <w:rFonts w:hint="eastAsia" w:hAnsi="宋体"/>
          <w:b/>
          <w:color w:val="000000"/>
          <w:kern w:val="2"/>
          <w:sz w:val="21"/>
        </w:rPr>
      </w:pPr>
      <w:r>
        <w:rPr>
          <w:rFonts w:hint="eastAsia" w:hAnsi="宋体"/>
          <w:b/>
          <w:color w:val="000000"/>
          <w:kern w:val="2"/>
          <w:sz w:val="21"/>
        </w:rPr>
        <w:t>（3）不同的投标人的投标文件载明的项目管理员为同一个人；</w:t>
      </w:r>
    </w:p>
    <w:p>
      <w:pPr>
        <w:pStyle w:val="15"/>
        <w:snapToGrid w:val="0"/>
        <w:spacing w:line="360" w:lineRule="auto"/>
        <w:ind w:left="2" w:leftChars="1" w:firstLine="422" w:firstLineChars="200"/>
        <w:rPr>
          <w:rFonts w:hint="eastAsia" w:hAnsi="宋体"/>
          <w:b/>
          <w:color w:val="000000"/>
          <w:kern w:val="2"/>
          <w:sz w:val="21"/>
        </w:rPr>
      </w:pPr>
      <w:r>
        <w:rPr>
          <w:rFonts w:hint="eastAsia" w:hAnsi="宋体"/>
          <w:b/>
          <w:color w:val="000000"/>
          <w:kern w:val="2"/>
          <w:sz w:val="21"/>
        </w:rPr>
        <w:t>（4）不同投标人的投标文件异常一致或者投标报价呈规律性差异；</w:t>
      </w:r>
    </w:p>
    <w:p>
      <w:pPr>
        <w:pStyle w:val="15"/>
        <w:snapToGrid w:val="0"/>
        <w:spacing w:line="360" w:lineRule="auto"/>
        <w:ind w:left="2" w:leftChars="1" w:firstLine="422" w:firstLineChars="200"/>
        <w:rPr>
          <w:rFonts w:hint="eastAsia" w:hAnsi="宋体"/>
          <w:b/>
          <w:color w:val="000000"/>
          <w:kern w:val="2"/>
          <w:sz w:val="21"/>
        </w:rPr>
      </w:pPr>
      <w:r>
        <w:rPr>
          <w:rFonts w:hint="eastAsia" w:hAnsi="宋体"/>
          <w:b/>
          <w:color w:val="000000"/>
          <w:kern w:val="2"/>
          <w:sz w:val="21"/>
        </w:rPr>
        <w:t>（5）不同投标人的投标文件相互混装；</w:t>
      </w:r>
    </w:p>
    <w:p>
      <w:pPr>
        <w:pStyle w:val="15"/>
        <w:snapToGrid w:val="0"/>
        <w:spacing w:line="360" w:lineRule="auto"/>
        <w:ind w:left="2" w:leftChars="1" w:firstLine="422" w:firstLineChars="200"/>
        <w:rPr>
          <w:rFonts w:hint="eastAsia" w:hAnsi="宋体"/>
          <w:b/>
          <w:color w:val="000000"/>
          <w:kern w:val="2"/>
          <w:sz w:val="21"/>
        </w:rPr>
      </w:pPr>
      <w:r>
        <w:rPr>
          <w:rFonts w:hint="eastAsia" w:hAnsi="宋体"/>
          <w:b/>
          <w:color w:val="000000"/>
          <w:kern w:val="2"/>
          <w:sz w:val="21"/>
        </w:rPr>
        <w:t>（6）不同投标人的投标保证金从同一单位或者个人账户转出。</w:t>
      </w:r>
    </w:p>
    <w:p>
      <w:pPr>
        <w:pStyle w:val="9"/>
        <w:keepNext w:val="0"/>
        <w:keepLines w:val="0"/>
        <w:spacing w:before="0" w:after="0" w:line="360" w:lineRule="auto"/>
        <w:ind w:left="420" w:leftChars="200"/>
        <w:rPr>
          <w:rFonts w:hint="eastAsia" w:ascii="宋体" w:hAnsi="宋体"/>
          <w:b w:val="0"/>
          <w:color w:val="000000"/>
          <w:sz w:val="21"/>
          <w:szCs w:val="21"/>
        </w:rPr>
      </w:pPr>
      <w:r>
        <w:rPr>
          <w:rFonts w:ascii="宋体" w:hAnsi="宋体"/>
          <w:b w:val="0"/>
          <w:color w:val="000000"/>
          <w:sz w:val="21"/>
          <w:szCs w:val="21"/>
        </w:rPr>
        <w:t>9.3</w:t>
      </w:r>
      <w:r>
        <w:rPr>
          <w:rFonts w:hint="eastAsia" w:ascii="宋体" w:hAnsi="宋体"/>
          <w:b w:val="0"/>
          <w:color w:val="000000"/>
          <w:sz w:val="21"/>
          <w:szCs w:val="21"/>
        </w:rPr>
        <w:t>供应商有下列情形之一的，属于恶意串通行为，将报同级监督管理部门：</w:t>
      </w:r>
    </w:p>
    <w:p>
      <w:pPr>
        <w:pStyle w:val="15"/>
        <w:snapToGrid w:val="0"/>
        <w:spacing w:line="360" w:lineRule="auto"/>
        <w:ind w:left="2" w:leftChars="1" w:firstLine="420" w:firstLineChars="200"/>
        <w:rPr>
          <w:rFonts w:hint="eastAsia" w:hAnsi="宋体"/>
          <w:color w:val="000000"/>
          <w:kern w:val="2"/>
          <w:sz w:val="21"/>
        </w:rPr>
      </w:pPr>
      <w:r>
        <w:rPr>
          <w:rFonts w:hint="eastAsia" w:hAnsi="宋体"/>
          <w:color w:val="000000"/>
          <w:kern w:val="2"/>
          <w:sz w:val="21"/>
        </w:rPr>
        <w:t>（1）供应商直接或者间接从采购人或者采购代理机构处获得其他供应商的相关信息并修改其投标文件或者响应文件；</w:t>
      </w:r>
    </w:p>
    <w:p>
      <w:pPr>
        <w:pStyle w:val="15"/>
        <w:snapToGrid w:val="0"/>
        <w:spacing w:line="360" w:lineRule="auto"/>
        <w:ind w:left="2" w:leftChars="1" w:firstLine="420" w:firstLineChars="200"/>
        <w:rPr>
          <w:rFonts w:hint="eastAsia" w:hAnsi="宋体"/>
          <w:color w:val="000000"/>
          <w:kern w:val="2"/>
          <w:sz w:val="21"/>
        </w:rPr>
      </w:pPr>
      <w:r>
        <w:rPr>
          <w:rFonts w:hint="eastAsia" w:hAnsi="宋体"/>
          <w:color w:val="000000"/>
          <w:kern w:val="2"/>
          <w:sz w:val="21"/>
        </w:rPr>
        <w:t>（2）供应商按照采购人或者采购代理机构的授意撤换、修改投标文件或者响应文件；</w:t>
      </w:r>
    </w:p>
    <w:p>
      <w:pPr>
        <w:pStyle w:val="15"/>
        <w:snapToGrid w:val="0"/>
        <w:spacing w:line="360" w:lineRule="auto"/>
        <w:ind w:left="2" w:leftChars="1" w:firstLine="420" w:firstLineChars="200"/>
        <w:rPr>
          <w:rFonts w:hint="eastAsia" w:hAnsi="宋体"/>
          <w:color w:val="000000"/>
          <w:kern w:val="2"/>
          <w:sz w:val="21"/>
        </w:rPr>
      </w:pPr>
      <w:r>
        <w:rPr>
          <w:rFonts w:hint="eastAsia" w:hAnsi="宋体"/>
          <w:color w:val="000000"/>
          <w:kern w:val="2"/>
          <w:sz w:val="21"/>
        </w:rPr>
        <w:t>（3）供应商之间协商报价、技术方案等投标文件或者响应文件的实质性内容；</w:t>
      </w:r>
    </w:p>
    <w:p>
      <w:pPr>
        <w:pStyle w:val="15"/>
        <w:snapToGrid w:val="0"/>
        <w:spacing w:line="360" w:lineRule="auto"/>
        <w:ind w:left="2" w:leftChars="1" w:firstLine="420" w:firstLineChars="200"/>
        <w:rPr>
          <w:rFonts w:hint="eastAsia" w:hAnsi="宋体"/>
          <w:color w:val="000000"/>
          <w:kern w:val="2"/>
          <w:sz w:val="21"/>
        </w:rPr>
      </w:pPr>
      <w:r>
        <w:rPr>
          <w:rFonts w:hint="eastAsia" w:hAnsi="宋体"/>
          <w:color w:val="000000"/>
          <w:kern w:val="2"/>
          <w:sz w:val="21"/>
        </w:rPr>
        <w:t>（4）属于同一集团、协会、商会等组织成员的供应商按照该组织要求协同参加政府采购活动；</w:t>
      </w:r>
    </w:p>
    <w:p>
      <w:pPr>
        <w:pStyle w:val="15"/>
        <w:snapToGrid w:val="0"/>
        <w:spacing w:line="360" w:lineRule="auto"/>
        <w:ind w:left="2" w:leftChars="1" w:firstLine="420" w:firstLineChars="200"/>
        <w:rPr>
          <w:rFonts w:hint="eastAsia" w:hAnsi="宋体"/>
          <w:color w:val="000000"/>
          <w:kern w:val="2"/>
          <w:sz w:val="21"/>
        </w:rPr>
      </w:pPr>
      <w:r>
        <w:rPr>
          <w:rFonts w:hint="eastAsia" w:hAnsi="宋体"/>
          <w:color w:val="000000"/>
          <w:kern w:val="2"/>
          <w:sz w:val="21"/>
        </w:rPr>
        <w:t>（5）供应商之间事先约定一致抬高或者压低投标报价，或者在招标项目中事先约定轮流以高价位或者低价位中标，或者事先约定由某一特定供应商中标，然后再参加投标；</w:t>
      </w:r>
    </w:p>
    <w:p>
      <w:pPr>
        <w:pStyle w:val="15"/>
        <w:snapToGrid w:val="0"/>
        <w:spacing w:line="360" w:lineRule="auto"/>
        <w:ind w:left="2" w:leftChars="1" w:firstLine="420" w:firstLineChars="200"/>
        <w:rPr>
          <w:rFonts w:hint="eastAsia" w:hAnsi="宋体"/>
          <w:color w:val="000000"/>
          <w:kern w:val="2"/>
          <w:sz w:val="21"/>
        </w:rPr>
      </w:pPr>
      <w:r>
        <w:rPr>
          <w:rFonts w:hint="eastAsia" w:hAnsi="宋体"/>
          <w:color w:val="000000"/>
          <w:kern w:val="2"/>
          <w:sz w:val="21"/>
        </w:rPr>
        <w:t>（6）供应商之间商定部分供应商放弃参加政府采购活动或者放弃中标；</w:t>
      </w:r>
    </w:p>
    <w:p>
      <w:pPr>
        <w:pStyle w:val="15"/>
        <w:snapToGrid w:val="0"/>
        <w:spacing w:line="360" w:lineRule="auto"/>
        <w:ind w:left="2" w:leftChars="1" w:firstLine="420" w:firstLineChars="200"/>
        <w:rPr>
          <w:rFonts w:hAnsi="宋体"/>
          <w:color w:val="000000"/>
          <w:kern w:val="2"/>
          <w:sz w:val="21"/>
        </w:rPr>
      </w:pPr>
      <w:r>
        <w:rPr>
          <w:rFonts w:hint="eastAsia" w:hAnsi="宋体"/>
          <w:color w:val="000000"/>
          <w:kern w:val="2"/>
          <w:sz w:val="21"/>
        </w:rPr>
        <w:t>（7）供应商与采购人或者采购代理机构之间、供应商相互之间，为谋求特定供应商中标或者排斥其他供应商的其他串通行为。</w:t>
      </w:r>
    </w:p>
    <w:p>
      <w:pPr>
        <w:pStyle w:val="15"/>
        <w:snapToGrid w:val="0"/>
        <w:spacing w:line="360" w:lineRule="auto"/>
        <w:ind w:left="2" w:leftChars="1" w:firstLine="422" w:firstLineChars="200"/>
        <w:rPr>
          <w:rFonts w:hint="eastAsia" w:hAnsi="宋体"/>
          <w:b/>
          <w:color w:val="000000"/>
          <w:kern w:val="2"/>
          <w:sz w:val="21"/>
        </w:rPr>
      </w:pPr>
    </w:p>
    <w:p>
      <w:pPr>
        <w:pStyle w:val="7"/>
        <w:keepNext w:val="0"/>
        <w:keepLines w:val="0"/>
        <w:jc w:val="center"/>
        <w:rPr>
          <w:rFonts w:hint="eastAsia"/>
          <w:color w:val="000000"/>
        </w:rPr>
      </w:pPr>
      <w:bookmarkStart w:id="96" w:name="_Toc254970675"/>
      <w:bookmarkStart w:id="97" w:name="_Toc254970534"/>
      <w:r>
        <w:rPr>
          <w:rFonts w:hint="eastAsia"/>
          <w:color w:val="000000"/>
        </w:rPr>
        <w:t>二、招标文件</w:t>
      </w:r>
      <w:bookmarkEnd w:id="96"/>
      <w:bookmarkEnd w:id="97"/>
    </w:p>
    <w:p>
      <w:pPr>
        <w:pStyle w:val="9"/>
        <w:keepNext w:val="0"/>
        <w:keepLines w:val="0"/>
        <w:spacing w:before="0" w:after="0" w:line="360" w:lineRule="auto"/>
        <w:ind w:left="420" w:leftChars="200"/>
        <w:rPr>
          <w:rFonts w:hint="eastAsia" w:ascii="黑体" w:hAnsi="黑体" w:eastAsia="黑体"/>
          <w:color w:val="000000"/>
          <w:sz w:val="24"/>
        </w:rPr>
      </w:pPr>
      <w:r>
        <w:rPr>
          <w:rFonts w:hint="eastAsia" w:ascii="黑体" w:hAnsi="黑体" w:eastAsia="黑体"/>
          <w:color w:val="000000"/>
          <w:sz w:val="24"/>
        </w:rPr>
        <w:t>10.招标文件的组成</w:t>
      </w:r>
    </w:p>
    <w:p>
      <w:pPr>
        <w:snapToGrid w:val="0"/>
        <w:spacing w:line="360" w:lineRule="auto"/>
        <w:ind w:firstLine="420"/>
        <w:jc w:val="left"/>
        <w:rPr>
          <w:rFonts w:hint="eastAsia" w:ascii="宋体" w:hAnsi="宋体"/>
          <w:color w:val="000000"/>
          <w:szCs w:val="21"/>
        </w:rPr>
      </w:pPr>
      <w:r>
        <w:rPr>
          <w:rFonts w:hint="eastAsia" w:ascii="宋体" w:hAnsi="宋体"/>
          <w:color w:val="000000"/>
          <w:szCs w:val="21"/>
        </w:rPr>
        <w:t>（1）招标公告；</w:t>
      </w:r>
    </w:p>
    <w:p>
      <w:pPr>
        <w:snapToGrid w:val="0"/>
        <w:spacing w:line="360" w:lineRule="auto"/>
        <w:ind w:firstLine="420"/>
        <w:jc w:val="left"/>
        <w:rPr>
          <w:rFonts w:hint="eastAsia" w:ascii="宋体" w:hAnsi="宋体"/>
          <w:color w:val="000000"/>
          <w:szCs w:val="21"/>
        </w:rPr>
      </w:pPr>
      <w:r>
        <w:rPr>
          <w:rFonts w:hint="eastAsia" w:ascii="宋体" w:hAnsi="宋体"/>
          <w:color w:val="000000"/>
          <w:szCs w:val="21"/>
        </w:rPr>
        <w:t xml:space="preserve">（2）采购需求； </w:t>
      </w:r>
    </w:p>
    <w:p>
      <w:pPr>
        <w:snapToGrid w:val="0"/>
        <w:spacing w:line="360" w:lineRule="auto"/>
        <w:ind w:firstLine="420"/>
        <w:jc w:val="left"/>
        <w:rPr>
          <w:rFonts w:hint="eastAsia" w:ascii="宋体" w:hAnsi="宋体"/>
          <w:color w:val="000000"/>
          <w:szCs w:val="21"/>
        </w:rPr>
      </w:pPr>
      <w:r>
        <w:rPr>
          <w:rFonts w:hint="eastAsia" w:ascii="宋体" w:hAnsi="宋体"/>
          <w:color w:val="000000"/>
          <w:szCs w:val="21"/>
        </w:rPr>
        <w:t>（3）投标人须知；</w:t>
      </w:r>
    </w:p>
    <w:p>
      <w:pPr>
        <w:snapToGrid w:val="0"/>
        <w:spacing w:line="360" w:lineRule="auto"/>
        <w:ind w:firstLine="420"/>
        <w:jc w:val="left"/>
        <w:rPr>
          <w:rFonts w:hint="eastAsia" w:ascii="宋体" w:hAnsi="宋体"/>
          <w:color w:val="000000"/>
          <w:szCs w:val="21"/>
        </w:rPr>
      </w:pPr>
      <w:r>
        <w:rPr>
          <w:rFonts w:hint="eastAsia" w:ascii="宋体" w:hAnsi="宋体"/>
          <w:color w:val="000000"/>
          <w:szCs w:val="21"/>
        </w:rPr>
        <w:t>（4）评标方法及评标标准；</w:t>
      </w:r>
    </w:p>
    <w:p>
      <w:pPr>
        <w:snapToGrid w:val="0"/>
        <w:spacing w:line="360" w:lineRule="auto"/>
        <w:ind w:firstLine="420"/>
        <w:jc w:val="left"/>
        <w:rPr>
          <w:rFonts w:hint="eastAsia" w:ascii="宋体" w:hAnsi="宋体"/>
          <w:color w:val="000000"/>
          <w:szCs w:val="21"/>
        </w:rPr>
      </w:pPr>
      <w:r>
        <w:rPr>
          <w:rFonts w:hint="eastAsia" w:ascii="宋体" w:hAnsi="宋体"/>
          <w:color w:val="000000"/>
          <w:szCs w:val="21"/>
        </w:rPr>
        <w:t>（5）拟签订的合同文本；</w:t>
      </w:r>
    </w:p>
    <w:p>
      <w:pPr>
        <w:snapToGrid w:val="0"/>
        <w:spacing w:line="360" w:lineRule="auto"/>
        <w:ind w:firstLine="420"/>
        <w:jc w:val="left"/>
        <w:rPr>
          <w:rFonts w:hint="eastAsia" w:ascii="宋体" w:hAnsi="宋体"/>
          <w:color w:val="000000"/>
          <w:szCs w:val="21"/>
        </w:rPr>
      </w:pPr>
      <w:r>
        <w:rPr>
          <w:rFonts w:hint="eastAsia" w:ascii="宋体" w:hAnsi="宋体"/>
          <w:color w:val="000000"/>
          <w:szCs w:val="21"/>
        </w:rPr>
        <w:t>（6）投标文件格式。</w:t>
      </w:r>
    </w:p>
    <w:p>
      <w:pPr>
        <w:pStyle w:val="9"/>
        <w:keepNext w:val="0"/>
        <w:keepLines w:val="0"/>
        <w:spacing w:before="0" w:after="0" w:line="360" w:lineRule="auto"/>
        <w:ind w:left="420" w:leftChars="200"/>
        <w:rPr>
          <w:rFonts w:hint="eastAsia" w:ascii="黑体" w:hAnsi="黑体" w:eastAsia="黑体"/>
          <w:color w:val="000000"/>
          <w:sz w:val="24"/>
        </w:rPr>
      </w:pPr>
      <w:r>
        <w:rPr>
          <w:rFonts w:hint="eastAsia" w:ascii="黑体" w:hAnsi="黑体" w:eastAsia="黑体"/>
          <w:color w:val="000000"/>
          <w:sz w:val="24"/>
        </w:rPr>
        <w:t>11.招标文件的澄清、修改 、现场考察和答疑会</w:t>
      </w:r>
    </w:p>
    <w:p>
      <w:pPr>
        <w:pStyle w:val="9"/>
        <w:keepNext w:val="0"/>
        <w:keepLines w:val="0"/>
        <w:spacing w:before="0" w:after="0" w:line="360" w:lineRule="auto"/>
        <w:ind w:firstLine="315" w:firstLineChars="150"/>
        <w:rPr>
          <w:rFonts w:hint="eastAsia" w:ascii="宋体" w:hAnsi="宋体"/>
          <w:b w:val="0"/>
          <w:color w:val="000000"/>
          <w:sz w:val="21"/>
          <w:szCs w:val="21"/>
        </w:rPr>
      </w:pPr>
      <w:r>
        <w:rPr>
          <w:rFonts w:hint="eastAsia" w:ascii="宋体" w:hAnsi="宋体"/>
          <w:b w:val="0"/>
          <w:color w:val="000000"/>
          <w:sz w:val="21"/>
          <w:szCs w:val="21"/>
        </w:rPr>
        <w:t xml:space="preserve"> 11.1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pStyle w:val="15"/>
        <w:snapToGrid w:val="0"/>
        <w:spacing w:line="360" w:lineRule="auto"/>
        <w:ind w:firstLine="420" w:firstLineChars="200"/>
        <w:rPr>
          <w:rFonts w:hint="eastAsia" w:hAnsi="宋体"/>
          <w:color w:val="000000"/>
          <w:sz w:val="21"/>
        </w:rPr>
      </w:pPr>
      <w:r>
        <w:rPr>
          <w:rFonts w:hint="eastAsia" w:hAnsi="宋体"/>
          <w:color w:val="000000"/>
          <w:sz w:val="21"/>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pStyle w:val="15"/>
        <w:snapToGrid w:val="0"/>
        <w:spacing w:line="360" w:lineRule="auto"/>
        <w:ind w:firstLine="420" w:firstLineChars="200"/>
        <w:rPr>
          <w:rFonts w:hint="eastAsia" w:hAnsi="宋体"/>
          <w:color w:val="000000"/>
          <w:sz w:val="21"/>
        </w:rPr>
      </w:pPr>
      <w:r>
        <w:rPr>
          <w:rFonts w:hint="eastAsia" w:hAnsi="宋体"/>
          <w:color w:val="000000"/>
          <w:sz w:val="21"/>
        </w:rPr>
        <w:t>1</w:t>
      </w:r>
      <w:r>
        <w:rPr>
          <w:rFonts w:hAnsi="宋体"/>
          <w:color w:val="000000"/>
          <w:sz w:val="21"/>
        </w:rPr>
        <w:t>1.2</w:t>
      </w:r>
      <w:bookmarkStart w:id="98" w:name="_Hlk53134511"/>
      <w:r>
        <w:rPr>
          <w:rFonts w:hint="eastAsia" w:hAnsi="宋体"/>
          <w:color w:val="000000"/>
          <w:sz w:val="21"/>
        </w:rPr>
        <w:t>采购人或者采购代理机构可以在招标文件提供期限截止后，组织已获取招标文件的潜在投标人现场考察或者召开开标前答疑会，具体详见“投标人须知前附表”。</w:t>
      </w:r>
    </w:p>
    <w:bookmarkEnd w:id="98"/>
    <w:p>
      <w:pPr>
        <w:pStyle w:val="7"/>
        <w:keepNext w:val="0"/>
        <w:keepLines w:val="0"/>
        <w:jc w:val="center"/>
        <w:rPr>
          <w:rFonts w:hint="eastAsia"/>
          <w:color w:val="000000"/>
        </w:rPr>
      </w:pPr>
      <w:bookmarkStart w:id="99" w:name="_Toc254970676"/>
      <w:bookmarkStart w:id="100" w:name="_Toc254970535"/>
      <w:r>
        <w:rPr>
          <w:rFonts w:hint="eastAsia"/>
          <w:color w:val="000000"/>
        </w:rPr>
        <w:t>三、投标文件的编制</w:t>
      </w:r>
      <w:bookmarkEnd w:id="99"/>
      <w:bookmarkEnd w:id="100"/>
    </w:p>
    <w:p>
      <w:pPr>
        <w:pStyle w:val="9"/>
        <w:keepNext w:val="0"/>
        <w:keepLines w:val="0"/>
        <w:spacing w:before="0" w:after="0" w:line="360" w:lineRule="auto"/>
        <w:ind w:left="420" w:leftChars="200"/>
        <w:rPr>
          <w:rFonts w:hint="eastAsia" w:ascii="黑体" w:hAnsi="黑体" w:eastAsia="黑体"/>
          <w:color w:val="000000"/>
          <w:sz w:val="24"/>
        </w:rPr>
      </w:pPr>
      <w:bookmarkStart w:id="101" w:name="_Toc254970536"/>
      <w:bookmarkStart w:id="102" w:name="_Toc254970677"/>
      <w:r>
        <w:rPr>
          <w:rFonts w:hint="eastAsia" w:ascii="黑体" w:hAnsi="黑体" w:eastAsia="黑体"/>
          <w:color w:val="000000"/>
          <w:sz w:val="24"/>
        </w:rPr>
        <w:t>12.投标文件的编制原则</w:t>
      </w:r>
    </w:p>
    <w:p>
      <w:pPr>
        <w:snapToGrid w:val="0"/>
        <w:spacing w:line="360" w:lineRule="auto"/>
        <w:ind w:firstLine="420"/>
        <w:jc w:val="left"/>
        <w:rPr>
          <w:rFonts w:hint="eastAsia" w:ascii="宋体" w:hAnsi="宋体" w:cs="Courier New"/>
          <w:color w:val="000000"/>
          <w:szCs w:val="21"/>
        </w:rPr>
      </w:pPr>
      <w:r>
        <w:rPr>
          <w:rFonts w:ascii="宋体" w:hAnsi="宋体"/>
          <w:color w:val="000000"/>
          <w:szCs w:val="21"/>
        </w:rPr>
        <w:t>投标人必须按照招标文件的要求编制投标文件。投标文件必须对招标文件提出的要求和条件作出明确响应。</w:t>
      </w:r>
    </w:p>
    <w:p>
      <w:pPr>
        <w:pStyle w:val="9"/>
        <w:keepNext w:val="0"/>
        <w:keepLines w:val="0"/>
        <w:spacing w:before="0" w:after="0" w:line="360" w:lineRule="auto"/>
        <w:ind w:left="420" w:leftChars="200"/>
        <w:rPr>
          <w:rFonts w:hint="eastAsia" w:ascii="黑体" w:hAnsi="黑体" w:eastAsia="黑体"/>
          <w:color w:val="000000"/>
          <w:sz w:val="24"/>
        </w:rPr>
      </w:pPr>
      <w:r>
        <w:rPr>
          <w:rFonts w:hint="eastAsia" w:ascii="黑体" w:hAnsi="黑体" w:eastAsia="黑体"/>
          <w:color w:val="000000"/>
          <w:sz w:val="24"/>
        </w:rPr>
        <w:t>13.投标文件的组成</w:t>
      </w:r>
      <w:bookmarkEnd w:id="101"/>
      <w:bookmarkEnd w:id="102"/>
    </w:p>
    <w:p>
      <w:pPr>
        <w:snapToGrid w:val="0"/>
        <w:spacing w:line="360" w:lineRule="auto"/>
        <w:ind w:firstLine="420" w:firstLineChars="200"/>
        <w:jc w:val="left"/>
        <w:rPr>
          <w:rFonts w:hint="eastAsia" w:ascii="宋体" w:hAnsi="宋体"/>
          <w:color w:val="000000"/>
          <w:szCs w:val="21"/>
        </w:rPr>
      </w:pPr>
      <w:r>
        <w:rPr>
          <w:rFonts w:hint="eastAsia" w:ascii="宋体" w:hAnsi="宋体"/>
          <w:color w:val="000000"/>
          <w:szCs w:val="21"/>
        </w:rPr>
        <w:t>投标文件由报价文件、资格证明文件、商务文件、技术文件四部分组成。</w:t>
      </w:r>
    </w:p>
    <w:p>
      <w:pPr>
        <w:pStyle w:val="9"/>
        <w:keepNext w:val="0"/>
        <w:keepLines w:val="0"/>
        <w:spacing w:before="0" w:after="0" w:line="360" w:lineRule="auto"/>
        <w:ind w:left="420" w:leftChars="200"/>
        <w:rPr>
          <w:rFonts w:hint="eastAsia" w:ascii="宋体" w:hAnsi="宋体"/>
          <w:b w:val="0"/>
          <w:color w:val="000000"/>
          <w:sz w:val="21"/>
          <w:szCs w:val="21"/>
        </w:rPr>
      </w:pPr>
      <w:bookmarkStart w:id="103" w:name="_13.1报价文件:_具体材料见“投标人须知前附表”。"/>
      <w:bookmarkEnd w:id="103"/>
      <w:r>
        <w:rPr>
          <w:rFonts w:hint="eastAsia" w:ascii="宋体" w:hAnsi="宋体"/>
          <w:b w:val="0"/>
          <w:color w:val="000000"/>
          <w:sz w:val="21"/>
          <w:szCs w:val="21"/>
        </w:rPr>
        <w:t>（1）报价文件：</w:t>
      </w:r>
      <w:r>
        <w:rPr>
          <w:rFonts w:ascii="宋体" w:hAnsi="宋体"/>
          <w:b w:val="0"/>
          <w:color w:val="000000"/>
          <w:sz w:val="21"/>
          <w:szCs w:val="21"/>
        </w:rPr>
        <w:t>具体材料见“投标人须知前附表”</w:t>
      </w:r>
      <w:r>
        <w:rPr>
          <w:rFonts w:hint="eastAsia" w:ascii="宋体" w:hAnsi="宋体"/>
          <w:b w:val="0"/>
          <w:color w:val="000000"/>
          <w:sz w:val="21"/>
          <w:szCs w:val="21"/>
        </w:rPr>
        <w:t>。</w:t>
      </w:r>
    </w:p>
    <w:p>
      <w:pPr>
        <w:pStyle w:val="9"/>
        <w:keepNext w:val="0"/>
        <w:keepLines w:val="0"/>
        <w:spacing w:before="0" w:after="0" w:line="360" w:lineRule="auto"/>
        <w:ind w:left="420" w:leftChars="200"/>
        <w:rPr>
          <w:rFonts w:hint="eastAsia" w:ascii="宋体" w:hAnsi="宋体"/>
          <w:b w:val="0"/>
          <w:color w:val="000000"/>
          <w:sz w:val="21"/>
          <w:szCs w:val="21"/>
        </w:rPr>
      </w:pPr>
      <w:bookmarkStart w:id="104" w:name="_13.2资格证明文件：具体材料见“投标人须知前附表”。"/>
      <w:bookmarkEnd w:id="104"/>
      <w:r>
        <w:rPr>
          <w:rFonts w:hint="eastAsia" w:ascii="宋体" w:hAnsi="宋体"/>
          <w:b w:val="0"/>
          <w:color w:val="000000"/>
          <w:sz w:val="21"/>
          <w:szCs w:val="21"/>
        </w:rPr>
        <w:t>（</w:t>
      </w:r>
      <w:r>
        <w:rPr>
          <w:rFonts w:ascii="宋体" w:hAnsi="宋体"/>
          <w:b w:val="0"/>
          <w:color w:val="000000"/>
          <w:sz w:val="21"/>
          <w:szCs w:val="21"/>
        </w:rPr>
        <w:t>2</w:t>
      </w:r>
      <w:r>
        <w:rPr>
          <w:rFonts w:hint="eastAsia" w:ascii="宋体" w:hAnsi="宋体"/>
          <w:b w:val="0"/>
          <w:color w:val="000000"/>
          <w:sz w:val="21"/>
          <w:szCs w:val="21"/>
        </w:rPr>
        <w:t>）资格证明文件：</w:t>
      </w:r>
      <w:r>
        <w:rPr>
          <w:rFonts w:ascii="宋体" w:hAnsi="宋体"/>
          <w:b w:val="0"/>
          <w:color w:val="000000"/>
          <w:sz w:val="21"/>
          <w:szCs w:val="21"/>
        </w:rPr>
        <w:t>具体材料见“投标人须知前附表”</w:t>
      </w:r>
      <w:r>
        <w:rPr>
          <w:rFonts w:hint="eastAsia" w:ascii="宋体" w:hAnsi="宋体"/>
          <w:b w:val="0"/>
          <w:color w:val="000000"/>
          <w:sz w:val="21"/>
          <w:szCs w:val="21"/>
        </w:rPr>
        <w:t>。</w:t>
      </w:r>
    </w:p>
    <w:p>
      <w:pPr>
        <w:pStyle w:val="9"/>
        <w:keepNext w:val="0"/>
        <w:keepLines w:val="0"/>
        <w:spacing w:before="0" w:after="0" w:line="360" w:lineRule="auto"/>
        <w:ind w:left="420" w:leftChars="200"/>
        <w:rPr>
          <w:rFonts w:hint="eastAsia" w:ascii="宋体" w:hAnsi="宋体"/>
          <w:b w:val="0"/>
          <w:color w:val="000000"/>
          <w:sz w:val="21"/>
          <w:szCs w:val="21"/>
        </w:rPr>
      </w:pPr>
      <w:bookmarkStart w:id="105" w:name="_13.3商务文件:_具体材料见“投标人须知前附表”。"/>
      <w:bookmarkEnd w:id="105"/>
      <w:r>
        <w:rPr>
          <w:rFonts w:hint="eastAsia" w:ascii="宋体" w:hAnsi="宋体"/>
          <w:b w:val="0"/>
          <w:color w:val="000000"/>
          <w:sz w:val="21"/>
          <w:szCs w:val="21"/>
        </w:rPr>
        <w:t>（</w:t>
      </w:r>
      <w:r>
        <w:rPr>
          <w:rFonts w:ascii="宋体" w:hAnsi="宋体"/>
          <w:b w:val="0"/>
          <w:color w:val="000000"/>
          <w:sz w:val="21"/>
          <w:szCs w:val="21"/>
        </w:rPr>
        <w:t>3</w:t>
      </w:r>
      <w:r>
        <w:rPr>
          <w:rFonts w:hint="eastAsia" w:ascii="宋体" w:hAnsi="宋体"/>
          <w:b w:val="0"/>
          <w:color w:val="000000"/>
          <w:sz w:val="21"/>
          <w:szCs w:val="21"/>
        </w:rPr>
        <w:t>）商务文件：</w:t>
      </w:r>
      <w:r>
        <w:rPr>
          <w:rFonts w:ascii="宋体" w:hAnsi="宋体"/>
          <w:b w:val="0"/>
          <w:color w:val="000000"/>
          <w:sz w:val="21"/>
          <w:szCs w:val="21"/>
        </w:rPr>
        <w:t>具体材料见“投标人须知前附表”</w:t>
      </w:r>
      <w:r>
        <w:rPr>
          <w:rFonts w:hint="eastAsia" w:ascii="宋体" w:hAnsi="宋体"/>
          <w:b w:val="0"/>
          <w:color w:val="000000"/>
          <w:sz w:val="21"/>
          <w:szCs w:val="21"/>
        </w:rPr>
        <w:t>。</w:t>
      </w:r>
    </w:p>
    <w:p>
      <w:pPr>
        <w:pStyle w:val="9"/>
        <w:keepNext w:val="0"/>
        <w:keepLines w:val="0"/>
        <w:spacing w:before="0" w:after="0" w:line="360" w:lineRule="auto"/>
        <w:ind w:left="420" w:leftChars="200"/>
        <w:rPr>
          <w:rFonts w:hint="eastAsia" w:ascii="宋体" w:hAnsi="宋体"/>
          <w:b w:val="0"/>
          <w:color w:val="000000"/>
          <w:sz w:val="21"/>
          <w:szCs w:val="21"/>
        </w:rPr>
      </w:pPr>
      <w:bookmarkStart w:id="106" w:name="_13.4技术文件：具体材料见“投标人须知前附表”。"/>
      <w:bookmarkEnd w:id="106"/>
      <w:r>
        <w:rPr>
          <w:rFonts w:hint="eastAsia" w:ascii="宋体" w:hAnsi="宋体"/>
          <w:b w:val="0"/>
          <w:color w:val="000000"/>
          <w:sz w:val="21"/>
          <w:szCs w:val="21"/>
        </w:rPr>
        <w:t>（</w:t>
      </w:r>
      <w:r>
        <w:rPr>
          <w:rFonts w:ascii="宋体" w:hAnsi="宋体"/>
          <w:b w:val="0"/>
          <w:color w:val="000000"/>
          <w:sz w:val="21"/>
          <w:szCs w:val="21"/>
        </w:rPr>
        <w:t>4</w:t>
      </w:r>
      <w:r>
        <w:rPr>
          <w:rFonts w:hint="eastAsia" w:ascii="宋体" w:hAnsi="宋体"/>
          <w:b w:val="0"/>
          <w:color w:val="000000"/>
          <w:sz w:val="21"/>
          <w:szCs w:val="21"/>
        </w:rPr>
        <w:t>）技术文件：</w:t>
      </w:r>
      <w:r>
        <w:rPr>
          <w:rFonts w:ascii="宋体" w:hAnsi="宋体"/>
          <w:b w:val="0"/>
          <w:color w:val="000000"/>
          <w:sz w:val="21"/>
          <w:szCs w:val="21"/>
        </w:rPr>
        <w:t>具体材料见“投标人须知前附表”</w:t>
      </w:r>
      <w:r>
        <w:rPr>
          <w:rFonts w:hint="eastAsia" w:ascii="宋体" w:hAnsi="宋体"/>
          <w:b w:val="0"/>
          <w:color w:val="000000"/>
          <w:sz w:val="21"/>
          <w:szCs w:val="21"/>
        </w:rPr>
        <w:t>。</w:t>
      </w:r>
    </w:p>
    <w:p>
      <w:pPr>
        <w:pStyle w:val="9"/>
        <w:keepNext w:val="0"/>
        <w:keepLines w:val="0"/>
        <w:spacing w:before="0" w:after="0" w:line="360" w:lineRule="auto"/>
        <w:ind w:left="420" w:leftChars="200"/>
        <w:rPr>
          <w:rFonts w:hint="eastAsia" w:ascii="黑体" w:hAnsi="黑体" w:eastAsia="黑体"/>
          <w:color w:val="000000"/>
          <w:sz w:val="24"/>
        </w:rPr>
      </w:pPr>
      <w:bookmarkStart w:id="107" w:name="_13.5投标文件电子版：具体材料见“投标人须知前附表”。"/>
      <w:bookmarkEnd w:id="107"/>
      <w:bookmarkStart w:id="108" w:name="_Toc254970537"/>
      <w:bookmarkStart w:id="109" w:name="_Toc254970678"/>
      <w:r>
        <w:rPr>
          <w:rFonts w:hint="eastAsia" w:ascii="黑体" w:hAnsi="黑体" w:eastAsia="黑体"/>
          <w:color w:val="000000"/>
          <w:sz w:val="24"/>
        </w:rPr>
        <w:t>14.投标文件的语言及计量</w:t>
      </w:r>
      <w:bookmarkEnd w:id="108"/>
      <w:bookmarkEnd w:id="109"/>
    </w:p>
    <w:p>
      <w:pPr>
        <w:pStyle w:val="9"/>
        <w:keepNext w:val="0"/>
        <w:keepLines w:val="0"/>
        <w:spacing w:before="0" w:after="0" w:line="360" w:lineRule="auto"/>
        <w:ind w:left="420" w:leftChars="200"/>
        <w:rPr>
          <w:rFonts w:hint="eastAsia" w:ascii="宋体" w:hAnsi="宋体"/>
          <w:b w:val="0"/>
          <w:color w:val="000000"/>
          <w:sz w:val="21"/>
          <w:szCs w:val="21"/>
        </w:rPr>
      </w:pPr>
      <w:r>
        <w:rPr>
          <w:rFonts w:hint="eastAsia" w:ascii="宋体" w:hAnsi="宋体"/>
          <w:b w:val="0"/>
          <w:color w:val="000000"/>
          <w:sz w:val="21"/>
          <w:szCs w:val="21"/>
        </w:rPr>
        <w:t>14.1语言文字</w:t>
      </w:r>
    </w:p>
    <w:p>
      <w:pPr>
        <w:pStyle w:val="9"/>
        <w:keepNext w:val="0"/>
        <w:keepLines w:val="0"/>
        <w:spacing w:before="0" w:after="0" w:line="360" w:lineRule="auto"/>
        <w:ind w:firstLine="420" w:firstLineChars="200"/>
        <w:rPr>
          <w:rFonts w:hint="eastAsia" w:ascii="宋体" w:hAnsi="宋体"/>
          <w:b w:val="0"/>
          <w:color w:val="000000"/>
          <w:sz w:val="21"/>
          <w:szCs w:val="21"/>
        </w:rPr>
      </w:pPr>
      <w:r>
        <w:rPr>
          <w:rFonts w:hint="eastAsia" w:ascii="宋体" w:hAnsi="宋体"/>
          <w:b w:val="0"/>
          <w:color w:val="000000"/>
          <w:sz w:val="21"/>
          <w:szCs w:val="21"/>
        </w:rPr>
        <w:t>投标文件以及投标人与采购人就有关投标事宜的所有来往函电，均应以中文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pPr>
        <w:pStyle w:val="9"/>
        <w:keepNext w:val="0"/>
        <w:keepLines w:val="0"/>
        <w:spacing w:before="0" w:after="0" w:line="360" w:lineRule="auto"/>
        <w:ind w:firstLine="420" w:firstLineChars="200"/>
        <w:rPr>
          <w:rFonts w:ascii="宋体" w:hAnsi="宋体"/>
          <w:b w:val="0"/>
          <w:color w:val="000000"/>
          <w:sz w:val="21"/>
          <w:szCs w:val="21"/>
        </w:rPr>
      </w:pPr>
      <w:r>
        <w:rPr>
          <w:rFonts w:hint="eastAsia" w:ascii="宋体" w:hAnsi="宋体"/>
          <w:b w:val="0"/>
          <w:color w:val="000000"/>
          <w:sz w:val="21"/>
          <w:szCs w:val="21"/>
        </w:rPr>
        <w:t>14.2投标计量单位</w:t>
      </w:r>
    </w:p>
    <w:p>
      <w:pPr>
        <w:pStyle w:val="9"/>
        <w:keepNext w:val="0"/>
        <w:keepLines w:val="0"/>
        <w:spacing w:before="0" w:after="0" w:line="360" w:lineRule="auto"/>
        <w:ind w:firstLine="420" w:firstLineChars="200"/>
        <w:rPr>
          <w:rFonts w:hint="eastAsia" w:ascii="宋体" w:hAnsi="宋体"/>
          <w:b w:val="0"/>
          <w:color w:val="000000"/>
          <w:sz w:val="21"/>
          <w:szCs w:val="21"/>
        </w:rPr>
      </w:pPr>
      <w:r>
        <w:rPr>
          <w:rFonts w:hint="eastAsia" w:ascii="宋体" w:hAnsi="宋体"/>
          <w:b w:val="0"/>
          <w:color w:val="000000"/>
          <w:sz w:val="21"/>
          <w:szCs w:val="21"/>
        </w:rPr>
        <w:t>招标文件已有明确规定的，使用招标文件规定的计量单位；招标文件没有规定的，应采用中华人民共和国法定计量单位，货币种类为人民币，</w:t>
      </w:r>
      <w:r>
        <w:rPr>
          <w:rFonts w:hint="eastAsia" w:ascii="宋体" w:hAnsi="宋体"/>
          <w:color w:val="000000"/>
          <w:sz w:val="21"/>
          <w:szCs w:val="21"/>
        </w:rPr>
        <w:t>否则视同未响应。</w:t>
      </w:r>
    </w:p>
    <w:p>
      <w:pPr>
        <w:pStyle w:val="9"/>
        <w:keepNext w:val="0"/>
        <w:keepLines w:val="0"/>
        <w:spacing w:before="0" w:after="0" w:line="360" w:lineRule="auto"/>
        <w:ind w:left="420" w:leftChars="200"/>
        <w:rPr>
          <w:rFonts w:hint="eastAsia" w:ascii="黑体" w:hAnsi="黑体" w:eastAsia="黑体"/>
          <w:color w:val="000000"/>
          <w:sz w:val="24"/>
        </w:rPr>
      </w:pPr>
      <w:r>
        <w:rPr>
          <w:rFonts w:hint="eastAsia" w:ascii="黑体" w:hAnsi="黑体" w:eastAsia="黑体"/>
          <w:color w:val="000000"/>
          <w:sz w:val="24"/>
        </w:rPr>
        <w:t>15.投标的风险</w:t>
      </w:r>
    </w:p>
    <w:p>
      <w:pPr>
        <w:pStyle w:val="15"/>
        <w:snapToGrid w:val="0"/>
        <w:spacing w:line="360" w:lineRule="auto"/>
        <w:ind w:firstLine="420" w:firstLineChars="200"/>
        <w:jc w:val="left"/>
        <w:rPr>
          <w:rFonts w:hint="eastAsia" w:hAnsi="宋体"/>
          <w:color w:val="000000"/>
          <w:sz w:val="21"/>
        </w:rPr>
      </w:pPr>
      <w:r>
        <w:rPr>
          <w:rFonts w:hint="eastAsia" w:hAnsi="宋体"/>
          <w:color w:val="000000"/>
          <w:sz w:val="21"/>
        </w:rPr>
        <w:t>投标人没有按照招标文件要求提供全部资料，或者投标人没有对招标文件作出实质性响应是投标人的风险，并可能导致其投标被拒绝。</w:t>
      </w:r>
    </w:p>
    <w:p>
      <w:pPr>
        <w:pStyle w:val="9"/>
        <w:keepNext w:val="0"/>
        <w:keepLines w:val="0"/>
        <w:spacing w:before="0" w:after="0" w:line="360" w:lineRule="auto"/>
        <w:ind w:left="420" w:leftChars="200"/>
        <w:rPr>
          <w:rFonts w:hint="eastAsia" w:ascii="黑体" w:hAnsi="黑体" w:eastAsia="黑体"/>
          <w:color w:val="000000"/>
          <w:sz w:val="24"/>
        </w:rPr>
      </w:pPr>
      <w:bookmarkStart w:id="110" w:name="_Toc254970538"/>
      <w:bookmarkStart w:id="111" w:name="_Toc254970679"/>
      <w:r>
        <w:rPr>
          <w:rFonts w:hint="eastAsia" w:ascii="黑体" w:hAnsi="黑体" w:eastAsia="黑体"/>
          <w:color w:val="000000"/>
          <w:sz w:val="24"/>
        </w:rPr>
        <w:t>16.投标报价</w:t>
      </w:r>
      <w:bookmarkEnd w:id="110"/>
      <w:bookmarkEnd w:id="111"/>
    </w:p>
    <w:p>
      <w:pPr>
        <w:pStyle w:val="9"/>
        <w:keepNext w:val="0"/>
        <w:keepLines w:val="0"/>
        <w:spacing w:before="0" w:after="0" w:line="360" w:lineRule="auto"/>
        <w:ind w:left="420" w:leftChars="200"/>
        <w:rPr>
          <w:rFonts w:hint="eastAsia" w:ascii="宋体" w:hAnsi="宋体"/>
          <w:b w:val="0"/>
          <w:color w:val="000000"/>
          <w:sz w:val="21"/>
          <w:szCs w:val="21"/>
        </w:rPr>
      </w:pPr>
      <w:r>
        <w:rPr>
          <w:rFonts w:hint="eastAsia" w:ascii="宋体" w:hAnsi="宋体"/>
          <w:b w:val="0"/>
          <w:color w:val="000000"/>
          <w:sz w:val="21"/>
          <w:szCs w:val="21"/>
        </w:rPr>
        <w:t>16.1投标报价应按“第六章　投标文件格式”中“开标一览表”格式填写。</w:t>
      </w:r>
    </w:p>
    <w:p>
      <w:pPr>
        <w:pStyle w:val="9"/>
        <w:keepNext w:val="0"/>
        <w:keepLines w:val="0"/>
        <w:spacing w:before="0" w:after="0" w:line="360" w:lineRule="auto"/>
        <w:ind w:left="420" w:leftChars="200"/>
        <w:rPr>
          <w:rFonts w:hint="eastAsia" w:ascii="宋体" w:hAnsi="宋体"/>
          <w:b w:val="0"/>
          <w:color w:val="000000"/>
          <w:sz w:val="21"/>
          <w:szCs w:val="21"/>
        </w:rPr>
      </w:pPr>
      <w:bookmarkStart w:id="112" w:name="_16.2投标报价具体定义见投标人须知前附表。"/>
      <w:bookmarkEnd w:id="112"/>
      <w:r>
        <w:rPr>
          <w:rFonts w:hint="eastAsia" w:ascii="宋体" w:hAnsi="宋体"/>
          <w:b w:val="0"/>
          <w:color w:val="000000"/>
          <w:sz w:val="21"/>
          <w:szCs w:val="21"/>
        </w:rPr>
        <w:t>16.2投标报价具体包括内容详见“投标人须知前附表”。</w:t>
      </w:r>
    </w:p>
    <w:p>
      <w:pPr>
        <w:pStyle w:val="9"/>
        <w:keepNext w:val="0"/>
        <w:keepLines w:val="0"/>
        <w:spacing w:before="0" w:after="0" w:line="360" w:lineRule="auto"/>
        <w:ind w:firstLine="420" w:firstLineChars="200"/>
        <w:rPr>
          <w:rFonts w:hint="eastAsia" w:ascii="宋体" w:hAnsi="宋体"/>
          <w:b w:val="0"/>
          <w:color w:val="000000"/>
          <w:sz w:val="21"/>
          <w:szCs w:val="21"/>
        </w:rPr>
      </w:pPr>
      <w:r>
        <w:rPr>
          <w:rFonts w:hint="eastAsia" w:ascii="宋体" w:hAnsi="宋体"/>
          <w:b w:val="0"/>
          <w:color w:val="000000"/>
          <w:sz w:val="21"/>
          <w:szCs w:val="21"/>
        </w:rPr>
        <w:t>16.3投标人必须就所投每个分标的全部内容分别作完整唯一总价报价，不得存在漏项报价；投标人必须就所投分标的单项内容作唯一报价。</w:t>
      </w:r>
    </w:p>
    <w:p>
      <w:pPr>
        <w:pStyle w:val="9"/>
        <w:keepNext w:val="0"/>
        <w:keepLines w:val="0"/>
        <w:spacing w:before="0" w:after="0" w:line="360" w:lineRule="auto"/>
        <w:ind w:left="420" w:leftChars="200"/>
        <w:rPr>
          <w:rFonts w:hint="eastAsia" w:ascii="黑体" w:hAnsi="黑体" w:eastAsia="黑体"/>
          <w:color w:val="000000"/>
          <w:sz w:val="24"/>
        </w:rPr>
      </w:pPr>
      <w:r>
        <w:rPr>
          <w:rFonts w:hint="eastAsia" w:ascii="黑体" w:hAnsi="黑体" w:eastAsia="黑体"/>
          <w:color w:val="000000"/>
          <w:sz w:val="24"/>
        </w:rPr>
        <w:t>17.投标有效期</w:t>
      </w:r>
    </w:p>
    <w:p>
      <w:pPr>
        <w:pStyle w:val="9"/>
        <w:keepNext w:val="0"/>
        <w:keepLines w:val="0"/>
        <w:spacing w:before="0" w:after="0" w:line="360" w:lineRule="auto"/>
        <w:ind w:firstLine="420" w:firstLineChars="200"/>
        <w:rPr>
          <w:rFonts w:hint="eastAsia" w:ascii="宋体" w:hAnsi="宋体"/>
          <w:b w:val="0"/>
          <w:color w:val="000000"/>
          <w:sz w:val="21"/>
          <w:szCs w:val="21"/>
        </w:rPr>
      </w:pPr>
      <w:bookmarkStart w:id="113" w:name="_17.1投标有效期应按“投标人须知中的前附表”规定的期限。"/>
      <w:bookmarkEnd w:id="113"/>
      <w:r>
        <w:rPr>
          <w:rFonts w:hint="eastAsia" w:ascii="宋体" w:hAnsi="宋体"/>
          <w:b w:val="0"/>
          <w:color w:val="000000"/>
          <w:sz w:val="21"/>
          <w:szCs w:val="21"/>
        </w:rPr>
        <w:t>17.1投标有效期是指为保证采购人有足够的时间在开标后完成评标、定标、合同签订等工作而要求投标人提交的投标文件在一定时间内保持有效的期限。</w:t>
      </w:r>
    </w:p>
    <w:p>
      <w:pPr>
        <w:pStyle w:val="9"/>
        <w:keepNext w:val="0"/>
        <w:keepLines w:val="0"/>
        <w:spacing w:before="0" w:after="0" w:line="360" w:lineRule="auto"/>
        <w:ind w:left="420" w:leftChars="200"/>
        <w:rPr>
          <w:rFonts w:hint="eastAsia" w:ascii="宋体" w:hAnsi="宋体"/>
          <w:b w:val="0"/>
          <w:color w:val="000000"/>
          <w:sz w:val="21"/>
          <w:szCs w:val="21"/>
        </w:rPr>
      </w:pPr>
      <w:r>
        <w:rPr>
          <w:rFonts w:hint="eastAsia" w:ascii="宋体" w:hAnsi="宋体"/>
          <w:b w:val="0"/>
          <w:color w:val="000000"/>
          <w:sz w:val="21"/>
          <w:szCs w:val="21"/>
        </w:rPr>
        <w:t>17.2</w:t>
      </w:r>
      <w:bookmarkStart w:id="114" w:name="_Toc254970540"/>
      <w:bookmarkStart w:id="115" w:name="_Toc254970681"/>
      <w:r>
        <w:rPr>
          <w:rFonts w:hint="eastAsia" w:ascii="宋体" w:hAnsi="宋体"/>
          <w:b w:val="0"/>
          <w:color w:val="000000"/>
          <w:sz w:val="21"/>
          <w:szCs w:val="21"/>
        </w:rPr>
        <w:t xml:space="preserve"> 投标有效期应按规定的期限作出承诺，具体详见“投标人须知前附表”。</w:t>
      </w:r>
    </w:p>
    <w:p>
      <w:pPr>
        <w:pStyle w:val="9"/>
        <w:keepNext w:val="0"/>
        <w:keepLines w:val="0"/>
        <w:spacing w:before="0" w:after="0" w:line="360" w:lineRule="auto"/>
        <w:ind w:left="420" w:leftChars="200"/>
        <w:rPr>
          <w:rFonts w:hint="eastAsia" w:ascii="宋体" w:hAnsi="宋体"/>
          <w:b w:val="0"/>
          <w:color w:val="000000"/>
          <w:sz w:val="21"/>
          <w:szCs w:val="21"/>
        </w:rPr>
      </w:pPr>
      <w:r>
        <w:rPr>
          <w:rFonts w:hint="eastAsia" w:ascii="宋体" w:hAnsi="宋体"/>
          <w:b w:val="0"/>
          <w:color w:val="000000"/>
          <w:sz w:val="21"/>
          <w:szCs w:val="21"/>
        </w:rPr>
        <w:t>17.3投标人的投标文件在投标有效期内均保持有效。</w:t>
      </w:r>
      <w:bookmarkEnd w:id="114"/>
      <w:bookmarkEnd w:id="115"/>
    </w:p>
    <w:p>
      <w:pPr>
        <w:pStyle w:val="9"/>
        <w:keepNext w:val="0"/>
        <w:keepLines w:val="0"/>
        <w:spacing w:before="0" w:after="0" w:line="360" w:lineRule="auto"/>
        <w:ind w:left="420" w:leftChars="200"/>
        <w:rPr>
          <w:rFonts w:hint="eastAsia" w:ascii="黑体" w:hAnsi="黑体" w:eastAsia="黑体"/>
          <w:color w:val="000000"/>
          <w:sz w:val="24"/>
        </w:rPr>
      </w:pPr>
      <w:bookmarkStart w:id="116" w:name="_18.投标保证金"/>
      <w:bookmarkEnd w:id="116"/>
      <w:bookmarkStart w:id="117" w:name="_Toc254970682"/>
      <w:bookmarkStart w:id="118" w:name="_Toc254970541"/>
      <w:r>
        <w:rPr>
          <w:rFonts w:hint="eastAsia" w:ascii="黑体" w:hAnsi="黑体" w:eastAsia="黑体"/>
          <w:color w:val="000000"/>
          <w:sz w:val="24"/>
        </w:rPr>
        <w:t>18.投标保证金</w:t>
      </w:r>
      <w:bookmarkEnd w:id="117"/>
      <w:bookmarkEnd w:id="118"/>
    </w:p>
    <w:p>
      <w:pPr>
        <w:pStyle w:val="9"/>
        <w:keepNext w:val="0"/>
        <w:keepLines w:val="0"/>
        <w:spacing w:before="0" w:after="0" w:line="360" w:lineRule="auto"/>
        <w:ind w:left="420" w:leftChars="200"/>
        <w:rPr>
          <w:rFonts w:ascii="宋体" w:hAnsi="宋体"/>
          <w:b w:val="0"/>
          <w:color w:val="000000"/>
          <w:sz w:val="21"/>
          <w:szCs w:val="21"/>
        </w:rPr>
      </w:pPr>
      <w:r>
        <w:rPr>
          <w:rFonts w:hint="eastAsia" w:ascii="宋体" w:hAnsi="宋体"/>
          <w:b w:val="0"/>
          <w:color w:val="000000"/>
          <w:sz w:val="21"/>
          <w:szCs w:val="21"/>
        </w:rPr>
        <w:t>18.1投标人须按“投标人须知前附表” 的规定提交投标保证金。</w:t>
      </w:r>
    </w:p>
    <w:p>
      <w:pPr>
        <w:pStyle w:val="9"/>
        <w:keepNext w:val="0"/>
        <w:keepLines w:val="0"/>
        <w:spacing w:before="0" w:after="0" w:line="360" w:lineRule="auto"/>
        <w:ind w:firstLine="420" w:firstLineChars="200"/>
        <w:rPr>
          <w:rFonts w:hint="eastAsia" w:ascii="宋体" w:hAnsi="宋体"/>
          <w:b w:val="0"/>
          <w:color w:val="000000"/>
          <w:sz w:val="21"/>
          <w:szCs w:val="21"/>
        </w:rPr>
      </w:pPr>
      <w:r>
        <w:rPr>
          <w:rFonts w:hint="eastAsia" w:ascii="宋体" w:hAnsi="宋体"/>
          <w:b w:val="0"/>
          <w:color w:val="000000"/>
          <w:sz w:val="21"/>
          <w:szCs w:val="21"/>
        </w:rPr>
        <w:t>18.2投标保证金的退还</w:t>
      </w:r>
    </w:p>
    <w:p>
      <w:pPr>
        <w:pStyle w:val="9"/>
        <w:keepNext w:val="0"/>
        <w:keepLines w:val="0"/>
        <w:spacing w:before="0" w:after="0" w:line="360" w:lineRule="auto"/>
        <w:ind w:firstLine="420" w:firstLineChars="200"/>
        <w:rPr>
          <w:rFonts w:hint="eastAsia" w:ascii="宋体" w:hAnsi="宋体"/>
          <w:b w:val="0"/>
          <w:color w:val="000000"/>
          <w:sz w:val="21"/>
          <w:szCs w:val="21"/>
        </w:rPr>
      </w:pPr>
      <w:r>
        <w:rPr>
          <w:rFonts w:hint="eastAsia" w:ascii="宋体" w:hAnsi="宋体"/>
          <w:b w:val="0"/>
          <w:color w:val="000000"/>
          <w:sz w:val="21"/>
          <w:szCs w:val="21"/>
        </w:rPr>
        <w:t xml:space="preserve">未中标人的投标保证金自中标通知书发出之日起5个工作日内退还；中标人的投标保证金自政府采购合同签订之日起5个工作日内退还。 </w:t>
      </w:r>
    </w:p>
    <w:p>
      <w:pPr>
        <w:pStyle w:val="9"/>
        <w:keepNext w:val="0"/>
        <w:keepLines w:val="0"/>
        <w:spacing w:before="0" w:after="0" w:line="360" w:lineRule="auto"/>
        <w:ind w:left="420" w:leftChars="200"/>
        <w:rPr>
          <w:rFonts w:hint="eastAsia" w:ascii="宋体" w:hAnsi="宋体"/>
          <w:b w:val="0"/>
          <w:color w:val="000000"/>
          <w:sz w:val="21"/>
          <w:szCs w:val="21"/>
        </w:rPr>
      </w:pPr>
      <w:r>
        <w:rPr>
          <w:rFonts w:hint="eastAsia" w:ascii="宋体" w:hAnsi="宋体"/>
          <w:b w:val="0"/>
          <w:color w:val="000000"/>
          <w:sz w:val="21"/>
          <w:szCs w:val="21"/>
        </w:rPr>
        <w:t>18.3除逾期退还投标保证金和终止招标的情形以外，投标保证金不计息。</w:t>
      </w:r>
    </w:p>
    <w:p>
      <w:pPr>
        <w:pStyle w:val="9"/>
        <w:keepNext w:val="0"/>
        <w:keepLines w:val="0"/>
        <w:spacing w:before="0" w:after="0" w:line="360" w:lineRule="auto"/>
        <w:ind w:left="420" w:leftChars="200"/>
        <w:rPr>
          <w:rFonts w:hint="eastAsia" w:ascii="宋体" w:hAnsi="宋体"/>
          <w:b w:val="0"/>
          <w:color w:val="000000"/>
          <w:sz w:val="21"/>
          <w:szCs w:val="21"/>
        </w:rPr>
      </w:pPr>
      <w:r>
        <w:rPr>
          <w:rFonts w:hint="eastAsia" w:ascii="宋体" w:hAnsi="宋体"/>
          <w:b w:val="0"/>
          <w:color w:val="000000"/>
          <w:sz w:val="21"/>
          <w:szCs w:val="21"/>
        </w:rPr>
        <w:t xml:space="preserve">18.4投标人有下列情形之一的，投标保证金将不予退还： </w:t>
      </w:r>
    </w:p>
    <w:p>
      <w:pPr>
        <w:snapToGrid w:val="0"/>
        <w:spacing w:line="360" w:lineRule="auto"/>
        <w:ind w:firstLine="411" w:firstLineChars="196"/>
        <w:jc w:val="left"/>
        <w:rPr>
          <w:rFonts w:hint="eastAsia" w:ascii="宋体" w:hAnsi="宋体"/>
          <w:color w:val="000000"/>
          <w:szCs w:val="21"/>
        </w:rPr>
      </w:pPr>
      <w:r>
        <w:rPr>
          <w:rFonts w:hint="eastAsia" w:ascii="宋体" w:hAnsi="宋体"/>
          <w:color w:val="000000"/>
          <w:szCs w:val="21"/>
        </w:rPr>
        <w:t>（1）投标人在投标有效期内撤销投标文件的；</w:t>
      </w:r>
    </w:p>
    <w:p>
      <w:pPr>
        <w:snapToGrid w:val="0"/>
        <w:spacing w:line="360" w:lineRule="auto"/>
        <w:ind w:firstLine="411" w:firstLineChars="196"/>
        <w:jc w:val="left"/>
        <w:rPr>
          <w:rFonts w:hint="eastAsia" w:ascii="宋体" w:hAnsi="宋体"/>
          <w:color w:val="000000"/>
          <w:szCs w:val="21"/>
        </w:rPr>
      </w:pPr>
      <w:r>
        <w:rPr>
          <w:rFonts w:hint="eastAsia" w:ascii="宋体" w:hAnsi="宋体"/>
          <w:color w:val="000000"/>
          <w:szCs w:val="21"/>
        </w:rPr>
        <w:t>（2）未按规定提交履约保证金的；</w:t>
      </w:r>
    </w:p>
    <w:p>
      <w:pPr>
        <w:snapToGrid w:val="0"/>
        <w:spacing w:line="360" w:lineRule="auto"/>
        <w:ind w:firstLine="411" w:firstLineChars="196"/>
        <w:jc w:val="left"/>
        <w:rPr>
          <w:rFonts w:hint="eastAsia" w:ascii="宋体" w:hAnsi="宋体"/>
          <w:color w:val="000000"/>
          <w:szCs w:val="21"/>
        </w:rPr>
      </w:pPr>
      <w:r>
        <w:rPr>
          <w:rFonts w:hint="eastAsia" w:ascii="宋体" w:hAnsi="宋体"/>
          <w:color w:val="000000"/>
          <w:szCs w:val="21"/>
        </w:rPr>
        <w:t>（3）投标人在投标过程中弄虚作假，提供虚假材料的；</w:t>
      </w:r>
    </w:p>
    <w:p>
      <w:pPr>
        <w:snapToGrid w:val="0"/>
        <w:spacing w:line="360" w:lineRule="auto"/>
        <w:ind w:firstLine="411" w:firstLineChars="196"/>
        <w:rPr>
          <w:rFonts w:hint="eastAsia" w:ascii="宋体" w:hAnsi="宋体"/>
          <w:color w:val="000000"/>
          <w:szCs w:val="21"/>
        </w:rPr>
      </w:pPr>
      <w:r>
        <w:rPr>
          <w:rFonts w:hint="eastAsia" w:ascii="宋体" w:hAnsi="宋体"/>
          <w:color w:val="000000"/>
          <w:szCs w:val="21"/>
        </w:rPr>
        <w:t>（4）中标人无正当理由不与采购人签订合同的；</w:t>
      </w:r>
    </w:p>
    <w:p>
      <w:pPr>
        <w:snapToGrid w:val="0"/>
        <w:spacing w:line="360" w:lineRule="auto"/>
        <w:ind w:firstLine="420" w:firstLineChars="200"/>
        <w:rPr>
          <w:rFonts w:hint="eastAsia" w:ascii="宋体" w:hAnsi="宋体"/>
          <w:color w:val="000000"/>
          <w:szCs w:val="21"/>
        </w:rPr>
      </w:pPr>
      <w:r>
        <w:rPr>
          <w:rFonts w:hint="eastAsia" w:ascii="宋体" w:hAnsi="宋体"/>
          <w:color w:val="000000"/>
          <w:szCs w:val="21"/>
        </w:rPr>
        <w:t>（5）投标人出现本章第9.2、9.3情形的；</w:t>
      </w:r>
    </w:p>
    <w:p>
      <w:pPr>
        <w:snapToGrid w:val="0"/>
        <w:spacing w:line="360" w:lineRule="auto"/>
        <w:ind w:firstLine="420" w:firstLineChars="200"/>
        <w:rPr>
          <w:rFonts w:hint="eastAsia" w:ascii="宋体" w:hAnsi="宋体"/>
          <w:color w:val="000000"/>
          <w:szCs w:val="21"/>
        </w:rPr>
      </w:pPr>
      <w:r>
        <w:rPr>
          <w:rFonts w:hint="eastAsia" w:ascii="宋体" w:hAnsi="宋体"/>
          <w:color w:val="000000"/>
          <w:szCs w:val="21"/>
        </w:rPr>
        <w:t>（6）</w:t>
      </w:r>
      <w:r>
        <w:rPr>
          <w:rFonts w:hint="eastAsia" w:ascii="宋体" w:hAnsi="宋体" w:cs="宋体"/>
          <w:color w:val="000000"/>
          <w:szCs w:val="21"/>
        </w:rPr>
        <w:t>法律法规规定的其他情形</w:t>
      </w:r>
      <w:r>
        <w:rPr>
          <w:rFonts w:hint="eastAsia" w:ascii="宋体" w:hAnsi="宋体"/>
          <w:color w:val="000000"/>
          <w:szCs w:val="21"/>
        </w:rPr>
        <w:t>。</w:t>
      </w:r>
    </w:p>
    <w:p>
      <w:pPr>
        <w:pStyle w:val="9"/>
        <w:keepNext w:val="0"/>
        <w:keepLines w:val="0"/>
        <w:spacing w:before="0" w:after="0" w:line="360" w:lineRule="auto"/>
        <w:ind w:left="420" w:leftChars="200"/>
        <w:rPr>
          <w:rFonts w:hint="eastAsia" w:ascii="黑体" w:hAnsi="黑体" w:eastAsia="黑体"/>
          <w:color w:val="000000"/>
          <w:sz w:val="24"/>
        </w:rPr>
      </w:pPr>
      <w:bookmarkStart w:id="119" w:name="_Toc254970683"/>
      <w:bookmarkStart w:id="120" w:name="_Toc254970542"/>
      <w:r>
        <w:rPr>
          <w:rFonts w:hint="eastAsia" w:ascii="黑体" w:hAnsi="黑体" w:eastAsia="黑体"/>
          <w:color w:val="000000"/>
          <w:sz w:val="24"/>
        </w:rPr>
        <w:t>19.投标文件的</w:t>
      </w:r>
      <w:bookmarkEnd w:id="119"/>
      <w:bookmarkEnd w:id="120"/>
      <w:r>
        <w:rPr>
          <w:rFonts w:hint="eastAsia" w:ascii="黑体" w:hAnsi="黑体" w:eastAsia="黑体"/>
          <w:color w:val="000000"/>
          <w:sz w:val="24"/>
        </w:rPr>
        <w:t>编制</w:t>
      </w:r>
    </w:p>
    <w:p>
      <w:pPr>
        <w:pStyle w:val="9"/>
        <w:keepNext w:val="0"/>
        <w:keepLines w:val="0"/>
        <w:spacing w:before="0" w:after="0" w:line="360" w:lineRule="auto"/>
        <w:ind w:firstLine="315" w:firstLineChars="150"/>
        <w:rPr>
          <w:rFonts w:hint="eastAsia" w:ascii="宋体" w:hAnsi="宋体"/>
          <w:b w:val="0"/>
          <w:color w:val="000000"/>
          <w:sz w:val="21"/>
          <w:szCs w:val="21"/>
        </w:rPr>
      </w:pPr>
      <w:r>
        <w:rPr>
          <w:rFonts w:hint="eastAsia" w:ascii="宋体" w:hAnsi="宋体"/>
          <w:b w:val="0"/>
          <w:color w:val="000000"/>
          <w:sz w:val="21"/>
          <w:szCs w:val="21"/>
        </w:rPr>
        <w:t xml:space="preserve"> 19.1投标人应先安装“政采云电子投标客户端”（请自行前往“政采云”平台进行下载），并按照本项目招标文件规定的格式和顺序和“政采云”平台的要求编制并加密。投标文件内容不完整、编排混乱导致投标文件被误读、漏读或者查找不到相关内容的，由此引发的后果由投标人承担。</w:t>
      </w:r>
    </w:p>
    <w:p>
      <w:pPr>
        <w:pStyle w:val="9"/>
        <w:keepNext w:val="0"/>
        <w:keepLines w:val="0"/>
        <w:spacing w:before="0" w:after="0" w:line="360" w:lineRule="auto"/>
        <w:ind w:firstLine="315" w:firstLineChars="150"/>
        <w:rPr>
          <w:rFonts w:hint="eastAsia" w:ascii="宋体" w:hAnsi="宋体"/>
          <w:b w:val="0"/>
          <w:color w:val="000000"/>
          <w:sz w:val="21"/>
          <w:szCs w:val="21"/>
        </w:rPr>
      </w:pPr>
      <w:bookmarkStart w:id="121" w:name="_19.2投标文件应按报价文件、资格证明文件、商务文件、技术文件分别编制"/>
      <w:bookmarkEnd w:id="121"/>
      <w:r>
        <w:rPr>
          <w:rFonts w:hint="eastAsia" w:ascii="宋体" w:hAnsi="宋体"/>
          <w:b w:val="0"/>
          <w:color w:val="000000"/>
          <w:sz w:val="21"/>
          <w:szCs w:val="21"/>
        </w:rPr>
        <w:t>19.2为确保网上操作合法、有效和安全，投标人应当在投标截止时间前完成在“政采云”平台的身份认证，确保在电子投标过程中能够对相关数据电文进行加密和使用电子签名。</w:t>
      </w:r>
    </w:p>
    <w:p>
      <w:pPr>
        <w:pStyle w:val="9"/>
        <w:keepNext w:val="0"/>
        <w:keepLines w:val="0"/>
        <w:spacing w:before="0" w:after="0" w:line="360" w:lineRule="auto"/>
        <w:rPr>
          <w:rFonts w:hint="eastAsia" w:ascii="宋体" w:hAnsi="宋体"/>
          <w:b w:val="0"/>
          <w:color w:val="000000"/>
          <w:sz w:val="21"/>
          <w:szCs w:val="21"/>
        </w:rPr>
      </w:pPr>
      <w:r>
        <w:rPr>
          <w:rFonts w:hint="eastAsia" w:ascii="宋体" w:hAnsi="宋体"/>
          <w:b w:val="0"/>
          <w:color w:val="000000"/>
          <w:sz w:val="21"/>
          <w:szCs w:val="21"/>
        </w:rPr>
        <w:t xml:space="preserve"> 19.3投标文件须由投标人在规定位置签字</w:t>
      </w:r>
      <w:r>
        <w:rPr>
          <w:rFonts w:hint="eastAsia" w:ascii="宋体" w:hAnsi="宋体"/>
          <w:b w:val="0"/>
          <w:color w:val="000000"/>
          <w:sz w:val="21"/>
          <w:szCs w:val="21"/>
          <w:lang w:eastAsia="zh-CN"/>
        </w:rPr>
        <w:t>（或者电子签名）</w:t>
      </w:r>
      <w:r>
        <w:rPr>
          <w:rFonts w:hint="eastAsia" w:ascii="宋体" w:hAnsi="宋体"/>
          <w:b w:val="0"/>
          <w:color w:val="000000"/>
          <w:sz w:val="21"/>
          <w:szCs w:val="21"/>
        </w:rPr>
        <w:t>、盖章（具体以投标人须知前附表或投标文件格式规定为准），</w:t>
      </w:r>
      <w:r>
        <w:rPr>
          <w:rFonts w:hint="eastAsia" w:ascii="宋体" w:hAnsi="宋体"/>
          <w:bCs/>
          <w:color w:val="000000"/>
          <w:sz w:val="21"/>
          <w:szCs w:val="21"/>
        </w:rPr>
        <w:t>否则按无效投标处理</w:t>
      </w:r>
      <w:r>
        <w:rPr>
          <w:rFonts w:hint="eastAsia" w:ascii="宋体" w:hAnsi="宋体"/>
          <w:b w:val="0"/>
          <w:color w:val="000000"/>
          <w:sz w:val="21"/>
          <w:szCs w:val="21"/>
        </w:rPr>
        <w:t>。</w:t>
      </w:r>
    </w:p>
    <w:p>
      <w:pPr>
        <w:pStyle w:val="9"/>
        <w:keepNext w:val="0"/>
        <w:keepLines w:val="0"/>
        <w:spacing w:before="0" w:after="0" w:line="360" w:lineRule="auto"/>
        <w:ind w:firstLine="315" w:firstLineChars="150"/>
        <w:rPr>
          <w:rFonts w:hint="eastAsia" w:ascii="宋体" w:hAnsi="宋体"/>
          <w:b w:val="0"/>
          <w:color w:val="000000"/>
          <w:sz w:val="21"/>
          <w:szCs w:val="21"/>
        </w:rPr>
      </w:pPr>
      <w:r>
        <w:rPr>
          <w:rFonts w:hint="eastAsia" w:ascii="宋体" w:hAnsi="宋体"/>
          <w:b w:val="0"/>
          <w:color w:val="000000"/>
          <w:sz w:val="21"/>
          <w:szCs w:val="21"/>
        </w:rPr>
        <w:t>19.4投标文件中标注的投标人名称应与主体资格证明（如营业执照或者事业单位法人证书或者执业许可证或者登记证书等）及公章一致，并与“政采云”中获取招标文件的投标人名称一致，投标人为自然人的，标注的投标人名称应与身份证姓名及签名一致，</w:t>
      </w:r>
      <w:r>
        <w:rPr>
          <w:rFonts w:hint="eastAsia" w:ascii="宋体" w:hAnsi="宋体"/>
          <w:color w:val="000000"/>
          <w:sz w:val="21"/>
          <w:szCs w:val="21"/>
        </w:rPr>
        <w:t>否则按无效投标处理</w:t>
      </w:r>
      <w:r>
        <w:rPr>
          <w:rFonts w:hint="eastAsia" w:ascii="宋体" w:hAnsi="宋体"/>
          <w:b w:val="0"/>
          <w:color w:val="000000"/>
          <w:sz w:val="21"/>
          <w:szCs w:val="21"/>
        </w:rPr>
        <w:t>。</w:t>
      </w:r>
    </w:p>
    <w:p>
      <w:pPr>
        <w:pStyle w:val="9"/>
        <w:keepNext w:val="0"/>
        <w:keepLines w:val="0"/>
        <w:spacing w:before="0" w:after="0" w:line="360" w:lineRule="auto"/>
        <w:ind w:firstLine="315" w:firstLineChars="150"/>
        <w:rPr>
          <w:rFonts w:hint="eastAsia" w:ascii="宋体" w:hAnsi="宋体"/>
          <w:b w:val="0"/>
          <w:color w:val="000000"/>
          <w:sz w:val="21"/>
          <w:szCs w:val="21"/>
        </w:rPr>
      </w:pPr>
      <w:r>
        <w:rPr>
          <w:rFonts w:hint="eastAsia" w:ascii="宋体" w:hAnsi="宋体"/>
          <w:b w:val="0"/>
          <w:color w:val="000000"/>
          <w:sz w:val="21"/>
          <w:szCs w:val="21"/>
        </w:rPr>
        <w:t xml:space="preserve"> 19.5投标文件应尽量避免涂改、行间插字或者删除。如果出现上述情况，改动之处应由投标人的法定代表人或者其委托代理人签字</w:t>
      </w:r>
      <w:r>
        <w:rPr>
          <w:rFonts w:hint="eastAsia" w:ascii="宋体" w:hAnsi="宋体"/>
          <w:b w:val="0"/>
          <w:color w:val="000000"/>
          <w:sz w:val="21"/>
          <w:szCs w:val="21"/>
          <w:lang w:eastAsia="zh-CN"/>
        </w:rPr>
        <w:t>（或者电子签名）</w:t>
      </w:r>
      <w:r>
        <w:rPr>
          <w:rFonts w:hint="eastAsia" w:ascii="宋体" w:hAnsi="宋体"/>
          <w:b w:val="0"/>
          <w:color w:val="000000"/>
          <w:sz w:val="21"/>
          <w:szCs w:val="21"/>
        </w:rPr>
        <w:t>或者加盖公章。投标文件因字迹潦草或者表达不清所引起的后果由投标人承担。</w:t>
      </w:r>
    </w:p>
    <w:p>
      <w:pPr>
        <w:spacing w:line="360" w:lineRule="auto"/>
        <w:ind w:firstLine="480" w:firstLineChars="200"/>
        <w:rPr>
          <w:rFonts w:hint="eastAsia" w:ascii="黑体" w:hAnsi="黑体" w:eastAsia="黑体"/>
          <w:color w:val="000000"/>
          <w:sz w:val="24"/>
        </w:rPr>
      </w:pPr>
      <w:r>
        <w:rPr>
          <w:rFonts w:hint="eastAsia" w:ascii="黑体" w:hAnsi="黑体" w:eastAsia="黑体"/>
          <w:color w:val="000000"/>
          <w:sz w:val="24"/>
        </w:rPr>
        <w:t>20.电子备份投标文件</w:t>
      </w:r>
    </w:p>
    <w:p>
      <w:pPr>
        <w:spacing w:line="360" w:lineRule="auto"/>
        <w:ind w:firstLine="420" w:firstLineChars="200"/>
        <w:rPr>
          <w:rFonts w:hint="eastAsia" w:ascii="黑体" w:hAnsi="黑体" w:eastAsia="黑体"/>
          <w:color w:val="000000"/>
          <w:sz w:val="24"/>
        </w:rPr>
      </w:pPr>
      <w:r>
        <w:rPr>
          <w:rFonts w:hint="eastAsia"/>
          <w:color w:val="000000"/>
        </w:rPr>
        <w:t>电子备份投标文件是指通过“政采云电子投标客户端”在线编制生成且后缀名为“</w:t>
      </w:r>
      <w:r>
        <w:rPr>
          <w:color w:val="000000"/>
        </w:rPr>
        <w:t>bfbs</w:t>
      </w:r>
      <w:r>
        <w:rPr>
          <w:rFonts w:hint="eastAsia"/>
          <w:color w:val="000000"/>
        </w:rPr>
        <w:t>”的文件，提交要求</w:t>
      </w:r>
      <w:r>
        <w:rPr>
          <w:rFonts w:hint="eastAsia" w:hAnsi="宋体"/>
          <w:bCs/>
          <w:color w:val="000000"/>
          <w:szCs w:val="21"/>
        </w:rPr>
        <w:t>详见在“投标人须知前附表”。</w:t>
      </w:r>
    </w:p>
    <w:p>
      <w:pPr>
        <w:pStyle w:val="9"/>
        <w:keepNext w:val="0"/>
        <w:keepLines w:val="0"/>
        <w:spacing w:before="0" w:after="0" w:line="360" w:lineRule="auto"/>
        <w:ind w:left="420" w:leftChars="200"/>
        <w:rPr>
          <w:rFonts w:hint="eastAsia" w:ascii="黑体" w:hAnsi="黑体" w:eastAsia="黑体"/>
          <w:color w:val="000000"/>
          <w:sz w:val="24"/>
        </w:rPr>
      </w:pPr>
      <w:r>
        <w:rPr>
          <w:rFonts w:hint="eastAsia" w:ascii="黑体" w:hAnsi="黑体" w:eastAsia="黑体"/>
          <w:color w:val="000000"/>
          <w:sz w:val="24"/>
        </w:rPr>
        <w:t>21.投标文件的提交</w:t>
      </w:r>
    </w:p>
    <w:p>
      <w:pPr>
        <w:spacing w:line="360" w:lineRule="auto"/>
        <w:ind w:firstLine="420" w:firstLineChars="200"/>
        <w:rPr>
          <w:rFonts w:hint="eastAsia" w:hAnsi="宋体"/>
          <w:b/>
          <w:color w:val="000000"/>
        </w:rPr>
      </w:pPr>
      <w:bookmarkStart w:id="122" w:name="_21.1投标人必须在“投标人须知中的前附表”规定的投标文件接收时间和投"/>
      <w:bookmarkEnd w:id="122"/>
      <w:r>
        <w:rPr>
          <w:rFonts w:hint="eastAsia" w:hAnsi="宋体"/>
          <w:bCs/>
          <w:color w:val="000000"/>
          <w:szCs w:val="21"/>
        </w:rPr>
        <w:t>21.1投标人必须在“投标人须知前附表”规定的</w:t>
      </w:r>
      <w:r>
        <w:rPr>
          <w:rFonts w:hint="eastAsia" w:ascii="宋体" w:hAnsi="宋体"/>
          <w:color w:val="000000"/>
          <w:szCs w:val="21"/>
        </w:rPr>
        <w:t>投标文件提交截止时间前将</w:t>
      </w:r>
      <w:r>
        <w:rPr>
          <w:rFonts w:hint="eastAsia" w:hAnsi="宋体"/>
          <w:bCs/>
          <w:color w:val="000000"/>
          <w:szCs w:val="21"/>
        </w:rPr>
        <w:t>电子投标文件提交至投标地点。电子投标文件应在制作完成后，</w:t>
      </w:r>
      <w:r>
        <w:rPr>
          <w:rFonts w:hAnsi="宋体"/>
          <w:bCs/>
          <w:color w:val="000000"/>
          <w:szCs w:val="21"/>
        </w:rPr>
        <w:t>在投标截止时间前</w:t>
      </w:r>
      <w:r>
        <w:rPr>
          <w:rFonts w:hint="eastAsia" w:hAnsi="宋体"/>
          <w:bCs/>
          <w:color w:val="000000"/>
          <w:szCs w:val="21"/>
        </w:rPr>
        <w:t>通过有效数字证书（CA认证锁）进行电子签章、加密，然后通过网络将加密的电子投标文件递交至</w:t>
      </w:r>
      <w:r>
        <w:rPr>
          <w:rFonts w:hint="eastAsia" w:ascii="宋体" w:hAnsi="宋体"/>
          <w:b/>
          <w:color w:val="000000"/>
          <w:szCs w:val="21"/>
        </w:rPr>
        <w:t>“政采云”平台</w:t>
      </w:r>
      <w:r>
        <w:rPr>
          <w:rFonts w:hint="eastAsia" w:hAnsi="宋体"/>
          <w:bCs/>
          <w:color w:val="000000"/>
          <w:szCs w:val="21"/>
        </w:rPr>
        <w:t xml:space="preserve">。 </w:t>
      </w:r>
      <w:r>
        <w:rPr>
          <w:rFonts w:hint="eastAsia" w:hAnsi="宋体"/>
          <w:b/>
          <w:color w:val="000000"/>
        </w:rPr>
        <w:t xml:space="preserve"> </w:t>
      </w:r>
    </w:p>
    <w:p>
      <w:pPr>
        <w:spacing w:line="360" w:lineRule="auto"/>
        <w:ind w:firstLine="422" w:firstLineChars="200"/>
        <w:rPr>
          <w:rFonts w:hint="eastAsia" w:ascii="宋体" w:hAnsi="宋体"/>
          <w:b/>
          <w:color w:val="000000"/>
          <w:szCs w:val="20"/>
        </w:rPr>
      </w:pPr>
      <w:r>
        <w:rPr>
          <w:rFonts w:hint="eastAsia" w:ascii="宋体" w:hAnsi="宋体"/>
          <w:b/>
          <w:color w:val="000000"/>
          <w:szCs w:val="21"/>
        </w:rPr>
        <w:t>21.</w:t>
      </w:r>
      <w:r>
        <w:rPr>
          <w:rFonts w:ascii="宋体" w:hAnsi="宋体"/>
          <w:b/>
          <w:color w:val="000000"/>
          <w:szCs w:val="21"/>
        </w:rPr>
        <w:t>2</w:t>
      </w:r>
      <w:r>
        <w:rPr>
          <w:rFonts w:hint="eastAsia" w:ascii="宋体" w:hAnsi="宋体"/>
          <w:b/>
          <w:color w:val="000000"/>
          <w:szCs w:val="21"/>
        </w:rPr>
        <w:t>未在规定时间内提交或者未按照招标文件要求加密的电子投标文件，“政采云”平台将拒收。</w:t>
      </w:r>
    </w:p>
    <w:p>
      <w:pPr>
        <w:pStyle w:val="9"/>
        <w:keepNext w:val="0"/>
        <w:keepLines w:val="0"/>
        <w:spacing w:before="0" w:after="0" w:line="360" w:lineRule="auto"/>
        <w:ind w:left="420" w:leftChars="200"/>
        <w:rPr>
          <w:rFonts w:hint="eastAsia" w:ascii="黑体" w:hAnsi="黑体" w:eastAsia="黑体"/>
          <w:color w:val="000000"/>
          <w:sz w:val="24"/>
        </w:rPr>
      </w:pPr>
      <w:r>
        <w:rPr>
          <w:rFonts w:hint="eastAsia" w:ascii="黑体" w:hAnsi="黑体" w:eastAsia="黑体"/>
          <w:color w:val="000000"/>
          <w:sz w:val="24"/>
        </w:rPr>
        <w:t>22. 投标文件的补充、修改、撤回与退回</w:t>
      </w:r>
    </w:p>
    <w:p>
      <w:pPr>
        <w:snapToGrid w:val="0"/>
        <w:spacing w:line="360" w:lineRule="auto"/>
        <w:ind w:firstLine="420"/>
        <w:jc w:val="left"/>
        <w:rPr>
          <w:rFonts w:hint="eastAsia" w:ascii="宋体" w:hAnsi="宋体"/>
          <w:color w:val="000000"/>
          <w:szCs w:val="21"/>
        </w:rPr>
      </w:pPr>
      <w:bookmarkStart w:id="123" w:name="_Toc254970543"/>
      <w:bookmarkStart w:id="124" w:name="_Toc254970684"/>
      <w:r>
        <w:rPr>
          <w:rFonts w:ascii="宋体" w:hAnsi="宋体" w:cs="宋体"/>
          <w:color w:val="000000"/>
          <w:szCs w:val="21"/>
        </w:rPr>
        <w:t>22</w:t>
      </w:r>
      <w:r>
        <w:rPr>
          <w:rFonts w:hint="eastAsia" w:ascii="宋体" w:hAnsi="宋体" w:cs="宋体"/>
          <w:color w:val="000000"/>
          <w:szCs w:val="21"/>
        </w:rPr>
        <w:t>.1</w:t>
      </w:r>
      <w:r>
        <w:rPr>
          <w:rFonts w:hint="eastAsia" w:ascii="宋体" w:hAnsi="宋体"/>
          <w:bCs/>
          <w:color w:val="000000"/>
          <w:szCs w:val="21"/>
        </w:rPr>
        <w:t>投标人应当在投标截止时间前完成电子投标文件的上传、提交，投标截止时间前可以补充、修改或者撤回投标文件。补充或者修改投标文件的，应当先行撤回原投标文件，补充、修改后重新上传、提交，投标截止时间前未完成上传、提交的，视为撤回投标文件。投标截止时间以后上传递交的投标文件，“政采云”平台将予以拒收。</w:t>
      </w:r>
      <w:r>
        <w:rPr>
          <w:rFonts w:hint="eastAsia" w:ascii="宋体" w:hAnsi="宋体" w:cs="宋体"/>
          <w:color w:val="000000"/>
          <w:szCs w:val="21"/>
        </w:rPr>
        <w:t>（补充、修改或者撤回方式可</w:t>
      </w:r>
      <w:r>
        <w:rPr>
          <w:rFonts w:hint="eastAsia" w:ascii="宋体" w:hAnsi="宋体"/>
          <w:color w:val="000000"/>
          <w:szCs w:val="21"/>
        </w:rPr>
        <w:t>登陆</w:t>
      </w:r>
      <w:r>
        <w:rPr>
          <w:rFonts w:hint="eastAsia" w:ascii="宋体" w:hAnsi="宋体" w:cs="宋体"/>
          <w:color w:val="000000"/>
          <w:kern w:val="0"/>
          <w:szCs w:val="21"/>
        </w:rPr>
        <w:t>“政采云”平台，</w:t>
      </w:r>
      <w:r>
        <w:rPr>
          <w:rFonts w:hint="eastAsia" w:ascii="宋体" w:hAnsi="宋体"/>
          <w:color w:val="000000"/>
          <w:szCs w:val="21"/>
        </w:rPr>
        <w:t>依次进入“服务中心”中查看</w:t>
      </w:r>
      <w:r>
        <w:rPr>
          <w:rFonts w:hint="eastAsia" w:ascii="宋体" w:hAnsi="宋体" w:cs="宋体"/>
          <w:color w:val="000000"/>
          <w:szCs w:val="21"/>
        </w:rPr>
        <w:t xml:space="preserve"> “电子投标文件制作与投送教程”）</w:t>
      </w:r>
    </w:p>
    <w:bookmarkEnd w:id="123"/>
    <w:bookmarkEnd w:id="124"/>
    <w:p>
      <w:pPr>
        <w:pStyle w:val="27"/>
        <w:spacing w:before="0"/>
        <w:ind w:firstLine="420"/>
        <w:rPr>
          <w:rFonts w:hint="eastAsia" w:ascii="宋体" w:hAnsi="宋体" w:cs="宋体"/>
          <w:color w:val="000000"/>
          <w:sz w:val="21"/>
          <w:szCs w:val="21"/>
        </w:rPr>
      </w:pPr>
      <w:r>
        <w:rPr>
          <w:rFonts w:ascii="宋体" w:hAnsi="宋体" w:cs="宋体"/>
          <w:color w:val="000000"/>
          <w:sz w:val="21"/>
          <w:szCs w:val="21"/>
        </w:rPr>
        <w:t>22.</w:t>
      </w:r>
      <w:r>
        <w:rPr>
          <w:rFonts w:hint="eastAsia" w:ascii="宋体" w:hAnsi="宋体" w:cs="宋体"/>
          <w:color w:val="000000"/>
          <w:sz w:val="21"/>
          <w:szCs w:val="21"/>
        </w:rPr>
        <w:t>2“政采云”平台收到投标文件后向供应商发出确认回执通知。在投标截止时间前，除供应商补充、修改或者撤回投标文件外，任何单位和个人不得解密或提取投标文件。</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22.</w:t>
      </w:r>
      <w:r>
        <w:rPr>
          <w:rFonts w:ascii="宋体" w:hAnsi="宋体" w:cs="宋体"/>
          <w:color w:val="000000"/>
          <w:szCs w:val="21"/>
        </w:rPr>
        <w:t>3</w:t>
      </w:r>
      <w:r>
        <w:rPr>
          <w:rFonts w:hint="eastAsia" w:ascii="宋体" w:hAnsi="宋体" w:cs="宋体"/>
          <w:color w:val="000000"/>
          <w:szCs w:val="21"/>
        </w:rPr>
        <w:t>在投标截止时间后，采购人和采购代理机构对已提交的投标文件概不退回。</w:t>
      </w:r>
    </w:p>
    <w:p>
      <w:pPr>
        <w:pStyle w:val="7"/>
        <w:keepNext w:val="0"/>
        <w:keepLines w:val="0"/>
        <w:jc w:val="center"/>
        <w:rPr>
          <w:rFonts w:hint="eastAsia"/>
          <w:color w:val="000000"/>
        </w:rPr>
      </w:pPr>
      <w:bookmarkStart w:id="125" w:name="_Toc254970544"/>
      <w:bookmarkStart w:id="126" w:name="_Toc254970685"/>
      <w:r>
        <w:rPr>
          <w:rFonts w:hint="eastAsia"/>
          <w:color w:val="000000"/>
        </w:rPr>
        <w:t>四、开    标</w:t>
      </w:r>
      <w:bookmarkEnd w:id="125"/>
      <w:bookmarkEnd w:id="126"/>
    </w:p>
    <w:p>
      <w:pPr>
        <w:pStyle w:val="9"/>
        <w:keepNext w:val="0"/>
        <w:keepLines w:val="0"/>
        <w:spacing w:before="0" w:after="0" w:line="360" w:lineRule="auto"/>
        <w:ind w:left="420" w:leftChars="200"/>
        <w:rPr>
          <w:rFonts w:hint="eastAsia" w:ascii="黑体" w:hAnsi="黑体" w:eastAsia="黑体"/>
          <w:color w:val="000000"/>
          <w:sz w:val="24"/>
        </w:rPr>
      </w:pPr>
      <w:bookmarkStart w:id="127" w:name="_23.开标时间和地点"/>
      <w:bookmarkEnd w:id="127"/>
      <w:r>
        <w:rPr>
          <w:rFonts w:hint="eastAsia" w:ascii="黑体" w:hAnsi="黑体" w:eastAsia="黑体"/>
          <w:color w:val="000000"/>
          <w:sz w:val="24"/>
        </w:rPr>
        <w:t>23.开标时间和地点</w:t>
      </w:r>
    </w:p>
    <w:p>
      <w:pPr>
        <w:spacing w:line="360" w:lineRule="auto"/>
        <w:ind w:firstLine="420" w:firstLineChars="200"/>
        <w:rPr>
          <w:rFonts w:hint="eastAsia" w:hAnsi="宋体"/>
          <w:bCs/>
          <w:color w:val="000000"/>
        </w:rPr>
      </w:pPr>
      <w:r>
        <w:rPr>
          <w:rFonts w:hint="eastAsia" w:hAnsi="宋体"/>
          <w:bCs/>
          <w:color w:val="000000"/>
        </w:rPr>
        <w:t>开标时间及地点详见“投标人须知前附表”</w:t>
      </w:r>
    </w:p>
    <w:p>
      <w:pPr>
        <w:pStyle w:val="9"/>
        <w:keepNext w:val="0"/>
        <w:keepLines w:val="0"/>
        <w:spacing w:before="0" w:after="0" w:line="360" w:lineRule="auto"/>
        <w:ind w:left="420" w:leftChars="200"/>
        <w:rPr>
          <w:rFonts w:ascii="黑体" w:hAnsi="黑体" w:eastAsia="黑体"/>
          <w:color w:val="000000"/>
          <w:sz w:val="24"/>
        </w:rPr>
      </w:pPr>
      <w:r>
        <w:rPr>
          <w:rFonts w:hint="eastAsia" w:ascii="黑体" w:hAnsi="黑体" w:eastAsia="黑体"/>
          <w:color w:val="000000"/>
          <w:sz w:val="24"/>
        </w:rPr>
        <w:t>24.开标程序</w:t>
      </w:r>
    </w:p>
    <w:p>
      <w:pPr>
        <w:pStyle w:val="10"/>
        <w:spacing w:line="360" w:lineRule="auto"/>
        <w:rPr>
          <w:color w:val="000000"/>
        </w:rPr>
      </w:pPr>
      <w:r>
        <w:rPr>
          <w:rFonts w:hint="eastAsia"/>
          <w:color w:val="000000"/>
        </w:rPr>
        <w:t>2</w:t>
      </w:r>
      <w:r>
        <w:rPr>
          <w:color w:val="000000"/>
        </w:rPr>
        <w:t>4.1</w:t>
      </w:r>
      <w:r>
        <w:rPr>
          <w:rFonts w:hint="eastAsia"/>
          <w:color w:val="000000"/>
        </w:rPr>
        <w:t>提交投标文件截止时间止，投标人不足3家的，不得开标。</w:t>
      </w:r>
    </w:p>
    <w:p>
      <w:pPr>
        <w:pStyle w:val="10"/>
        <w:spacing w:line="360" w:lineRule="auto"/>
        <w:rPr>
          <w:color w:val="000000"/>
        </w:rPr>
      </w:pPr>
      <w:r>
        <w:rPr>
          <w:rFonts w:hint="eastAsia"/>
          <w:color w:val="000000"/>
        </w:rPr>
        <w:t>24.</w:t>
      </w:r>
      <w:r>
        <w:rPr>
          <w:color w:val="000000"/>
        </w:rPr>
        <w:t>2</w:t>
      </w:r>
      <w:r>
        <w:rPr>
          <w:rFonts w:hint="eastAsia"/>
          <w:color w:val="000000"/>
        </w:rPr>
        <w:t>采购代理机构将按照招标文件规定的时间通过“政采云”平台组织线上开标活动，所有供应商均应当准时在线参加，投标人因未在线参加开标而导致投标文件无法按时解密等一切后果由投标人自己承担。</w:t>
      </w:r>
    </w:p>
    <w:p>
      <w:pPr>
        <w:pStyle w:val="10"/>
        <w:spacing w:line="360" w:lineRule="auto"/>
        <w:rPr>
          <w:rFonts w:hint="eastAsia"/>
          <w:color w:val="000000"/>
        </w:rPr>
      </w:pPr>
      <w:r>
        <w:rPr>
          <w:rFonts w:hint="eastAsia"/>
          <w:color w:val="000000"/>
        </w:rPr>
        <w:t>24.</w:t>
      </w:r>
      <w:r>
        <w:rPr>
          <w:color w:val="000000"/>
        </w:rPr>
        <w:t>3</w:t>
      </w:r>
      <w:r>
        <w:rPr>
          <w:rFonts w:hint="eastAsia"/>
          <w:color w:val="000000"/>
        </w:rPr>
        <w:t>开标程序</w:t>
      </w:r>
    </w:p>
    <w:p>
      <w:pPr>
        <w:pStyle w:val="10"/>
        <w:spacing w:line="360" w:lineRule="auto"/>
        <w:rPr>
          <w:rFonts w:hint="eastAsia"/>
          <w:color w:val="000000"/>
        </w:rPr>
      </w:pPr>
      <w:r>
        <w:rPr>
          <w:rFonts w:hint="eastAsia"/>
          <w:color w:val="000000"/>
        </w:rPr>
        <w:t>（1）解密电子投标文件。“政采云”平台按开标时间自动提取所有投标文件。采购代理机构依托“政采云”平台向各投标人发出电子加密投标文件【开始解密】通知，由投标人按</w:t>
      </w:r>
      <w:r>
        <w:rPr>
          <w:rFonts w:hint="eastAsia" w:hAnsi="宋体"/>
          <w:bCs/>
          <w:color w:val="000000"/>
          <w:szCs w:val="21"/>
        </w:rPr>
        <w:t>“投标人须知前附表”</w:t>
      </w:r>
      <w:r>
        <w:rPr>
          <w:rFonts w:hint="eastAsia"/>
          <w:color w:val="000000"/>
        </w:rPr>
        <w:t>规定的时间内自行进行投标文件解密。投标人的法定代表人或其委托代理人须凭加密时所用的CA锁准时登录到“政采云”平台电子开标大厅签到并对电子投标文件解密。</w:t>
      </w:r>
    </w:p>
    <w:p>
      <w:pPr>
        <w:pStyle w:val="10"/>
        <w:spacing w:line="360" w:lineRule="auto"/>
        <w:rPr>
          <w:rFonts w:hint="eastAsia"/>
          <w:color w:val="000000"/>
        </w:rPr>
      </w:pPr>
      <w:r>
        <w:rPr>
          <w:rFonts w:hint="eastAsia"/>
          <w:color w:val="000000"/>
        </w:rPr>
        <w:t>如招标文件规定不接受备份电子投标文件，</w:t>
      </w:r>
      <w:r>
        <w:rPr>
          <w:color w:val="000000"/>
        </w:rPr>
        <w:t>投标人</w:t>
      </w:r>
      <w:r>
        <w:rPr>
          <w:rFonts w:hint="eastAsia"/>
          <w:color w:val="000000"/>
        </w:rPr>
        <w:t>未在</w:t>
      </w:r>
      <w:r>
        <w:rPr>
          <w:color w:val="000000"/>
        </w:rPr>
        <w:t>规定的时间内解密</w:t>
      </w:r>
      <w:r>
        <w:rPr>
          <w:rFonts w:hint="eastAsia"/>
          <w:color w:val="000000"/>
        </w:rPr>
        <w:t>投标文件</w:t>
      </w:r>
      <w:r>
        <w:rPr>
          <w:color w:val="000000"/>
        </w:rPr>
        <w:t>或</w:t>
      </w:r>
      <w:r>
        <w:rPr>
          <w:rFonts w:hint="eastAsia"/>
          <w:color w:val="000000"/>
        </w:rPr>
        <w:t>者</w:t>
      </w:r>
      <w:r>
        <w:rPr>
          <w:color w:val="000000"/>
        </w:rPr>
        <w:t>解密失败的</w:t>
      </w:r>
      <w:r>
        <w:rPr>
          <w:rFonts w:hint="eastAsia"/>
          <w:color w:val="000000"/>
        </w:rPr>
        <w:t>，</w:t>
      </w:r>
      <w:r>
        <w:rPr>
          <w:rFonts w:hint="eastAsia" w:ascii="宋体" w:hAnsi="宋体"/>
          <w:color w:val="000000"/>
          <w:szCs w:val="21"/>
        </w:rPr>
        <w:t>投标人的投标文件作无效处理</w:t>
      </w:r>
      <w:r>
        <w:rPr>
          <w:rFonts w:hint="eastAsia"/>
          <w:color w:val="000000"/>
        </w:rPr>
        <w:t>；如招标文件规定接受备份电子投标文件，</w:t>
      </w:r>
      <w:r>
        <w:rPr>
          <w:color w:val="000000"/>
        </w:rPr>
        <w:t>投标人</w:t>
      </w:r>
      <w:r>
        <w:rPr>
          <w:rFonts w:hint="eastAsia"/>
          <w:color w:val="000000"/>
        </w:rPr>
        <w:t>未在</w:t>
      </w:r>
      <w:r>
        <w:rPr>
          <w:color w:val="000000"/>
        </w:rPr>
        <w:t>规定的时间内解密</w:t>
      </w:r>
      <w:r>
        <w:rPr>
          <w:rFonts w:hint="eastAsia"/>
          <w:color w:val="000000"/>
        </w:rPr>
        <w:t>投标文件</w:t>
      </w:r>
      <w:r>
        <w:rPr>
          <w:color w:val="000000"/>
        </w:rPr>
        <w:t>或</w:t>
      </w:r>
      <w:r>
        <w:rPr>
          <w:rFonts w:hint="eastAsia"/>
          <w:color w:val="000000"/>
        </w:rPr>
        <w:t>者</w:t>
      </w:r>
      <w:r>
        <w:rPr>
          <w:color w:val="000000"/>
        </w:rPr>
        <w:t>解密失败的，采购代理机构</w:t>
      </w:r>
      <w:r>
        <w:rPr>
          <w:rFonts w:hint="eastAsia"/>
          <w:color w:val="000000"/>
        </w:rPr>
        <w:t>将</w:t>
      </w:r>
      <w:r>
        <w:rPr>
          <w:color w:val="000000"/>
        </w:rPr>
        <w:t>电子备份投标文件按</w:t>
      </w:r>
      <w:r>
        <w:rPr>
          <w:rFonts w:hint="eastAsia"/>
          <w:color w:val="000000"/>
        </w:rPr>
        <w:t>“</w:t>
      </w:r>
      <w:r>
        <w:rPr>
          <w:color w:val="000000"/>
        </w:rPr>
        <w:t>政府采购云平台</w:t>
      </w:r>
      <w:r>
        <w:rPr>
          <w:rFonts w:hint="eastAsia"/>
          <w:color w:val="000000"/>
        </w:rPr>
        <w:t>”</w:t>
      </w:r>
      <w:r>
        <w:rPr>
          <w:color w:val="000000"/>
        </w:rPr>
        <w:t>操作规范上传至</w:t>
      </w:r>
      <w:r>
        <w:rPr>
          <w:rFonts w:hint="eastAsia"/>
          <w:color w:val="000000"/>
        </w:rPr>
        <w:t>“</w:t>
      </w:r>
      <w:r>
        <w:rPr>
          <w:color w:val="000000"/>
        </w:rPr>
        <w:t>政府采购云平台</w:t>
      </w:r>
      <w:r>
        <w:rPr>
          <w:rFonts w:hint="eastAsia"/>
          <w:color w:val="000000"/>
        </w:rPr>
        <w:t>”</w:t>
      </w:r>
      <w:r>
        <w:rPr>
          <w:color w:val="000000"/>
        </w:rPr>
        <w:t>，电子备份投标文件上传成功后，投标人原上传的“电子加密投标文件”自动失效。若投标人</w:t>
      </w:r>
      <w:r>
        <w:rPr>
          <w:rFonts w:hint="eastAsia"/>
          <w:color w:val="000000"/>
        </w:rPr>
        <w:t>未</w:t>
      </w:r>
      <w:r>
        <w:rPr>
          <w:color w:val="000000"/>
        </w:rPr>
        <w:t>在规定时间内解密</w:t>
      </w:r>
      <w:r>
        <w:rPr>
          <w:rFonts w:hint="eastAsia"/>
          <w:color w:val="000000"/>
        </w:rPr>
        <w:t>或者</w:t>
      </w:r>
      <w:r>
        <w:rPr>
          <w:color w:val="000000"/>
        </w:rPr>
        <w:t>解密失败</w:t>
      </w:r>
      <w:r>
        <w:rPr>
          <w:rFonts w:hint="eastAsia"/>
          <w:color w:val="000000"/>
        </w:rPr>
        <w:t>，</w:t>
      </w:r>
      <w:r>
        <w:rPr>
          <w:color w:val="000000"/>
        </w:rPr>
        <w:t>且未提供电子备份投标文件</w:t>
      </w:r>
      <w:r>
        <w:rPr>
          <w:rFonts w:hint="eastAsia"/>
          <w:color w:val="000000"/>
        </w:rPr>
        <w:t>或者</w:t>
      </w:r>
      <w:r>
        <w:rPr>
          <w:color w:val="000000"/>
        </w:rPr>
        <w:t>提供的电子备份投标文件无效</w:t>
      </w:r>
      <w:r>
        <w:rPr>
          <w:rFonts w:hint="eastAsia"/>
          <w:color w:val="000000"/>
        </w:rPr>
        <w:t>或者</w:t>
      </w:r>
      <w:r>
        <w:rPr>
          <w:color w:val="000000"/>
        </w:rPr>
        <w:t>电子备份投标文件无法</w:t>
      </w:r>
      <w:r>
        <w:rPr>
          <w:rFonts w:hint="eastAsia"/>
          <w:color w:val="000000"/>
        </w:rPr>
        <w:t>解读</w:t>
      </w:r>
      <w:r>
        <w:rPr>
          <w:color w:val="000000"/>
        </w:rPr>
        <w:t>的，</w:t>
      </w:r>
      <w:r>
        <w:rPr>
          <w:rFonts w:hint="eastAsia" w:ascii="宋体" w:hAnsi="宋体"/>
          <w:color w:val="000000"/>
          <w:szCs w:val="21"/>
        </w:rPr>
        <w:t>投标人的投标文件作无效处理</w:t>
      </w:r>
      <w:r>
        <w:rPr>
          <w:color w:val="000000"/>
        </w:rPr>
        <w:t>。</w:t>
      </w:r>
    </w:p>
    <w:p>
      <w:pPr>
        <w:pStyle w:val="10"/>
        <w:spacing w:line="360" w:lineRule="auto"/>
        <w:rPr>
          <w:rFonts w:hint="eastAsia"/>
          <w:color w:val="000000"/>
        </w:rPr>
      </w:pPr>
      <w:r>
        <w:rPr>
          <w:rFonts w:hint="eastAsia"/>
          <w:color w:val="000000"/>
        </w:rPr>
        <w:t>（2）电子唱标。投标文件解密结束，宣布的内容均在“政采云”平台远程开标大厅展示，具体详见</w:t>
      </w:r>
      <w:r>
        <w:rPr>
          <w:rFonts w:hint="eastAsia" w:hAnsi="宋体"/>
          <w:bCs/>
          <w:color w:val="000000"/>
        </w:rPr>
        <w:t>“投标人须知前附表”</w:t>
      </w:r>
      <w:r>
        <w:rPr>
          <w:rFonts w:hint="eastAsia"/>
          <w:color w:val="000000"/>
        </w:rPr>
        <w:t>；</w:t>
      </w:r>
    </w:p>
    <w:p>
      <w:pPr>
        <w:pStyle w:val="10"/>
        <w:spacing w:line="360" w:lineRule="auto"/>
        <w:rPr>
          <w:rFonts w:hint="eastAsia"/>
          <w:color w:val="000000"/>
        </w:rPr>
      </w:pPr>
      <w:r>
        <w:rPr>
          <w:rFonts w:hint="eastAsia"/>
          <w:color w:val="000000"/>
        </w:rPr>
        <w:t>（3）开标过程由采购代理机构如实记录，并电子留痕，由参加电子开标的各投标人代表对电子开标记录在开标记录公布后15分钟内进行当场校核及勘误，并线上确认是否有异议，未确认的视同认可开标结果。</w:t>
      </w:r>
    </w:p>
    <w:p>
      <w:pPr>
        <w:pStyle w:val="10"/>
        <w:spacing w:line="360" w:lineRule="auto"/>
        <w:rPr>
          <w:rFonts w:hint="eastAsia"/>
          <w:color w:val="000000"/>
        </w:rPr>
      </w:pPr>
      <w:r>
        <w:rPr>
          <w:rFonts w:hint="eastAsia"/>
          <w:color w:val="000000"/>
        </w:rPr>
        <w:t>（4）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10"/>
        <w:spacing w:line="360" w:lineRule="auto"/>
        <w:rPr>
          <w:rFonts w:hint="eastAsia"/>
          <w:color w:val="000000"/>
        </w:rPr>
      </w:pPr>
      <w:r>
        <w:rPr>
          <w:rFonts w:hint="eastAsia"/>
          <w:color w:val="000000"/>
        </w:rPr>
        <w:t>（5）开标结束。</w:t>
      </w:r>
    </w:p>
    <w:p>
      <w:pPr>
        <w:pStyle w:val="15"/>
        <w:snapToGrid w:val="0"/>
        <w:spacing w:line="360" w:lineRule="auto"/>
        <w:ind w:firstLine="420" w:firstLineChars="200"/>
        <w:rPr>
          <w:rFonts w:hint="eastAsia" w:ascii="Times New Roman" w:hAnsi="Times New Roman"/>
          <w:color w:val="000000"/>
          <w:kern w:val="2"/>
          <w:sz w:val="21"/>
          <w:szCs w:val="20"/>
          <w:lang w:val="en-US" w:eastAsia="zh-CN"/>
        </w:rPr>
      </w:pPr>
      <w:r>
        <w:rPr>
          <w:rFonts w:hint="eastAsia" w:ascii="Times New Roman" w:hAnsi="Times New Roman"/>
          <w:color w:val="000000"/>
          <w:kern w:val="2"/>
          <w:sz w:val="21"/>
          <w:szCs w:val="20"/>
          <w:lang w:val="en-US" w:eastAsia="zh-CN"/>
        </w:rPr>
        <w:t>特别说明：如遇“政采云”平台电子化开标或评审程序调整的，按调整后执行。</w:t>
      </w:r>
    </w:p>
    <w:p>
      <w:pPr>
        <w:pStyle w:val="15"/>
        <w:snapToGrid w:val="0"/>
        <w:spacing w:line="360" w:lineRule="auto"/>
        <w:ind w:left="689" w:leftChars="228" w:hanging="210" w:hangingChars="100"/>
        <w:rPr>
          <w:rFonts w:hint="eastAsia" w:hAnsi="宋体"/>
          <w:color w:val="000000"/>
          <w:sz w:val="21"/>
        </w:rPr>
      </w:pPr>
    </w:p>
    <w:p>
      <w:pPr>
        <w:pStyle w:val="7"/>
        <w:keepNext w:val="0"/>
        <w:keepLines w:val="0"/>
        <w:jc w:val="center"/>
        <w:rPr>
          <w:rFonts w:hint="eastAsia"/>
          <w:color w:val="000000"/>
        </w:rPr>
      </w:pPr>
      <w:r>
        <w:rPr>
          <w:rFonts w:hint="eastAsia"/>
          <w:color w:val="000000"/>
        </w:rPr>
        <w:t>五、资格审查</w:t>
      </w:r>
    </w:p>
    <w:p>
      <w:pPr>
        <w:pStyle w:val="9"/>
        <w:keepNext w:val="0"/>
        <w:keepLines w:val="0"/>
        <w:spacing w:before="0" w:after="0" w:line="360" w:lineRule="auto"/>
        <w:ind w:left="420" w:leftChars="200"/>
        <w:rPr>
          <w:rFonts w:hint="eastAsia" w:ascii="黑体" w:hAnsi="黑体" w:eastAsia="黑体"/>
          <w:color w:val="000000"/>
          <w:sz w:val="24"/>
        </w:rPr>
      </w:pPr>
      <w:r>
        <w:rPr>
          <w:rFonts w:hint="eastAsia" w:ascii="黑体" w:hAnsi="黑体" w:eastAsia="黑体"/>
          <w:color w:val="000000"/>
          <w:sz w:val="24"/>
        </w:rPr>
        <w:t>25.资格审查</w:t>
      </w:r>
    </w:p>
    <w:p>
      <w:pPr>
        <w:pStyle w:val="9"/>
        <w:keepNext w:val="0"/>
        <w:keepLines w:val="0"/>
        <w:spacing w:before="0" w:after="0" w:line="360" w:lineRule="auto"/>
        <w:ind w:firstLine="315" w:firstLineChars="150"/>
        <w:rPr>
          <w:rFonts w:hint="eastAsia" w:ascii="宋体" w:hAnsi="宋体"/>
          <w:b w:val="0"/>
          <w:color w:val="000000"/>
          <w:sz w:val="21"/>
          <w:szCs w:val="21"/>
        </w:rPr>
      </w:pPr>
      <w:r>
        <w:rPr>
          <w:rFonts w:hint="eastAsia" w:ascii="宋体" w:hAnsi="宋体"/>
          <w:b w:val="0"/>
          <w:color w:val="000000"/>
          <w:sz w:val="21"/>
          <w:szCs w:val="21"/>
        </w:rPr>
        <w:t xml:space="preserve"> 25.1</w:t>
      </w:r>
      <w:r>
        <w:rPr>
          <w:rFonts w:ascii="宋体" w:hAnsi="宋体"/>
          <w:b w:val="0"/>
          <w:color w:val="000000"/>
          <w:sz w:val="21"/>
          <w:szCs w:val="21"/>
        </w:rPr>
        <w:t>开标结束后，</w:t>
      </w:r>
      <w:r>
        <w:rPr>
          <w:rFonts w:hint="eastAsia" w:ascii="宋体" w:hAnsi="宋体"/>
          <w:b w:val="0"/>
          <w:color w:val="000000"/>
          <w:sz w:val="21"/>
          <w:szCs w:val="21"/>
        </w:rPr>
        <w:t>采购人或者采购代理机构通过电子开评标系统依据招标文件对电子投标文件进行线上资格审查</w:t>
      </w:r>
      <w:r>
        <w:rPr>
          <w:rFonts w:ascii="宋体" w:hAnsi="宋体"/>
          <w:b w:val="0"/>
          <w:color w:val="000000"/>
          <w:sz w:val="21"/>
          <w:szCs w:val="21"/>
        </w:rPr>
        <w:t>。</w:t>
      </w:r>
    </w:p>
    <w:p>
      <w:pPr>
        <w:pStyle w:val="9"/>
        <w:keepNext w:val="0"/>
        <w:keepLines w:val="0"/>
        <w:spacing w:before="0" w:after="0" w:line="360" w:lineRule="auto"/>
        <w:ind w:firstLine="315" w:firstLineChars="150"/>
        <w:rPr>
          <w:rFonts w:hint="eastAsia" w:ascii="宋体" w:hAnsi="宋体"/>
          <w:b w:val="0"/>
          <w:color w:val="000000"/>
          <w:sz w:val="21"/>
          <w:szCs w:val="21"/>
        </w:rPr>
      </w:pPr>
      <w:r>
        <w:rPr>
          <w:rFonts w:hint="eastAsia" w:ascii="宋体" w:hAnsi="宋体"/>
          <w:b w:val="0"/>
          <w:color w:val="000000"/>
          <w:sz w:val="21"/>
          <w:szCs w:val="21"/>
        </w:rPr>
        <w:t xml:space="preserve"> 25.2资格审查标准为本招标文件中载明对投标人资格要求的条件。本项目资格审查采用合格制，凡符合招标文件规定的投标人资格要求的投标人均通过资格审查。</w:t>
      </w:r>
    </w:p>
    <w:p>
      <w:pPr>
        <w:pStyle w:val="9"/>
        <w:keepNext w:val="0"/>
        <w:keepLines w:val="0"/>
        <w:numPr>
          <w:ilvl w:val="0"/>
          <w:numId w:val="0"/>
        </w:numPr>
        <w:spacing w:before="0" w:after="0" w:line="360" w:lineRule="auto"/>
        <w:ind w:firstLine="422" w:firstLineChars="200"/>
        <w:rPr>
          <w:rFonts w:hint="eastAsia" w:ascii="宋体" w:hAnsi="宋体"/>
          <w:color w:val="000000"/>
          <w:sz w:val="21"/>
          <w:szCs w:val="21"/>
        </w:rPr>
      </w:pPr>
      <w:bookmarkStart w:id="128" w:name="_25.3_投标人有下列情形之一的，资格审查不通过而导致其投标无效："/>
      <w:bookmarkEnd w:id="128"/>
      <w:r>
        <w:rPr>
          <w:rFonts w:hint="eastAsia" w:ascii="宋体" w:hAnsi="宋体"/>
          <w:color w:val="000000"/>
          <w:sz w:val="21"/>
          <w:szCs w:val="21"/>
        </w:rPr>
        <w:t>25.3 投标人有下列情形之一的，资格审查不通过，作无效投标处理：</w:t>
      </w:r>
    </w:p>
    <w:p>
      <w:pPr>
        <w:pStyle w:val="15"/>
        <w:snapToGrid w:val="0"/>
        <w:spacing w:line="360" w:lineRule="auto"/>
        <w:ind w:firstLine="422" w:firstLineChars="200"/>
        <w:rPr>
          <w:rFonts w:hAnsi="宋体"/>
          <w:b/>
          <w:color w:val="000000"/>
          <w:sz w:val="21"/>
        </w:rPr>
      </w:pPr>
      <w:r>
        <w:rPr>
          <w:rFonts w:hint="eastAsia" w:hAnsi="宋体"/>
          <w:b/>
          <w:color w:val="000000"/>
          <w:sz w:val="21"/>
        </w:rPr>
        <w:t>（1）不具备招标文件中规定的资格要求的；</w:t>
      </w:r>
    </w:p>
    <w:p>
      <w:pPr>
        <w:pStyle w:val="15"/>
        <w:snapToGrid w:val="0"/>
        <w:spacing w:line="360" w:lineRule="auto"/>
        <w:ind w:firstLine="422" w:firstLineChars="200"/>
        <w:rPr>
          <w:rFonts w:hAnsi="宋体"/>
          <w:b/>
          <w:color w:val="000000"/>
          <w:sz w:val="21"/>
        </w:rPr>
      </w:pPr>
      <w:r>
        <w:rPr>
          <w:rFonts w:hint="eastAsia" w:hAnsi="宋体"/>
          <w:b/>
          <w:color w:val="000000"/>
          <w:sz w:val="21"/>
        </w:rPr>
        <w:t>（2）在“信用中国”网站（www.creditchina.gov.cn）、中国政府采购网（www.ccgp.gov.cn）被列入失信被执行人、重大税收违法案件当事人名单、政府采购严重违法失信行为记录名单及其他不符合《中华人民共和国政府采购法》第二十二条规定条件的；（注：其中信用查询规则见“投标人须知前附表”，“政采云”平台已与“信用中国”网站、中国政府采购网实现数据对接，可直接在线查询）</w:t>
      </w:r>
    </w:p>
    <w:p>
      <w:pPr>
        <w:pStyle w:val="15"/>
        <w:snapToGrid w:val="0"/>
        <w:spacing w:line="360" w:lineRule="auto"/>
        <w:ind w:firstLine="422" w:firstLineChars="200"/>
        <w:rPr>
          <w:rFonts w:hint="eastAsia" w:hAnsi="宋体"/>
          <w:b/>
          <w:color w:val="000000"/>
          <w:sz w:val="21"/>
        </w:rPr>
      </w:pPr>
      <w:r>
        <w:rPr>
          <w:rFonts w:hint="eastAsia" w:hAnsi="宋体"/>
          <w:b/>
          <w:color w:val="000000"/>
          <w:sz w:val="21"/>
        </w:rPr>
        <w:t>（3）同一合同项下的不同投标人，单位负责人为同一人或者存在直接控股、管理关系的；为本项目提供过整体设计、规范编制或者项目管理、监理、检测等服务的供应商，再参加该采购项目的其他采购活动的；</w:t>
      </w:r>
    </w:p>
    <w:p>
      <w:pPr>
        <w:pStyle w:val="15"/>
        <w:snapToGrid w:val="0"/>
        <w:spacing w:line="360" w:lineRule="auto"/>
        <w:ind w:firstLine="422" w:firstLineChars="200"/>
        <w:rPr>
          <w:rFonts w:hint="eastAsia" w:hAnsi="宋体"/>
          <w:b/>
          <w:color w:val="000000"/>
          <w:sz w:val="21"/>
        </w:rPr>
      </w:pPr>
      <w:r>
        <w:rPr>
          <w:rFonts w:hint="eastAsia" w:hAnsi="宋体"/>
          <w:b/>
          <w:color w:val="000000"/>
          <w:sz w:val="21"/>
        </w:rPr>
        <w:t>（4）投标文件中的资格证明文件缺少任一项“投标人须知前附表”资格证明文件规定“必须提供”的文件资料的；</w:t>
      </w:r>
    </w:p>
    <w:p>
      <w:pPr>
        <w:pStyle w:val="15"/>
        <w:snapToGrid w:val="0"/>
        <w:spacing w:line="360" w:lineRule="auto"/>
        <w:ind w:firstLine="422" w:firstLineChars="200"/>
        <w:rPr>
          <w:rFonts w:hint="eastAsia" w:hAnsi="宋体"/>
          <w:b/>
          <w:color w:val="000000"/>
          <w:sz w:val="21"/>
        </w:rPr>
      </w:pPr>
      <w:r>
        <w:rPr>
          <w:rFonts w:hint="eastAsia" w:hAnsi="宋体"/>
          <w:b/>
          <w:color w:val="000000"/>
          <w:sz w:val="21"/>
        </w:rPr>
        <w:t>（5）投标文件中的资格证明文件出现任一项不符合“投标人须知前附表”资格证明文件规定“必须提供”的文件资料要求或者无效的。</w:t>
      </w:r>
    </w:p>
    <w:p>
      <w:pPr>
        <w:pStyle w:val="9"/>
        <w:keepNext w:val="0"/>
        <w:keepLines w:val="0"/>
        <w:spacing w:before="0" w:after="0" w:line="360" w:lineRule="auto"/>
        <w:ind w:left="420" w:leftChars="200"/>
        <w:rPr>
          <w:rFonts w:hint="eastAsia" w:ascii="宋体" w:hAnsi="宋体"/>
          <w:b w:val="0"/>
          <w:color w:val="000000"/>
          <w:sz w:val="21"/>
          <w:szCs w:val="21"/>
        </w:rPr>
      </w:pPr>
      <w:r>
        <w:rPr>
          <w:rFonts w:hint="eastAsia" w:ascii="宋体" w:hAnsi="宋体"/>
          <w:color w:val="000000"/>
          <w:sz w:val="21"/>
          <w:szCs w:val="21"/>
        </w:rPr>
        <w:t>25.4</w:t>
      </w:r>
      <w:r>
        <w:rPr>
          <w:rFonts w:ascii="宋体" w:hAnsi="宋体"/>
          <w:color w:val="000000"/>
          <w:sz w:val="21"/>
          <w:szCs w:val="21"/>
        </w:rPr>
        <w:t>合格投标人不足3家的，不得评标。</w:t>
      </w:r>
    </w:p>
    <w:p>
      <w:pPr>
        <w:pStyle w:val="15"/>
        <w:snapToGrid w:val="0"/>
        <w:spacing w:line="360" w:lineRule="auto"/>
        <w:ind w:left="689" w:leftChars="228" w:hanging="210" w:hangingChars="100"/>
        <w:rPr>
          <w:rFonts w:hint="eastAsia" w:hAnsi="宋体"/>
          <w:color w:val="000000"/>
          <w:sz w:val="21"/>
        </w:rPr>
      </w:pPr>
    </w:p>
    <w:p>
      <w:pPr>
        <w:pStyle w:val="7"/>
        <w:keepNext w:val="0"/>
        <w:keepLines w:val="0"/>
        <w:jc w:val="center"/>
        <w:rPr>
          <w:rFonts w:hint="eastAsia"/>
          <w:color w:val="000000"/>
        </w:rPr>
      </w:pPr>
      <w:r>
        <w:rPr>
          <w:rFonts w:hint="eastAsia"/>
          <w:color w:val="000000"/>
        </w:rPr>
        <w:t>六、评   标</w:t>
      </w:r>
    </w:p>
    <w:p>
      <w:pPr>
        <w:pStyle w:val="9"/>
        <w:keepNext w:val="0"/>
        <w:keepLines w:val="0"/>
        <w:spacing w:before="0" w:after="0" w:line="360" w:lineRule="auto"/>
        <w:ind w:left="420" w:leftChars="200"/>
        <w:rPr>
          <w:rFonts w:hint="eastAsia" w:ascii="黑体" w:hAnsi="黑体" w:eastAsia="黑体"/>
          <w:color w:val="000000"/>
          <w:sz w:val="24"/>
        </w:rPr>
      </w:pPr>
      <w:bookmarkStart w:id="129" w:name="_26.组建评标委员会"/>
      <w:bookmarkEnd w:id="129"/>
      <w:r>
        <w:rPr>
          <w:rFonts w:hint="eastAsia" w:ascii="黑体" w:hAnsi="黑体" w:eastAsia="黑体"/>
          <w:color w:val="000000"/>
          <w:sz w:val="24"/>
        </w:rPr>
        <w:t>26.组建评标委员会</w:t>
      </w:r>
    </w:p>
    <w:p>
      <w:pPr>
        <w:pStyle w:val="15"/>
        <w:snapToGrid w:val="0"/>
        <w:spacing w:line="360" w:lineRule="auto"/>
        <w:ind w:firstLine="420" w:firstLineChars="200"/>
        <w:rPr>
          <w:rFonts w:hint="eastAsia" w:hAnsi="宋体"/>
          <w:color w:val="000000"/>
          <w:sz w:val="21"/>
        </w:rPr>
      </w:pPr>
      <w:r>
        <w:rPr>
          <w:rFonts w:hint="eastAsia" w:hAnsi="宋体"/>
          <w:color w:val="000000"/>
          <w:sz w:val="21"/>
        </w:rPr>
        <w:t>26.1评标委员会由采购人代表和评审专家组成，具体人数详见“投标人须知前附表”，其中评审专家不得少于成员总数的三分之二。</w:t>
      </w:r>
    </w:p>
    <w:p>
      <w:pPr>
        <w:pStyle w:val="15"/>
        <w:snapToGrid w:val="0"/>
        <w:spacing w:line="360" w:lineRule="auto"/>
        <w:ind w:left="2" w:leftChars="1" w:firstLine="420" w:firstLineChars="200"/>
        <w:rPr>
          <w:rFonts w:hint="eastAsia" w:hAnsi="宋体"/>
          <w:color w:val="000000"/>
          <w:sz w:val="21"/>
        </w:rPr>
      </w:pPr>
      <w:r>
        <w:rPr>
          <w:rFonts w:hint="eastAsia" w:hAnsi="宋体"/>
          <w:color w:val="000000"/>
          <w:sz w:val="21"/>
        </w:rPr>
        <w:t>26.2参加过采购项目前期咨询论证的专家，不得参加该采购项目的评审活动。</w:t>
      </w:r>
    </w:p>
    <w:p>
      <w:pPr>
        <w:pStyle w:val="15"/>
        <w:snapToGrid w:val="0"/>
        <w:spacing w:line="360" w:lineRule="auto"/>
        <w:ind w:left="2" w:leftChars="1" w:firstLine="420" w:firstLineChars="200"/>
        <w:rPr>
          <w:rFonts w:hint="eastAsia" w:hAnsi="宋体"/>
          <w:color w:val="000000"/>
          <w:sz w:val="21"/>
        </w:rPr>
      </w:pPr>
      <w:r>
        <w:rPr>
          <w:rFonts w:hint="eastAsia" w:hAnsi="宋体"/>
          <w:color w:val="000000"/>
          <w:sz w:val="21"/>
        </w:rPr>
        <w:t>26.3</w:t>
      </w:r>
      <w:r>
        <w:rPr>
          <w:rFonts w:hint="eastAsia" w:hAnsi="宋体"/>
          <w:bCs/>
          <w:color w:val="000000"/>
          <w:sz w:val="21"/>
        </w:rPr>
        <w:t>采购代理机构必须基于“政采云”平台选取评审专家，如采购代理机构未按规定选取专家的，视为本次开评标无效，应当重新采购。</w:t>
      </w:r>
    </w:p>
    <w:p>
      <w:pPr>
        <w:pStyle w:val="9"/>
        <w:keepNext w:val="0"/>
        <w:keepLines w:val="0"/>
        <w:spacing w:before="0" w:after="0" w:line="360" w:lineRule="auto"/>
        <w:ind w:left="420" w:leftChars="200"/>
        <w:rPr>
          <w:rFonts w:hint="eastAsia" w:ascii="黑体" w:hAnsi="黑体" w:eastAsia="黑体"/>
          <w:color w:val="000000"/>
          <w:sz w:val="24"/>
        </w:rPr>
      </w:pPr>
      <w:r>
        <w:rPr>
          <w:rFonts w:hint="eastAsia" w:ascii="黑体" w:hAnsi="黑体" w:eastAsia="黑体"/>
          <w:color w:val="000000"/>
          <w:sz w:val="24"/>
        </w:rPr>
        <w:t>27.评标的依据</w:t>
      </w:r>
    </w:p>
    <w:p>
      <w:pPr>
        <w:pStyle w:val="15"/>
        <w:snapToGrid w:val="0"/>
        <w:spacing w:line="360" w:lineRule="auto"/>
        <w:ind w:firstLine="420" w:firstLineChars="200"/>
        <w:rPr>
          <w:rFonts w:hint="eastAsia" w:hAnsi="宋体"/>
          <w:color w:val="000000"/>
          <w:sz w:val="21"/>
        </w:rPr>
      </w:pPr>
      <w:r>
        <w:rPr>
          <w:rFonts w:hint="eastAsia" w:hAnsi="宋体"/>
          <w:color w:val="000000"/>
          <w:sz w:val="21"/>
        </w:rPr>
        <w:t>评标委员会以</w:t>
      </w:r>
      <w:r>
        <w:rPr>
          <w:rFonts w:hint="eastAsia" w:hAnsi="宋体" w:cs="宋体"/>
          <w:color w:val="000000"/>
          <w:sz w:val="21"/>
        </w:rPr>
        <w:t>“第四章 评标方法和评标标准”</w:t>
      </w:r>
      <w:r>
        <w:rPr>
          <w:rFonts w:hint="eastAsia" w:hAnsi="宋体"/>
          <w:color w:val="000000"/>
          <w:sz w:val="21"/>
        </w:rPr>
        <w:t>为依据对投标文件进行评审，</w:t>
      </w:r>
      <w:r>
        <w:rPr>
          <w:rFonts w:hAnsi="宋体"/>
          <w:color w:val="000000"/>
          <w:sz w:val="21"/>
        </w:rPr>
        <w:t>没有规定的方法、评审因素和标准，不作为评标依据。</w:t>
      </w:r>
    </w:p>
    <w:p>
      <w:pPr>
        <w:pStyle w:val="9"/>
        <w:keepNext w:val="0"/>
        <w:keepLines w:val="0"/>
        <w:spacing w:before="0" w:after="0" w:line="360" w:lineRule="auto"/>
        <w:ind w:left="420" w:leftChars="200"/>
        <w:rPr>
          <w:rFonts w:hint="eastAsia" w:ascii="黑体" w:hAnsi="黑体" w:eastAsia="黑体"/>
          <w:color w:val="000000"/>
          <w:sz w:val="24"/>
        </w:rPr>
      </w:pPr>
      <w:r>
        <w:rPr>
          <w:rFonts w:hint="eastAsia" w:ascii="黑体" w:hAnsi="黑体" w:eastAsia="黑体"/>
          <w:color w:val="000000"/>
          <w:sz w:val="24"/>
        </w:rPr>
        <w:t>28.评标原则</w:t>
      </w:r>
    </w:p>
    <w:p>
      <w:pPr>
        <w:pStyle w:val="15"/>
        <w:snapToGrid w:val="0"/>
        <w:spacing w:line="360" w:lineRule="auto"/>
        <w:ind w:firstLine="420" w:firstLineChars="200"/>
        <w:rPr>
          <w:rFonts w:hint="eastAsia" w:hAnsi="宋体"/>
          <w:color w:val="000000"/>
          <w:sz w:val="21"/>
        </w:rPr>
      </w:pPr>
      <w:r>
        <w:rPr>
          <w:rFonts w:hint="eastAsia" w:hAnsi="宋体"/>
          <w:color w:val="000000"/>
          <w:sz w:val="21"/>
        </w:rPr>
        <w:t>28.1评标原则。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其他好处。</w:t>
      </w:r>
    </w:p>
    <w:p>
      <w:pPr>
        <w:pStyle w:val="15"/>
        <w:snapToGrid w:val="0"/>
        <w:spacing w:line="360" w:lineRule="auto"/>
        <w:ind w:firstLine="420" w:firstLineChars="200"/>
        <w:rPr>
          <w:rFonts w:hint="eastAsia" w:hAnsi="宋体"/>
          <w:color w:val="000000"/>
          <w:sz w:val="21"/>
        </w:rPr>
      </w:pPr>
      <w:r>
        <w:rPr>
          <w:rFonts w:hint="eastAsia" w:hAnsi="宋体"/>
          <w:color w:val="000000"/>
          <w:sz w:val="21"/>
        </w:rPr>
        <w:t>28.2</w:t>
      </w:r>
      <w:bookmarkStart w:id="130" w:name="_28.3评标方法。本项目将按须知前附表规定的评标办法进行评标，具体评标"/>
      <w:bookmarkEnd w:id="130"/>
      <w:r>
        <w:rPr>
          <w:rFonts w:hint="eastAsia" w:hAnsi="宋体"/>
          <w:color w:val="000000"/>
          <w:sz w:val="21"/>
        </w:rPr>
        <w:t>评委表决。评标委员会成员对需要共同认定的事项存在争议的，应当按照少数服从多数的原则作出结论。</w:t>
      </w:r>
    </w:p>
    <w:p>
      <w:pPr>
        <w:pStyle w:val="15"/>
        <w:snapToGrid w:val="0"/>
        <w:spacing w:line="360" w:lineRule="auto"/>
        <w:ind w:firstLine="420" w:firstLineChars="200"/>
        <w:rPr>
          <w:rFonts w:hAnsi="宋体"/>
          <w:color w:val="000000"/>
          <w:sz w:val="21"/>
        </w:rPr>
      </w:pPr>
      <w:r>
        <w:rPr>
          <w:rFonts w:hint="eastAsia" w:hAnsi="宋体"/>
          <w:color w:val="000000"/>
          <w:sz w:val="21"/>
        </w:rPr>
        <w:t>28.</w:t>
      </w:r>
      <w:r>
        <w:rPr>
          <w:rFonts w:hAnsi="宋体"/>
          <w:color w:val="000000"/>
          <w:sz w:val="21"/>
        </w:rPr>
        <w:t>3</w:t>
      </w:r>
      <w:r>
        <w:rPr>
          <w:rFonts w:hint="eastAsia" w:hAnsi="宋体"/>
          <w:color w:val="000000"/>
          <w:sz w:val="21"/>
        </w:rPr>
        <w:t>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pPr>
        <w:pStyle w:val="15"/>
        <w:snapToGrid w:val="0"/>
        <w:spacing w:line="360" w:lineRule="auto"/>
        <w:ind w:firstLine="420" w:firstLineChars="200"/>
        <w:rPr>
          <w:rFonts w:hint="eastAsia" w:hAnsi="宋体"/>
          <w:color w:val="000000"/>
          <w:sz w:val="21"/>
        </w:rPr>
      </w:pPr>
      <w:r>
        <w:rPr>
          <w:rFonts w:hint="eastAsia" w:hAnsi="宋体"/>
          <w:color w:val="000000"/>
          <w:sz w:val="21"/>
        </w:rPr>
        <w:t>2</w:t>
      </w:r>
      <w:r>
        <w:rPr>
          <w:rFonts w:hAnsi="宋体"/>
          <w:color w:val="000000"/>
          <w:sz w:val="21"/>
        </w:rPr>
        <w:t>8.4</w:t>
      </w:r>
      <w:r>
        <w:rPr>
          <w:rFonts w:hint="eastAsia" w:hAnsi="宋体"/>
          <w:color w:val="000000"/>
          <w:sz w:val="21"/>
        </w:rPr>
        <w:t>评标过程的监控。本项目电子评标过程实行网上留痕、全程录音、录像监控，</w:t>
      </w:r>
      <w:r>
        <w:rPr>
          <w:rFonts w:hint="eastAsia" w:hAnsi="宋体"/>
          <w:b/>
          <w:color w:val="000000"/>
          <w:sz w:val="21"/>
        </w:rPr>
        <w:t>投标人在评标过程中所进行的试图影响评标结果的不公正活动，可能导致其投标按无效处理。</w:t>
      </w:r>
    </w:p>
    <w:p>
      <w:pPr>
        <w:pStyle w:val="9"/>
        <w:keepNext w:val="0"/>
        <w:keepLines w:val="0"/>
        <w:spacing w:before="0" w:after="0" w:line="360" w:lineRule="auto"/>
        <w:ind w:left="420" w:leftChars="200"/>
        <w:rPr>
          <w:rFonts w:hint="eastAsia" w:ascii="黑体" w:hAnsi="黑体" w:eastAsia="黑体"/>
          <w:color w:val="000000"/>
          <w:sz w:val="24"/>
        </w:rPr>
      </w:pPr>
      <w:r>
        <w:rPr>
          <w:rFonts w:hint="eastAsia" w:ascii="黑体" w:hAnsi="黑体" w:eastAsia="黑体"/>
          <w:color w:val="000000"/>
          <w:sz w:val="24"/>
        </w:rPr>
        <w:t>29.评标方法及中标候选人推荐</w:t>
      </w:r>
    </w:p>
    <w:p>
      <w:pPr>
        <w:pStyle w:val="15"/>
        <w:snapToGrid w:val="0"/>
        <w:spacing w:line="360" w:lineRule="auto"/>
        <w:ind w:firstLine="420" w:firstLineChars="200"/>
        <w:rPr>
          <w:rFonts w:hAnsi="宋体"/>
          <w:color w:val="000000"/>
          <w:sz w:val="21"/>
        </w:rPr>
      </w:pPr>
      <w:r>
        <w:rPr>
          <w:rFonts w:hint="eastAsia" w:hAnsi="宋体"/>
          <w:color w:val="000000"/>
          <w:sz w:val="21"/>
        </w:rPr>
        <w:t>2</w:t>
      </w:r>
      <w:r>
        <w:rPr>
          <w:rFonts w:hAnsi="宋体"/>
          <w:color w:val="000000"/>
          <w:sz w:val="21"/>
        </w:rPr>
        <w:t>9.1</w:t>
      </w:r>
      <w:r>
        <w:rPr>
          <w:rFonts w:hint="eastAsia" w:hAnsi="宋体"/>
          <w:color w:val="000000"/>
          <w:sz w:val="21"/>
        </w:rPr>
        <w:t>本项目的评标方法详见“投标人须知前附表”。</w:t>
      </w:r>
    </w:p>
    <w:p>
      <w:pPr>
        <w:pStyle w:val="15"/>
        <w:snapToGrid w:val="0"/>
        <w:spacing w:line="360" w:lineRule="auto"/>
        <w:ind w:firstLine="420" w:firstLineChars="200"/>
        <w:rPr>
          <w:rFonts w:hAnsi="宋体"/>
          <w:color w:val="000000"/>
          <w:sz w:val="21"/>
        </w:rPr>
      </w:pPr>
      <w:r>
        <w:rPr>
          <w:rFonts w:hint="eastAsia" w:hAnsi="宋体"/>
          <w:color w:val="000000"/>
          <w:sz w:val="21"/>
        </w:rPr>
        <w:t>2</w:t>
      </w:r>
      <w:r>
        <w:rPr>
          <w:rFonts w:hAnsi="宋体"/>
          <w:color w:val="000000"/>
          <w:sz w:val="21"/>
        </w:rPr>
        <w:t>9.2</w:t>
      </w:r>
      <w:r>
        <w:rPr>
          <w:rFonts w:hAnsi="宋体" w:cs="宋体"/>
          <w:color w:val="000000"/>
          <w:sz w:val="21"/>
        </w:rPr>
        <w:t xml:space="preserve"> </w:t>
      </w:r>
      <w:r>
        <w:rPr>
          <w:rFonts w:hint="eastAsia" w:hAnsi="宋体" w:cs="宋体"/>
          <w:color w:val="000000"/>
        </w:rPr>
        <w:t>商务</w:t>
      </w:r>
      <w:r>
        <w:rPr>
          <w:rFonts w:hint="eastAsia" w:hAnsi="宋体" w:cs="宋体"/>
          <w:color w:val="000000"/>
          <w:lang w:eastAsia="zh-CN"/>
        </w:rPr>
        <w:t>/技术</w:t>
      </w:r>
      <w:r>
        <w:rPr>
          <w:rFonts w:hint="eastAsia" w:hAnsi="宋体" w:cs="宋体"/>
          <w:color w:val="000000"/>
        </w:rPr>
        <w:t>要求</w:t>
      </w:r>
      <w:r>
        <w:rPr>
          <w:rFonts w:hint="eastAsia" w:hAnsi="宋体"/>
          <w:color w:val="000000"/>
        </w:rPr>
        <w:t>允许负偏离的条款数</w:t>
      </w:r>
      <w:r>
        <w:rPr>
          <w:rFonts w:hAnsi="宋体"/>
          <w:color w:val="000000"/>
          <w:sz w:val="21"/>
        </w:rPr>
        <w:t>详见</w:t>
      </w:r>
      <w:r>
        <w:rPr>
          <w:rFonts w:hint="eastAsia" w:hAnsi="宋体"/>
          <w:color w:val="000000"/>
          <w:sz w:val="21"/>
        </w:rPr>
        <w:t>“投标人须知前附表”。</w:t>
      </w:r>
    </w:p>
    <w:p>
      <w:pPr>
        <w:pStyle w:val="15"/>
        <w:snapToGrid w:val="0"/>
        <w:spacing w:line="360" w:lineRule="auto"/>
        <w:ind w:firstLine="420" w:firstLineChars="200"/>
        <w:rPr>
          <w:rFonts w:hint="eastAsia" w:hAnsi="宋体" w:cs="宋体"/>
          <w:color w:val="000000"/>
          <w:sz w:val="21"/>
        </w:rPr>
      </w:pPr>
      <w:r>
        <w:rPr>
          <w:rFonts w:hint="eastAsia" w:hAnsi="宋体"/>
          <w:color w:val="000000"/>
          <w:sz w:val="21"/>
        </w:rPr>
        <w:t>2</w:t>
      </w:r>
      <w:r>
        <w:rPr>
          <w:rFonts w:hAnsi="宋体"/>
          <w:color w:val="000000"/>
          <w:sz w:val="21"/>
        </w:rPr>
        <w:t>9.3</w:t>
      </w:r>
      <w:r>
        <w:rPr>
          <w:rFonts w:hAnsi="宋体" w:cs="宋体"/>
          <w:color w:val="000000"/>
          <w:sz w:val="21"/>
        </w:rPr>
        <w:t xml:space="preserve"> </w:t>
      </w:r>
      <w:r>
        <w:rPr>
          <w:rFonts w:hAnsi="宋体"/>
          <w:color w:val="000000"/>
          <w:sz w:val="21"/>
        </w:rPr>
        <w:t>中标候选人推荐数量详见</w:t>
      </w:r>
      <w:r>
        <w:rPr>
          <w:rFonts w:hint="eastAsia" w:hAnsi="宋体"/>
          <w:color w:val="000000"/>
          <w:sz w:val="21"/>
        </w:rPr>
        <w:t>“投标人须知前附表”。</w:t>
      </w:r>
    </w:p>
    <w:p>
      <w:pPr>
        <w:spacing w:line="360" w:lineRule="auto"/>
        <w:ind w:firstLine="420" w:firstLineChars="200"/>
        <w:rPr>
          <w:rFonts w:hint="eastAsia" w:hAnsi="宋体"/>
          <w:color w:val="000000"/>
        </w:rPr>
      </w:pPr>
      <w:r>
        <w:rPr>
          <w:rFonts w:hint="eastAsia" w:hAnsi="宋体"/>
          <w:color w:val="000000"/>
        </w:rPr>
        <w:t>29.</w:t>
      </w:r>
      <w:r>
        <w:rPr>
          <w:rFonts w:hAnsi="宋体"/>
          <w:color w:val="000000"/>
        </w:rPr>
        <w:t>4</w:t>
      </w:r>
      <w:r>
        <w:rPr>
          <w:rFonts w:hint="eastAsia" w:hAnsi="宋体"/>
          <w:color w:val="000000"/>
        </w:rPr>
        <w:t xml:space="preserve"> 电子交易活动的中止。采购过程中出现以下情形，导致电子交易平台无法正常运行，或者无法保证电子交易的公平、公正和安全时，采购代理机构可以中止电子交易活动：</w:t>
      </w:r>
    </w:p>
    <w:p>
      <w:pPr>
        <w:spacing w:line="360" w:lineRule="auto"/>
        <w:ind w:firstLine="420" w:firstLineChars="200"/>
        <w:rPr>
          <w:rFonts w:hint="eastAsia" w:hAnsi="宋体"/>
          <w:color w:val="000000"/>
        </w:rPr>
      </w:pPr>
      <w:r>
        <w:rPr>
          <w:rFonts w:hint="eastAsia" w:hAnsi="宋体"/>
          <w:color w:val="000000"/>
        </w:rPr>
        <w:t xml:space="preserve">（1）电子交易平台发生故障而无法登录访问的； </w:t>
      </w:r>
    </w:p>
    <w:p>
      <w:pPr>
        <w:spacing w:line="360" w:lineRule="auto"/>
        <w:ind w:firstLine="420" w:firstLineChars="200"/>
        <w:rPr>
          <w:rFonts w:hint="eastAsia" w:hAnsi="宋体"/>
          <w:color w:val="000000"/>
        </w:rPr>
      </w:pPr>
      <w:r>
        <w:rPr>
          <w:rFonts w:hint="eastAsia" w:hAnsi="宋体"/>
          <w:color w:val="000000"/>
        </w:rPr>
        <w:t>（2）电子交易平台应用或数据库出现错误，不能进行正常操作的；</w:t>
      </w:r>
    </w:p>
    <w:p>
      <w:pPr>
        <w:spacing w:line="360" w:lineRule="auto"/>
        <w:ind w:firstLine="420" w:firstLineChars="200"/>
        <w:rPr>
          <w:rFonts w:hint="eastAsia" w:hAnsi="宋体"/>
          <w:color w:val="000000"/>
        </w:rPr>
      </w:pPr>
      <w:r>
        <w:rPr>
          <w:rFonts w:hint="eastAsia" w:hAnsi="宋体"/>
          <w:color w:val="000000"/>
        </w:rPr>
        <w:t>（3）电子交易平台发现严重安全漏洞，有潜在泄密危险的；</w:t>
      </w:r>
    </w:p>
    <w:p>
      <w:pPr>
        <w:spacing w:line="360" w:lineRule="auto"/>
        <w:ind w:firstLine="420" w:firstLineChars="200"/>
        <w:rPr>
          <w:rFonts w:hint="eastAsia" w:hAnsi="宋体"/>
          <w:color w:val="000000"/>
        </w:rPr>
      </w:pPr>
      <w:r>
        <w:rPr>
          <w:rFonts w:hint="eastAsia" w:hAnsi="宋体"/>
          <w:color w:val="000000"/>
        </w:rPr>
        <w:t xml:space="preserve">（4）病毒发作导致不能进行正常操作的； </w:t>
      </w:r>
    </w:p>
    <w:p>
      <w:pPr>
        <w:spacing w:line="360" w:lineRule="auto"/>
        <w:ind w:firstLine="420" w:firstLineChars="200"/>
        <w:rPr>
          <w:rFonts w:hint="eastAsia" w:hAnsi="宋体"/>
          <w:color w:val="000000"/>
        </w:rPr>
      </w:pPr>
      <w:r>
        <w:rPr>
          <w:rFonts w:hint="eastAsia" w:hAnsi="宋体"/>
          <w:color w:val="000000"/>
        </w:rPr>
        <w:t>（5）其他无法保证电子交易的公平、公正和安全的情况。</w:t>
      </w:r>
    </w:p>
    <w:p>
      <w:pPr>
        <w:spacing w:line="360" w:lineRule="auto"/>
        <w:ind w:firstLine="420" w:firstLineChars="200"/>
        <w:rPr>
          <w:rFonts w:hint="eastAsia" w:hAnsi="宋体"/>
          <w:color w:val="000000"/>
        </w:rPr>
      </w:pPr>
      <w:r>
        <w:rPr>
          <w:rFonts w:hint="eastAsia" w:hAnsi="宋体"/>
          <w:color w:val="000000"/>
        </w:rPr>
        <w:t>出现以上情形，不影响采购公平、公正性的，采购代理机构可以待上述情形消除后继续组织电子交易活动；影响或可能影响采购公平、公正性的，经采购代理机构确认、报采购人同意后，终止电子采购活动，应当重新采购。采购代理机构必须对原有的资料及信息作出妥善保密处理，并报财政部门备案。</w:t>
      </w:r>
    </w:p>
    <w:p>
      <w:pPr>
        <w:pStyle w:val="15"/>
        <w:snapToGrid w:val="0"/>
        <w:spacing w:line="360" w:lineRule="auto"/>
        <w:rPr>
          <w:rFonts w:hint="eastAsia" w:hAnsi="宋体"/>
          <w:color w:val="000000"/>
          <w:sz w:val="21"/>
        </w:rPr>
      </w:pPr>
    </w:p>
    <w:p>
      <w:pPr>
        <w:pStyle w:val="7"/>
        <w:keepNext w:val="0"/>
        <w:keepLines w:val="0"/>
        <w:jc w:val="center"/>
        <w:rPr>
          <w:rFonts w:hint="eastAsia"/>
          <w:color w:val="000000"/>
        </w:rPr>
      </w:pPr>
      <w:bookmarkStart w:id="131" w:name="_Toc254970687"/>
      <w:bookmarkStart w:id="132" w:name="_Toc254970546"/>
      <w:r>
        <w:rPr>
          <w:rFonts w:hint="eastAsia"/>
          <w:color w:val="000000"/>
        </w:rPr>
        <w:t>七、</w:t>
      </w:r>
      <w:bookmarkEnd w:id="131"/>
      <w:bookmarkEnd w:id="132"/>
      <w:r>
        <w:rPr>
          <w:rFonts w:hint="eastAsia"/>
          <w:color w:val="000000"/>
        </w:rPr>
        <w:t>中标和合同</w:t>
      </w:r>
    </w:p>
    <w:p>
      <w:pPr>
        <w:pStyle w:val="9"/>
        <w:keepNext w:val="0"/>
        <w:keepLines w:val="0"/>
        <w:spacing w:before="0" w:after="0" w:line="360" w:lineRule="auto"/>
        <w:ind w:left="420" w:leftChars="200"/>
        <w:rPr>
          <w:rFonts w:ascii="黑体" w:hAnsi="黑体" w:eastAsia="黑体"/>
          <w:color w:val="000000"/>
          <w:sz w:val="24"/>
        </w:rPr>
      </w:pPr>
      <w:r>
        <w:rPr>
          <w:rFonts w:hint="eastAsia" w:ascii="黑体" w:hAnsi="黑体" w:eastAsia="黑体"/>
          <w:color w:val="000000"/>
          <w:sz w:val="24"/>
        </w:rPr>
        <w:t>30</w:t>
      </w:r>
      <w:r>
        <w:rPr>
          <w:rFonts w:ascii="黑体" w:hAnsi="黑体" w:eastAsia="黑体"/>
          <w:color w:val="000000"/>
          <w:sz w:val="24"/>
        </w:rPr>
        <w:t xml:space="preserve"> </w:t>
      </w:r>
      <w:r>
        <w:rPr>
          <w:rFonts w:hint="eastAsia" w:ascii="黑体" w:hAnsi="黑体" w:eastAsia="黑体"/>
          <w:color w:val="000000"/>
          <w:sz w:val="24"/>
        </w:rPr>
        <w:t>确定中标人</w:t>
      </w:r>
    </w:p>
    <w:p>
      <w:pPr>
        <w:pStyle w:val="9"/>
        <w:keepNext w:val="0"/>
        <w:keepLines w:val="0"/>
        <w:spacing w:before="0" w:after="0" w:line="360" w:lineRule="auto"/>
        <w:ind w:firstLine="420" w:firstLineChars="200"/>
        <w:rPr>
          <w:rFonts w:hint="eastAsia" w:ascii="宋体" w:hAnsi="宋体"/>
          <w:b w:val="0"/>
          <w:color w:val="000000"/>
          <w:sz w:val="21"/>
          <w:szCs w:val="21"/>
        </w:rPr>
      </w:pPr>
      <w:r>
        <w:rPr>
          <w:rFonts w:ascii="宋体" w:hAnsi="宋体"/>
          <w:b w:val="0"/>
          <w:color w:val="000000"/>
          <w:sz w:val="21"/>
          <w:szCs w:val="21"/>
        </w:rPr>
        <w:t>30.1</w:t>
      </w:r>
      <w:r>
        <w:rPr>
          <w:rFonts w:hint="eastAsia" w:ascii="宋体" w:hAnsi="宋体"/>
          <w:b w:val="0"/>
          <w:color w:val="000000"/>
          <w:sz w:val="21"/>
          <w:szCs w:val="21"/>
        </w:rPr>
        <w:t>采购代理机构在评标结束之日起2个工作日内将评标报告送采购人，采购人在收到评标报告之日起5个工作日内，在评标报告确定的中标候选人名单中按顺序确定中标人。中标候选人并列的，按照“投标人须知前附表”规定的方式确定中标人。采购人也可以事先授权评标委员会直接确定中标人。</w:t>
      </w:r>
    </w:p>
    <w:p>
      <w:pPr>
        <w:snapToGrid w:val="0"/>
        <w:spacing w:line="360" w:lineRule="auto"/>
        <w:ind w:firstLine="420" w:firstLineChars="200"/>
        <w:rPr>
          <w:rFonts w:hint="eastAsia" w:ascii="宋体" w:hAnsi="宋体" w:cs="Courier New"/>
          <w:color w:val="000000"/>
          <w:szCs w:val="21"/>
        </w:rPr>
      </w:pPr>
      <w:r>
        <w:rPr>
          <w:rFonts w:ascii="宋体" w:hAnsi="宋体" w:cs="Courier New"/>
          <w:color w:val="000000"/>
          <w:szCs w:val="21"/>
        </w:rPr>
        <w:t>30.2</w:t>
      </w:r>
      <w:r>
        <w:rPr>
          <w:rFonts w:hint="eastAsia" w:ascii="宋体" w:hAnsi="宋体" w:cs="Courier New"/>
          <w:color w:val="000000"/>
          <w:szCs w:val="21"/>
        </w:rPr>
        <w:t>采购人在收到评标报告5个工作日内未按评标报告推荐的中标候选人顺序确定中标人，又不能说明合法理由的，视同按评标报告推荐的顺序确定排名第一的中标候选人为中标人。</w:t>
      </w:r>
    </w:p>
    <w:p>
      <w:pPr>
        <w:snapToGrid w:val="0"/>
        <w:spacing w:line="360" w:lineRule="auto"/>
        <w:ind w:firstLine="420" w:firstLineChars="200"/>
        <w:rPr>
          <w:rFonts w:hint="eastAsia" w:ascii="宋体" w:hAnsi="宋体"/>
          <w:color w:val="000000"/>
          <w:szCs w:val="21"/>
        </w:rPr>
      </w:pPr>
      <w:r>
        <w:rPr>
          <w:rFonts w:hint="eastAsia" w:ascii="宋体" w:hAnsi="宋体"/>
          <w:color w:val="000000"/>
          <w:szCs w:val="21"/>
        </w:rPr>
        <w:t>30.3出现下列情形之一的，应予废标：</w:t>
      </w:r>
    </w:p>
    <w:p>
      <w:pPr>
        <w:snapToGrid w:val="0"/>
        <w:spacing w:line="360" w:lineRule="auto"/>
        <w:ind w:firstLine="420" w:firstLineChars="200"/>
        <w:rPr>
          <w:rFonts w:hint="eastAsia" w:ascii="宋体" w:hAnsi="宋体"/>
          <w:color w:val="000000"/>
          <w:szCs w:val="21"/>
        </w:rPr>
      </w:pPr>
      <w:r>
        <w:rPr>
          <w:rFonts w:hint="eastAsia" w:ascii="宋体" w:hAnsi="宋体"/>
          <w:color w:val="000000"/>
          <w:szCs w:val="21"/>
        </w:rPr>
        <w:t>（1）符合专业条件的供应商或者对招标文件作实质响应的供应商不足三家的；</w:t>
      </w:r>
    </w:p>
    <w:p>
      <w:pPr>
        <w:snapToGrid w:val="0"/>
        <w:spacing w:line="360" w:lineRule="auto"/>
        <w:ind w:firstLine="420" w:firstLineChars="200"/>
        <w:rPr>
          <w:rFonts w:hint="eastAsia" w:ascii="宋体" w:hAnsi="宋体"/>
          <w:color w:val="000000"/>
          <w:szCs w:val="21"/>
        </w:rPr>
      </w:pPr>
      <w:r>
        <w:rPr>
          <w:rFonts w:hint="eastAsia" w:ascii="宋体" w:hAnsi="宋体"/>
          <w:color w:val="000000"/>
          <w:szCs w:val="21"/>
        </w:rPr>
        <w:t>（2）出现影响采购公正的违法、违规行为的；</w:t>
      </w:r>
    </w:p>
    <w:p>
      <w:pPr>
        <w:snapToGrid w:val="0"/>
        <w:spacing w:line="360" w:lineRule="auto"/>
        <w:ind w:firstLine="420" w:firstLineChars="200"/>
        <w:rPr>
          <w:rFonts w:hint="eastAsia" w:ascii="宋体" w:hAnsi="宋体"/>
          <w:color w:val="000000"/>
          <w:szCs w:val="21"/>
        </w:rPr>
      </w:pPr>
      <w:r>
        <w:rPr>
          <w:rFonts w:hint="eastAsia" w:ascii="宋体" w:hAnsi="宋体"/>
          <w:color w:val="000000"/>
          <w:szCs w:val="21"/>
        </w:rPr>
        <w:t>（3）投标人的报价均超过了采购预算，采购人不能支付的；</w:t>
      </w:r>
    </w:p>
    <w:p>
      <w:pPr>
        <w:snapToGrid w:val="0"/>
        <w:spacing w:line="360" w:lineRule="auto"/>
        <w:ind w:firstLine="420" w:firstLineChars="200"/>
        <w:rPr>
          <w:rFonts w:hint="eastAsia" w:ascii="宋体" w:hAnsi="宋体"/>
          <w:color w:val="000000"/>
          <w:szCs w:val="21"/>
        </w:rPr>
      </w:pPr>
      <w:r>
        <w:rPr>
          <w:rFonts w:hint="eastAsia" w:ascii="宋体" w:hAnsi="宋体"/>
          <w:color w:val="000000"/>
          <w:szCs w:val="21"/>
        </w:rPr>
        <w:t>（4）因重大变故，采购任务取消的。</w:t>
      </w:r>
    </w:p>
    <w:p>
      <w:pPr>
        <w:snapToGrid w:val="0"/>
        <w:spacing w:line="360" w:lineRule="auto"/>
        <w:ind w:firstLine="420" w:firstLineChars="200"/>
        <w:rPr>
          <w:rFonts w:hint="eastAsia" w:ascii="宋体" w:hAnsi="宋体"/>
          <w:color w:val="000000"/>
          <w:szCs w:val="21"/>
        </w:rPr>
      </w:pPr>
      <w:r>
        <w:rPr>
          <w:rFonts w:hint="eastAsia" w:ascii="宋体" w:hAnsi="宋体"/>
          <w:color w:val="000000"/>
          <w:szCs w:val="21"/>
        </w:rPr>
        <w:t>废标后，采购人应当将废标理由通知所有投标人。</w:t>
      </w:r>
    </w:p>
    <w:p>
      <w:pPr>
        <w:pStyle w:val="9"/>
        <w:keepNext w:val="0"/>
        <w:keepLines w:val="0"/>
        <w:spacing w:before="0" w:after="0" w:line="360" w:lineRule="auto"/>
        <w:ind w:left="420" w:leftChars="200"/>
        <w:rPr>
          <w:rFonts w:ascii="黑体" w:hAnsi="黑体" w:eastAsia="黑体"/>
          <w:color w:val="000000"/>
          <w:sz w:val="24"/>
        </w:rPr>
      </w:pPr>
      <w:r>
        <w:rPr>
          <w:rFonts w:hint="eastAsia" w:ascii="黑体" w:hAnsi="黑体" w:eastAsia="黑体"/>
          <w:color w:val="000000"/>
          <w:sz w:val="24"/>
        </w:rPr>
        <w:t>31. 结果公告</w:t>
      </w:r>
    </w:p>
    <w:p>
      <w:pPr>
        <w:pStyle w:val="9"/>
        <w:keepNext w:val="0"/>
        <w:keepLines w:val="0"/>
        <w:spacing w:before="0" w:after="0" w:line="360" w:lineRule="auto"/>
        <w:ind w:firstLine="420" w:firstLineChars="200"/>
        <w:rPr>
          <w:rFonts w:hint="eastAsia" w:ascii="宋体" w:hAnsi="宋体"/>
          <w:b w:val="0"/>
          <w:color w:val="000000"/>
          <w:sz w:val="21"/>
          <w:szCs w:val="21"/>
        </w:rPr>
      </w:pPr>
      <w:r>
        <w:rPr>
          <w:rFonts w:hint="eastAsia" w:ascii="宋体" w:hAnsi="宋体"/>
          <w:b w:val="0"/>
          <w:color w:val="000000"/>
          <w:sz w:val="21"/>
          <w:szCs w:val="21"/>
        </w:rPr>
        <w:t>3</w:t>
      </w:r>
      <w:r>
        <w:rPr>
          <w:rFonts w:ascii="宋体" w:hAnsi="宋体"/>
          <w:b w:val="0"/>
          <w:color w:val="000000"/>
          <w:sz w:val="21"/>
          <w:szCs w:val="21"/>
        </w:rPr>
        <w:t>1.1</w:t>
      </w:r>
      <w:r>
        <w:rPr>
          <w:rFonts w:hint="eastAsia" w:ascii="宋体" w:hAnsi="宋体"/>
          <w:b w:val="0"/>
          <w:color w:val="000000"/>
          <w:sz w:val="21"/>
          <w:szCs w:val="21"/>
        </w:rPr>
        <w:t>采购人或者采购代理机构应当自中标人确定之日起2个工作日内，在省级以上财政部门指定的媒体上公告中标结果，招标文件应当随中标结果同时公告。采购人或者采购代理发出中标通知书前，应当对中标人信用进行查询，对列入失信被执行人、重大税收违法案件当事人名单、政府采购严重违法失信行为记录名单及其他不符合《中华人民共和国政府采购法》第二十二条规定条件的投标人，取消其中标资格，并确定排名第二的中标候选人为中标人。排名第二的中标候选人因前款规定的同样原因被取消中标资格的，采购人可以确定排名第三的中标候选人为中标人，以此类推。</w:t>
      </w:r>
    </w:p>
    <w:p>
      <w:pPr>
        <w:snapToGrid w:val="0"/>
        <w:spacing w:line="360" w:lineRule="auto"/>
        <w:ind w:firstLine="420" w:firstLineChars="200"/>
        <w:rPr>
          <w:rFonts w:hint="eastAsia" w:ascii="宋体" w:hAnsi="宋体"/>
          <w:color w:val="000000"/>
          <w:szCs w:val="21"/>
        </w:rPr>
      </w:pPr>
      <w:r>
        <w:rPr>
          <w:rFonts w:hint="eastAsia" w:ascii="宋体" w:hAnsi="宋体"/>
          <w:color w:val="000000"/>
          <w:szCs w:val="21"/>
        </w:rPr>
        <w:t>以上信息查询记录及相关证据与采购文件一并保存。</w:t>
      </w:r>
    </w:p>
    <w:p>
      <w:pPr>
        <w:pStyle w:val="9"/>
        <w:keepNext w:val="0"/>
        <w:keepLines w:val="0"/>
        <w:spacing w:before="0" w:after="0" w:line="360" w:lineRule="auto"/>
        <w:ind w:firstLine="420" w:firstLineChars="200"/>
        <w:rPr>
          <w:rFonts w:hint="eastAsia" w:ascii="宋体" w:hAnsi="宋体"/>
          <w:b w:val="0"/>
          <w:color w:val="000000"/>
          <w:sz w:val="21"/>
          <w:szCs w:val="21"/>
        </w:rPr>
      </w:pPr>
      <w:r>
        <w:rPr>
          <w:rFonts w:hint="eastAsia" w:ascii="宋体" w:hAnsi="宋体"/>
          <w:b w:val="0"/>
          <w:color w:val="000000"/>
          <w:sz w:val="21"/>
          <w:szCs w:val="21"/>
        </w:rPr>
        <w:t>31.2中标供应商享受《政府采购促进中小企业发展管理办法》（财库〔2020〕46号）规定的中小企业扶持政策的，采购人、采购代理机构应当随中标结果公开中标供应商的《中小企业声明函》。</w:t>
      </w:r>
    </w:p>
    <w:p>
      <w:pPr>
        <w:pStyle w:val="9"/>
        <w:keepNext w:val="0"/>
        <w:keepLines w:val="0"/>
        <w:spacing w:before="0" w:after="0" w:line="360" w:lineRule="auto"/>
        <w:ind w:left="420" w:leftChars="200"/>
        <w:rPr>
          <w:rFonts w:ascii="黑体" w:hAnsi="黑体" w:eastAsia="黑体"/>
          <w:color w:val="000000"/>
          <w:sz w:val="24"/>
        </w:rPr>
      </w:pPr>
      <w:r>
        <w:rPr>
          <w:rFonts w:hint="eastAsia" w:ascii="黑体" w:hAnsi="黑体" w:eastAsia="黑体"/>
          <w:color w:val="000000"/>
          <w:sz w:val="24"/>
        </w:rPr>
        <w:t>32.发出中标通知书</w:t>
      </w:r>
    </w:p>
    <w:p>
      <w:pPr>
        <w:pStyle w:val="9"/>
        <w:keepNext w:val="0"/>
        <w:keepLines w:val="0"/>
        <w:spacing w:before="0" w:after="0" w:line="360" w:lineRule="auto"/>
        <w:rPr>
          <w:rFonts w:hint="eastAsia" w:ascii="宋体" w:hAnsi="宋体"/>
          <w:b w:val="0"/>
          <w:color w:val="000000"/>
          <w:sz w:val="21"/>
          <w:szCs w:val="21"/>
        </w:rPr>
      </w:pPr>
      <w:r>
        <w:rPr>
          <w:rFonts w:hint="eastAsia" w:ascii="宋体" w:hAnsi="宋体"/>
          <w:b w:val="0"/>
          <w:color w:val="000000"/>
          <w:sz w:val="21"/>
          <w:szCs w:val="21"/>
        </w:rPr>
        <w:t xml:space="preserve"> </w:t>
      </w:r>
      <w:r>
        <w:rPr>
          <w:rFonts w:ascii="宋体" w:hAnsi="宋体"/>
          <w:b w:val="0"/>
          <w:color w:val="000000"/>
          <w:sz w:val="21"/>
          <w:szCs w:val="21"/>
        </w:rPr>
        <w:t xml:space="preserve">   </w:t>
      </w:r>
      <w:r>
        <w:rPr>
          <w:rFonts w:hint="eastAsia" w:ascii="宋体" w:hAnsi="宋体"/>
          <w:b w:val="0"/>
          <w:color w:val="000000"/>
          <w:sz w:val="21"/>
          <w:szCs w:val="21"/>
        </w:rPr>
        <w:t>在发布中标公告的同时，采购代理机构向中标人通过“政采云”平台发出电子中标通知书。对未通过资格审查的投标人，应当告知其未通过的原因；采用综合评分办法评审的，还应当告知未中标人本人的评审得分与排序。</w:t>
      </w:r>
    </w:p>
    <w:p>
      <w:pPr>
        <w:pStyle w:val="9"/>
        <w:keepNext w:val="0"/>
        <w:keepLines w:val="0"/>
        <w:spacing w:before="0" w:after="0" w:line="360" w:lineRule="auto"/>
        <w:ind w:left="420" w:leftChars="200"/>
        <w:rPr>
          <w:rFonts w:ascii="黑体" w:hAnsi="黑体" w:eastAsia="黑体"/>
          <w:color w:val="000000"/>
          <w:sz w:val="24"/>
        </w:rPr>
      </w:pPr>
      <w:r>
        <w:rPr>
          <w:rFonts w:hint="eastAsia" w:ascii="黑体" w:hAnsi="黑体" w:eastAsia="黑体"/>
          <w:color w:val="000000"/>
          <w:sz w:val="24"/>
        </w:rPr>
        <w:t>33. 无义务解释未中标原因</w:t>
      </w:r>
    </w:p>
    <w:p>
      <w:pPr>
        <w:pStyle w:val="9"/>
        <w:keepNext w:val="0"/>
        <w:keepLines w:val="0"/>
        <w:spacing w:before="0" w:after="0" w:line="360" w:lineRule="auto"/>
        <w:ind w:left="420" w:leftChars="200"/>
        <w:rPr>
          <w:rFonts w:hint="eastAsia" w:ascii="宋体" w:hAnsi="宋体"/>
          <w:b w:val="0"/>
          <w:color w:val="000000"/>
          <w:sz w:val="21"/>
          <w:szCs w:val="21"/>
        </w:rPr>
      </w:pPr>
      <w:r>
        <w:rPr>
          <w:rFonts w:hint="eastAsia" w:ascii="宋体" w:hAnsi="宋体"/>
          <w:b w:val="0"/>
          <w:color w:val="000000"/>
          <w:sz w:val="21"/>
          <w:szCs w:val="21"/>
        </w:rPr>
        <w:t>采购代理机构无义务向未中标的投标人解释未中标原因。</w:t>
      </w:r>
    </w:p>
    <w:p>
      <w:pPr>
        <w:pStyle w:val="9"/>
        <w:keepNext w:val="0"/>
        <w:keepLines w:val="0"/>
        <w:spacing w:before="0" w:after="0" w:line="360" w:lineRule="auto"/>
        <w:ind w:left="420" w:leftChars="200"/>
        <w:rPr>
          <w:rFonts w:hint="eastAsia" w:ascii="黑体" w:hAnsi="黑体" w:eastAsia="黑体"/>
          <w:color w:val="000000"/>
          <w:sz w:val="24"/>
        </w:rPr>
      </w:pPr>
      <w:r>
        <w:rPr>
          <w:rFonts w:hint="eastAsia" w:ascii="黑体" w:hAnsi="黑体" w:eastAsia="黑体"/>
          <w:color w:val="000000"/>
          <w:sz w:val="24"/>
        </w:rPr>
        <w:t>34.合同授予标准</w:t>
      </w:r>
    </w:p>
    <w:p>
      <w:pPr>
        <w:snapToGrid w:val="0"/>
        <w:spacing w:line="360" w:lineRule="auto"/>
        <w:ind w:firstLine="420" w:firstLineChars="200"/>
        <w:rPr>
          <w:rFonts w:hint="eastAsia" w:ascii="宋体" w:hAnsi="宋体"/>
          <w:color w:val="000000"/>
          <w:szCs w:val="21"/>
        </w:rPr>
      </w:pPr>
      <w:r>
        <w:rPr>
          <w:rFonts w:hint="eastAsia" w:ascii="宋体" w:hAnsi="宋体" w:cs="Courier New"/>
          <w:color w:val="000000"/>
          <w:szCs w:val="21"/>
        </w:rPr>
        <w:t>合同将授予被确定实质上响应招标文件要求，具备履行合同能力的中标人。</w:t>
      </w:r>
    </w:p>
    <w:p>
      <w:pPr>
        <w:pStyle w:val="9"/>
        <w:keepNext w:val="0"/>
        <w:keepLines w:val="0"/>
        <w:spacing w:before="0" w:after="0" w:line="360" w:lineRule="auto"/>
        <w:ind w:left="420" w:leftChars="200"/>
        <w:rPr>
          <w:rFonts w:hint="eastAsia" w:ascii="黑体" w:hAnsi="黑体" w:eastAsia="黑体"/>
          <w:color w:val="000000"/>
          <w:sz w:val="24"/>
        </w:rPr>
      </w:pPr>
      <w:r>
        <w:rPr>
          <w:rFonts w:hint="eastAsia" w:ascii="黑体" w:hAnsi="黑体" w:eastAsia="黑体"/>
          <w:color w:val="000000"/>
          <w:sz w:val="24"/>
        </w:rPr>
        <w:t>35.履约保证金</w:t>
      </w:r>
    </w:p>
    <w:p>
      <w:pPr>
        <w:pStyle w:val="9"/>
        <w:keepNext w:val="0"/>
        <w:keepLines w:val="0"/>
        <w:spacing w:before="0" w:after="0" w:line="360" w:lineRule="auto"/>
        <w:ind w:firstLine="315" w:firstLineChars="150"/>
        <w:rPr>
          <w:rFonts w:hint="eastAsia" w:ascii="宋体" w:hAnsi="宋体"/>
          <w:b w:val="0"/>
          <w:color w:val="000000"/>
          <w:sz w:val="21"/>
          <w:szCs w:val="21"/>
        </w:rPr>
      </w:pPr>
      <w:bookmarkStart w:id="133" w:name="_39.1中标人须于签订合同前按本须知前附表规定的金额转账或电汇到指定账"/>
      <w:bookmarkEnd w:id="133"/>
      <w:r>
        <w:rPr>
          <w:rFonts w:ascii="宋体" w:hAnsi="宋体"/>
          <w:b w:val="0"/>
          <w:color w:val="000000"/>
          <w:sz w:val="21"/>
          <w:szCs w:val="21"/>
        </w:rPr>
        <w:t xml:space="preserve"> </w:t>
      </w:r>
      <w:r>
        <w:rPr>
          <w:rFonts w:hint="eastAsia" w:ascii="宋体" w:hAnsi="宋体"/>
          <w:b w:val="0"/>
          <w:color w:val="000000"/>
          <w:sz w:val="21"/>
          <w:szCs w:val="21"/>
        </w:rPr>
        <w:t>3</w:t>
      </w:r>
      <w:r>
        <w:rPr>
          <w:rFonts w:ascii="宋体" w:hAnsi="宋体"/>
          <w:b w:val="0"/>
          <w:color w:val="000000"/>
          <w:sz w:val="21"/>
          <w:szCs w:val="21"/>
        </w:rPr>
        <w:t>5</w:t>
      </w:r>
      <w:r>
        <w:rPr>
          <w:rFonts w:hint="eastAsia" w:ascii="宋体" w:hAnsi="宋体"/>
          <w:b w:val="0"/>
          <w:color w:val="000000"/>
          <w:sz w:val="21"/>
          <w:szCs w:val="21"/>
        </w:rPr>
        <w:t>.1 履约保证金的金额、提交方式、退付的时间和条件详见 “投标人须知前附表”。中标人未按规定提交履约保证金的，视为拒绝与采购人签订合同。</w:t>
      </w:r>
    </w:p>
    <w:p>
      <w:pPr>
        <w:pStyle w:val="9"/>
        <w:keepNext w:val="0"/>
        <w:keepLines w:val="0"/>
        <w:spacing w:before="0" w:after="0" w:line="360" w:lineRule="auto"/>
        <w:ind w:firstLine="316" w:firstLineChars="150"/>
        <w:rPr>
          <w:rFonts w:hint="eastAsia" w:ascii="宋体" w:hAnsi="宋体"/>
          <w:color w:val="000000"/>
          <w:sz w:val="21"/>
          <w:szCs w:val="21"/>
        </w:rPr>
      </w:pPr>
      <w:r>
        <w:rPr>
          <w:rFonts w:hint="eastAsia" w:ascii="宋体" w:hAnsi="宋体"/>
          <w:color w:val="000000"/>
          <w:sz w:val="21"/>
          <w:szCs w:val="21"/>
        </w:rPr>
        <w:t xml:space="preserve"> </w:t>
      </w:r>
      <w:r>
        <w:rPr>
          <w:rFonts w:hint="eastAsia" w:ascii="宋体" w:hAnsi="宋体"/>
          <w:b w:val="0"/>
          <w:bCs/>
          <w:color w:val="000000"/>
          <w:sz w:val="21"/>
          <w:szCs w:val="21"/>
        </w:rPr>
        <w:t>35.2在履约保证金退还日期前，若中标人的开户名称、开户银行、帐号有变动的，请以书面形式通知履约保证金收取单位，否则由此产生的后果由中标人自行承担。</w:t>
      </w:r>
    </w:p>
    <w:p>
      <w:pPr>
        <w:pStyle w:val="9"/>
        <w:keepNext w:val="0"/>
        <w:keepLines w:val="0"/>
        <w:spacing w:before="0" w:after="0" w:line="360" w:lineRule="auto"/>
        <w:ind w:left="420" w:leftChars="200"/>
        <w:rPr>
          <w:rFonts w:hint="eastAsia" w:ascii="黑体" w:hAnsi="黑体" w:eastAsia="黑体"/>
          <w:color w:val="000000"/>
          <w:sz w:val="24"/>
        </w:rPr>
      </w:pPr>
      <w:r>
        <w:rPr>
          <w:rFonts w:hint="eastAsia" w:ascii="黑体" w:hAnsi="黑体" w:eastAsia="黑体"/>
          <w:color w:val="000000"/>
          <w:sz w:val="24"/>
        </w:rPr>
        <w:t>36.签订合同</w:t>
      </w:r>
    </w:p>
    <w:p>
      <w:pPr>
        <w:pStyle w:val="9"/>
        <w:keepNext w:val="0"/>
        <w:keepLines w:val="0"/>
        <w:spacing w:before="0" w:after="0" w:line="360" w:lineRule="auto"/>
        <w:ind w:firstLine="315" w:firstLineChars="150"/>
        <w:rPr>
          <w:rFonts w:hint="eastAsia" w:ascii="宋体" w:hAnsi="宋体"/>
          <w:b w:val="0"/>
          <w:color w:val="000000"/>
          <w:sz w:val="21"/>
          <w:szCs w:val="21"/>
        </w:rPr>
      </w:pPr>
      <w:bookmarkStart w:id="134" w:name="_40.1投标人接到中标通知书后，按须知前附表规定向采购人出示相关资格证"/>
      <w:bookmarkEnd w:id="134"/>
      <w:r>
        <w:rPr>
          <w:rFonts w:hint="eastAsia" w:ascii="宋体" w:hAnsi="宋体"/>
          <w:b w:val="0"/>
          <w:color w:val="000000"/>
          <w:sz w:val="21"/>
          <w:szCs w:val="21"/>
        </w:rPr>
        <w:t xml:space="preserve"> </w:t>
      </w:r>
      <w:r>
        <w:rPr>
          <w:rFonts w:hint="eastAsia" w:ascii="宋体" w:hAnsi="宋体"/>
          <w:color w:val="000000"/>
          <w:sz w:val="21"/>
          <w:szCs w:val="21"/>
        </w:rPr>
        <w:t>36.1签订电子采购合同：中标人领取电子中标通知书后，</w:t>
      </w:r>
      <w:r>
        <w:rPr>
          <w:rFonts w:hint="eastAsia" w:ascii="宋体" w:hAnsi="宋体"/>
          <w:color w:val="000000"/>
          <w:kern w:val="0"/>
          <w:sz w:val="21"/>
          <w:szCs w:val="21"/>
        </w:rPr>
        <w:t>在</w:t>
      </w:r>
      <w:r>
        <w:rPr>
          <w:rFonts w:hint="eastAsia" w:ascii="宋体" w:hAnsi="宋体"/>
          <w:color w:val="000000"/>
          <w:kern w:val="0"/>
          <w:sz w:val="21"/>
          <w:szCs w:val="21"/>
          <w:lang w:val="zh-CN"/>
        </w:rPr>
        <w:t>规定的日期、时间、地点，由法定代表人或其授权代表与采购人代表签订采购合同。如中标人为联合体的，由联合体成员各方法定代表人或其授权代表与采购人代表签订合同。</w:t>
      </w:r>
    </w:p>
    <w:p>
      <w:pPr>
        <w:pStyle w:val="9"/>
        <w:keepNext w:val="0"/>
        <w:keepLines w:val="0"/>
        <w:spacing w:before="0" w:after="0" w:line="360" w:lineRule="auto"/>
        <w:ind w:firstLine="315" w:firstLineChars="150"/>
        <w:rPr>
          <w:rFonts w:hint="eastAsia" w:ascii="宋体" w:hAnsi="宋体"/>
          <w:b w:val="0"/>
          <w:color w:val="000000"/>
          <w:sz w:val="21"/>
          <w:szCs w:val="21"/>
        </w:rPr>
      </w:pPr>
      <w:r>
        <w:rPr>
          <w:rFonts w:hint="eastAsia" w:ascii="宋体" w:hAnsi="宋体"/>
          <w:b w:val="0"/>
          <w:color w:val="000000"/>
          <w:sz w:val="21"/>
          <w:szCs w:val="21"/>
        </w:rPr>
        <w:t xml:space="preserve"> 线下签订纸质合同：投标人领取中标通知书后，按“投标人须知前附表”规定向采购人出示相关证明材料，经采购人核验合格后方可签订合同。</w:t>
      </w:r>
    </w:p>
    <w:p>
      <w:pPr>
        <w:pStyle w:val="9"/>
        <w:keepNext w:val="0"/>
        <w:keepLines w:val="0"/>
        <w:numPr>
          <w:ilvl w:val="0"/>
          <w:numId w:val="0"/>
        </w:numPr>
        <w:spacing w:before="0" w:after="0" w:line="360" w:lineRule="auto"/>
        <w:ind w:firstLine="420" w:firstLineChars="200"/>
        <w:rPr>
          <w:rFonts w:hint="eastAsia" w:ascii="宋体" w:hAnsi="宋体"/>
          <w:b w:val="0"/>
          <w:color w:val="000000"/>
          <w:sz w:val="21"/>
          <w:szCs w:val="21"/>
        </w:rPr>
      </w:pPr>
      <w:r>
        <w:rPr>
          <w:rFonts w:hint="eastAsia" w:ascii="宋体" w:hAnsi="宋体"/>
          <w:b w:val="0"/>
          <w:color w:val="000000"/>
          <w:sz w:val="21"/>
          <w:szCs w:val="21"/>
        </w:rPr>
        <w:t>36.2签订合同时间：按中标通知书规定的时间与采购人签订合同。</w:t>
      </w:r>
    </w:p>
    <w:p>
      <w:pPr>
        <w:pStyle w:val="9"/>
        <w:keepNext w:val="0"/>
        <w:keepLines w:val="0"/>
        <w:spacing w:before="0" w:after="0" w:line="360" w:lineRule="auto"/>
        <w:rPr>
          <w:rFonts w:hint="eastAsia" w:ascii="宋体" w:hAnsi="宋体"/>
          <w:b w:val="0"/>
          <w:color w:val="000000"/>
          <w:sz w:val="21"/>
          <w:szCs w:val="21"/>
        </w:rPr>
      </w:pPr>
      <w:r>
        <w:rPr>
          <w:rFonts w:hint="eastAsia" w:ascii="宋体" w:hAnsi="宋体"/>
          <w:b w:val="0"/>
          <w:color w:val="000000"/>
          <w:sz w:val="21"/>
          <w:szCs w:val="21"/>
        </w:rPr>
        <w:t xml:space="preserve">    36.</w:t>
      </w:r>
      <w:r>
        <w:rPr>
          <w:rFonts w:ascii="宋体" w:hAnsi="宋体"/>
          <w:b w:val="0"/>
          <w:color w:val="000000"/>
          <w:sz w:val="21"/>
          <w:szCs w:val="21"/>
        </w:rPr>
        <w:t>3</w:t>
      </w:r>
      <w:r>
        <w:rPr>
          <w:rFonts w:hint="eastAsia" w:ascii="宋体" w:hAnsi="宋体"/>
          <w:b w:val="0"/>
          <w:color w:val="000000"/>
          <w:sz w:val="21"/>
          <w:szCs w:val="21"/>
        </w:rPr>
        <w:t>中标人拒绝签订政府采购合同（包括但不限于放弃中标、因不可抗力不能履行合同而放弃签订合同），采购人可以按照评审报告推荐的中标候选人名单排序，确定下一候选人为中标供应商，也可以重新开展政府采购活动。如采购人无正当理由拒签合同的，给中标供应商造成损失的，中标供应商可追究采购人承担相应的法律责任。</w:t>
      </w:r>
    </w:p>
    <w:p>
      <w:pPr>
        <w:spacing w:line="360" w:lineRule="auto"/>
        <w:ind w:firstLine="420" w:firstLineChars="200"/>
        <w:rPr>
          <w:rFonts w:hint="eastAsia" w:ascii="宋体" w:hAnsi="宋体"/>
          <w:color w:val="000000"/>
          <w:szCs w:val="21"/>
        </w:rPr>
      </w:pPr>
      <w:r>
        <w:rPr>
          <w:rFonts w:hint="eastAsia" w:ascii="宋体" w:hAnsi="宋体"/>
          <w:color w:val="000000"/>
          <w:szCs w:val="21"/>
        </w:rPr>
        <w:t>36.4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spacing w:line="360" w:lineRule="auto"/>
        <w:ind w:firstLine="420" w:firstLineChars="200"/>
        <w:rPr>
          <w:rFonts w:hint="eastAsia" w:ascii="宋体" w:hAnsi="宋体"/>
          <w:color w:val="000000"/>
          <w:szCs w:val="21"/>
        </w:rPr>
      </w:pPr>
      <w:r>
        <w:rPr>
          <w:rFonts w:hint="eastAsia" w:ascii="宋体" w:hAnsi="宋体"/>
          <w:color w:val="000000"/>
          <w:szCs w:val="21"/>
        </w:rPr>
        <w:t>36.5采购人或中标供应商不得单方面向合同另一方提出任何招标文件没有约定的条件或不合理的要求，作为签订合同的条件；也不得协商另行订立背离招标文件和合同实质性内容的协议。</w:t>
      </w:r>
    </w:p>
    <w:p>
      <w:pPr>
        <w:spacing w:line="360" w:lineRule="auto"/>
        <w:ind w:firstLine="420" w:firstLineChars="200"/>
        <w:rPr>
          <w:rFonts w:hint="eastAsia" w:ascii="宋体" w:hAnsi="宋体"/>
          <w:color w:val="000000"/>
          <w:szCs w:val="21"/>
        </w:rPr>
      </w:pPr>
      <w:r>
        <w:rPr>
          <w:rFonts w:hint="eastAsia" w:ascii="宋体" w:hAnsi="宋体"/>
          <w:color w:val="000000"/>
          <w:szCs w:val="21"/>
        </w:rPr>
        <w:t>36.6</w:t>
      </w:r>
      <w:r>
        <w:rPr>
          <w:rFonts w:hint="eastAsia" w:ascii="宋体" w:hAnsi="宋体" w:cs="仿宋_GB2312"/>
          <w:color w:val="000000"/>
          <w:szCs w:val="21"/>
        </w:rPr>
        <w:t>如签订合同并生效后，供应商无故拒绝或延期，除按照合同条款处理外，将承担相应的法律责任。</w:t>
      </w:r>
    </w:p>
    <w:p>
      <w:pPr>
        <w:spacing w:line="360" w:lineRule="auto"/>
        <w:ind w:firstLine="420" w:firstLineChars="200"/>
        <w:rPr>
          <w:rFonts w:hint="eastAsia" w:ascii="宋体" w:hAnsi="宋体"/>
          <w:color w:val="000000"/>
          <w:szCs w:val="21"/>
        </w:rPr>
      </w:pPr>
      <w:r>
        <w:rPr>
          <w:rFonts w:hint="eastAsia" w:ascii="宋体" w:hAnsi="宋体"/>
          <w:color w:val="000000"/>
          <w:szCs w:val="21"/>
        </w:rPr>
        <w:t>36.7</w:t>
      </w:r>
      <w:r>
        <w:rPr>
          <w:rFonts w:hint="eastAsia" w:ascii="宋体" w:hAnsi="宋体" w:cs="宋体"/>
          <w:color w:val="000000"/>
          <w:szCs w:val="21"/>
        </w:rPr>
        <w:t>政府采购合同履行中，采购人需追加与合同标的相同的货物、工程或者服务的，在不改变合同其他条款的前提下，可以与供应商协商签订补充合同，但所有补充合同的采购金额不得超过原合同采购金额的10%。</w:t>
      </w:r>
    </w:p>
    <w:p>
      <w:pPr>
        <w:pStyle w:val="9"/>
        <w:keepNext w:val="0"/>
        <w:keepLines w:val="0"/>
        <w:spacing w:before="0" w:after="0" w:line="360" w:lineRule="auto"/>
        <w:ind w:left="420" w:leftChars="200"/>
        <w:rPr>
          <w:rFonts w:hint="eastAsia" w:ascii="黑体" w:hAnsi="黑体" w:eastAsia="黑体"/>
          <w:color w:val="000000"/>
          <w:sz w:val="24"/>
        </w:rPr>
      </w:pPr>
      <w:bookmarkStart w:id="135" w:name="_41.政府采购合同公告"/>
      <w:bookmarkEnd w:id="135"/>
      <w:r>
        <w:rPr>
          <w:rFonts w:hint="eastAsia" w:ascii="黑体" w:hAnsi="黑体" w:eastAsia="黑体"/>
          <w:color w:val="000000"/>
          <w:sz w:val="24"/>
        </w:rPr>
        <w:t>37.政府采购合同公告</w:t>
      </w:r>
    </w:p>
    <w:p>
      <w:pPr>
        <w:pStyle w:val="15"/>
        <w:snapToGrid w:val="0"/>
        <w:spacing w:line="360" w:lineRule="auto"/>
        <w:ind w:firstLine="420" w:firstLineChars="200"/>
        <w:rPr>
          <w:rFonts w:hint="eastAsia" w:hAnsi="宋体"/>
          <w:color w:val="000000"/>
          <w:sz w:val="21"/>
        </w:rPr>
      </w:pPr>
      <w:r>
        <w:rPr>
          <w:rFonts w:hint="eastAsia" w:hAnsi="宋体"/>
          <w:color w:val="000000"/>
          <w:sz w:val="21"/>
        </w:rPr>
        <w:t>采购人或者受托采购代理机构应当自政府采购合同签订之日起2个工作日内，将政府采购合同在省级以上人民政府财政部门指定的媒体上公告，</w:t>
      </w:r>
      <w:r>
        <w:rPr>
          <w:rFonts w:hAnsi="宋体"/>
          <w:color w:val="000000"/>
          <w:sz w:val="21"/>
        </w:rPr>
        <w:t>但政府采购合同中涉及国家秘密、商业秘密的内容除外。</w:t>
      </w:r>
    </w:p>
    <w:p>
      <w:pPr>
        <w:pStyle w:val="9"/>
        <w:keepNext w:val="0"/>
        <w:keepLines w:val="0"/>
        <w:spacing w:before="0" w:after="0" w:line="360" w:lineRule="auto"/>
        <w:ind w:left="420" w:leftChars="200"/>
        <w:rPr>
          <w:rFonts w:ascii="黑体" w:hAnsi="黑体" w:eastAsia="黑体"/>
          <w:color w:val="000000"/>
          <w:sz w:val="24"/>
        </w:rPr>
      </w:pPr>
      <w:r>
        <w:rPr>
          <w:rFonts w:hint="eastAsia" w:ascii="黑体" w:hAnsi="黑体" w:eastAsia="黑体"/>
          <w:color w:val="000000"/>
          <w:sz w:val="24"/>
        </w:rPr>
        <w:t>3</w:t>
      </w:r>
      <w:r>
        <w:rPr>
          <w:rFonts w:ascii="黑体" w:hAnsi="黑体" w:eastAsia="黑体"/>
          <w:color w:val="000000"/>
          <w:sz w:val="24"/>
        </w:rPr>
        <w:t>8.</w:t>
      </w:r>
      <w:r>
        <w:rPr>
          <w:rFonts w:hint="eastAsia" w:ascii="黑体" w:hAnsi="黑体" w:eastAsia="黑体"/>
          <w:color w:val="000000"/>
          <w:sz w:val="24"/>
        </w:rPr>
        <w:t xml:space="preserve"> 询问、质疑和投诉</w:t>
      </w:r>
    </w:p>
    <w:p>
      <w:pPr>
        <w:pStyle w:val="10"/>
        <w:spacing w:line="360" w:lineRule="auto"/>
        <w:rPr>
          <w:rFonts w:hint="eastAsia" w:ascii="宋体" w:hAnsi="宋体"/>
          <w:color w:val="000000"/>
          <w:szCs w:val="21"/>
        </w:rPr>
      </w:pPr>
      <w:r>
        <w:rPr>
          <w:rFonts w:ascii="宋体" w:hAnsi="宋体"/>
          <w:color w:val="000000"/>
          <w:szCs w:val="21"/>
        </w:rPr>
        <w:t>38.1</w:t>
      </w:r>
      <w:r>
        <w:rPr>
          <w:rFonts w:hint="eastAsia" w:ascii="宋体" w:hAnsi="宋体"/>
          <w:color w:val="000000"/>
          <w:szCs w:val="21"/>
        </w:rPr>
        <w:t>供应商对政府采购活动事项有疑问的，可以向采购人提出询问，采购人或者采购代理机构应当在3个工作日内对供应商依法提出的询问作出答复，但答复的内容不得涉及商业秘密。</w:t>
      </w:r>
    </w:p>
    <w:p>
      <w:pPr>
        <w:pStyle w:val="9"/>
        <w:keepNext w:val="0"/>
        <w:keepLines w:val="0"/>
        <w:spacing w:before="0" w:after="0" w:line="360" w:lineRule="auto"/>
        <w:ind w:firstLine="315" w:firstLineChars="150"/>
        <w:rPr>
          <w:rFonts w:hint="eastAsia" w:ascii="宋体" w:hAnsi="宋体"/>
          <w:b w:val="0"/>
          <w:color w:val="000000"/>
          <w:sz w:val="21"/>
          <w:szCs w:val="21"/>
        </w:rPr>
      </w:pPr>
      <w:r>
        <w:rPr>
          <w:rFonts w:hint="eastAsia" w:ascii="宋体" w:hAnsi="宋体"/>
          <w:b w:val="0"/>
          <w:color w:val="000000"/>
          <w:sz w:val="21"/>
          <w:szCs w:val="21"/>
        </w:rPr>
        <w:t xml:space="preserve"> </w:t>
      </w:r>
      <w:r>
        <w:rPr>
          <w:rFonts w:ascii="宋体" w:hAnsi="宋体"/>
          <w:b w:val="0"/>
          <w:color w:val="000000"/>
          <w:sz w:val="21"/>
          <w:szCs w:val="21"/>
        </w:rPr>
        <w:t>38</w:t>
      </w:r>
      <w:r>
        <w:rPr>
          <w:rFonts w:hint="eastAsia" w:ascii="宋体" w:hAnsi="宋体"/>
          <w:b w:val="0"/>
          <w:color w:val="000000"/>
          <w:sz w:val="21"/>
          <w:szCs w:val="21"/>
        </w:rPr>
        <w:t>.</w:t>
      </w:r>
      <w:r>
        <w:rPr>
          <w:rFonts w:ascii="宋体" w:hAnsi="宋体"/>
          <w:b w:val="0"/>
          <w:color w:val="000000"/>
          <w:sz w:val="21"/>
          <w:szCs w:val="21"/>
        </w:rPr>
        <w:t>2</w:t>
      </w:r>
      <w:r>
        <w:rPr>
          <w:rFonts w:hint="eastAsia" w:ascii="宋体" w:hAnsi="宋体"/>
          <w:b w:val="0"/>
          <w:color w:val="000000"/>
          <w:sz w:val="21"/>
          <w:szCs w:val="21"/>
        </w:rPr>
        <w:t xml:space="preserve">供应商认为招标文件、采购过程或者中标结果使自己的合法权益受到损害的，必须在知道或者应知其权益受到损害之日起7个工作日内，以书面形式向采购人、采购代理机构提出质疑。采购人、采购代理机构接收质疑函的方式、联系部门、联系电话和通讯地址等信息详见“投标人须知前附表”。具体质疑起算时间如下： </w:t>
      </w:r>
    </w:p>
    <w:p>
      <w:pPr>
        <w:pStyle w:val="15"/>
        <w:snapToGrid w:val="0"/>
        <w:spacing w:line="360" w:lineRule="auto"/>
        <w:ind w:firstLine="420" w:firstLineChars="200"/>
        <w:rPr>
          <w:rFonts w:hAnsi="宋体"/>
          <w:color w:val="000000"/>
          <w:sz w:val="21"/>
        </w:rPr>
      </w:pPr>
      <w:r>
        <w:rPr>
          <w:rFonts w:hAnsi="宋体"/>
          <w:color w:val="000000"/>
          <w:sz w:val="21"/>
        </w:rPr>
        <w:t>（</w:t>
      </w:r>
      <w:r>
        <w:rPr>
          <w:rFonts w:hint="eastAsia" w:hAnsi="宋体"/>
          <w:color w:val="000000"/>
          <w:sz w:val="21"/>
        </w:rPr>
        <w:t>1</w:t>
      </w:r>
      <w:r>
        <w:rPr>
          <w:rFonts w:hAnsi="宋体"/>
          <w:color w:val="000000"/>
          <w:sz w:val="21"/>
        </w:rPr>
        <w:t>）对可以质疑的</w:t>
      </w:r>
      <w:r>
        <w:rPr>
          <w:rFonts w:hint="eastAsia" w:hAnsi="宋体"/>
          <w:color w:val="000000"/>
          <w:sz w:val="21"/>
        </w:rPr>
        <w:t>招标</w:t>
      </w:r>
      <w:r>
        <w:rPr>
          <w:rFonts w:hAnsi="宋体"/>
          <w:color w:val="000000"/>
          <w:sz w:val="21"/>
        </w:rPr>
        <w:t>文件提出质疑的，为收到</w:t>
      </w:r>
      <w:r>
        <w:rPr>
          <w:rFonts w:hint="eastAsia" w:hAnsi="宋体"/>
          <w:color w:val="000000"/>
          <w:sz w:val="21"/>
        </w:rPr>
        <w:t>招标</w:t>
      </w:r>
      <w:r>
        <w:rPr>
          <w:rFonts w:hAnsi="宋体"/>
          <w:color w:val="000000"/>
          <w:sz w:val="21"/>
        </w:rPr>
        <w:t>文件之日</w:t>
      </w:r>
      <w:r>
        <w:rPr>
          <w:rFonts w:hint="eastAsia" w:hAnsi="宋体"/>
          <w:color w:val="000000"/>
          <w:sz w:val="21"/>
        </w:rPr>
        <w:t>或者招标文件公告期限届满之日</w:t>
      </w:r>
      <w:r>
        <w:rPr>
          <w:rFonts w:hAnsi="宋体"/>
          <w:color w:val="000000"/>
          <w:sz w:val="21"/>
        </w:rPr>
        <w:t>；</w:t>
      </w:r>
    </w:p>
    <w:p>
      <w:pPr>
        <w:pStyle w:val="15"/>
        <w:snapToGrid w:val="0"/>
        <w:spacing w:line="360" w:lineRule="auto"/>
        <w:ind w:firstLine="420" w:firstLineChars="200"/>
        <w:rPr>
          <w:rFonts w:hint="eastAsia" w:hAnsi="宋体"/>
          <w:color w:val="000000"/>
          <w:sz w:val="21"/>
        </w:rPr>
      </w:pPr>
      <w:r>
        <w:rPr>
          <w:rFonts w:hAnsi="宋体"/>
          <w:color w:val="000000"/>
          <w:sz w:val="21"/>
        </w:rPr>
        <w:t>（</w:t>
      </w:r>
      <w:r>
        <w:rPr>
          <w:rFonts w:hint="eastAsia" w:hAnsi="宋体"/>
          <w:color w:val="000000"/>
          <w:sz w:val="21"/>
        </w:rPr>
        <w:t>2</w:t>
      </w:r>
      <w:r>
        <w:rPr>
          <w:rFonts w:hAnsi="宋体"/>
          <w:color w:val="000000"/>
          <w:sz w:val="21"/>
        </w:rPr>
        <w:t>）对</w:t>
      </w:r>
      <w:r>
        <w:rPr>
          <w:rFonts w:hint="eastAsia" w:hAnsi="宋体"/>
          <w:color w:val="000000"/>
          <w:sz w:val="21"/>
        </w:rPr>
        <w:t>采购</w:t>
      </w:r>
      <w:r>
        <w:rPr>
          <w:rFonts w:hAnsi="宋体"/>
          <w:color w:val="000000"/>
          <w:sz w:val="21"/>
        </w:rPr>
        <w:t>过程提出质疑的，为各采购程序环节结束之日；</w:t>
      </w:r>
    </w:p>
    <w:p>
      <w:pPr>
        <w:pStyle w:val="15"/>
        <w:snapToGrid w:val="0"/>
        <w:spacing w:line="360" w:lineRule="auto"/>
        <w:ind w:firstLine="420" w:firstLineChars="200"/>
        <w:rPr>
          <w:rFonts w:hint="eastAsia" w:hAnsi="宋体"/>
          <w:bCs/>
          <w:color w:val="000000"/>
          <w:sz w:val="21"/>
        </w:rPr>
      </w:pPr>
      <w:r>
        <w:rPr>
          <w:rFonts w:hAnsi="宋体"/>
          <w:color w:val="000000"/>
          <w:sz w:val="21"/>
        </w:rPr>
        <w:t>（</w:t>
      </w:r>
      <w:r>
        <w:rPr>
          <w:rFonts w:hint="eastAsia" w:hAnsi="宋体"/>
          <w:color w:val="000000"/>
          <w:sz w:val="21"/>
        </w:rPr>
        <w:t>3</w:t>
      </w:r>
      <w:r>
        <w:rPr>
          <w:rFonts w:hAnsi="宋体"/>
          <w:color w:val="000000"/>
          <w:sz w:val="21"/>
        </w:rPr>
        <w:t>）对中标结果提出质疑的，为中标结果公告期限届满之日。</w:t>
      </w:r>
    </w:p>
    <w:p>
      <w:pPr>
        <w:pStyle w:val="9"/>
        <w:keepNext w:val="0"/>
        <w:keepLines w:val="0"/>
        <w:spacing w:before="0" w:after="0" w:line="360" w:lineRule="auto"/>
        <w:ind w:firstLine="315" w:firstLineChars="150"/>
        <w:rPr>
          <w:rFonts w:ascii="宋体" w:hAnsi="宋体"/>
          <w:b w:val="0"/>
          <w:color w:val="000000"/>
          <w:sz w:val="21"/>
          <w:szCs w:val="21"/>
        </w:rPr>
      </w:pPr>
      <w:r>
        <w:rPr>
          <w:rFonts w:ascii="宋体" w:hAnsi="宋体"/>
          <w:b w:val="0"/>
          <w:color w:val="000000"/>
          <w:sz w:val="21"/>
          <w:szCs w:val="21"/>
        </w:rPr>
        <w:t>38</w:t>
      </w:r>
      <w:r>
        <w:rPr>
          <w:rFonts w:hint="eastAsia" w:ascii="宋体" w:hAnsi="宋体"/>
          <w:b w:val="0"/>
          <w:color w:val="000000"/>
          <w:sz w:val="21"/>
          <w:szCs w:val="21"/>
        </w:rPr>
        <w:t>.</w:t>
      </w:r>
      <w:r>
        <w:rPr>
          <w:rFonts w:ascii="宋体" w:hAnsi="宋体"/>
          <w:b w:val="0"/>
          <w:color w:val="000000"/>
          <w:sz w:val="21"/>
          <w:szCs w:val="21"/>
        </w:rPr>
        <w:t>3</w:t>
      </w:r>
      <w:r>
        <w:rPr>
          <w:rFonts w:hint="eastAsia" w:ascii="宋体" w:hAnsi="宋体"/>
          <w:b w:val="0"/>
          <w:color w:val="000000"/>
          <w:sz w:val="21"/>
          <w:szCs w:val="21"/>
        </w:rPr>
        <w:t xml:space="preserve"> </w:t>
      </w:r>
      <w:r>
        <w:rPr>
          <w:rFonts w:hAnsi="宋体"/>
          <w:b w:val="0"/>
          <w:bCs/>
          <w:color w:val="000000"/>
          <w:sz w:val="21"/>
        </w:rPr>
        <w:t>供应商提出质疑应当提交质疑函和必要的证明材料</w:t>
      </w:r>
      <w:r>
        <w:rPr>
          <w:rFonts w:hint="eastAsia" w:hAnsi="宋体"/>
          <w:b w:val="0"/>
          <w:bCs/>
          <w:color w:val="000000"/>
          <w:sz w:val="21"/>
        </w:rPr>
        <w:t>，</w:t>
      </w:r>
      <w:r>
        <w:rPr>
          <w:rFonts w:hAnsi="宋体"/>
          <w:b w:val="0"/>
          <w:bCs/>
          <w:color w:val="000000"/>
          <w:sz w:val="21"/>
        </w:rPr>
        <w:t>针对同一采购程序环节的质疑</w:t>
      </w:r>
      <w:r>
        <w:rPr>
          <w:rFonts w:hint="eastAsia" w:hAnsi="宋体"/>
          <w:b w:val="0"/>
          <w:bCs/>
          <w:color w:val="000000"/>
          <w:sz w:val="21"/>
        </w:rPr>
        <w:t>必须</w:t>
      </w:r>
      <w:r>
        <w:rPr>
          <w:rFonts w:hAnsi="宋体"/>
          <w:b w:val="0"/>
          <w:bCs/>
          <w:color w:val="000000"/>
          <w:sz w:val="21"/>
        </w:rPr>
        <w:t>在法定质疑期内一次性提出。质疑函应当包括下列内容</w:t>
      </w:r>
      <w:r>
        <w:rPr>
          <w:rFonts w:hint="eastAsia" w:hAnsi="宋体"/>
          <w:b w:val="0"/>
          <w:bCs/>
          <w:color w:val="000000"/>
          <w:sz w:val="21"/>
        </w:rPr>
        <w:t>（质疑函格式后附）</w:t>
      </w:r>
      <w:r>
        <w:rPr>
          <w:rFonts w:hAnsi="宋体"/>
          <w:b w:val="0"/>
          <w:bCs/>
          <w:color w:val="000000"/>
          <w:sz w:val="21"/>
        </w:rPr>
        <w:t>：</w:t>
      </w:r>
    </w:p>
    <w:p>
      <w:pPr>
        <w:pStyle w:val="15"/>
        <w:snapToGrid w:val="0"/>
        <w:spacing w:line="360" w:lineRule="auto"/>
        <w:ind w:firstLine="420" w:firstLineChars="200"/>
        <w:rPr>
          <w:rFonts w:hAnsi="宋体"/>
          <w:bCs/>
          <w:color w:val="000000"/>
          <w:sz w:val="21"/>
        </w:rPr>
      </w:pPr>
      <w:r>
        <w:rPr>
          <w:rFonts w:hAnsi="宋体"/>
          <w:bCs/>
          <w:color w:val="000000"/>
          <w:sz w:val="21"/>
        </w:rPr>
        <w:t>（</w:t>
      </w:r>
      <w:r>
        <w:rPr>
          <w:rFonts w:hint="eastAsia" w:hAnsi="宋体"/>
          <w:bCs/>
          <w:color w:val="000000"/>
          <w:sz w:val="21"/>
        </w:rPr>
        <w:t>1</w:t>
      </w:r>
      <w:r>
        <w:rPr>
          <w:rFonts w:hAnsi="宋体"/>
          <w:bCs/>
          <w:color w:val="000000"/>
          <w:sz w:val="21"/>
        </w:rPr>
        <w:t>）供应商的姓名或者名称、地址、邮编、联系人及联系电话；</w:t>
      </w:r>
    </w:p>
    <w:p>
      <w:pPr>
        <w:pStyle w:val="15"/>
        <w:snapToGrid w:val="0"/>
        <w:spacing w:line="360" w:lineRule="auto"/>
        <w:ind w:firstLine="420" w:firstLineChars="200"/>
        <w:rPr>
          <w:rFonts w:hAnsi="宋体"/>
          <w:bCs/>
          <w:color w:val="000000"/>
          <w:sz w:val="21"/>
        </w:rPr>
      </w:pPr>
      <w:r>
        <w:rPr>
          <w:rFonts w:hAnsi="宋体"/>
          <w:bCs/>
          <w:color w:val="000000"/>
          <w:sz w:val="21"/>
        </w:rPr>
        <w:t>（</w:t>
      </w:r>
      <w:r>
        <w:rPr>
          <w:rFonts w:hint="eastAsia" w:hAnsi="宋体"/>
          <w:bCs/>
          <w:color w:val="000000"/>
          <w:sz w:val="21"/>
        </w:rPr>
        <w:t>2</w:t>
      </w:r>
      <w:r>
        <w:rPr>
          <w:rFonts w:hAnsi="宋体"/>
          <w:bCs/>
          <w:color w:val="000000"/>
          <w:sz w:val="21"/>
        </w:rPr>
        <w:t>）质疑项目的名称、编号；</w:t>
      </w:r>
    </w:p>
    <w:p>
      <w:pPr>
        <w:pStyle w:val="15"/>
        <w:snapToGrid w:val="0"/>
        <w:spacing w:line="360" w:lineRule="auto"/>
        <w:ind w:firstLine="420" w:firstLineChars="200"/>
        <w:rPr>
          <w:rFonts w:hAnsi="宋体"/>
          <w:bCs/>
          <w:color w:val="000000"/>
          <w:sz w:val="21"/>
        </w:rPr>
      </w:pPr>
      <w:r>
        <w:rPr>
          <w:rFonts w:hAnsi="宋体"/>
          <w:bCs/>
          <w:color w:val="000000"/>
          <w:sz w:val="21"/>
        </w:rPr>
        <w:t>（</w:t>
      </w:r>
      <w:r>
        <w:rPr>
          <w:rFonts w:hint="eastAsia" w:hAnsi="宋体"/>
          <w:bCs/>
          <w:color w:val="000000"/>
          <w:sz w:val="21"/>
        </w:rPr>
        <w:t>3</w:t>
      </w:r>
      <w:r>
        <w:rPr>
          <w:rFonts w:hAnsi="宋体"/>
          <w:bCs/>
          <w:color w:val="000000"/>
          <w:sz w:val="21"/>
        </w:rPr>
        <w:t>）具体、明确的质疑事项和与质疑事项相关的请求；</w:t>
      </w:r>
    </w:p>
    <w:p>
      <w:pPr>
        <w:pStyle w:val="15"/>
        <w:snapToGrid w:val="0"/>
        <w:spacing w:line="360" w:lineRule="auto"/>
        <w:ind w:firstLine="420" w:firstLineChars="200"/>
        <w:rPr>
          <w:rFonts w:hAnsi="宋体"/>
          <w:bCs/>
          <w:color w:val="000000"/>
          <w:sz w:val="21"/>
        </w:rPr>
      </w:pPr>
      <w:r>
        <w:rPr>
          <w:rFonts w:hAnsi="宋体"/>
          <w:bCs/>
          <w:color w:val="000000"/>
          <w:sz w:val="21"/>
        </w:rPr>
        <w:t>（</w:t>
      </w:r>
      <w:r>
        <w:rPr>
          <w:rFonts w:hint="eastAsia" w:hAnsi="宋体"/>
          <w:bCs/>
          <w:color w:val="000000"/>
          <w:sz w:val="21"/>
        </w:rPr>
        <w:t>4</w:t>
      </w:r>
      <w:r>
        <w:rPr>
          <w:rFonts w:hAnsi="宋体"/>
          <w:bCs/>
          <w:color w:val="000000"/>
          <w:sz w:val="21"/>
        </w:rPr>
        <w:t>）事实依据；</w:t>
      </w:r>
    </w:p>
    <w:p>
      <w:pPr>
        <w:pStyle w:val="15"/>
        <w:snapToGrid w:val="0"/>
        <w:spacing w:line="360" w:lineRule="auto"/>
        <w:ind w:firstLine="420" w:firstLineChars="200"/>
        <w:rPr>
          <w:rFonts w:hAnsi="宋体"/>
          <w:bCs/>
          <w:color w:val="000000"/>
          <w:sz w:val="21"/>
        </w:rPr>
      </w:pPr>
      <w:r>
        <w:rPr>
          <w:rFonts w:hAnsi="宋体"/>
          <w:bCs/>
          <w:color w:val="000000"/>
          <w:sz w:val="21"/>
        </w:rPr>
        <w:t>（</w:t>
      </w:r>
      <w:r>
        <w:rPr>
          <w:rFonts w:hint="eastAsia" w:hAnsi="宋体"/>
          <w:bCs/>
          <w:color w:val="000000"/>
          <w:sz w:val="21"/>
        </w:rPr>
        <w:t>5</w:t>
      </w:r>
      <w:r>
        <w:rPr>
          <w:rFonts w:hAnsi="宋体"/>
          <w:bCs/>
          <w:color w:val="000000"/>
          <w:sz w:val="21"/>
        </w:rPr>
        <w:t>）必要的法律依据；</w:t>
      </w:r>
    </w:p>
    <w:p>
      <w:pPr>
        <w:pStyle w:val="15"/>
        <w:snapToGrid w:val="0"/>
        <w:spacing w:line="360" w:lineRule="auto"/>
        <w:ind w:firstLine="420" w:firstLineChars="200"/>
        <w:rPr>
          <w:rFonts w:hAnsi="宋体"/>
          <w:bCs/>
          <w:color w:val="000000"/>
          <w:sz w:val="21"/>
        </w:rPr>
      </w:pPr>
      <w:r>
        <w:rPr>
          <w:rFonts w:hAnsi="宋体"/>
          <w:bCs/>
          <w:color w:val="000000"/>
          <w:sz w:val="21"/>
        </w:rPr>
        <w:t>（</w:t>
      </w:r>
      <w:r>
        <w:rPr>
          <w:rFonts w:hint="eastAsia" w:hAnsi="宋体"/>
          <w:bCs/>
          <w:color w:val="000000"/>
          <w:sz w:val="21"/>
        </w:rPr>
        <w:t>6</w:t>
      </w:r>
      <w:r>
        <w:rPr>
          <w:rFonts w:hAnsi="宋体"/>
          <w:bCs/>
          <w:color w:val="000000"/>
          <w:sz w:val="21"/>
        </w:rPr>
        <w:t>）提出质疑的日期。</w:t>
      </w:r>
    </w:p>
    <w:p>
      <w:pPr>
        <w:pStyle w:val="15"/>
        <w:snapToGrid w:val="0"/>
        <w:spacing w:line="360" w:lineRule="auto"/>
        <w:ind w:firstLine="420" w:firstLineChars="200"/>
        <w:rPr>
          <w:rFonts w:hint="eastAsia" w:hAnsi="宋体"/>
          <w:bCs/>
          <w:color w:val="000000"/>
          <w:sz w:val="21"/>
        </w:rPr>
      </w:pPr>
      <w:r>
        <w:rPr>
          <w:rFonts w:hAnsi="宋体"/>
          <w:bCs/>
          <w:color w:val="000000"/>
          <w:sz w:val="21"/>
        </w:rPr>
        <w:t>供应商为自然人的，应当由本人签字；供应商为法人或者其他组织的，应当由法定代表人、主要负责人，或者其委托代理人签字或者盖章，并加盖公章</w:t>
      </w:r>
      <w:r>
        <w:rPr>
          <w:rFonts w:hint="eastAsia" w:hAnsi="宋体"/>
          <w:bCs/>
          <w:color w:val="000000"/>
          <w:sz w:val="21"/>
        </w:rPr>
        <w:t>。</w:t>
      </w:r>
    </w:p>
    <w:p>
      <w:pPr>
        <w:pStyle w:val="9"/>
        <w:keepNext w:val="0"/>
        <w:keepLines w:val="0"/>
        <w:snapToGrid w:val="0"/>
        <w:spacing w:before="0" w:after="0" w:line="360" w:lineRule="auto"/>
        <w:ind w:firstLine="420" w:firstLineChars="200"/>
        <w:rPr>
          <w:rFonts w:hint="eastAsia" w:ascii="宋体" w:hAnsi="宋体"/>
          <w:b w:val="0"/>
          <w:bCs/>
          <w:color w:val="000000"/>
          <w:sz w:val="21"/>
          <w:szCs w:val="21"/>
        </w:rPr>
      </w:pPr>
      <w:r>
        <w:rPr>
          <w:rFonts w:ascii="宋体" w:hAnsi="宋体"/>
          <w:b w:val="0"/>
          <w:color w:val="000000"/>
          <w:sz w:val="21"/>
          <w:szCs w:val="21"/>
        </w:rPr>
        <w:t>3</w:t>
      </w:r>
      <w:r>
        <w:rPr>
          <w:rFonts w:ascii="宋体" w:hAnsi="宋体"/>
          <w:b w:val="0"/>
          <w:bCs/>
          <w:color w:val="000000"/>
          <w:sz w:val="21"/>
          <w:szCs w:val="21"/>
        </w:rPr>
        <w:t>8.4</w:t>
      </w:r>
      <w:r>
        <w:rPr>
          <w:rFonts w:hint="eastAsia" w:ascii="宋体" w:hAnsi="宋体"/>
          <w:b w:val="0"/>
          <w:bCs/>
          <w:color w:val="000000"/>
          <w:sz w:val="21"/>
          <w:szCs w:val="21"/>
        </w:rPr>
        <w:t>采购人、采购代理机构认为供应商质疑不成立，或者成立但未对中标结果构成影响的，继续开展采购活动；认为供应商质疑成立且影响或者可能影响中标结果的，按照下列情况处理：</w:t>
      </w:r>
    </w:p>
    <w:p>
      <w:pPr>
        <w:pStyle w:val="15"/>
        <w:snapToGrid w:val="0"/>
        <w:spacing w:line="360" w:lineRule="auto"/>
        <w:rPr>
          <w:rFonts w:hint="eastAsia" w:hAnsi="宋体"/>
          <w:bCs/>
          <w:color w:val="000000"/>
          <w:sz w:val="21"/>
        </w:rPr>
      </w:pPr>
      <w:r>
        <w:rPr>
          <w:rFonts w:hint="eastAsia" w:hAnsi="宋体"/>
          <w:bCs/>
          <w:color w:val="000000"/>
          <w:sz w:val="21"/>
        </w:rPr>
        <w:t>　　（一）对招标文件提出的质疑，依法通过澄清或者修改可以继续开展采购活动的，澄清或者修改招标文件后继续开展采购活动；否则应当修改招标文件后重新开展采购活动。</w:t>
      </w:r>
    </w:p>
    <w:p>
      <w:pPr>
        <w:pStyle w:val="15"/>
        <w:snapToGrid w:val="0"/>
        <w:spacing w:line="360" w:lineRule="auto"/>
        <w:rPr>
          <w:rFonts w:hint="eastAsia" w:hAnsi="宋体"/>
          <w:bCs/>
          <w:color w:val="000000"/>
          <w:sz w:val="21"/>
        </w:rPr>
      </w:pPr>
      <w:r>
        <w:rPr>
          <w:rFonts w:hint="eastAsia" w:hAnsi="宋体"/>
          <w:bCs/>
          <w:color w:val="000000"/>
          <w:sz w:val="21"/>
        </w:rPr>
        <w:t>　　（二）对采购过程、中标结果提出的质疑，合格供应商符合法定数量时，可以从合格的中标候选人中另行确定中标供应商的，应当依法另行确定中标供应商；否则应当重新开展采购活动。</w:t>
      </w:r>
    </w:p>
    <w:p>
      <w:pPr>
        <w:pStyle w:val="15"/>
        <w:snapToGrid w:val="0"/>
        <w:spacing w:line="360" w:lineRule="auto"/>
        <w:ind w:firstLine="420"/>
        <w:rPr>
          <w:rFonts w:hAnsi="宋体"/>
          <w:bCs/>
          <w:color w:val="000000"/>
          <w:sz w:val="21"/>
        </w:rPr>
      </w:pPr>
      <w:r>
        <w:rPr>
          <w:rFonts w:hint="eastAsia" w:hAnsi="宋体"/>
          <w:bCs/>
          <w:color w:val="000000"/>
          <w:sz w:val="21"/>
        </w:rPr>
        <w:t>质疑答复导致中标结果改变的，采购人或者采购代理机构应当将有关情况书面报告本级财政部门。</w:t>
      </w:r>
    </w:p>
    <w:p>
      <w:pPr>
        <w:pStyle w:val="15"/>
        <w:snapToGrid w:val="0"/>
        <w:spacing w:line="360" w:lineRule="auto"/>
        <w:ind w:firstLine="420" w:firstLineChars="200"/>
        <w:rPr>
          <w:rFonts w:hint="eastAsia" w:hAnsi="宋体"/>
          <w:color w:val="000000"/>
          <w:sz w:val="21"/>
        </w:rPr>
      </w:pPr>
      <w:r>
        <w:rPr>
          <w:rFonts w:hAnsi="宋体"/>
          <w:color w:val="000000"/>
          <w:sz w:val="21"/>
        </w:rPr>
        <w:t>38</w:t>
      </w:r>
      <w:r>
        <w:rPr>
          <w:rFonts w:hint="eastAsia" w:hAnsi="宋体"/>
          <w:color w:val="000000"/>
          <w:sz w:val="21"/>
        </w:rPr>
        <w:t>.</w:t>
      </w:r>
      <w:r>
        <w:rPr>
          <w:rFonts w:hAnsi="宋体"/>
          <w:color w:val="000000"/>
          <w:sz w:val="21"/>
        </w:rPr>
        <w:t>5</w:t>
      </w:r>
      <w:r>
        <w:rPr>
          <w:rFonts w:hint="eastAsia" w:hAnsi="宋体"/>
          <w:color w:val="000000"/>
          <w:sz w:val="21"/>
        </w:rPr>
        <w:t>质疑供应商对采购人、采购代理机构的答复不满意，或者采购人、采购代理机构未在规定时间内作出答复的，可以在答复期满后15个工作日内向《政府采购质疑和投诉办法》（财政部令第94号）第六条规定的财政部门提起投诉（投诉书格式后附）。</w:t>
      </w:r>
    </w:p>
    <w:p>
      <w:pPr>
        <w:pStyle w:val="7"/>
        <w:keepNext w:val="0"/>
        <w:keepLines w:val="0"/>
        <w:jc w:val="center"/>
        <w:rPr>
          <w:rFonts w:hint="eastAsia"/>
          <w:color w:val="000000"/>
        </w:rPr>
      </w:pPr>
      <w:r>
        <w:rPr>
          <w:rFonts w:hint="eastAsia"/>
          <w:color w:val="000000"/>
        </w:rPr>
        <w:t>八、其他事项</w:t>
      </w:r>
    </w:p>
    <w:p>
      <w:pPr>
        <w:pStyle w:val="9"/>
        <w:keepNext w:val="0"/>
        <w:keepLines w:val="0"/>
        <w:spacing w:before="0" w:after="0" w:line="360" w:lineRule="auto"/>
        <w:ind w:left="420" w:leftChars="200"/>
        <w:rPr>
          <w:rFonts w:hint="eastAsia" w:ascii="黑体" w:hAnsi="黑体" w:eastAsia="黑体"/>
          <w:color w:val="000000"/>
          <w:sz w:val="24"/>
        </w:rPr>
      </w:pPr>
      <w:bookmarkStart w:id="136" w:name="_42.代理服务费"/>
      <w:bookmarkEnd w:id="136"/>
      <w:r>
        <w:rPr>
          <w:rFonts w:hint="eastAsia" w:ascii="黑体" w:hAnsi="黑体" w:eastAsia="黑体"/>
          <w:color w:val="000000"/>
          <w:sz w:val="24"/>
        </w:rPr>
        <w:t>3</w:t>
      </w:r>
      <w:r>
        <w:rPr>
          <w:rFonts w:ascii="黑体" w:hAnsi="黑体" w:eastAsia="黑体"/>
          <w:color w:val="000000"/>
          <w:sz w:val="24"/>
        </w:rPr>
        <w:t>9</w:t>
      </w:r>
      <w:r>
        <w:rPr>
          <w:rFonts w:hint="eastAsia" w:ascii="黑体" w:hAnsi="黑体" w:eastAsia="黑体"/>
          <w:color w:val="000000"/>
          <w:sz w:val="24"/>
        </w:rPr>
        <w:t>.代理服务费</w:t>
      </w:r>
    </w:p>
    <w:p>
      <w:pPr>
        <w:pStyle w:val="9"/>
        <w:keepNext w:val="0"/>
        <w:keepLines w:val="0"/>
        <w:spacing w:before="0" w:after="0" w:line="360" w:lineRule="auto"/>
        <w:ind w:left="420" w:leftChars="200"/>
        <w:rPr>
          <w:rFonts w:hint="eastAsia" w:ascii="宋体" w:hAnsi="宋体"/>
          <w:b w:val="0"/>
          <w:color w:val="000000"/>
          <w:sz w:val="21"/>
          <w:szCs w:val="21"/>
        </w:rPr>
      </w:pPr>
      <w:r>
        <w:rPr>
          <w:rFonts w:hint="eastAsia" w:ascii="宋体" w:hAnsi="宋体"/>
          <w:b w:val="0"/>
          <w:color w:val="000000"/>
          <w:sz w:val="21"/>
          <w:szCs w:val="21"/>
        </w:rPr>
        <w:t>3</w:t>
      </w:r>
      <w:r>
        <w:rPr>
          <w:rFonts w:ascii="宋体" w:hAnsi="宋体"/>
          <w:b w:val="0"/>
          <w:color w:val="000000"/>
          <w:sz w:val="21"/>
          <w:szCs w:val="21"/>
        </w:rPr>
        <w:t>9</w:t>
      </w:r>
      <w:r>
        <w:rPr>
          <w:rFonts w:hint="eastAsia" w:ascii="宋体" w:hAnsi="宋体"/>
          <w:b w:val="0"/>
          <w:color w:val="000000"/>
          <w:sz w:val="21"/>
          <w:szCs w:val="21"/>
        </w:rPr>
        <w:t>.1代理服务收取标准及缴费账户详见“投标人须知前附表”，投标人为联合体的，可以由联合体中的一方或者多方共同交纳代理服务费。</w:t>
      </w:r>
    </w:p>
    <w:p>
      <w:pPr>
        <w:pStyle w:val="9"/>
        <w:keepNext w:val="0"/>
        <w:keepLines w:val="0"/>
        <w:spacing w:before="0" w:after="0" w:line="360" w:lineRule="auto"/>
        <w:ind w:left="420" w:leftChars="200"/>
        <w:rPr>
          <w:rFonts w:hint="eastAsia" w:ascii="宋体" w:hAnsi="宋体"/>
          <w:b w:val="0"/>
          <w:color w:val="000000"/>
          <w:sz w:val="21"/>
          <w:szCs w:val="21"/>
        </w:rPr>
      </w:pPr>
      <w:r>
        <w:rPr>
          <w:rFonts w:hint="eastAsia" w:ascii="宋体" w:hAnsi="宋体"/>
          <w:b w:val="0"/>
          <w:color w:val="000000"/>
          <w:sz w:val="21"/>
          <w:szCs w:val="21"/>
        </w:rPr>
        <w:t>3</w:t>
      </w:r>
      <w:r>
        <w:rPr>
          <w:rFonts w:ascii="宋体" w:hAnsi="宋体"/>
          <w:b w:val="0"/>
          <w:color w:val="000000"/>
          <w:sz w:val="21"/>
          <w:szCs w:val="21"/>
        </w:rPr>
        <w:t>9</w:t>
      </w:r>
      <w:r>
        <w:rPr>
          <w:rFonts w:hint="eastAsia" w:ascii="宋体" w:hAnsi="宋体"/>
          <w:b w:val="0"/>
          <w:color w:val="000000"/>
          <w:sz w:val="21"/>
          <w:szCs w:val="21"/>
        </w:rPr>
        <w:t>.2代理服务收费标准：</w:t>
      </w:r>
    </w:p>
    <w:tbl>
      <w:tblPr>
        <w:tblStyle w:val="24"/>
        <w:tblW w:w="8477"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2"/>
        <w:gridCol w:w="1659"/>
        <w:gridCol w:w="1687"/>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tcBorders>
              <w:tl2br w:val="single" w:color="auto" w:sz="4" w:space="0"/>
            </w:tcBorders>
            <w:vAlign w:val="top"/>
          </w:tcPr>
          <w:p>
            <w:pPr>
              <w:spacing w:line="360" w:lineRule="auto"/>
              <w:rPr>
                <w:rFonts w:hint="eastAsia" w:ascii="宋体" w:hAnsi="宋体"/>
                <w:color w:val="000000"/>
                <w:szCs w:val="21"/>
              </w:rPr>
            </w:pPr>
            <w:r>
              <w:rPr>
                <w:rFonts w:hint="eastAsia" w:ascii="宋体" w:hAnsi="宋体"/>
                <w:color w:val="000000"/>
                <w:szCs w:val="21"/>
              </w:rPr>
              <w:t xml:space="preserve">               费率</w:t>
            </w:r>
          </w:p>
          <w:p>
            <w:pPr>
              <w:spacing w:line="360" w:lineRule="auto"/>
              <w:rPr>
                <w:rFonts w:hint="eastAsia" w:ascii="宋体" w:hAnsi="宋体"/>
                <w:color w:val="000000"/>
                <w:szCs w:val="21"/>
              </w:rPr>
            </w:pPr>
            <w:r>
              <w:rPr>
                <w:rFonts w:hint="eastAsia" w:ascii="宋体" w:hAnsi="宋体"/>
                <w:color w:val="000000"/>
                <w:szCs w:val="21"/>
              </w:rPr>
              <w:t>中标金额</w:t>
            </w:r>
          </w:p>
        </w:tc>
        <w:tc>
          <w:tcPr>
            <w:tcW w:w="1659" w:type="dxa"/>
            <w:vAlign w:val="center"/>
          </w:tcPr>
          <w:p>
            <w:pPr>
              <w:spacing w:line="360" w:lineRule="auto"/>
              <w:ind w:firstLine="105" w:firstLineChars="50"/>
              <w:jc w:val="center"/>
              <w:rPr>
                <w:rFonts w:hint="eastAsia" w:ascii="宋体" w:hAnsi="宋体"/>
                <w:color w:val="000000"/>
                <w:szCs w:val="21"/>
              </w:rPr>
            </w:pPr>
            <w:r>
              <w:rPr>
                <w:rFonts w:hint="eastAsia" w:ascii="宋体" w:hAnsi="宋体"/>
                <w:color w:val="000000"/>
                <w:szCs w:val="21"/>
              </w:rPr>
              <w:t>货物招标</w:t>
            </w:r>
          </w:p>
        </w:tc>
        <w:tc>
          <w:tcPr>
            <w:tcW w:w="1687" w:type="dxa"/>
            <w:vAlign w:val="center"/>
          </w:tcPr>
          <w:p>
            <w:pPr>
              <w:spacing w:line="360" w:lineRule="auto"/>
              <w:jc w:val="center"/>
              <w:rPr>
                <w:rFonts w:hint="eastAsia" w:ascii="宋体" w:hAnsi="宋体"/>
                <w:color w:val="000000"/>
                <w:szCs w:val="21"/>
              </w:rPr>
            </w:pPr>
            <w:r>
              <w:rPr>
                <w:rFonts w:hint="eastAsia" w:ascii="宋体" w:hAnsi="宋体"/>
                <w:color w:val="000000"/>
                <w:szCs w:val="21"/>
              </w:rPr>
              <w:t>服务招标</w:t>
            </w:r>
          </w:p>
        </w:tc>
        <w:tc>
          <w:tcPr>
            <w:tcW w:w="1659" w:type="dxa"/>
            <w:vAlign w:val="center"/>
          </w:tcPr>
          <w:p>
            <w:pPr>
              <w:spacing w:line="360" w:lineRule="auto"/>
              <w:jc w:val="center"/>
              <w:rPr>
                <w:rFonts w:hint="eastAsia" w:ascii="宋体" w:hAnsi="宋体"/>
                <w:color w:val="000000"/>
                <w:szCs w:val="21"/>
              </w:rPr>
            </w:pPr>
            <w:r>
              <w:rPr>
                <w:rFonts w:hint="eastAsia" w:ascii="宋体" w:hAnsi="宋体"/>
                <w:color w:val="000000"/>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vAlign w:val="top"/>
          </w:tcPr>
          <w:p>
            <w:pPr>
              <w:spacing w:line="360" w:lineRule="auto"/>
              <w:rPr>
                <w:rFonts w:hint="eastAsia" w:ascii="宋体" w:hAnsi="宋体"/>
                <w:color w:val="000000"/>
                <w:szCs w:val="21"/>
              </w:rPr>
            </w:pPr>
            <w:r>
              <w:rPr>
                <w:rFonts w:hint="eastAsia" w:ascii="宋体" w:hAnsi="宋体"/>
                <w:color w:val="000000"/>
                <w:szCs w:val="21"/>
              </w:rPr>
              <w:t>100万元以下</w:t>
            </w:r>
          </w:p>
        </w:tc>
        <w:tc>
          <w:tcPr>
            <w:tcW w:w="1659" w:type="dxa"/>
            <w:vAlign w:val="top"/>
          </w:tcPr>
          <w:p>
            <w:pPr>
              <w:spacing w:line="360" w:lineRule="auto"/>
              <w:rPr>
                <w:rFonts w:ascii="宋体" w:hAnsi="宋体"/>
                <w:color w:val="000000"/>
                <w:szCs w:val="21"/>
              </w:rPr>
            </w:pPr>
            <w:r>
              <w:rPr>
                <w:rFonts w:hint="eastAsia" w:ascii="宋体" w:hAnsi="宋体" w:cs="宋体"/>
                <w:color w:val="000000"/>
                <w:kern w:val="0"/>
                <w:szCs w:val="21"/>
              </w:rPr>
              <w:t xml:space="preserve">  </w:t>
            </w:r>
            <w:r>
              <w:rPr>
                <w:rFonts w:ascii="宋体" w:hAnsi="宋体" w:cs="宋体"/>
                <w:color w:val="000000"/>
                <w:kern w:val="0"/>
                <w:szCs w:val="21"/>
              </w:rPr>
              <w:t xml:space="preserve">1.5% </w:t>
            </w:r>
            <w:r>
              <w:rPr>
                <w:rFonts w:hint="eastAsia" w:ascii="宋体" w:hAnsi="宋体" w:cs="宋体"/>
                <w:color w:val="000000"/>
                <w:kern w:val="0"/>
                <w:szCs w:val="21"/>
              </w:rPr>
              <w:t xml:space="preserve">          </w:t>
            </w:r>
            <w:r>
              <w:rPr>
                <w:rFonts w:ascii="宋体" w:hAnsi="宋体" w:cs="宋体"/>
                <w:color w:val="000000"/>
                <w:kern w:val="0"/>
                <w:szCs w:val="21"/>
              </w:rPr>
              <w:t xml:space="preserve"> </w:t>
            </w:r>
            <w:r>
              <w:rPr>
                <w:rFonts w:hint="eastAsia" w:ascii="宋体" w:hAnsi="宋体" w:cs="宋体"/>
                <w:color w:val="000000"/>
                <w:kern w:val="0"/>
                <w:szCs w:val="21"/>
              </w:rPr>
              <w:t xml:space="preserve">    </w:t>
            </w:r>
          </w:p>
        </w:tc>
        <w:tc>
          <w:tcPr>
            <w:tcW w:w="1687" w:type="dxa"/>
            <w:vAlign w:val="top"/>
          </w:tcPr>
          <w:p>
            <w:pPr>
              <w:spacing w:line="360" w:lineRule="auto"/>
              <w:ind w:firstLine="210" w:firstLineChars="100"/>
              <w:rPr>
                <w:rFonts w:ascii="宋体" w:hAnsi="宋体"/>
                <w:color w:val="000000"/>
                <w:szCs w:val="21"/>
              </w:rPr>
            </w:pPr>
            <w:r>
              <w:rPr>
                <w:rFonts w:ascii="宋体" w:hAnsi="宋体" w:cs="宋体"/>
                <w:color w:val="000000"/>
                <w:kern w:val="0"/>
                <w:szCs w:val="21"/>
              </w:rPr>
              <w:t>1.5%</w:t>
            </w:r>
          </w:p>
        </w:tc>
        <w:tc>
          <w:tcPr>
            <w:tcW w:w="1659" w:type="dxa"/>
            <w:vAlign w:val="top"/>
          </w:tcPr>
          <w:p>
            <w:pPr>
              <w:spacing w:line="360" w:lineRule="auto"/>
              <w:ind w:firstLine="210" w:firstLineChars="100"/>
              <w:rPr>
                <w:rFonts w:hint="eastAsia" w:ascii="宋体" w:hAnsi="宋体"/>
                <w:color w:val="000000"/>
                <w:szCs w:val="21"/>
              </w:rPr>
            </w:pPr>
            <w:r>
              <w:rPr>
                <w:rFonts w:ascii="宋体" w:hAnsi="宋体" w:cs="宋体"/>
                <w:color w:val="000000"/>
                <w:kern w:val="0"/>
                <w:szCs w:val="21"/>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vAlign w:val="top"/>
          </w:tcPr>
          <w:p>
            <w:pPr>
              <w:spacing w:line="360" w:lineRule="auto"/>
              <w:rPr>
                <w:rFonts w:hint="eastAsia" w:ascii="宋体" w:hAnsi="宋体"/>
                <w:color w:val="000000"/>
                <w:szCs w:val="21"/>
              </w:rPr>
            </w:pPr>
            <w:r>
              <w:rPr>
                <w:rFonts w:hint="eastAsia" w:ascii="宋体" w:hAnsi="宋体"/>
                <w:color w:val="000000"/>
                <w:szCs w:val="21"/>
              </w:rPr>
              <w:t>100～500万元</w:t>
            </w:r>
          </w:p>
        </w:tc>
        <w:tc>
          <w:tcPr>
            <w:tcW w:w="1659" w:type="dxa"/>
            <w:vAlign w:val="top"/>
          </w:tcPr>
          <w:p>
            <w:pPr>
              <w:spacing w:line="360" w:lineRule="auto"/>
              <w:ind w:firstLine="210" w:firstLineChars="100"/>
              <w:rPr>
                <w:rFonts w:ascii="宋体" w:hAnsi="宋体"/>
                <w:color w:val="000000"/>
                <w:szCs w:val="21"/>
              </w:rPr>
            </w:pPr>
            <w:r>
              <w:rPr>
                <w:rFonts w:ascii="宋体" w:hAnsi="宋体" w:cs="宋体"/>
                <w:color w:val="000000"/>
                <w:kern w:val="0"/>
                <w:szCs w:val="21"/>
              </w:rPr>
              <w:t xml:space="preserve">1.1% </w:t>
            </w:r>
            <w:r>
              <w:rPr>
                <w:rFonts w:hint="eastAsia" w:ascii="宋体" w:hAnsi="宋体" w:cs="宋体"/>
                <w:color w:val="000000"/>
                <w:kern w:val="0"/>
                <w:szCs w:val="21"/>
              </w:rPr>
              <w:t xml:space="preserve">                </w:t>
            </w:r>
          </w:p>
        </w:tc>
        <w:tc>
          <w:tcPr>
            <w:tcW w:w="1687" w:type="dxa"/>
            <w:vAlign w:val="top"/>
          </w:tcPr>
          <w:p>
            <w:pPr>
              <w:spacing w:line="360" w:lineRule="auto"/>
              <w:ind w:firstLine="210" w:firstLineChars="100"/>
              <w:rPr>
                <w:rFonts w:ascii="宋体" w:hAnsi="宋体"/>
                <w:color w:val="000000"/>
                <w:szCs w:val="21"/>
              </w:rPr>
            </w:pPr>
            <w:r>
              <w:rPr>
                <w:rFonts w:ascii="宋体" w:hAnsi="宋体" w:cs="宋体"/>
                <w:color w:val="000000"/>
                <w:kern w:val="0"/>
                <w:szCs w:val="21"/>
              </w:rPr>
              <w:t>0.8%</w:t>
            </w:r>
          </w:p>
        </w:tc>
        <w:tc>
          <w:tcPr>
            <w:tcW w:w="1659" w:type="dxa"/>
            <w:vAlign w:val="top"/>
          </w:tcPr>
          <w:p>
            <w:pPr>
              <w:spacing w:line="360" w:lineRule="auto"/>
              <w:ind w:firstLine="210" w:firstLineChars="100"/>
              <w:rPr>
                <w:rFonts w:hint="eastAsia" w:ascii="宋体" w:hAnsi="宋体"/>
                <w:color w:val="000000"/>
                <w:szCs w:val="21"/>
              </w:rPr>
            </w:pPr>
            <w:r>
              <w:rPr>
                <w:rFonts w:ascii="宋体" w:hAnsi="宋体" w:cs="宋体"/>
                <w:color w:val="000000"/>
                <w:kern w:val="0"/>
                <w:szCs w:val="21"/>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vAlign w:val="top"/>
          </w:tcPr>
          <w:p>
            <w:pPr>
              <w:spacing w:line="360" w:lineRule="auto"/>
              <w:rPr>
                <w:rFonts w:hint="eastAsia" w:ascii="宋体" w:hAnsi="宋体"/>
                <w:color w:val="000000"/>
                <w:szCs w:val="21"/>
              </w:rPr>
            </w:pPr>
            <w:r>
              <w:rPr>
                <w:rFonts w:hint="eastAsia" w:ascii="宋体" w:hAnsi="宋体"/>
                <w:color w:val="000000"/>
                <w:szCs w:val="21"/>
              </w:rPr>
              <w:t>500～1000万元</w:t>
            </w:r>
          </w:p>
        </w:tc>
        <w:tc>
          <w:tcPr>
            <w:tcW w:w="1659" w:type="dxa"/>
            <w:vAlign w:val="top"/>
          </w:tcPr>
          <w:p>
            <w:pPr>
              <w:spacing w:line="360" w:lineRule="auto"/>
              <w:rPr>
                <w:rFonts w:ascii="宋体" w:hAnsi="宋体"/>
                <w:color w:val="000000"/>
                <w:szCs w:val="21"/>
              </w:rPr>
            </w:pPr>
            <w:r>
              <w:rPr>
                <w:rFonts w:hint="eastAsia" w:ascii="宋体" w:hAnsi="宋体" w:cs="宋体"/>
                <w:color w:val="000000"/>
                <w:kern w:val="0"/>
                <w:szCs w:val="21"/>
              </w:rPr>
              <w:t xml:space="preserve">  </w:t>
            </w:r>
            <w:r>
              <w:rPr>
                <w:rFonts w:ascii="宋体" w:hAnsi="宋体" w:cs="宋体"/>
                <w:color w:val="000000"/>
                <w:kern w:val="0"/>
                <w:szCs w:val="21"/>
              </w:rPr>
              <w:t xml:space="preserve">0.8% </w:t>
            </w:r>
            <w:r>
              <w:rPr>
                <w:rFonts w:hint="eastAsia" w:ascii="宋体" w:hAnsi="宋体" w:cs="宋体"/>
                <w:color w:val="000000"/>
                <w:kern w:val="0"/>
                <w:szCs w:val="21"/>
              </w:rPr>
              <w:t xml:space="preserve">               </w:t>
            </w:r>
          </w:p>
        </w:tc>
        <w:tc>
          <w:tcPr>
            <w:tcW w:w="1687" w:type="dxa"/>
            <w:vAlign w:val="top"/>
          </w:tcPr>
          <w:p>
            <w:pPr>
              <w:spacing w:line="360" w:lineRule="auto"/>
              <w:ind w:firstLine="210" w:firstLineChars="100"/>
              <w:rPr>
                <w:rFonts w:ascii="宋体" w:hAnsi="宋体"/>
                <w:color w:val="000000"/>
                <w:szCs w:val="21"/>
              </w:rPr>
            </w:pPr>
            <w:r>
              <w:rPr>
                <w:rFonts w:ascii="宋体" w:hAnsi="宋体" w:cs="宋体"/>
                <w:color w:val="000000"/>
                <w:kern w:val="0"/>
                <w:szCs w:val="21"/>
              </w:rPr>
              <w:t>0.45%</w:t>
            </w:r>
          </w:p>
        </w:tc>
        <w:tc>
          <w:tcPr>
            <w:tcW w:w="1659" w:type="dxa"/>
            <w:vAlign w:val="top"/>
          </w:tcPr>
          <w:p>
            <w:pPr>
              <w:spacing w:line="360" w:lineRule="auto"/>
              <w:ind w:firstLine="210" w:firstLineChars="100"/>
              <w:rPr>
                <w:rFonts w:ascii="宋体" w:hAnsi="宋体"/>
                <w:color w:val="000000"/>
                <w:szCs w:val="21"/>
              </w:rPr>
            </w:pPr>
            <w:r>
              <w:rPr>
                <w:rFonts w:ascii="宋体" w:hAnsi="宋体" w:cs="宋体"/>
                <w:color w:val="000000"/>
                <w:kern w:val="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vAlign w:val="top"/>
          </w:tcPr>
          <w:p>
            <w:pPr>
              <w:spacing w:line="360" w:lineRule="auto"/>
              <w:rPr>
                <w:rFonts w:hint="eastAsia" w:ascii="宋体" w:hAnsi="宋体"/>
                <w:color w:val="000000"/>
                <w:szCs w:val="21"/>
              </w:rPr>
            </w:pPr>
            <w:r>
              <w:rPr>
                <w:rFonts w:hint="eastAsia" w:ascii="宋体" w:hAnsi="宋体"/>
                <w:color w:val="000000"/>
                <w:szCs w:val="21"/>
              </w:rPr>
              <w:t>1000～5000万元</w:t>
            </w:r>
          </w:p>
        </w:tc>
        <w:tc>
          <w:tcPr>
            <w:tcW w:w="1659" w:type="dxa"/>
            <w:vAlign w:val="top"/>
          </w:tcPr>
          <w:p>
            <w:pPr>
              <w:spacing w:line="360" w:lineRule="auto"/>
              <w:ind w:firstLine="210" w:firstLineChars="100"/>
              <w:rPr>
                <w:rFonts w:ascii="宋体" w:hAnsi="宋体"/>
                <w:color w:val="000000"/>
                <w:szCs w:val="21"/>
              </w:rPr>
            </w:pPr>
            <w:r>
              <w:rPr>
                <w:rFonts w:ascii="宋体" w:hAnsi="宋体" w:cs="宋体"/>
                <w:color w:val="000000"/>
                <w:kern w:val="0"/>
                <w:szCs w:val="21"/>
              </w:rPr>
              <w:t xml:space="preserve">0.5% </w:t>
            </w:r>
            <w:r>
              <w:rPr>
                <w:rFonts w:hint="eastAsia" w:ascii="宋体" w:hAnsi="宋体" w:cs="宋体"/>
                <w:color w:val="000000"/>
                <w:kern w:val="0"/>
                <w:szCs w:val="21"/>
              </w:rPr>
              <w:t xml:space="preserve">               </w:t>
            </w:r>
          </w:p>
        </w:tc>
        <w:tc>
          <w:tcPr>
            <w:tcW w:w="1687" w:type="dxa"/>
            <w:vAlign w:val="top"/>
          </w:tcPr>
          <w:p>
            <w:pPr>
              <w:spacing w:line="360" w:lineRule="auto"/>
              <w:ind w:firstLine="210" w:firstLineChars="100"/>
              <w:rPr>
                <w:rFonts w:ascii="宋体" w:hAnsi="宋体"/>
                <w:color w:val="000000"/>
                <w:szCs w:val="21"/>
              </w:rPr>
            </w:pPr>
            <w:r>
              <w:rPr>
                <w:rFonts w:ascii="宋体" w:hAnsi="宋体" w:cs="宋体"/>
                <w:color w:val="000000"/>
                <w:kern w:val="0"/>
                <w:szCs w:val="21"/>
              </w:rPr>
              <w:t>0.25%</w:t>
            </w:r>
          </w:p>
        </w:tc>
        <w:tc>
          <w:tcPr>
            <w:tcW w:w="1659" w:type="dxa"/>
            <w:vAlign w:val="top"/>
          </w:tcPr>
          <w:p>
            <w:pPr>
              <w:spacing w:line="360" w:lineRule="auto"/>
              <w:ind w:firstLine="210" w:firstLineChars="100"/>
              <w:rPr>
                <w:rFonts w:hint="eastAsia" w:ascii="宋体" w:hAnsi="宋体"/>
                <w:color w:val="000000"/>
                <w:szCs w:val="21"/>
              </w:rPr>
            </w:pPr>
            <w:r>
              <w:rPr>
                <w:rFonts w:ascii="宋体" w:hAnsi="宋体" w:cs="宋体"/>
                <w:color w:val="000000"/>
                <w:kern w:val="0"/>
                <w:szCs w:val="21"/>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vAlign w:val="top"/>
          </w:tcPr>
          <w:p>
            <w:pPr>
              <w:spacing w:line="360" w:lineRule="auto"/>
              <w:rPr>
                <w:rFonts w:hint="eastAsia" w:ascii="宋体" w:hAnsi="宋体"/>
                <w:color w:val="000000"/>
                <w:szCs w:val="21"/>
              </w:rPr>
            </w:pPr>
            <w:r>
              <w:rPr>
                <w:rFonts w:hint="eastAsia" w:ascii="宋体" w:hAnsi="宋体"/>
                <w:color w:val="000000"/>
                <w:szCs w:val="21"/>
              </w:rPr>
              <w:t>5000万元～1亿元</w:t>
            </w:r>
          </w:p>
        </w:tc>
        <w:tc>
          <w:tcPr>
            <w:tcW w:w="1659" w:type="dxa"/>
            <w:vAlign w:val="top"/>
          </w:tcPr>
          <w:p>
            <w:pPr>
              <w:spacing w:line="360" w:lineRule="auto"/>
              <w:ind w:firstLine="210" w:firstLineChars="100"/>
              <w:rPr>
                <w:rFonts w:hint="eastAsia" w:ascii="宋体" w:hAnsi="宋体"/>
                <w:color w:val="000000"/>
                <w:szCs w:val="21"/>
              </w:rPr>
            </w:pPr>
            <w:r>
              <w:rPr>
                <w:rFonts w:ascii="宋体" w:hAnsi="宋体" w:cs="宋体"/>
                <w:color w:val="000000"/>
                <w:kern w:val="0"/>
                <w:szCs w:val="21"/>
              </w:rPr>
              <w:t xml:space="preserve">0.25% </w:t>
            </w:r>
            <w:r>
              <w:rPr>
                <w:rFonts w:hint="eastAsia" w:ascii="宋体" w:hAnsi="宋体" w:cs="宋体"/>
                <w:color w:val="000000"/>
                <w:kern w:val="0"/>
                <w:szCs w:val="21"/>
              </w:rPr>
              <w:t xml:space="preserve">      </w:t>
            </w:r>
            <w:r>
              <w:rPr>
                <w:rFonts w:ascii="宋体" w:hAnsi="宋体" w:cs="宋体"/>
                <w:color w:val="000000"/>
                <w:kern w:val="0"/>
                <w:szCs w:val="21"/>
              </w:rPr>
              <w:t xml:space="preserve"> </w:t>
            </w:r>
            <w:r>
              <w:rPr>
                <w:rFonts w:hint="eastAsia" w:ascii="宋体" w:hAnsi="宋体" w:cs="宋体"/>
                <w:color w:val="000000"/>
                <w:kern w:val="0"/>
                <w:szCs w:val="21"/>
              </w:rPr>
              <w:t xml:space="preserve">         </w:t>
            </w:r>
          </w:p>
        </w:tc>
        <w:tc>
          <w:tcPr>
            <w:tcW w:w="1687" w:type="dxa"/>
            <w:vAlign w:val="top"/>
          </w:tcPr>
          <w:p>
            <w:pPr>
              <w:spacing w:line="360" w:lineRule="auto"/>
              <w:ind w:firstLine="210" w:firstLineChars="100"/>
              <w:rPr>
                <w:rFonts w:ascii="宋体" w:hAnsi="宋体"/>
                <w:color w:val="000000"/>
                <w:szCs w:val="21"/>
              </w:rPr>
            </w:pPr>
            <w:r>
              <w:rPr>
                <w:rFonts w:ascii="宋体" w:hAnsi="宋体" w:cs="宋体"/>
                <w:color w:val="000000"/>
                <w:kern w:val="0"/>
                <w:szCs w:val="21"/>
              </w:rPr>
              <w:t>0.1%</w:t>
            </w:r>
          </w:p>
        </w:tc>
        <w:tc>
          <w:tcPr>
            <w:tcW w:w="1659" w:type="dxa"/>
            <w:vAlign w:val="top"/>
          </w:tcPr>
          <w:p>
            <w:pPr>
              <w:spacing w:line="360" w:lineRule="auto"/>
              <w:ind w:firstLine="210" w:firstLineChars="100"/>
              <w:rPr>
                <w:rFonts w:ascii="宋体" w:hAnsi="宋体"/>
                <w:color w:val="000000"/>
                <w:szCs w:val="21"/>
              </w:rPr>
            </w:pPr>
            <w:r>
              <w:rPr>
                <w:rFonts w:ascii="宋体" w:hAnsi="宋体" w:cs="宋体"/>
                <w:color w:val="000000"/>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vAlign w:val="top"/>
          </w:tcPr>
          <w:p>
            <w:pPr>
              <w:spacing w:line="360" w:lineRule="auto"/>
              <w:rPr>
                <w:rFonts w:hint="eastAsia" w:ascii="宋体" w:hAnsi="宋体"/>
                <w:color w:val="000000"/>
                <w:szCs w:val="21"/>
              </w:rPr>
            </w:pPr>
            <w:r>
              <w:rPr>
                <w:rFonts w:hint="eastAsia" w:ascii="宋体" w:hAnsi="宋体"/>
                <w:color w:val="000000"/>
                <w:szCs w:val="21"/>
              </w:rPr>
              <w:t>1～5亿元</w:t>
            </w:r>
          </w:p>
        </w:tc>
        <w:tc>
          <w:tcPr>
            <w:tcW w:w="1659" w:type="dxa"/>
            <w:vAlign w:val="top"/>
          </w:tcPr>
          <w:p>
            <w:pPr>
              <w:spacing w:line="360" w:lineRule="auto"/>
              <w:ind w:firstLine="210" w:firstLineChars="100"/>
              <w:rPr>
                <w:rFonts w:hint="eastAsia" w:ascii="宋体" w:hAnsi="宋体"/>
                <w:color w:val="000000"/>
                <w:szCs w:val="21"/>
              </w:rPr>
            </w:pPr>
            <w:r>
              <w:rPr>
                <w:rFonts w:hint="eastAsia" w:ascii="宋体" w:hAnsi="宋体"/>
                <w:color w:val="000000"/>
                <w:szCs w:val="21"/>
              </w:rPr>
              <w:t>0.05%</w:t>
            </w:r>
          </w:p>
        </w:tc>
        <w:tc>
          <w:tcPr>
            <w:tcW w:w="1687" w:type="dxa"/>
            <w:vAlign w:val="top"/>
          </w:tcPr>
          <w:p>
            <w:pPr>
              <w:spacing w:line="360" w:lineRule="auto"/>
              <w:rPr>
                <w:rFonts w:hint="eastAsia" w:ascii="宋体" w:hAnsi="宋体"/>
                <w:color w:val="000000"/>
                <w:szCs w:val="21"/>
              </w:rPr>
            </w:pPr>
            <w:r>
              <w:rPr>
                <w:rFonts w:hint="eastAsia" w:ascii="宋体" w:hAnsi="宋体"/>
                <w:color w:val="000000"/>
                <w:szCs w:val="21"/>
              </w:rPr>
              <w:t xml:space="preserve">  0.05%</w:t>
            </w:r>
          </w:p>
        </w:tc>
        <w:tc>
          <w:tcPr>
            <w:tcW w:w="1659" w:type="dxa"/>
            <w:vAlign w:val="top"/>
          </w:tcPr>
          <w:p>
            <w:pPr>
              <w:spacing w:line="360" w:lineRule="auto"/>
              <w:rPr>
                <w:rFonts w:hint="eastAsia" w:ascii="宋体" w:hAnsi="宋体"/>
                <w:color w:val="000000"/>
                <w:szCs w:val="21"/>
              </w:rPr>
            </w:pPr>
            <w:r>
              <w:rPr>
                <w:rFonts w:hint="eastAsia" w:ascii="宋体" w:hAnsi="宋体"/>
                <w:color w:val="000000"/>
                <w:szCs w:val="21"/>
              </w:rPr>
              <w:t xml:space="preserve">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vAlign w:val="top"/>
          </w:tcPr>
          <w:p>
            <w:pPr>
              <w:spacing w:line="360" w:lineRule="auto"/>
              <w:rPr>
                <w:rFonts w:hint="eastAsia" w:ascii="宋体" w:hAnsi="宋体"/>
                <w:color w:val="000000"/>
                <w:szCs w:val="21"/>
              </w:rPr>
            </w:pPr>
            <w:r>
              <w:rPr>
                <w:rFonts w:hint="eastAsia" w:ascii="宋体" w:hAnsi="宋体"/>
                <w:color w:val="000000"/>
                <w:szCs w:val="21"/>
              </w:rPr>
              <w:t>5～10亿元</w:t>
            </w:r>
          </w:p>
        </w:tc>
        <w:tc>
          <w:tcPr>
            <w:tcW w:w="1659" w:type="dxa"/>
            <w:vAlign w:val="top"/>
          </w:tcPr>
          <w:p>
            <w:pPr>
              <w:spacing w:line="360" w:lineRule="auto"/>
              <w:ind w:firstLine="105" w:firstLineChars="50"/>
              <w:rPr>
                <w:rFonts w:hint="eastAsia" w:ascii="宋体" w:hAnsi="宋体"/>
                <w:color w:val="000000"/>
                <w:szCs w:val="21"/>
              </w:rPr>
            </w:pPr>
            <w:r>
              <w:rPr>
                <w:rFonts w:hint="eastAsia" w:ascii="宋体" w:hAnsi="宋体"/>
                <w:color w:val="000000"/>
                <w:szCs w:val="21"/>
              </w:rPr>
              <w:t>0.035%</w:t>
            </w:r>
          </w:p>
        </w:tc>
        <w:tc>
          <w:tcPr>
            <w:tcW w:w="1687" w:type="dxa"/>
            <w:vAlign w:val="top"/>
          </w:tcPr>
          <w:p>
            <w:pPr>
              <w:spacing w:line="360" w:lineRule="auto"/>
              <w:rPr>
                <w:rFonts w:hint="eastAsia" w:ascii="宋体" w:hAnsi="宋体"/>
                <w:color w:val="000000"/>
                <w:szCs w:val="21"/>
              </w:rPr>
            </w:pPr>
            <w:r>
              <w:rPr>
                <w:rFonts w:hint="eastAsia" w:ascii="宋体" w:hAnsi="宋体"/>
                <w:color w:val="000000"/>
                <w:szCs w:val="21"/>
              </w:rPr>
              <w:t xml:space="preserve">  0.035%</w:t>
            </w:r>
          </w:p>
        </w:tc>
        <w:tc>
          <w:tcPr>
            <w:tcW w:w="1659" w:type="dxa"/>
            <w:vAlign w:val="top"/>
          </w:tcPr>
          <w:p>
            <w:pPr>
              <w:spacing w:line="360" w:lineRule="auto"/>
              <w:ind w:firstLine="105" w:firstLineChars="50"/>
              <w:rPr>
                <w:rFonts w:ascii="宋体" w:hAnsi="宋体"/>
                <w:color w:val="000000"/>
                <w:szCs w:val="21"/>
              </w:rPr>
            </w:pPr>
            <w:r>
              <w:rPr>
                <w:rFonts w:hint="eastAsia" w:ascii="宋体" w:hAnsi="宋体"/>
                <w:color w:val="00000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vAlign w:val="top"/>
          </w:tcPr>
          <w:p>
            <w:pPr>
              <w:spacing w:line="360" w:lineRule="auto"/>
              <w:rPr>
                <w:rFonts w:hint="eastAsia" w:ascii="宋体" w:hAnsi="宋体"/>
                <w:color w:val="000000"/>
                <w:szCs w:val="21"/>
              </w:rPr>
            </w:pPr>
            <w:r>
              <w:rPr>
                <w:rFonts w:hint="eastAsia" w:ascii="宋体" w:hAnsi="宋体"/>
                <w:color w:val="000000"/>
                <w:szCs w:val="21"/>
              </w:rPr>
              <w:t>10～50亿元</w:t>
            </w:r>
          </w:p>
        </w:tc>
        <w:tc>
          <w:tcPr>
            <w:tcW w:w="1659" w:type="dxa"/>
            <w:vAlign w:val="top"/>
          </w:tcPr>
          <w:p>
            <w:pPr>
              <w:spacing w:line="360" w:lineRule="auto"/>
              <w:ind w:firstLine="105" w:firstLineChars="50"/>
              <w:rPr>
                <w:rFonts w:hint="eastAsia" w:ascii="宋体" w:hAnsi="宋体"/>
                <w:color w:val="000000"/>
                <w:szCs w:val="21"/>
              </w:rPr>
            </w:pPr>
            <w:r>
              <w:rPr>
                <w:rFonts w:hint="eastAsia" w:ascii="宋体" w:hAnsi="宋体"/>
                <w:color w:val="000000"/>
                <w:szCs w:val="21"/>
              </w:rPr>
              <w:t>0.008%</w:t>
            </w:r>
          </w:p>
        </w:tc>
        <w:tc>
          <w:tcPr>
            <w:tcW w:w="1687" w:type="dxa"/>
            <w:vAlign w:val="top"/>
          </w:tcPr>
          <w:p>
            <w:pPr>
              <w:spacing w:line="360" w:lineRule="auto"/>
              <w:ind w:firstLine="210" w:firstLineChars="100"/>
              <w:rPr>
                <w:rFonts w:ascii="宋体" w:hAnsi="宋体"/>
                <w:color w:val="000000"/>
                <w:szCs w:val="21"/>
              </w:rPr>
            </w:pPr>
            <w:r>
              <w:rPr>
                <w:rFonts w:hint="eastAsia" w:ascii="宋体" w:hAnsi="宋体"/>
                <w:color w:val="000000"/>
                <w:szCs w:val="21"/>
              </w:rPr>
              <w:t>0.008%</w:t>
            </w:r>
          </w:p>
        </w:tc>
        <w:tc>
          <w:tcPr>
            <w:tcW w:w="1659" w:type="dxa"/>
            <w:vAlign w:val="top"/>
          </w:tcPr>
          <w:p>
            <w:pPr>
              <w:spacing w:line="360" w:lineRule="auto"/>
              <w:ind w:firstLine="105" w:firstLineChars="50"/>
              <w:rPr>
                <w:rFonts w:ascii="宋体" w:hAnsi="宋体"/>
                <w:color w:val="000000"/>
                <w:szCs w:val="21"/>
              </w:rPr>
            </w:pPr>
            <w:r>
              <w:rPr>
                <w:rFonts w:hint="eastAsia" w:ascii="宋体" w:hAnsi="宋体"/>
                <w:color w:val="00000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vAlign w:val="top"/>
          </w:tcPr>
          <w:p>
            <w:pPr>
              <w:spacing w:line="360" w:lineRule="auto"/>
              <w:rPr>
                <w:rFonts w:hint="eastAsia" w:ascii="宋体" w:hAnsi="宋体"/>
                <w:color w:val="000000"/>
                <w:szCs w:val="21"/>
              </w:rPr>
            </w:pPr>
            <w:r>
              <w:rPr>
                <w:rFonts w:hint="eastAsia" w:ascii="宋体" w:hAnsi="宋体"/>
                <w:color w:val="000000"/>
                <w:szCs w:val="21"/>
              </w:rPr>
              <w:t>50～100亿元</w:t>
            </w:r>
          </w:p>
        </w:tc>
        <w:tc>
          <w:tcPr>
            <w:tcW w:w="1659" w:type="dxa"/>
            <w:vAlign w:val="top"/>
          </w:tcPr>
          <w:p>
            <w:pPr>
              <w:spacing w:line="360" w:lineRule="auto"/>
              <w:rPr>
                <w:rFonts w:hint="eastAsia" w:ascii="宋体" w:hAnsi="宋体"/>
                <w:color w:val="000000"/>
                <w:szCs w:val="21"/>
              </w:rPr>
            </w:pPr>
            <w:r>
              <w:rPr>
                <w:rFonts w:hint="eastAsia" w:ascii="宋体" w:hAnsi="宋体"/>
                <w:color w:val="000000"/>
                <w:szCs w:val="21"/>
              </w:rPr>
              <w:t xml:space="preserve"> 0.006%</w:t>
            </w:r>
          </w:p>
        </w:tc>
        <w:tc>
          <w:tcPr>
            <w:tcW w:w="1687" w:type="dxa"/>
            <w:vAlign w:val="top"/>
          </w:tcPr>
          <w:p>
            <w:pPr>
              <w:spacing w:line="360" w:lineRule="auto"/>
              <w:ind w:firstLine="210" w:firstLineChars="100"/>
              <w:rPr>
                <w:rFonts w:ascii="宋体" w:hAnsi="宋体"/>
                <w:color w:val="000000"/>
                <w:szCs w:val="21"/>
              </w:rPr>
            </w:pPr>
            <w:r>
              <w:rPr>
                <w:rFonts w:hint="eastAsia" w:ascii="宋体" w:hAnsi="宋体"/>
                <w:color w:val="000000"/>
                <w:szCs w:val="21"/>
              </w:rPr>
              <w:t>0.006%</w:t>
            </w:r>
          </w:p>
        </w:tc>
        <w:tc>
          <w:tcPr>
            <w:tcW w:w="1659" w:type="dxa"/>
            <w:vAlign w:val="top"/>
          </w:tcPr>
          <w:p>
            <w:pPr>
              <w:spacing w:line="360" w:lineRule="auto"/>
              <w:ind w:firstLine="105" w:firstLineChars="50"/>
              <w:rPr>
                <w:rFonts w:ascii="宋体" w:hAnsi="宋体"/>
                <w:color w:val="000000"/>
                <w:szCs w:val="21"/>
              </w:rPr>
            </w:pPr>
            <w:r>
              <w:rPr>
                <w:rFonts w:hint="eastAsia" w:ascii="宋体" w:hAnsi="宋体"/>
                <w:color w:val="00000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vAlign w:val="top"/>
          </w:tcPr>
          <w:p>
            <w:pPr>
              <w:spacing w:line="360" w:lineRule="auto"/>
              <w:rPr>
                <w:rFonts w:hint="eastAsia" w:ascii="宋体" w:hAnsi="宋体"/>
                <w:color w:val="000000"/>
                <w:szCs w:val="21"/>
              </w:rPr>
            </w:pPr>
            <w:r>
              <w:rPr>
                <w:rFonts w:hint="eastAsia" w:ascii="宋体" w:hAnsi="宋体"/>
                <w:color w:val="000000"/>
                <w:szCs w:val="21"/>
              </w:rPr>
              <w:t>100亿以上</w:t>
            </w:r>
          </w:p>
        </w:tc>
        <w:tc>
          <w:tcPr>
            <w:tcW w:w="1659" w:type="dxa"/>
            <w:vAlign w:val="top"/>
          </w:tcPr>
          <w:p>
            <w:pPr>
              <w:spacing w:line="360" w:lineRule="auto"/>
              <w:rPr>
                <w:rFonts w:hint="eastAsia" w:ascii="宋体" w:hAnsi="宋体"/>
                <w:color w:val="000000"/>
                <w:szCs w:val="21"/>
              </w:rPr>
            </w:pPr>
            <w:r>
              <w:rPr>
                <w:rFonts w:hint="eastAsia" w:ascii="宋体" w:hAnsi="宋体"/>
                <w:color w:val="000000"/>
                <w:szCs w:val="21"/>
              </w:rPr>
              <w:t xml:space="preserve"> 0.004%</w:t>
            </w:r>
          </w:p>
        </w:tc>
        <w:tc>
          <w:tcPr>
            <w:tcW w:w="1687" w:type="dxa"/>
            <w:vAlign w:val="top"/>
          </w:tcPr>
          <w:p>
            <w:pPr>
              <w:spacing w:line="360" w:lineRule="auto"/>
              <w:ind w:firstLine="210" w:firstLineChars="100"/>
              <w:rPr>
                <w:rFonts w:ascii="宋体" w:hAnsi="宋体"/>
                <w:color w:val="000000"/>
                <w:szCs w:val="21"/>
              </w:rPr>
            </w:pPr>
            <w:r>
              <w:rPr>
                <w:rFonts w:hint="eastAsia" w:ascii="宋体" w:hAnsi="宋体"/>
                <w:color w:val="000000"/>
                <w:szCs w:val="21"/>
              </w:rPr>
              <w:t>0.004%</w:t>
            </w:r>
          </w:p>
        </w:tc>
        <w:tc>
          <w:tcPr>
            <w:tcW w:w="1659" w:type="dxa"/>
            <w:vAlign w:val="top"/>
          </w:tcPr>
          <w:p>
            <w:pPr>
              <w:spacing w:line="360" w:lineRule="auto"/>
              <w:ind w:firstLine="105" w:firstLineChars="50"/>
              <w:rPr>
                <w:rFonts w:ascii="宋体" w:hAnsi="宋体"/>
                <w:color w:val="000000"/>
                <w:szCs w:val="21"/>
              </w:rPr>
            </w:pPr>
            <w:r>
              <w:rPr>
                <w:rFonts w:hint="eastAsia" w:ascii="宋体" w:hAnsi="宋体"/>
                <w:color w:val="000000"/>
                <w:szCs w:val="21"/>
              </w:rPr>
              <w:t>0.004%</w:t>
            </w:r>
          </w:p>
        </w:tc>
      </w:tr>
    </w:tbl>
    <w:p>
      <w:pPr>
        <w:spacing w:line="360" w:lineRule="auto"/>
        <w:ind w:firstLine="420" w:firstLineChars="200"/>
        <w:rPr>
          <w:rFonts w:ascii="宋体" w:hAnsi="宋体" w:cs="宋体"/>
          <w:color w:val="000000"/>
          <w:szCs w:val="21"/>
        </w:rPr>
      </w:pPr>
      <w:r>
        <w:rPr>
          <w:rFonts w:hint="eastAsia" w:ascii="宋体" w:hAnsi="宋体"/>
          <w:color w:val="000000"/>
          <w:szCs w:val="21"/>
        </w:rPr>
        <w:t>注:</w:t>
      </w:r>
      <w:r>
        <w:rPr>
          <w:rFonts w:ascii="宋体" w:hAnsi="宋体" w:cs="宋体"/>
          <w:color w:val="000000"/>
          <w:szCs w:val="21"/>
        </w:rPr>
        <w:t xml:space="preserve"> </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按本表费率计算的收费为</w:t>
      </w:r>
      <w:r>
        <w:rPr>
          <w:rFonts w:hint="eastAsia" w:ascii="宋体" w:hAnsi="宋体" w:cs="宋体"/>
          <w:color w:val="000000"/>
          <w:szCs w:val="21"/>
        </w:rPr>
        <w:t>采购</w:t>
      </w:r>
      <w:r>
        <w:rPr>
          <w:rFonts w:ascii="宋体" w:hAnsi="宋体" w:cs="宋体"/>
          <w:color w:val="000000"/>
          <w:szCs w:val="21"/>
        </w:rPr>
        <w:t>代理的收费基准价格</w:t>
      </w:r>
      <w:r>
        <w:rPr>
          <w:rFonts w:hint="eastAsia" w:ascii="宋体" w:hAnsi="宋体" w:cs="宋体"/>
          <w:color w:val="000000"/>
          <w:szCs w:val="21"/>
        </w:rPr>
        <w:t>；</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（2）采购</w:t>
      </w:r>
      <w:r>
        <w:rPr>
          <w:rFonts w:ascii="宋体" w:hAnsi="宋体" w:cs="宋体"/>
          <w:color w:val="000000"/>
          <w:szCs w:val="21"/>
        </w:rPr>
        <w:t>代理收费按差额定率累进法计算。</w:t>
      </w:r>
    </w:p>
    <w:p>
      <w:pPr>
        <w:spacing w:line="360" w:lineRule="auto"/>
        <w:ind w:firstLine="420" w:firstLineChars="200"/>
        <w:rPr>
          <w:rFonts w:ascii="宋体" w:hAnsi="宋体" w:cs="宋体"/>
          <w:color w:val="000000"/>
          <w:szCs w:val="21"/>
        </w:rPr>
      </w:pPr>
      <w:r>
        <w:rPr>
          <w:rFonts w:ascii="宋体" w:hAnsi="宋体" w:cs="宋体"/>
          <w:color w:val="000000"/>
          <w:szCs w:val="21"/>
        </w:rPr>
        <w:t>例如：某</w:t>
      </w:r>
      <w:r>
        <w:rPr>
          <w:rFonts w:hint="eastAsia" w:ascii="宋体" w:hAnsi="宋体" w:cs="宋体"/>
          <w:color w:val="000000"/>
          <w:szCs w:val="21"/>
        </w:rPr>
        <w:t>货物采购</w:t>
      </w:r>
      <w:r>
        <w:rPr>
          <w:rFonts w:ascii="宋体" w:hAnsi="宋体" w:cs="宋体"/>
          <w:color w:val="000000"/>
          <w:szCs w:val="21"/>
        </w:rPr>
        <w:t>代理业务</w:t>
      </w:r>
      <w:r>
        <w:rPr>
          <w:rFonts w:hint="eastAsia" w:ascii="宋体" w:hAnsi="宋体" w:cs="宋体"/>
          <w:color w:val="000000"/>
          <w:szCs w:val="21"/>
        </w:rPr>
        <w:t>中标</w:t>
      </w:r>
      <w:r>
        <w:rPr>
          <w:rFonts w:ascii="宋体" w:hAnsi="宋体" w:cs="宋体"/>
          <w:color w:val="000000"/>
          <w:szCs w:val="21"/>
        </w:rPr>
        <w:t>金额</w:t>
      </w:r>
      <w:r>
        <w:rPr>
          <w:rFonts w:hint="eastAsia" w:ascii="宋体" w:hAnsi="宋体" w:cs="宋体"/>
          <w:color w:val="000000"/>
          <w:szCs w:val="21"/>
        </w:rPr>
        <w:t>或者暂定价</w:t>
      </w:r>
      <w:r>
        <w:rPr>
          <w:rFonts w:ascii="宋体" w:hAnsi="宋体" w:cs="宋体"/>
          <w:color w:val="000000"/>
          <w:szCs w:val="21"/>
        </w:rPr>
        <w:t>为200万元，计算</w:t>
      </w:r>
      <w:r>
        <w:rPr>
          <w:rFonts w:hint="eastAsia" w:ascii="宋体" w:hAnsi="宋体" w:cs="宋体"/>
          <w:color w:val="000000"/>
          <w:szCs w:val="21"/>
        </w:rPr>
        <w:t>采购</w:t>
      </w:r>
      <w:r>
        <w:rPr>
          <w:rFonts w:ascii="宋体" w:hAnsi="宋体" w:cs="宋体"/>
          <w:color w:val="000000"/>
          <w:szCs w:val="21"/>
        </w:rPr>
        <w:t>代理收费额如下：</w:t>
      </w:r>
    </w:p>
    <w:p>
      <w:pPr>
        <w:spacing w:line="360" w:lineRule="auto"/>
        <w:ind w:firstLine="420" w:firstLineChars="200"/>
        <w:rPr>
          <w:rFonts w:ascii="宋体" w:hAnsi="宋体" w:cs="宋体"/>
          <w:color w:val="000000"/>
          <w:szCs w:val="21"/>
        </w:rPr>
      </w:pPr>
      <w:r>
        <w:rPr>
          <w:rFonts w:ascii="宋体" w:hAnsi="宋体" w:cs="宋体"/>
          <w:color w:val="000000"/>
          <w:szCs w:val="21"/>
        </w:rPr>
        <w:t>100 万元×l.5 ％＝ 1.5 万元</w:t>
      </w:r>
    </w:p>
    <w:p>
      <w:pPr>
        <w:spacing w:line="360" w:lineRule="auto"/>
        <w:ind w:firstLine="420" w:firstLineChars="200"/>
        <w:rPr>
          <w:rFonts w:ascii="宋体" w:hAnsi="宋体" w:cs="宋体"/>
          <w:color w:val="000000"/>
          <w:szCs w:val="21"/>
        </w:rPr>
      </w:pPr>
      <w:r>
        <w:rPr>
          <w:rFonts w:ascii="宋体" w:hAnsi="宋体" w:cs="宋体"/>
          <w:color w:val="000000"/>
          <w:szCs w:val="21"/>
        </w:rPr>
        <w:t>（ 200 － 100 ）万元 ×1.1％＝1.1万元</w:t>
      </w:r>
    </w:p>
    <w:p>
      <w:pPr>
        <w:pStyle w:val="15"/>
        <w:snapToGrid w:val="0"/>
        <w:spacing w:before="120" w:after="120" w:line="360" w:lineRule="auto"/>
        <w:ind w:firstLine="420" w:firstLineChars="200"/>
        <w:rPr>
          <w:rFonts w:hAnsi="宋体" w:cs="宋体"/>
          <w:color w:val="000000"/>
          <w:sz w:val="21"/>
        </w:rPr>
      </w:pPr>
      <w:r>
        <w:rPr>
          <w:rFonts w:hAnsi="宋体" w:cs="宋体"/>
          <w:color w:val="000000"/>
          <w:sz w:val="21"/>
        </w:rPr>
        <w:t>合计收费＝ 1.5</w:t>
      </w:r>
      <w:r>
        <w:rPr>
          <w:rFonts w:hint="eastAsia" w:hAnsi="宋体" w:cs="宋体"/>
          <w:color w:val="000000"/>
          <w:sz w:val="21"/>
        </w:rPr>
        <w:t>+</w:t>
      </w:r>
      <w:r>
        <w:rPr>
          <w:rFonts w:hAnsi="宋体" w:cs="宋体"/>
          <w:color w:val="000000"/>
          <w:sz w:val="21"/>
        </w:rPr>
        <w:t>1.1＝ 2.6 （万元）</w:t>
      </w:r>
    </w:p>
    <w:p>
      <w:pPr>
        <w:pStyle w:val="9"/>
        <w:keepNext w:val="0"/>
        <w:keepLines w:val="0"/>
        <w:spacing w:before="0" w:after="0" w:line="360" w:lineRule="auto"/>
        <w:ind w:left="420" w:leftChars="200"/>
        <w:rPr>
          <w:rFonts w:ascii="黑体" w:hAnsi="黑体" w:eastAsia="黑体"/>
          <w:color w:val="000000"/>
          <w:sz w:val="24"/>
        </w:rPr>
      </w:pPr>
      <w:r>
        <w:rPr>
          <w:rFonts w:ascii="黑体" w:hAnsi="黑体" w:eastAsia="黑体"/>
          <w:color w:val="000000"/>
          <w:sz w:val="24"/>
        </w:rPr>
        <w:t>40. 需要补充的其他内容</w:t>
      </w:r>
    </w:p>
    <w:p>
      <w:pPr>
        <w:pStyle w:val="15"/>
        <w:spacing w:before="120" w:after="120" w:line="360" w:lineRule="auto"/>
        <w:ind w:firstLine="420" w:firstLineChars="200"/>
        <w:contextualSpacing/>
        <w:rPr>
          <w:rFonts w:hint="eastAsia" w:hAnsi="宋体" w:cs="宋体"/>
          <w:color w:val="000000"/>
          <w:sz w:val="21"/>
        </w:rPr>
      </w:pPr>
      <w:r>
        <w:rPr>
          <w:rFonts w:hint="eastAsia" w:hAnsi="宋体" w:cs="宋体"/>
          <w:color w:val="000000"/>
          <w:sz w:val="21"/>
        </w:rPr>
        <w:t>40.1本招标文件解释规则详见“投标人须知前附表”。</w:t>
      </w:r>
    </w:p>
    <w:p>
      <w:pPr>
        <w:pStyle w:val="15"/>
        <w:spacing w:before="120" w:after="120" w:line="360" w:lineRule="auto"/>
        <w:ind w:firstLine="420" w:firstLineChars="200"/>
        <w:contextualSpacing/>
        <w:rPr>
          <w:rFonts w:hint="eastAsia" w:hAnsi="宋体" w:cs="宋体"/>
          <w:color w:val="000000"/>
          <w:sz w:val="21"/>
        </w:rPr>
      </w:pPr>
      <w:r>
        <w:rPr>
          <w:rFonts w:hint="eastAsia" w:hAnsi="宋体" w:cs="宋体"/>
          <w:color w:val="000000"/>
          <w:sz w:val="21"/>
        </w:rPr>
        <w:t>40.2 其他事项详见“投标人须知前附表”。</w:t>
      </w:r>
    </w:p>
    <w:p>
      <w:pPr>
        <w:pStyle w:val="15"/>
        <w:spacing w:before="120" w:after="120" w:line="360" w:lineRule="auto"/>
        <w:ind w:firstLine="420" w:firstLineChars="200"/>
        <w:contextualSpacing/>
        <w:rPr>
          <w:rFonts w:hint="eastAsia" w:hAnsi="宋体" w:cs="宋体"/>
          <w:color w:val="000000"/>
          <w:sz w:val="21"/>
        </w:rPr>
      </w:pPr>
      <w:r>
        <w:rPr>
          <w:rFonts w:hint="eastAsia" w:hAnsi="宋体" w:cs="宋体"/>
          <w:color w:val="000000"/>
          <w:sz w:val="21"/>
        </w:rPr>
        <w:t>40.3</w:t>
      </w:r>
      <w:bookmarkStart w:id="137" w:name="_Hlk65857140"/>
      <w:r>
        <w:rPr>
          <w:rFonts w:hint="eastAsia" w:hAnsi="宋体" w:cs="宋体"/>
          <w:color w:val="000000"/>
          <w:sz w:val="21"/>
        </w:rPr>
        <w:t>本招标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列情形的，享受本招标文件规定的中小企业扶持政策：</w:t>
      </w:r>
    </w:p>
    <w:p>
      <w:pPr>
        <w:pStyle w:val="15"/>
        <w:spacing w:before="120" w:after="120" w:line="360" w:lineRule="auto"/>
        <w:ind w:firstLine="420" w:firstLineChars="200"/>
        <w:contextualSpacing/>
        <w:rPr>
          <w:rFonts w:hint="eastAsia" w:hAnsi="宋体" w:cs="宋体"/>
          <w:color w:val="000000"/>
          <w:sz w:val="21"/>
        </w:rPr>
      </w:pPr>
      <w:r>
        <w:rPr>
          <w:rFonts w:hint="eastAsia" w:hAnsi="宋体" w:cs="宋体"/>
          <w:color w:val="000000"/>
          <w:sz w:val="21"/>
        </w:rPr>
        <w:t>（1）在货物采购项目中，货物由中小企业制造，即货物由中小企业生产且使用该中小企业商号或者注册商标，不对其中涉及的工程承建商和服务的承接商作出要求；</w:t>
      </w:r>
    </w:p>
    <w:p>
      <w:pPr>
        <w:pStyle w:val="15"/>
        <w:spacing w:before="120" w:after="120" w:line="360" w:lineRule="auto"/>
        <w:ind w:firstLine="420" w:firstLineChars="200"/>
        <w:contextualSpacing/>
        <w:rPr>
          <w:rFonts w:hint="eastAsia" w:hAnsi="宋体" w:cs="宋体"/>
          <w:color w:val="000000"/>
          <w:sz w:val="21"/>
        </w:rPr>
      </w:pPr>
      <w:r>
        <w:rPr>
          <w:rFonts w:hint="eastAsia" w:hAnsi="宋体" w:cs="宋体"/>
          <w:color w:val="000000"/>
          <w:sz w:val="21"/>
        </w:rPr>
        <w:t>（2）在工程采购项目中，工程由中小企业承建，即工程施工单位为中小企业，不对其中涉及的货物的制造商和服务的承接商作出要求；</w:t>
      </w:r>
    </w:p>
    <w:p>
      <w:pPr>
        <w:pStyle w:val="15"/>
        <w:spacing w:before="120" w:after="120" w:line="360" w:lineRule="auto"/>
        <w:ind w:firstLine="420" w:firstLineChars="200"/>
        <w:contextualSpacing/>
        <w:rPr>
          <w:rFonts w:hint="eastAsia" w:hAnsi="宋体" w:cs="宋体"/>
          <w:color w:val="000000"/>
          <w:sz w:val="21"/>
        </w:rPr>
      </w:pPr>
      <w:r>
        <w:rPr>
          <w:rFonts w:hint="eastAsia" w:hAnsi="宋体" w:cs="宋体"/>
          <w:color w:val="000000"/>
          <w:sz w:val="21"/>
        </w:rPr>
        <w:t>（3）在服务采购项目中，服务由中小企业承接，即提供服务的人员为中小企业依照《中华人民共和国劳动合同法》订立劳动合同的从业人员，不对其中涉及的货物的制造商和工程承建商作出要求。</w:t>
      </w:r>
    </w:p>
    <w:p>
      <w:pPr>
        <w:pStyle w:val="15"/>
        <w:spacing w:before="120" w:after="120" w:line="360" w:lineRule="auto"/>
        <w:ind w:firstLine="420" w:firstLineChars="200"/>
        <w:contextualSpacing/>
        <w:rPr>
          <w:rFonts w:hint="eastAsia" w:hAnsi="宋体" w:cs="宋体"/>
          <w:color w:val="000000"/>
          <w:sz w:val="21"/>
        </w:rPr>
      </w:pPr>
      <w:r>
        <w:rPr>
          <w:rFonts w:hint="eastAsia" w:hAnsi="宋体" w:cs="宋体"/>
          <w:color w:val="000000"/>
          <w:sz w:val="21"/>
        </w:rPr>
        <w:t>在货物采购项目中，供应商提供的货物既有中小企业制造货物，也有大型企业制造货物的，不享受本招标文件规定的中小企业扶持政策。以联合体形式参加政府采购活动，联合体各方均为中小企业的，联合体视同中小企业。其中，联合体各方均为小微企业的，联合体视同小微企业。</w:t>
      </w:r>
    </w:p>
    <w:p>
      <w:pPr>
        <w:pStyle w:val="15"/>
        <w:spacing w:before="120" w:after="120" w:line="360" w:lineRule="auto"/>
        <w:ind w:firstLine="420" w:firstLineChars="200"/>
        <w:contextualSpacing/>
        <w:rPr>
          <w:rFonts w:hint="eastAsia" w:hAnsi="宋体"/>
          <w:color w:val="000000"/>
        </w:rPr>
      </w:pPr>
      <w:r>
        <w:rPr>
          <w:rFonts w:hint="eastAsia" w:hAnsi="宋体" w:cs="宋体"/>
          <w:color w:val="000000"/>
          <w:sz w:val="21"/>
        </w:rPr>
        <w:t>依据本招标文件规定享受扶持政策获得政府采购合同的，小微企业不得将合同分包给大中型企业，中型企业不得将合同分包给大型企业。</w:t>
      </w:r>
      <w:bookmarkEnd w:id="137"/>
    </w:p>
    <w:p>
      <w:pPr>
        <w:pStyle w:val="15"/>
        <w:snapToGrid w:val="0"/>
        <w:spacing w:before="120" w:after="120"/>
        <w:rPr>
          <w:rFonts w:hint="eastAsia" w:hAnsi="宋体"/>
          <w:color w:val="000000"/>
        </w:rPr>
      </w:pPr>
    </w:p>
    <w:p>
      <w:pPr>
        <w:pStyle w:val="15"/>
        <w:snapToGrid w:val="0"/>
        <w:spacing w:before="120" w:after="120"/>
        <w:rPr>
          <w:rFonts w:hint="eastAsia" w:hAnsi="宋体"/>
          <w:color w:val="000000"/>
        </w:rPr>
      </w:pPr>
    </w:p>
    <w:p>
      <w:pPr>
        <w:pStyle w:val="15"/>
        <w:snapToGrid w:val="0"/>
        <w:spacing w:before="120" w:after="120"/>
        <w:rPr>
          <w:rFonts w:hint="eastAsia" w:hAnsi="宋体"/>
          <w:color w:val="000000"/>
        </w:rPr>
      </w:pPr>
    </w:p>
    <w:p>
      <w:pPr>
        <w:pStyle w:val="15"/>
        <w:snapToGrid w:val="0"/>
        <w:spacing w:before="120" w:after="120"/>
        <w:rPr>
          <w:rFonts w:hint="eastAsia" w:hAnsi="宋体"/>
          <w:color w:val="000000"/>
        </w:rPr>
      </w:pPr>
    </w:p>
    <w:p>
      <w:pPr>
        <w:pStyle w:val="15"/>
        <w:snapToGrid w:val="0"/>
        <w:spacing w:before="120" w:after="120"/>
        <w:rPr>
          <w:rFonts w:hint="eastAsia" w:hAnsi="宋体"/>
          <w:color w:val="000000"/>
        </w:rPr>
      </w:pPr>
    </w:p>
    <w:p>
      <w:pPr>
        <w:pStyle w:val="15"/>
        <w:snapToGrid w:val="0"/>
        <w:spacing w:before="120" w:after="120"/>
        <w:rPr>
          <w:rFonts w:hint="eastAsia" w:hAnsi="宋体"/>
          <w:color w:val="000000"/>
        </w:rPr>
      </w:pPr>
    </w:p>
    <w:p>
      <w:pPr>
        <w:pStyle w:val="15"/>
        <w:snapToGrid w:val="0"/>
        <w:spacing w:before="120" w:after="120"/>
        <w:rPr>
          <w:rFonts w:hint="eastAsia" w:hAnsi="宋体"/>
          <w:color w:val="000000"/>
        </w:rPr>
      </w:pPr>
    </w:p>
    <w:p>
      <w:pPr>
        <w:pStyle w:val="15"/>
        <w:snapToGrid w:val="0"/>
        <w:spacing w:before="120" w:after="120"/>
        <w:rPr>
          <w:rFonts w:hint="eastAsia" w:hAnsi="宋体"/>
          <w:color w:val="000000"/>
        </w:rPr>
      </w:pPr>
    </w:p>
    <w:p>
      <w:pPr>
        <w:pStyle w:val="15"/>
        <w:snapToGrid w:val="0"/>
        <w:spacing w:before="120" w:after="120"/>
        <w:rPr>
          <w:rFonts w:hint="eastAsia" w:hAnsi="宋体"/>
          <w:color w:val="000000"/>
        </w:rPr>
      </w:pPr>
    </w:p>
    <w:p>
      <w:pPr>
        <w:pStyle w:val="15"/>
        <w:snapToGrid w:val="0"/>
        <w:spacing w:before="120" w:after="120"/>
        <w:rPr>
          <w:rFonts w:hint="eastAsia" w:hAnsi="宋体"/>
          <w:color w:val="000000"/>
        </w:rPr>
      </w:pPr>
    </w:p>
    <w:p>
      <w:pPr>
        <w:pStyle w:val="15"/>
        <w:snapToGrid w:val="0"/>
        <w:spacing w:before="120" w:after="120"/>
        <w:rPr>
          <w:rFonts w:hint="eastAsia" w:hAnsi="宋体"/>
          <w:color w:val="000000"/>
        </w:rPr>
      </w:pPr>
    </w:p>
    <w:p>
      <w:pPr>
        <w:pStyle w:val="5"/>
        <w:jc w:val="center"/>
        <w:rPr>
          <w:rFonts w:hint="eastAsia"/>
          <w:color w:val="000000"/>
        </w:rPr>
      </w:pPr>
      <w:bookmarkStart w:id="138" w:name="_Toc330456896"/>
      <w:bookmarkStart w:id="139" w:name="_Toc254970689"/>
      <w:bookmarkStart w:id="140" w:name="_Toc254970548"/>
      <w:bookmarkStart w:id="141" w:name="_Toc74320803"/>
      <w:r>
        <w:rPr>
          <w:rFonts w:hint="eastAsia"/>
          <w:color w:val="000000"/>
        </w:rPr>
        <w:t>第四章  评标方法及评标标准</w:t>
      </w:r>
      <w:bookmarkEnd w:id="138"/>
      <w:bookmarkEnd w:id="139"/>
      <w:bookmarkEnd w:id="140"/>
      <w:bookmarkEnd w:id="141"/>
    </w:p>
    <w:p>
      <w:pPr>
        <w:rPr>
          <w:rFonts w:hint="default" w:eastAsia="宋体"/>
          <w:lang w:val="en-US" w:eastAsia="zh-CN"/>
        </w:rPr>
      </w:pPr>
      <w:r>
        <w:rPr>
          <w:rFonts w:hint="default" w:eastAsia="宋体"/>
          <w:lang w:val="en-US" w:eastAsia="zh-CN"/>
        </w:rPr>
        <w:br w:type="page"/>
      </w:r>
    </w:p>
    <w:p>
      <w:pPr>
        <w:pStyle w:val="2"/>
        <w:rPr>
          <w:rFonts w:hint="default"/>
          <w:lang w:val="en-US" w:eastAsia="zh-CN"/>
        </w:rPr>
      </w:pPr>
    </w:p>
    <w:p>
      <w:pPr>
        <w:pStyle w:val="7"/>
        <w:keepNext w:val="0"/>
        <w:keepLines w:val="0"/>
        <w:jc w:val="center"/>
        <w:rPr>
          <w:color w:val="000000"/>
          <w:sz w:val="30"/>
          <w:szCs w:val="30"/>
        </w:rPr>
      </w:pPr>
      <w:r>
        <w:rPr>
          <w:rFonts w:hint="eastAsia"/>
          <w:color w:val="000000"/>
          <w:sz w:val="30"/>
          <w:szCs w:val="30"/>
        </w:rPr>
        <w:t>一、评标方法</w:t>
      </w:r>
    </w:p>
    <w:p>
      <w:pPr>
        <w:pStyle w:val="15"/>
        <w:spacing w:line="360" w:lineRule="auto"/>
        <w:ind w:firstLine="420"/>
        <w:rPr>
          <w:rFonts w:hAnsi="宋体"/>
          <w:color w:val="000000"/>
          <w:sz w:val="21"/>
        </w:rPr>
      </w:pPr>
      <w:r>
        <w:rPr>
          <w:rFonts w:hint="eastAsia" w:hAnsi="宋体"/>
          <w:color w:val="000000"/>
          <w:sz w:val="21"/>
        </w:rPr>
        <w:t>综合评分法，是指投标文件满足招标文件全部实质性要求，且按照评审因素的量化指标评审得分最高的投标人为中标候选人的评标方法。</w:t>
      </w:r>
    </w:p>
    <w:p>
      <w:pPr>
        <w:pStyle w:val="15"/>
        <w:spacing w:line="360" w:lineRule="auto"/>
        <w:ind w:firstLine="420"/>
        <w:rPr>
          <w:rFonts w:hAnsi="宋体"/>
          <w:color w:val="000000"/>
          <w:sz w:val="21"/>
        </w:rPr>
      </w:pPr>
      <w:r>
        <w:rPr>
          <w:rFonts w:hint="eastAsia" w:hAnsi="宋体"/>
          <w:color w:val="000000"/>
          <w:sz w:val="21"/>
        </w:rPr>
        <w:t>最低评标价法，是指投标文件满足招标文件全部实质性要求，且投标报价最低的投标人为中标候选人的评标方法。</w:t>
      </w:r>
    </w:p>
    <w:p>
      <w:pPr>
        <w:pStyle w:val="7"/>
        <w:keepNext w:val="0"/>
        <w:keepLines w:val="0"/>
        <w:jc w:val="center"/>
        <w:rPr>
          <w:rFonts w:hint="eastAsia"/>
          <w:color w:val="000000"/>
          <w:sz w:val="30"/>
          <w:szCs w:val="30"/>
        </w:rPr>
      </w:pPr>
      <w:r>
        <w:rPr>
          <w:rFonts w:hint="eastAsia"/>
          <w:color w:val="000000"/>
          <w:sz w:val="30"/>
          <w:szCs w:val="30"/>
        </w:rPr>
        <w:t>二、评标程序</w:t>
      </w:r>
    </w:p>
    <w:p>
      <w:pPr>
        <w:pStyle w:val="9"/>
        <w:keepNext w:val="0"/>
        <w:keepLines w:val="0"/>
        <w:spacing w:before="0" w:after="0" w:line="360" w:lineRule="auto"/>
        <w:ind w:left="420" w:leftChars="200"/>
        <w:rPr>
          <w:rFonts w:hint="eastAsia" w:ascii="宋体" w:hAnsi="宋体"/>
          <w:color w:val="000000"/>
          <w:sz w:val="21"/>
          <w:szCs w:val="21"/>
        </w:rPr>
      </w:pPr>
      <w:r>
        <w:rPr>
          <w:rFonts w:hint="eastAsia" w:ascii="宋体" w:hAnsi="宋体"/>
          <w:color w:val="000000"/>
          <w:sz w:val="21"/>
          <w:szCs w:val="21"/>
        </w:rPr>
        <w:t>1.符合性审查</w:t>
      </w:r>
    </w:p>
    <w:p>
      <w:pPr>
        <w:pStyle w:val="15"/>
        <w:snapToGrid w:val="0"/>
        <w:spacing w:line="360" w:lineRule="auto"/>
        <w:ind w:left="1" w:firstLine="420"/>
        <w:rPr>
          <w:rFonts w:hint="eastAsia" w:hAnsi="宋体"/>
          <w:b/>
          <w:color w:val="000000"/>
          <w:kern w:val="2"/>
          <w:sz w:val="21"/>
        </w:rPr>
      </w:pPr>
      <w:r>
        <w:rPr>
          <w:rFonts w:hint="eastAsia" w:hAnsi="宋体"/>
          <w:b/>
          <w:color w:val="000000"/>
          <w:kern w:val="2"/>
          <w:sz w:val="21"/>
        </w:rPr>
        <w:t>评标委员会应当对符合资格的投标人的投标文件进行投标报价、商务、技术等实质性内容符合性审查，以确定其是否满足招标文件的实质性要求。</w:t>
      </w:r>
    </w:p>
    <w:p>
      <w:pPr>
        <w:pStyle w:val="9"/>
        <w:keepNext w:val="0"/>
        <w:keepLines w:val="0"/>
        <w:spacing w:before="0" w:after="0" w:line="360" w:lineRule="auto"/>
        <w:ind w:left="420" w:leftChars="200"/>
        <w:rPr>
          <w:rFonts w:hint="eastAsia" w:ascii="宋体" w:hAnsi="宋体"/>
          <w:color w:val="000000"/>
          <w:sz w:val="21"/>
          <w:szCs w:val="21"/>
        </w:rPr>
      </w:pPr>
      <w:r>
        <w:rPr>
          <w:rFonts w:hint="eastAsia" w:ascii="宋体" w:hAnsi="宋体"/>
          <w:color w:val="000000"/>
          <w:sz w:val="21"/>
          <w:szCs w:val="21"/>
        </w:rPr>
        <w:t>2</w:t>
      </w:r>
      <w:r>
        <w:rPr>
          <w:rFonts w:ascii="宋体" w:hAnsi="宋体"/>
          <w:color w:val="000000"/>
          <w:sz w:val="21"/>
          <w:szCs w:val="21"/>
        </w:rPr>
        <w:t>.</w:t>
      </w:r>
      <w:r>
        <w:rPr>
          <w:rFonts w:hint="eastAsia" w:ascii="宋体" w:hAnsi="宋体"/>
          <w:color w:val="000000"/>
          <w:sz w:val="21"/>
          <w:szCs w:val="21"/>
        </w:rPr>
        <w:t>符合性审查不通过而导致投标无效的情形</w:t>
      </w:r>
    </w:p>
    <w:p>
      <w:pPr>
        <w:snapToGrid w:val="0"/>
        <w:spacing w:line="360" w:lineRule="auto"/>
        <w:ind w:firstLine="422" w:firstLineChars="200"/>
        <w:rPr>
          <w:rFonts w:hint="eastAsia" w:ascii="宋体" w:hAnsi="宋体"/>
          <w:b/>
          <w:color w:val="000000"/>
          <w:szCs w:val="21"/>
        </w:rPr>
      </w:pPr>
      <w:r>
        <w:rPr>
          <w:rFonts w:hint="eastAsia" w:ascii="宋体" w:hAnsi="宋体"/>
          <w:b/>
          <w:color w:val="000000"/>
          <w:szCs w:val="21"/>
        </w:rPr>
        <w:t>投标人的投标文件中存在对招标文件的任何实质性要求和条件的负偏离，将被视为投标无效。</w:t>
      </w:r>
    </w:p>
    <w:p>
      <w:pPr>
        <w:pStyle w:val="9"/>
        <w:keepNext w:val="0"/>
        <w:keepLines w:val="0"/>
        <w:spacing w:before="0" w:after="0" w:line="360" w:lineRule="auto"/>
        <w:ind w:left="420" w:leftChars="200"/>
        <w:rPr>
          <w:rFonts w:hint="eastAsia" w:ascii="宋体" w:hAnsi="宋体"/>
          <w:color w:val="000000"/>
          <w:sz w:val="21"/>
          <w:szCs w:val="21"/>
        </w:rPr>
      </w:pPr>
      <w:r>
        <w:rPr>
          <w:rFonts w:hint="eastAsia" w:ascii="宋体" w:hAnsi="宋体"/>
          <w:color w:val="000000"/>
          <w:sz w:val="21"/>
          <w:szCs w:val="21"/>
        </w:rPr>
        <w:t>2.1在报价评审时，如发现下列情形之一的，将被视为投标无效：</w:t>
      </w:r>
    </w:p>
    <w:p>
      <w:pPr>
        <w:pStyle w:val="10"/>
        <w:numPr>
          <w:ilvl w:val="0"/>
          <w:numId w:val="30"/>
        </w:numPr>
        <w:spacing w:line="360" w:lineRule="auto"/>
        <w:ind w:firstLine="422"/>
        <w:rPr>
          <w:rFonts w:hint="eastAsia" w:ascii="宋体" w:hAnsi="宋体"/>
          <w:b/>
          <w:color w:val="000000"/>
          <w:szCs w:val="21"/>
        </w:rPr>
      </w:pPr>
      <w:r>
        <w:rPr>
          <w:rFonts w:hint="eastAsia" w:ascii="宋体" w:hAnsi="宋体"/>
          <w:b/>
          <w:color w:val="000000"/>
          <w:spacing w:val="-6"/>
          <w:szCs w:val="21"/>
        </w:rPr>
        <w:t>报价文件</w:t>
      </w:r>
      <w:r>
        <w:rPr>
          <w:rFonts w:hint="eastAsia" w:ascii="宋体" w:hAnsi="宋体"/>
          <w:b/>
          <w:color w:val="000000"/>
          <w:szCs w:val="21"/>
        </w:rPr>
        <w:t>未提供“投标人须知前附表”第13.1条规定中“必须提供”的文件资料的；</w:t>
      </w:r>
    </w:p>
    <w:p>
      <w:pPr>
        <w:pStyle w:val="10"/>
        <w:numPr>
          <w:ilvl w:val="0"/>
          <w:numId w:val="30"/>
        </w:numPr>
        <w:spacing w:line="360" w:lineRule="auto"/>
        <w:ind w:firstLine="422"/>
        <w:rPr>
          <w:rFonts w:hint="eastAsia" w:ascii="宋体" w:hAnsi="宋体"/>
          <w:b/>
          <w:color w:val="000000"/>
          <w:szCs w:val="21"/>
        </w:rPr>
      </w:pPr>
      <w:r>
        <w:rPr>
          <w:rFonts w:hint="eastAsia" w:ascii="宋体" w:hAnsi="宋体"/>
          <w:b/>
          <w:color w:val="000000"/>
          <w:szCs w:val="21"/>
        </w:rPr>
        <w:t>未采用人民币报价或者未按照招标文件标明的币种报价的；</w:t>
      </w:r>
    </w:p>
    <w:p>
      <w:pPr>
        <w:pStyle w:val="10"/>
        <w:numPr>
          <w:ilvl w:val="0"/>
          <w:numId w:val="30"/>
        </w:numPr>
        <w:spacing w:line="360" w:lineRule="auto"/>
        <w:ind w:firstLine="422"/>
        <w:rPr>
          <w:rFonts w:hint="eastAsia" w:ascii="宋体" w:hAnsi="宋体"/>
          <w:b/>
          <w:color w:val="000000"/>
          <w:szCs w:val="21"/>
        </w:rPr>
      </w:pPr>
      <w:r>
        <w:rPr>
          <w:rFonts w:hint="eastAsia" w:ascii="宋体" w:hAnsi="宋体"/>
          <w:b/>
          <w:color w:val="000000"/>
          <w:szCs w:val="21"/>
        </w:rPr>
        <w:t>各分标报价超出招标文件相应分标规定最高限价，或者超出相应分标采购预算金额的；</w:t>
      </w:r>
    </w:p>
    <w:p>
      <w:pPr>
        <w:pStyle w:val="10"/>
        <w:numPr>
          <w:ilvl w:val="0"/>
          <w:numId w:val="30"/>
        </w:numPr>
        <w:spacing w:line="360" w:lineRule="auto"/>
        <w:ind w:firstLine="422"/>
        <w:rPr>
          <w:rFonts w:hint="eastAsia" w:ascii="宋体" w:hAnsi="宋体"/>
          <w:b/>
          <w:color w:val="000000"/>
          <w:szCs w:val="21"/>
        </w:rPr>
      </w:pPr>
      <w:r>
        <w:rPr>
          <w:rFonts w:hint="eastAsia" w:ascii="宋体" w:hAnsi="宋体"/>
          <w:b/>
          <w:color w:val="000000"/>
          <w:szCs w:val="21"/>
        </w:rPr>
        <w:t>投标人未就所投分标进行报价或者存在漏项报价；投标人未就所投分标的单项内容作唯一报价；投标人未就所投分标的全部内容作完整唯一总价报价；存在有选择、有条件报价的（招标文件允许有备选方案或者其他约定的除外）；</w:t>
      </w:r>
    </w:p>
    <w:p>
      <w:pPr>
        <w:pStyle w:val="10"/>
        <w:numPr>
          <w:ilvl w:val="0"/>
          <w:numId w:val="30"/>
        </w:numPr>
        <w:spacing w:line="360" w:lineRule="auto"/>
        <w:ind w:firstLine="422"/>
        <w:rPr>
          <w:rFonts w:hint="eastAsia" w:ascii="宋体" w:hAnsi="宋体"/>
          <w:b/>
          <w:color w:val="000000"/>
          <w:szCs w:val="21"/>
        </w:rPr>
      </w:pPr>
      <w:r>
        <w:rPr>
          <w:rFonts w:hint="eastAsia" w:ascii="宋体" w:hAnsi="宋体"/>
          <w:b/>
          <w:color w:val="000000"/>
          <w:szCs w:val="21"/>
        </w:rPr>
        <w:t>修正后的报价，投标人不确认的；</w:t>
      </w:r>
    </w:p>
    <w:p>
      <w:pPr>
        <w:pStyle w:val="10"/>
        <w:numPr>
          <w:ilvl w:val="0"/>
          <w:numId w:val="30"/>
        </w:numPr>
        <w:spacing w:line="360" w:lineRule="auto"/>
        <w:ind w:firstLine="422"/>
        <w:rPr>
          <w:rFonts w:hint="eastAsia" w:ascii="宋体" w:hAnsi="宋体"/>
          <w:b/>
          <w:color w:val="000000"/>
          <w:szCs w:val="21"/>
        </w:rPr>
      </w:pPr>
      <w:r>
        <w:rPr>
          <w:rFonts w:hint="eastAsia" w:ascii="宋体" w:hAnsi="宋体"/>
          <w:b/>
          <w:color w:val="000000"/>
          <w:szCs w:val="21"/>
        </w:rPr>
        <w:t>投标人属于本章第</w:t>
      </w:r>
      <w:r>
        <w:rPr>
          <w:rFonts w:ascii="宋体" w:hAnsi="宋体"/>
          <w:b/>
          <w:color w:val="000000"/>
          <w:szCs w:val="21"/>
        </w:rPr>
        <w:t>5.1</w:t>
      </w:r>
      <w:r>
        <w:rPr>
          <w:rFonts w:hint="eastAsia" w:ascii="宋体" w:hAnsi="宋体"/>
          <w:b/>
          <w:color w:val="000000"/>
          <w:szCs w:val="21"/>
        </w:rPr>
        <w:t>条（2）或者第5</w:t>
      </w:r>
      <w:r>
        <w:rPr>
          <w:rFonts w:ascii="宋体" w:hAnsi="宋体"/>
          <w:b/>
          <w:color w:val="000000"/>
          <w:szCs w:val="21"/>
        </w:rPr>
        <w:t>.2条</w:t>
      </w:r>
      <w:r>
        <w:rPr>
          <w:rFonts w:hint="eastAsia" w:ascii="宋体" w:hAnsi="宋体"/>
          <w:b/>
          <w:color w:val="000000"/>
          <w:szCs w:val="21"/>
        </w:rPr>
        <w:t>（2）项情形的；</w:t>
      </w:r>
    </w:p>
    <w:p>
      <w:pPr>
        <w:pStyle w:val="10"/>
        <w:numPr>
          <w:ilvl w:val="0"/>
          <w:numId w:val="30"/>
        </w:numPr>
        <w:spacing w:line="360" w:lineRule="auto"/>
        <w:ind w:firstLine="422"/>
        <w:rPr>
          <w:rFonts w:hint="eastAsia" w:ascii="宋体" w:hAnsi="宋体"/>
          <w:b/>
          <w:color w:val="000000"/>
          <w:szCs w:val="21"/>
        </w:rPr>
      </w:pPr>
      <w:r>
        <w:rPr>
          <w:rFonts w:hint="eastAsia" w:ascii="宋体" w:hAnsi="宋体"/>
          <w:b/>
          <w:color w:val="000000"/>
          <w:spacing w:val="-6"/>
          <w:szCs w:val="21"/>
        </w:rPr>
        <w:t>报价文件</w:t>
      </w:r>
      <w:r>
        <w:rPr>
          <w:rFonts w:hint="eastAsia" w:ascii="宋体" w:hAnsi="宋体"/>
          <w:b/>
          <w:color w:val="000000"/>
          <w:szCs w:val="21"/>
        </w:rPr>
        <w:t>响应的标的数量及单位与招标文件要求实质性不一致的。</w:t>
      </w:r>
    </w:p>
    <w:p>
      <w:pPr>
        <w:pStyle w:val="9"/>
        <w:keepNext w:val="0"/>
        <w:keepLines w:val="0"/>
        <w:spacing w:before="0" w:after="0" w:line="360" w:lineRule="auto"/>
        <w:ind w:left="420" w:leftChars="200"/>
        <w:rPr>
          <w:rFonts w:hint="eastAsia" w:ascii="宋体" w:hAnsi="宋体"/>
          <w:color w:val="000000"/>
          <w:sz w:val="21"/>
          <w:szCs w:val="21"/>
        </w:rPr>
      </w:pPr>
      <w:r>
        <w:rPr>
          <w:rFonts w:hint="eastAsia" w:ascii="宋体" w:hAnsi="宋体"/>
          <w:color w:val="000000"/>
          <w:sz w:val="21"/>
          <w:szCs w:val="21"/>
        </w:rPr>
        <w:t>2.2在商务评审时，如发现下列情形之一的，将被视为投标无效：</w:t>
      </w:r>
    </w:p>
    <w:p>
      <w:pPr>
        <w:numPr>
          <w:ilvl w:val="0"/>
          <w:numId w:val="31"/>
        </w:numPr>
        <w:snapToGrid w:val="0"/>
        <w:spacing w:line="360" w:lineRule="auto"/>
        <w:ind w:firstLine="422" w:firstLineChars="200"/>
        <w:rPr>
          <w:rFonts w:hint="eastAsia" w:ascii="宋体" w:hAnsi="宋体"/>
          <w:b/>
          <w:color w:val="000000"/>
          <w:szCs w:val="21"/>
        </w:rPr>
      </w:pPr>
      <w:r>
        <w:rPr>
          <w:rFonts w:hint="eastAsia" w:ascii="宋体" w:hAnsi="宋体"/>
          <w:b/>
          <w:color w:val="000000"/>
          <w:szCs w:val="21"/>
        </w:rPr>
        <w:t>投标文件未按招标文件要求签署、盖章的；</w:t>
      </w:r>
    </w:p>
    <w:p>
      <w:pPr>
        <w:numPr>
          <w:ilvl w:val="0"/>
          <w:numId w:val="31"/>
        </w:numPr>
        <w:snapToGrid w:val="0"/>
        <w:spacing w:line="360" w:lineRule="auto"/>
        <w:ind w:firstLine="422" w:firstLineChars="200"/>
        <w:rPr>
          <w:rFonts w:hint="eastAsia" w:ascii="宋体" w:hAnsi="宋体"/>
          <w:b/>
          <w:color w:val="000000"/>
          <w:szCs w:val="21"/>
        </w:rPr>
      </w:pPr>
      <w:r>
        <w:rPr>
          <w:rFonts w:hint="eastAsia" w:ascii="宋体" w:hAnsi="宋体"/>
          <w:b/>
          <w:color w:val="000000"/>
          <w:szCs w:val="21"/>
        </w:rPr>
        <w:t>委托代理人未能出具有效身份证或者出具的身份证与授权委托书中的信息不符的；</w:t>
      </w:r>
    </w:p>
    <w:p>
      <w:pPr>
        <w:numPr>
          <w:ilvl w:val="0"/>
          <w:numId w:val="31"/>
        </w:numPr>
        <w:snapToGrid w:val="0"/>
        <w:spacing w:line="360" w:lineRule="auto"/>
        <w:ind w:firstLine="422" w:firstLineChars="200"/>
        <w:rPr>
          <w:rFonts w:hint="eastAsia" w:ascii="宋体" w:hAnsi="宋体"/>
          <w:b/>
          <w:color w:val="000000"/>
          <w:szCs w:val="21"/>
        </w:rPr>
      </w:pPr>
      <w:r>
        <w:rPr>
          <w:rFonts w:hint="eastAsia" w:ascii="宋体" w:hAnsi="宋体"/>
          <w:b/>
          <w:color w:val="000000"/>
          <w:szCs w:val="21"/>
        </w:rPr>
        <w:t>为无效投标保证金的或者未按照招标文件的规定提交投标保证金的；</w:t>
      </w:r>
    </w:p>
    <w:p>
      <w:pPr>
        <w:numPr>
          <w:ilvl w:val="0"/>
          <w:numId w:val="31"/>
        </w:numPr>
        <w:snapToGrid w:val="0"/>
        <w:spacing w:line="360" w:lineRule="auto"/>
        <w:ind w:firstLine="422" w:firstLineChars="200"/>
        <w:rPr>
          <w:rFonts w:hint="eastAsia" w:ascii="宋体" w:hAnsi="宋体"/>
          <w:b/>
          <w:color w:val="000000"/>
          <w:szCs w:val="21"/>
        </w:rPr>
      </w:pPr>
      <w:r>
        <w:rPr>
          <w:rFonts w:hint="eastAsia" w:ascii="宋体" w:hAnsi="宋体"/>
          <w:b/>
          <w:color w:val="000000"/>
          <w:szCs w:val="21"/>
        </w:rPr>
        <w:t>投标文件未提供“投标人须知前附表”第13.</w:t>
      </w:r>
      <w:r>
        <w:rPr>
          <w:rFonts w:ascii="宋体" w:hAnsi="宋体"/>
          <w:b/>
          <w:color w:val="000000"/>
          <w:szCs w:val="21"/>
        </w:rPr>
        <w:t>1</w:t>
      </w:r>
      <w:r>
        <w:rPr>
          <w:rFonts w:hint="eastAsia" w:ascii="宋体" w:hAnsi="宋体"/>
          <w:b/>
          <w:color w:val="000000"/>
          <w:szCs w:val="21"/>
        </w:rPr>
        <w:t>条规定中“必须提供”或者“委托时必须提供”的文件资料的；</w:t>
      </w:r>
    </w:p>
    <w:p>
      <w:pPr>
        <w:numPr>
          <w:ilvl w:val="0"/>
          <w:numId w:val="31"/>
        </w:numPr>
        <w:snapToGrid w:val="0"/>
        <w:spacing w:line="360" w:lineRule="auto"/>
        <w:ind w:firstLine="422" w:firstLineChars="200"/>
        <w:rPr>
          <w:rFonts w:hint="eastAsia" w:ascii="宋体" w:hAnsi="宋体"/>
          <w:b/>
          <w:color w:val="000000"/>
          <w:szCs w:val="21"/>
        </w:rPr>
      </w:pPr>
      <w:r>
        <w:rPr>
          <w:rFonts w:hint="eastAsia" w:ascii="宋体" w:hAnsi="宋体"/>
          <w:b/>
          <w:color w:val="000000"/>
          <w:szCs w:val="21"/>
        </w:rPr>
        <w:t>商务要求评审允许负偏离的条款数超过“投标人须知前附表”规定项数的；</w:t>
      </w:r>
    </w:p>
    <w:p>
      <w:pPr>
        <w:numPr>
          <w:ilvl w:val="0"/>
          <w:numId w:val="31"/>
        </w:numPr>
        <w:snapToGrid w:val="0"/>
        <w:spacing w:line="360" w:lineRule="auto"/>
        <w:ind w:firstLine="422" w:firstLineChars="200"/>
        <w:rPr>
          <w:rFonts w:hint="eastAsia" w:ascii="宋体" w:hAnsi="宋体"/>
          <w:b/>
          <w:color w:val="000000"/>
          <w:szCs w:val="21"/>
        </w:rPr>
      </w:pPr>
      <w:r>
        <w:rPr>
          <w:rFonts w:hint="eastAsia" w:ascii="宋体" w:hAnsi="宋体"/>
          <w:b/>
          <w:color w:val="000000"/>
          <w:szCs w:val="21"/>
        </w:rPr>
        <w:t>投标文件的实质性内容未使用中文表述、使用计量单位不符合招标文件要求的；</w:t>
      </w:r>
    </w:p>
    <w:p>
      <w:pPr>
        <w:numPr>
          <w:ilvl w:val="0"/>
          <w:numId w:val="31"/>
        </w:numPr>
        <w:snapToGrid w:val="0"/>
        <w:spacing w:line="360" w:lineRule="auto"/>
        <w:ind w:firstLine="422" w:firstLineChars="200"/>
        <w:rPr>
          <w:rFonts w:hint="eastAsia" w:ascii="宋体" w:hAnsi="宋体"/>
          <w:b/>
          <w:color w:val="000000"/>
          <w:szCs w:val="21"/>
        </w:rPr>
      </w:pPr>
      <w:r>
        <w:rPr>
          <w:rFonts w:hint="eastAsia" w:ascii="宋体" w:hAnsi="宋体"/>
          <w:b/>
          <w:color w:val="000000"/>
          <w:szCs w:val="21"/>
        </w:rPr>
        <w:t>投标文件中的文件资料因填写不齐全或者内容虚假或者出现其他情形而导致被评标委员会认定无效的；</w:t>
      </w:r>
    </w:p>
    <w:p>
      <w:pPr>
        <w:numPr>
          <w:ilvl w:val="0"/>
          <w:numId w:val="31"/>
        </w:numPr>
        <w:snapToGrid w:val="0"/>
        <w:spacing w:line="360" w:lineRule="auto"/>
        <w:ind w:firstLine="422" w:firstLineChars="200"/>
        <w:rPr>
          <w:rFonts w:hint="eastAsia" w:ascii="宋体" w:hAnsi="宋体"/>
          <w:b/>
          <w:color w:val="000000"/>
          <w:szCs w:val="21"/>
        </w:rPr>
      </w:pPr>
      <w:r>
        <w:rPr>
          <w:rFonts w:hint="eastAsia" w:ascii="宋体" w:hAnsi="宋体"/>
          <w:b/>
          <w:color w:val="000000"/>
          <w:szCs w:val="21"/>
        </w:rPr>
        <w:t>投标文件含有采购人不能接受的附加条件的；</w:t>
      </w:r>
    </w:p>
    <w:p>
      <w:pPr>
        <w:numPr>
          <w:ilvl w:val="0"/>
          <w:numId w:val="31"/>
        </w:numPr>
        <w:snapToGrid w:val="0"/>
        <w:spacing w:line="360" w:lineRule="auto"/>
        <w:ind w:firstLine="422" w:firstLineChars="200"/>
        <w:rPr>
          <w:rFonts w:hint="eastAsia" w:ascii="宋体" w:hAnsi="宋体"/>
          <w:b/>
          <w:color w:val="000000"/>
          <w:szCs w:val="21"/>
        </w:rPr>
      </w:pPr>
      <w:r>
        <w:rPr>
          <w:rFonts w:hint="eastAsia" w:ascii="宋体" w:hAnsi="宋体"/>
          <w:b/>
          <w:color w:val="000000"/>
          <w:szCs w:val="21"/>
        </w:rPr>
        <w:t>属于投标人须知正文第</w:t>
      </w:r>
      <w:r>
        <w:rPr>
          <w:rFonts w:ascii="宋体" w:hAnsi="宋体"/>
          <w:b/>
          <w:color w:val="000000"/>
          <w:szCs w:val="21"/>
        </w:rPr>
        <w:t>9.2</w:t>
      </w:r>
      <w:r>
        <w:rPr>
          <w:rFonts w:hint="eastAsia" w:ascii="宋体" w:hAnsi="宋体"/>
          <w:b/>
          <w:color w:val="000000"/>
          <w:szCs w:val="21"/>
        </w:rPr>
        <w:t>条情形的；</w:t>
      </w:r>
    </w:p>
    <w:p>
      <w:pPr>
        <w:numPr>
          <w:ilvl w:val="0"/>
          <w:numId w:val="31"/>
        </w:numPr>
        <w:snapToGrid w:val="0"/>
        <w:spacing w:line="360" w:lineRule="auto"/>
        <w:ind w:firstLine="422" w:firstLineChars="200"/>
        <w:rPr>
          <w:rFonts w:ascii="宋体" w:hAnsi="宋体"/>
          <w:b/>
          <w:color w:val="000000"/>
          <w:szCs w:val="21"/>
        </w:rPr>
      </w:pPr>
      <w:r>
        <w:rPr>
          <w:rFonts w:hint="eastAsia" w:ascii="宋体" w:hAnsi="宋体"/>
          <w:b/>
          <w:color w:val="000000"/>
          <w:szCs w:val="21"/>
        </w:rPr>
        <w:t>投标文件标注的项目名称或者项目编号与招标文件标注的项目名称或者项目编号不一致的；</w:t>
      </w:r>
    </w:p>
    <w:p>
      <w:pPr>
        <w:numPr>
          <w:ilvl w:val="0"/>
          <w:numId w:val="31"/>
        </w:numPr>
        <w:snapToGrid w:val="0"/>
        <w:spacing w:line="360" w:lineRule="auto"/>
        <w:ind w:firstLine="422" w:firstLineChars="200"/>
        <w:rPr>
          <w:rFonts w:hint="eastAsia" w:ascii="宋体" w:hAnsi="宋体"/>
          <w:b/>
          <w:color w:val="000000"/>
          <w:szCs w:val="21"/>
        </w:rPr>
      </w:pPr>
      <w:r>
        <w:rPr>
          <w:rFonts w:hint="eastAsia" w:ascii="宋体" w:hAnsi="宋体"/>
          <w:b/>
          <w:color w:val="000000"/>
          <w:szCs w:val="21"/>
        </w:rPr>
        <w:t>招标文件明确不允许分包，投标文件拟分包的；</w:t>
      </w:r>
    </w:p>
    <w:p>
      <w:pPr>
        <w:numPr>
          <w:ilvl w:val="0"/>
          <w:numId w:val="31"/>
        </w:numPr>
        <w:snapToGrid w:val="0"/>
        <w:spacing w:line="360" w:lineRule="auto"/>
        <w:ind w:firstLine="422" w:firstLineChars="200"/>
        <w:rPr>
          <w:rFonts w:hint="eastAsia" w:ascii="宋体" w:hAnsi="宋体"/>
          <w:b/>
          <w:color w:val="000000"/>
          <w:szCs w:val="21"/>
        </w:rPr>
      </w:pPr>
      <w:r>
        <w:rPr>
          <w:rFonts w:hint="eastAsia" w:ascii="宋体" w:hAnsi="宋体"/>
          <w:b/>
          <w:color w:val="000000"/>
          <w:szCs w:val="21"/>
        </w:rPr>
        <w:t>未响应招标文件实质性要求的；</w:t>
      </w:r>
    </w:p>
    <w:p>
      <w:pPr>
        <w:numPr>
          <w:ilvl w:val="0"/>
          <w:numId w:val="31"/>
        </w:numPr>
        <w:snapToGrid w:val="0"/>
        <w:spacing w:line="360" w:lineRule="auto"/>
        <w:ind w:firstLine="422" w:firstLineChars="200"/>
        <w:rPr>
          <w:rFonts w:hint="eastAsia" w:ascii="宋体" w:hAnsi="宋体"/>
          <w:b/>
          <w:color w:val="000000"/>
          <w:szCs w:val="21"/>
        </w:rPr>
      </w:pPr>
      <w:r>
        <w:rPr>
          <w:rFonts w:hint="eastAsia" w:ascii="宋体" w:hAnsi="宋体"/>
          <w:b/>
          <w:color w:val="000000"/>
          <w:szCs w:val="21"/>
        </w:rPr>
        <w:t>法律、法规和招标文件规定的其他无效情形。</w:t>
      </w:r>
    </w:p>
    <w:p>
      <w:pPr>
        <w:pStyle w:val="9"/>
        <w:keepNext w:val="0"/>
        <w:keepLines w:val="0"/>
        <w:spacing w:before="0" w:after="0" w:line="360" w:lineRule="auto"/>
        <w:ind w:left="420" w:leftChars="200"/>
        <w:rPr>
          <w:rFonts w:hint="eastAsia" w:ascii="宋体" w:hAnsi="宋体"/>
          <w:color w:val="000000"/>
          <w:sz w:val="21"/>
          <w:szCs w:val="21"/>
        </w:rPr>
      </w:pPr>
      <w:r>
        <w:rPr>
          <w:rFonts w:hint="eastAsia" w:ascii="宋体" w:hAnsi="宋体"/>
          <w:color w:val="000000"/>
          <w:sz w:val="21"/>
          <w:szCs w:val="21"/>
        </w:rPr>
        <w:t>2.3在技术评审时，如发现下列情形之一的，将被视为投标无效：</w:t>
      </w:r>
    </w:p>
    <w:p>
      <w:pPr>
        <w:pStyle w:val="4"/>
        <w:snapToGrid w:val="0"/>
        <w:spacing w:line="360" w:lineRule="auto"/>
        <w:ind w:firstLine="413" w:firstLineChars="196"/>
        <w:rPr>
          <w:rFonts w:hint="eastAsia" w:ascii="宋体" w:hAnsi="宋体" w:eastAsia="宋体"/>
          <w:b/>
          <w:color w:val="000000"/>
          <w:kern w:val="2"/>
          <w:sz w:val="21"/>
          <w:szCs w:val="21"/>
        </w:rPr>
      </w:pPr>
      <w:r>
        <w:rPr>
          <w:rFonts w:hint="eastAsia" w:ascii="宋体" w:hAnsi="宋体" w:eastAsia="宋体"/>
          <w:b/>
          <w:color w:val="000000"/>
          <w:kern w:val="2"/>
          <w:sz w:val="21"/>
          <w:szCs w:val="21"/>
        </w:rPr>
        <w:t>（1）技术要求评审允许负偏离的条款数超过“投标人须知前附表”规定项数的；</w:t>
      </w:r>
    </w:p>
    <w:p>
      <w:pPr>
        <w:pStyle w:val="4"/>
        <w:snapToGrid w:val="0"/>
        <w:spacing w:line="360" w:lineRule="auto"/>
        <w:ind w:firstLine="413" w:firstLineChars="196"/>
        <w:rPr>
          <w:rFonts w:hint="eastAsia" w:ascii="宋体" w:hAnsi="宋体" w:eastAsia="宋体"/>
          <w:b/>
          <w:color w:val="000000"/>
          <w:kern w:val="2"/>
          <w:sz w:val="21"/>
          <w:szCs w:val="21"/>
        </w:rPr>
      </w:pPr>
      <w:r>
        <w:rPr>
          <w:rFonts w:hint="eastAsia" w:ascii="宋体" w:hAnsi="宋体" w:eastAsia="宋体"/>
          <w:b/>
          <w:color w:val="000000"/>
          <w:kern w:val="2"/>
          <w:sz w:val="21"/>
          <w:szCs w:val="21"/>
        </w:rPr>
        <w:t>（2）投标文件未提供“投标人须知前附表”第13.</w:t>
      </w:r>
      <w:r>
        <w:rPr>
          <w:rFonts w:ascii="宋体" w:hAnsi="宋体" w:eastAsia="宋体"/>
          <w:b/>
          <w:color w:val="000000"/>
          <w:kern w:val="2"/>
          <w:sz w:val="21"/>
          <w:szCs w:val="21"/>
        </w:rPr>
        <w:t>1</w:t>
      </w:r>
      <w:r>
        <w:rPr>
          <w:rFonts w:hint="eastAsia" w:ascii="宋体" w:hAnsi="宋体" w:eastAsia="宋体"/>
          <w:b/>
          <w:color w:val="000000"/>
          <w:kern w:val="2"/>
          <w:sz w:val="21"/>
          <w:szCs w:val="21"/>
        </w:rPr>
        <w:t>条规定中“必须提供”的文件资料的；</w:t>
      </w:r>
    </w:p>
    <w:p>
      <w:pPr>
        <w:pStyle w:val="4"/>
        <w:snapToGrid w:val="0"/>
        <w:spacing w:line="360" w:lineRule="auto"/>
        <w:ind w:firstLine="413" w:firstLineChars="196"/>
        <w:rPr>
          <w:rFonts w:hint="eastAsia" w:ascii="宋体" w:hAnsi="宋体" w:eastAsia="宋体"/>
          <w:b/>
          <w:color w:val="000000"/>
          <w:kern w:val="2"/>
          <w:sz w:val="21"/>
          <w:szCs w:val="21"/>
        </w:rPr>
      </w:pPr>
      <w:r>
        <w:rPr>
          <w:rFonts w:hint="eastAsia" w:ascii="宋体" w:hAnsi="宋体" w:eastAsia="宋体"/>
          <w:b/>
          <w:color w:val="000000"/>
          <w:kern w:val="2"/>
          <w:sz w:val="21"/>
          <w:szCs w:val="21"/>
        </w:rPr>
        <w:t>（3）虚假投标，或者出现其他情形而导致被评标委员会认定无效的；</w:t>
      </w:r>
    </w:p>
    <w:p>
      <w:pPr>
        <w:pStyle w:val="4"/>
        <w:snapToGrid w:val="0"/>
        <w:spacing w:line="360" w:lineRule="auto"/>
        <w:ind w:firstLine="413" w:firstLineChars="196"/>
        <w:rPr>
          <w:rFonts w:ascii="宋体" w:hAnsi="宋体" w:eastAsia="宋体"/>
          <w:b/>
          <w:color w:val="000000"/>
          <w:kern w:val="2"/>
          <w:sz w:val="21"/>
          <w:szCs w:val="21"/>
        </w:rPr>
      </w:pPr>
      <w:r>
        <w:rPr>
          <w:rFonts w:hint="eastAsia" w:ascii="宋体" w:hAnsi="宋体" w:eastAsia="宋体"/>
          <w:b/>
          <w:color w:val="000000"/>
          <w:kern w:val="2"/>
          <w:sz w:val="21"/>
          <w:szCs w:val="21"/>
        </w:rPr>
        <w:t>（4）</w:t>
      </w:r>
      <w:bookmarkStart w:id="142" w:name="_Hlk71706244"/>
      <w:r>
        <w:rPr>
          <w:rFonts w:hint="eastAsia" w:ascii="宋体" w:hAnsi="宋体" w:eastAsia="宋体"/>
          <w:b/>
          <w:color w:val="000000"/>
          <w:kern w:val="2"/>
          <w:sz w:val="21"/>
          <w:szCs w:val="21"/>
        </w:rPr>
        <w:t>招标文件未载明允许提供备选（替代）投标方案或明确不允许提供备选（替代）投标方案时，投标人提供了备选（替代）投标方案的；</w:t>
      </w:r>
      <w:bookmarkEnd w:id="142"/>
    </w:p>
    <w:p>
      <w:pPr>
        <w:pStyle w:val="4"/>
        <w:snapToGrid w:val="0"/>
        <w:spacing w:line="360" w:lineRule="auto"/>
        <w:ind w:firstLine="413" w:firstLineChars="196"/>
        <w:rPr>
          <w:rFonts w:hint="eastAsia" w:ascii="宋体" w:hAnsi="宋体" w:eastAsia="宋体"/>
          <w:b/>
          <w:color w:val="000000"/>
          <w:kern w:val="2"/>
          <w:sz w:val="21"/>
          <w:szCs w:val="21"/>
        </w:rPr>
      </w:pPr>
      <w:r>
        <w:rPr>
          <w:rFonts w:hint="eastAsia" w:ascii="宋体" w:hAnsi="宋体" w:eastAsia="宋体"/>
          <w:b/>
          <w:color w:val="000000"/>
          <w:kern w:val="2"/>
          <w:sz w:val="21"/>
          <w:szCs w:val="21"/>
        </w:rPr>
        <w:t>（5）未响应招标文件实质性要求的。</w:t>
      </w:r>
    </w:p>
    <w:p>
      <w:pPr>
        <w:pStyle w:val="9"/>
        <w:keepNext w:val="0"/>
        <w:keepLines w:val="0"/>
        <w:spacing w:before="0" w:after="0" w:line="360" w:lineRule="auto"/>
        <w:ind w:left="420" w:leftChars="200"/>
        <w:rPr>
          <w:rFonts w:hint="eastAsia" w:ascii="宋体" w:hAnsi="宋体"/>
          <w:color w:val="000000"/>
          <w:sz w:val="21"/>
          <w:szCs w:val="21"/>
        </w:rPr>
      </w:pPr>
      <w:r>
        <w:rPr>
          <w:rFonts w:hint="eastAsia" w:ascii="宋体" w:hAnsi="宋体"/>
          <w:color w:val="000000"/>
          <w:sz w:val="21"/>
          <w:szCs w:val="21"/>
        </w:rPr>
        <w:t>3</w:t>
      </w:r>
      <w:r>
        <w:rPr>
          <w:rFonts w:ascii="宋体" w:hAnsi="宋体"/>
          <w:color w:val="000000"/>
          <w:sz w:val="21"/>
          <w:szCs w:val="21"/>
        </w:rPr>
        <w:t>.</w:t>
      </w:r>
      <w:r>
        <w:rPr>
          <w:rFonts w:hint="eastAsia" w:ascii="宋体" w:hAnsi="宋体"/>
          <w:color w:val="000000"/>
          <w:sz w:val="21"/>
          <w:szCs w:val="21"/>
        </w:rPr>
        <w:t>澄清补正</w:t>
      </w:r>
    </w:p>
    <w:p>
      <w:pPr>
        <w:spacing w:line="360" w:lineRule="auto"/>
        <w:ind w:firstLine="420" w:firstLineChars="200"/>
        <w:rPr>
          <w:rFonts w:hint="eastAsia" w:ascii="宋体" w:hAnsi="宋体" w:cs="Courier New"/>
          <w:b/>
          <w:color w:val="000000"/>
          <w:szCs w:val="21"/>
        </w:rPr>
      </w:pPr>
      <w:r>
        <w:rPr>
          <w:rFonts w:hint="eastAsia" w:ascii="宋体" w:hAnsi="宋体" w:cs="Courier New"/>
          <w:color w:val="000000"/>
          <w:szCs w:val="21"/>
        </w:rPr>
        <w:t>对投标文件中含义不明确、同类问题表述不一致或者有明显文字和计算错误的内容，评标委员会应在“政采云”平台发布电子澄清函，要求投标人在规定时间内作出必要的澄清、说明或者补正。投标人在“政采云”平台接收到电子澄清函后根据澄清函内容上传PDF格式回函，电子澄清答复函使用CA证书加盖单位公章后在线上传至评标委员会。投标人的澄清、说明或者补正不得超出投标文件的范围或者改变投标文件的实质性内容。</w:t>
      </w:r>
    </w:p>
    <w:p>
      <w:pPr>
        <w:spacing w:line="360" w:lineRule="auto"/>
        <w:ind w:firstLine="420" w:firstLineChars="200"/>
        <w:rPr>
          <w:rFonts w:hint="eastAsia" w:ascii="宋体" w:hAnsi="宋体" w:cs="Courier New"/>
          <w:color w:val="000000"/>
          <w:szCs w:val="21"/>
        </w:rPr>
      </w:pPr>
      <w:r>
        <w:rPr>
          <w:rFonts w:hint="eastAsia" w:ascii="宋体" w:hAnsi="宋体" w:cs="Courier New"/>
          <w:color w:val="000000"/>
          <w:szCs w:val="21"/>
        </w:rPr>
        <w:t>异常情况处理：如遇无法正常使用线上发送澄清函的情况，将启动书面形式办理。启动书面形式办理的情况下，评标委员会以书面形式要求投标人在规定时间内作出必要的澄清、说明或者补正。投标人的澄清、说明或者补正必须采用书面形式，并加盖公章，或者由法定代表人或者其授权的代表签字。</w:t>
      </w:r>
    </w:p>
    <w:p>
      <w:pPr>
        <w:spacing w:line="360" w:lineRule="auto"/>
        <w:ind w:firstLine="420" w:firstLineChars="200"/>
        <w:rPr>
          <w:rFonts w:hint="eastAsia" w:ascii="宋体" w:hAnsi="宋体" w:cs="Courier New"/>
          <w:color w:val="000000"/>
          <w:szCs w:val="21"/>
        </w:rPr>
      </w:pPr>
      <w:r>
        <w:rPr>
          <w:rFonts w:hint="eastAsia" w:ascii="宋体" w:hAnsi="宋体" w:cs="Courier New"/>
          <w:color w:val="000000"/>
          <w:szCs w:val="21"/>
        </w:rPr>
        <w:t>未按评标委员会的要求作出明确澄清、说明或者更正的投标人的投标文件将按照有利于采购人的原则由评标委员会进行判定。</w:t>
      </w:r>
    </w:p>
    <w:p>
      <w:pPr>
        <w:pStyle w:val="9"/>
        <w:keepNext w:val="0"/>
        <w:keepLines w:val="0"/>
        <w:spacing w:before="0" w:after="0" w:line="360" w:lineRule="auto"/>
        <w:ind w:left="420" w:leftChars="200"/>
        <w:rPr>
          <w:rFonts w:hint="eastAsia" w:ascii="宋体" w:hAnsi="宋体"/>
          <w:color w:val="000000"/>
          <w:sz w:val="21"/>
          <w:szCs w:val="21"/>
        </w:rPr>
      </w:pPr>
      <w:r>
        <w:rPr>
          <w:rFonts w:ascii="宋体" w:hAnsi="宋体"/>
          <w:color w:val="000000"/>
          <w:sz w:val="21"/>
          <w:szCs w:val="21"/>
        </w:rPr>
        <w:t>4.</w:t>
      </w:r>
      <w:r>
        <w:rPr>
          <w:rFonts w:hint="eastAsia" w:ascii="宋体" w:hAnsi="宋体"/>
          <w:color w:val="000000"/>
          <w:sz w:val="21"/>
          <w:szCs w:val="21"/>
        </w:rPr>
        <w:t>投标文件修正</w:t>
      </w:r>
    </w:p>
    <w:p>
      <w:pPr>
        <w:pStyle w:val="9"/>
        <w:keepNext w:val="0"/>
        <w:keepLines w:val="0"/>
        <w:spacing w:before="0" w:after="0" w:line="360" w:lineRule="auto"/>
        <w:ind w:left="420" w:leftChars="200"/>
        <w:rPr>
          <w:rFonts w:hint="eastAsia" w:ascii="宋体" w:hAnsi="宋体"/>
          <w:b w:val="0"/>
          <w:color w:val="000000"/>
          <w:sz w:val="21"/>
          <w:szCs w:val="21"/>
        </w:rPr>
      </w:pPr>
      <w:r>
        <w:rPr>
          <w:rFonts w:ascii="宋体" w:hAnsi="宋体"/>
          <w:b w:val="0"/>
          <w:color w:val="000000"/>
          <w:sz w:val="21"/>
          <w:szCs w:val="21"/>
        </w:rPr>
        <w:t>4</w:t>
      </w:r>
      <w:r>
        <w:rPr>
          <w:rFonts w:hint="eastAsia" w:ascii="宋体" w:hAnsi="宋体"/>
          <w:b w:val="0"/>
          <w:color w:val="000000"/>
          <w:sz w:val="21"/>
          <w:szCs w:val="21"/>
        </w:rPr>
        <w:t xml:space="preserve">.1投标文件报价出现前后不一致的，按照下列规定修正： </w:t>
      </w:r>
    </w:p>
    <w:p>
      <w:pPr>
        <w:pStyle w:val="15"/>
        <w:snapToGrid w:val="0"/>
        <w:spacing w:line="360" w:lineRule="auto"/>
        <w:ind w:firstLine="420" w:firstLineChars="200"/>
        <w:rPr>
          <w:rFonts w:hAnsi="宋体"/>
          <w:color w:val="000000"/>
          <w:sz w:val="21"/>
        </w:rPr>
      </w:pPr>
      <w:r>
        <w:rPr>
          <w:rFonts w:hint="eastAsia" w:hAnsi="宋体"/>
          <w:color w:val="000000"/>
          <w:sz w:val="21"/>
        </w:rPr>
        <w:t>（1）投标文件中开标一览表（报价表）内容与投标文件中相应内容不一致的，以开标一览表（报价表）为准；</w:t>
      </w:r>
    </w:p>
    <w:p>
      <w:pPr>
        <w:pStyle w:val="15"/>
        <w:snapToGrid w:val="0"/>
        <w:spacing w:line="360" w:lineRule="auto"/>
        <w:ind w:firstLine="420" w:firstLineChars="200"/>
        <w:rPr>
          <w:rFonts w:hAnsi="宋体"/>
          <w:color w:val="000000"/>
          <w:sz w:val="21"/>
        </w:rPr>
      </w:pPr>
      <w:r>
        <w:rPr>
          <w:rFonts w:hint="eastAsia" w:hAnsi="宋体"/>
          <w:color w:val="000000"/>
          <w:sz w:val="21"/>
        </w:rPr>
        <w:t>（2）大写金额和小写金额不一致的，以大写金额为准；</w:t>
      </w:r>
    </w:p>
    <w:p>
      <w:pPr>
        <w:pStyle w:val="15"/>
        <w:snapToGrid w:val="0"/>
        <w:spacing w:line="360" w:lineRule="auto"/>
        <w:ind w:firstLine="420" w:firstLineChars="200"/>
        <w:rPr>
          <w:rFonts w:hAnsi="宋体"/>
          <w:color w:val="000000"/>
          <w:sz w:val="21"/>
        </w:rPr>
      </w:pPr>
      <w:r>
        <w:rPr>
          <w:rFonts w:hint="eastAsia" w:hAnsi="宋体"/>
          <w:color w:val="000000"/>
          <w:sz w:val="21"/>
        </w:rPr>
        <w:t>（3）单价金额小数点或者百分比有明显错位的，以开标一览表的总价为准，并修改单价；</w:t>
      </w:r>
    </w:p>
    <w:p>
      <w:pPr>
        <w:pStyle w:val="15"/>
        <w:snapToGrid w:val="0"/>
        <w:spacing w:line="360" w:lineRule="auto"/>
        <w:ind w:firstLine="420" w:firstLineChars="200"/>
        <w:rPr>
          <w:rFonts w:hAnsi="宋体"/>
          <w:color w:val="000000"/>
          <w:sz w:val="21"/>
        </w:rPr>
      </w:pPr>
      <w:r>
        <w:rPr>
          <w:rFonts w:hint="eastAsia" w:hAnsi="宋体"/>
          <w:color w:val="000000"/>
          <w:sz w:val="21"/>
        </w:rPr>
        <w:t>（4）总价金额与按单价汇总金额不一致的，以单价金额计算结果为准。</w:t>
      </w:r>
    </w:p>
    <w:p>
      <w:pPr>
        <w:pStyle w:val="15"/>
        <w:snapToGrid w:val="0"/>
        <w:spacing w:line="360" w:lineRule="auto"/>
        <w:ind w:firstLine="420" w:firstLineChars="200"/>
        <w:rPr>
          <w:rFonts w:hint="eastAsia" w:hAnsi="宋体"/>
          <w:color w:val="000000"/>
          <w:sz w:val="21"/>
        </w:rPr>
      </w:pPr>
      <w:r>
        <w:rPr>
          <w:rFonts w:hint="eastAsia" w:hAnsi="宋体"/>
          <w:color w:val="000000"/>
          <w:sz w:val="21"/>
        </w:rPr>
        <w:t>同时出现两种以上不一致的，按照以上（1）-（4）规定的顺序修正。修正后的报价经投标人确认后产生约束力，投标人不确认的，</w:t>
      </w:r>
      <w:r>
        <w:rPr>
          <w:rFonts w:hint="eastAsia" w:hAnsi="宋体"/>
          <w:b/>
          <w:color w:val="000000"/>
          <w:kern w:val="2"/>
          <w:sz w:val="21"/>
        </w:rPr>
        <w:t>其投标无效</w:t>
      </w:r>
      <w:r>
        <w:rPr>
          <w:rFonts w:hint="eastAsia" w:hAnsi="宋体"/>
          <w:color w:val="000000"/>
          <w:sz w:val="21"/>
        </w:rPr>
        <w:t>。</w:t>
      </w:r>
    </w:p>
    <w:p>
      <w:pPr>
        <w:pStyle w:val="9"/>
        <w:keepNext w:val="0"/>
        <w:keepLines w:val="0"/>
        <w:spacing w:before="0" w:after="0" w:line="360" w:lineRule="auto"/>
        <w:rPr>
          <w:rFonts w:hint="eastAsia" w:ascii="宋体" w:hAnsi="宋体"/>
          <w:b w:val="0"/>
          <w:color w:val="000000"/>
          <w:sz w:val="21"/>
          <w:szCs w:val="21"/>
        </w:rPr>
      </w:pPr>
      <w:r>
        <w:rPr>
          <w:rFonts w:ascii="宋体" w:hAnsi="宋体"/>
          <w:b w:val="0"/>
          <w:color w:val="000000"/>
          <w:sz w:val="21"/>
          <w:szCs w:val="21"/>
        </w:rPr>
        <w:t xml:space="preserve">    4</w:t>
      </w:r>
      <w:r>
        <w:rPr>
          <w:rFonts w:hint="eastAsia" w:ascii="宋体" w:hAnsi="宋体"/>
          <w:b w:val="0"/>
          <w:color w:val="000000"/>
          <w:sz w:val="21"/>
          <w:szCs w:val="21"/>
        </w:rPr>
        <w:t>.2经投标人确认修正后的报价若超过采购预算金额或者最高限价，</w:t>
      </w:r>
      <w:r>
        <w:rPr>
          <w:rFonts w:hint="eastAsia" w:ascii="宋体" w:hAnsi="宋体"/>
          <w:color w:val="000000"/>
          <w:sz w:val="21"/>
          <w:szCs w:val="21"/>
        </w:rPr>
        <w:t>投标人的投标文件作无效投标处理</w:t>
      </w:r>
      <w:r>
        <w:rPr>
          <w:rFonts w:hint="eastAsia" w:ascii="宋体" w:hAnsi="宋体"/>
          <w:b w:val="0"/>
          <w:color w:val="000000"/>
          <w:sz w:val="21"/>
          <w:szCs w:val="21"/>
        </w:rPr>
        <w:t>。</w:t>
      </w:r>
    </w:p>
    <w:p>
      <w:pPr>
        <w:snapToGrid w:val="0"/>
        <w:spacing w:line="360" w:lineRule="auto"/>
        <w:ind w:firstLine="420" w:firstLineChars="200"/>
        <w:rPr>
          <w:rFonts w:hint="eastAsia" w:ascii="宋体" w:hAnsi="宋体"/>
          <w:color w:val="000000"/>
          <w:szCs w:val="21"/>
        </w:rPr>
      </w:pPr>
      <w:r>
        <w:rPr>
          <w:rFonts w:ascii="宋体" w:hAnsi="宋体"/>
          <w:color w:val="000000"/>
          <w:szCs w:val="21"/>
        </w:rPr>
        <w:t>4</w:t>
      </w:r>
      <w:r>
        <w:rPr>
          <w:rFonts w:hint="eastAsia" w:ascii="宋体" w:hAnsi="宋体"/>
          <w:color w:val="000000"/>
          <w:szCs w:val="21"/>
        </w:rPr>
        <w:t>.3经投标人确认修正后的报价作为签订合同的依据，并以此报价计算价格分。</w:t>
      </w:r>
    </w:p>
    <w:p>
      <w:pPr>
        <w:pStyle w:val="9"/>
        <w:keepNext w:val="0"/>
        <w:keepLines w:val="0"/>
        <w:spacing w:before="0" w:after="0" w:line="360" w:lineRule="auto"/>
        <w:ind w:left="420" w:leftChars="200"/>
        <w:rPr>
          <w:rFonts w:hint="eastAsia" w:ascii="宋体" w:hAnsi="宋体"/>
          <w:color w:val="000000"/>
          <w:sz w:val="21"/>
          <w:szCs w:val="21"/>
        </w:rPr>
      </w:pPr>
      <w:r>
        <w:rPr>
          <w:rFonts w:ascii="宋体" w:hAnsi="宋体"/>
          <w:color w:val="000000"/>
          <w:sz w:val="21"/>
          <w:szCs w:val="21"/>
        </w:rPr>
        <w:t>5.</w:t>
      </w:r>
      <w:r>
        <w:rPr>
          <w:rFonts w:hint="eastAsia" w:ascii="宋体" w:hAnsi="宋体"/>
          <w:color w:val="000000"/>
          <w:sz w:val="21"/>
          <w:szCs w:val="21"/>
        </w:rPr>
        <w:t>比较与评价</w:t>
      </w:r>
    </w:p>
    <w:p>
      <w:pPr>
        <w:snapToGrid w:val="0"/>
        <w:spacing w:line="360" w:lineRule="auto"/>
        <w:ind w:firstLine="420" w:firstLineChars="200"/>
        <w:rPr>
          <w:rFonts w:hint="eastAsia" w:ascii="宋体" w:hAnsi="宋体"/>
          <w:color w:val="000000"/>
          <w:szCs w:val="21"/>
        </w:rPr>
      </w:pPr>
      <w:r>
        <w:rPr>
          <w:rFonts w:hint="eastAsia" w:ascii="宋体" w:hAnsi="宋体"/>
          <w:color w:val="000000"/>
          <w:szCs w:val="21"/>
        </w:rPr>
        <w:t>5.1采用综合评分法的</w:t>
      </w:r>
    </w:p>
    <w:p>
      <w:pPr>
        <w:snapToGrid w:val="0"/>
        <w:spacing w:line="360" w:lineRule="auto"/>
        <w:ind w:firstLine="420" w:firstLineChars="200"/>
        <w:rPr>
          <w:rFonts w:hint="eastAsia" w:ascii="宋体" w:hAnsi="宋体"/>
          <w:color w:val="000000"/>
          <w:szCs w:val="21"/>
        </w:rPr>
      </w:pPr>
      <w:r>
        <w:rPr>
          <w:rFonts w:hint="eastAsia" w:ascii="宋体" w:hAnsi="宋体"/>
          <w:color w:val="000000"/>
          <w:szCs w:val="21"/>
        </w:rPr>
        <w:t>（1）评标委员会按照招标文件中规定的评标方法及评标标准，对符合性审查合格的投标文件进行商务和技术评估，综合比较与评价。</w:t>
      </w:r>
    </w:p>
    <w:p>
      <w:pPr>
        <w:snapToGrid w:val="0"/>
        <w:spacing w:line="360" w:lineRule="auto"/>
        <w:ind w:firstLine="420" w:firstLineChars="200"/>
        <w:rPr>
          <w:rFonts w:hint="eastAsia" w:ascii="宋体" w:hAnsi="宋体"/>
          <w:color w:val="000000"/>
          <w:szCs w:val="21"/>
        </w:rPr>
      </w:pPr>
      <w:r>
        <w:rPr>
          <w:rFonts w:hint="eastAsia" w:ascii="宋体" w:hAnsi="宋体"/>
          <w:color w:val="000000"/>
          <w:szCs w:val="21"/>
        </w:rPr>
        <w:t>（2）评标委员会独立对每个投标人的投标文件进行评价，并汇总每个投标人的得分。</w:t>
      </w:r>
    </w:p>
    <w:p>
      <w:pPr>
        <w:snapToGrid w:val="0"/>
        <w:spacing w:line="360" w:lineRule="auto"/>
        <w:ind w:firstLine="420" w:firstLineChars="200"/>
        <w:rPr>
          <w:rFonts w:hint="eastAsia" w:ascii="宋体" w:hAnsi="宋体"/>
          <w:color w:val="000000"/>
          <w:szCs w:val="21"/>
        </w:rPr>
      </w:pPr>
      <w:r>
        <w:rPr>
          <w:rFonts w:hint="eastAsia" w:ascii="宋体" w:hAnsi="宋体"/>
          <w:color w:val="000000"/>
          <w:szCs w:val="21"/>
        </w:rPr>
        <w:t>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ascii="宋体" w:hAnsi="宋体"/>
          <w:b/>
          <w:color w:val="000000"/>
          <w:szCs w:val="21"/>
        </w:rPr>
        <w:t>投标人不能证明其报价合理性的，评标委员会将其作为无效投标处理</w:t>
      </w:r>
      <w:r>
        <w:rPr>
          <w:rFonts w:hint="eastAsia" w:ascii="宋体" w:hAnsi="宋体"/>
          <w:color w:val="000000"/>
          <w:szCs w:val="21"/>
        </w:rPr>
        <w:t>。</w:t>
      </w:r>
    </w:p>
    <w:p>
      <w:pPr>
        <w:snapToGrid w:val="0"/>
        <w:spacing w:line="360" w:lineRule="auto"/>
        <w:ind w:firstLine="420" w:firstLineChars="200"/>
        <w:rPr>
          <w:rFonts w:hint="eastAsia" w:ascii="宋体" w:hAnsi="宋体"/>
          <w:color w:val="000000"/>
          <w:szCs w:val="21"/>
        </w:rPr>
      </w:pPr>
      <w:r>
        <w:rPr>
          <w:rFonts w:hint="eastAsia" w:ascii="宋体" w:hAnsi="宋体"/>
          <w:color w:val="000000"/>
          <w:szCs w:val="21"/>
        </w:rPr>
        <w:t>（3）评标委员会按照招标文件中规定的评标方法和标准计算各投标人的报价得分。在计算过程中，不得去掉最高报价或者最低报价。</w:t>
      </w:r>
    </w:p>
    <w:p>
      <w:pPr>
        <w:snapToGrid w:val="0"/>
        <w:spacing w:line="360" w:lineRule="auto"/>
        <w:ind w:firstLine="420" w:firstLineChars="200"/>
        <w:rPr>
          <w:rFonts w:hint="eastAsia" w:ascii="宋体" w:hAnsi="宋体"/>
          <w:color w:val="000000"/>
          <w:szCs w:val="21"/>
        </w:rPr>
      </w:pPr>
      <w:r>
        <w:rPr>
          <w:rFonts w:hint="eastAsia" w:ascii="宋体" w:hAnsi="宋体"/>
          <w:color w:val="000000"/>
          <w:szCs w:val="21"/>
        </w:rPr>
        <w:t>（4）各投标人的得分为所有评委的有效评分的算术平均数。</w:t>
      </w:r>
    </w:p>
    <w:p>
      <w:pPr>
        <w:snapToGrid w:val="0"/>
        <w:spacing w:line="360" w:lineRule="auto"/>
        <w:ind w:firstLine="420" w:firstLineChars="200"/>
        <w:rPr>
          <w:rFonts w:hint="eastAsia" w:ascii="宋体" w:hAnsi="宋体"/>
          <w:color w:val="000000"/>
          <w:szCs w:val="21"/>
        </w:rPr>
      </w:pPr>
      <w:r>
        <w:rPr>
          <w:rFonts w:hint="eastAsia" w:ascii="宋体" w:hAnsi="宋体"/>
          <w:color w:val="000000"/>
          <w:szCs w:val="21"/>
        </w:rPr>
        <w:t>（5）评标委员会按照招标文件中的规定推荐中标候选人。</w:t>
      </w:r>
    </w:p>
    <w:p>
      <w:pPr>
        <w:snapToGrid w:val="0"/>
        <w:spacing w:line="360" w:lineRule="auto"/>
        <w:ind w:firstLine="420" w:firstLineChars="200"/>
        <w:rPr>
          <w:rFonts w:hint="eastAsia" w:ascii="宋体" w:hAnsi="宋体"/>
          <w:color w:val="000000"/>
          <w:szCs w:val="21"/>
        </w:rPr>
      </w:pPr>
      <w:r>
        <w:rPr>
          <w:rFonts w:hint="eastAsia" w:ascii="宋体" w:hAnsi="宋体"/>
          <w:color w:val="000000"/>
          <w:szCs w:val="21"/>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成员应当在评标报告上签署不同意见及理由，否则视为同意评标报告。</w:t>
      </w:r>
    </w:p>
    <w:p>
      <w:pPr>
        <w:snapToGrid w:val="0"/>
        <w:spacing w:line="360" w:lineRule="auto"/>
        <w:ind w:firstLine="420" w:firstLineChars="200"/>
        <w:rPr>
          <w:rFonts w:hint="eastAsia" w:ascii="宋体" w:hAnsi="宋体"/>
          <w:color w:val="000000"/>
          <w:szCs w:val="21"/>
        </w:rPr>
      </w:pPr>
      <w:r>
        <w:rPr>
          <w:rFonts w:hint="eastAsia" w:ascii="宋体" w:hAnsi="宋体"/>
          <w:color w:val="000000"/>
          <w:szCs w:val="21"/>
        </w:rPr>
        <w:t>5.2采用</w:t>
      </w:r>
      <w:r>
        <w:rPr>
          <w:rFonts w:hint="eastAsia" w:hAnsi="宋体"/>
          <w:color w:val="000000"/>
        </w:rPr>
        <w:t>最低评标价法</w:t>
      </w:r>
      <w:r>
        <w:rPr>
          <w:rFonts w:hint="eastAsia" w:ascii="宋体" w:hAnsi="宋体"/>
          <w:color w:val="000000"/>
          <w:szCs w:val="21"/>
        </w:rPr>
        <w:t>的</w:t>
      </w:r>
    </w:p>
    <w:p>
      <w:pPr>
        <w:snapToGrid w:val="0"/>
        <w:spacing w:line="360" w:lineRule="auto"/>
        <w:ind w:firstLine="424" w:firstLineChars="202"/>
        <w:jc w:val="left"/>
        <w:rPr>
          <w:rFonts w:hint="eastAsia" w:ascii="宋体" w:hAnsi="宋体"/>
          <w:color w:val="000000"/>
          <w:szCs w:val="21"/>
        </w:rPr>
      </w:pPr>
      <w:r>
        <w:rPr>
          <w:rFonts w:hint="eastAsia" w:ascii="宋体" w:hAnsi="宋体"/>
          <w:color w:val="000000"/>
          <w:szCs w:val="21"/>
        </w:rPr>
        <w:t>（1）评标委员会按照招标文件中规定的评标方法及评标标准，对符合性审查合格的投标文件报价进行比较。</w:t>
      </w:r>
    </w:p>
    <w:p>
      <w:pPr>
        <w:snapToGrid w:val="0"/>
        <w:spacing w:line="360" w:lineRule="auto"/>
        <w:ind w:firstLine="399" w:firstLineChars="202"/>
        <w:jc w:val="left"/>
        <w:rPr>
          <w:rFonts w:hint="eastAsia" w:ascii="宋体" w:hAnsi="宋体"/>
          <w:color w:val="000000"/>
          <w:spacing w:val="-6"/>
          <w:szCs w:val="21"/>
        </w:rPr>
      </w:pPr>
      <w:r>
        <w:rPr>
          <w:rFonts w:hint="eastAsia" w:ascii="宋体" w:hAnsi="宋体"/>
          <w:color w:val="000000"/>
          <w:spacing w:val="-6"/>
          <w:szCs w:val="21"/>
        </w:rPr>
        <w:t>（2）评标委员会认为投标人的报价明显低于其他通过符合性审查投标人的报价，有可能影响产品质量或者不能诚信履约的，应当要求其在评标现场合理的时间内提供书面说明，必要时提交相关证明材料；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ascii="宋体" w:hAnsi="宋体"/>
          <w:b/>
          <w:color w:val="000000"/>
          <w:spacing w:val="-6"/>
          <w:szCs w:val="21"/>
        </w:rPr>
        <w:t>投标人不能证明其报价合理性的，评标委员会将其作为无效投标处理</w:t>
      </w:r>
      <w:r>
        <w:rPr>
          <w:rFonts w:hint="eastAsia" w:ascii="宋体" w:hAnsi="宋体"/>
          <w:color w:val="000000"/>
          <w:spacing w:val="-6"/>
          <w:szCs w:val="21"/>
        </w:rPr>
        <w:t>。</w:t>
      </w:r>
    </w:p>
    <w:p>
      <w:pPr>
        <w:snapToGrid w:val="0"/>
        <w:spacing w:line="360" w:lineRule="auto"/>
        <w:ind w:firstLine="424" w:firstLineChars="202"/>
        <w:jc w:val="left"/>
        <w:rPr>
          <w:rFonts w:hint="eastAsia" w:ascii="宋体" w:hAnsi="宋体"/>
          <w:color w:val="000000"/>
          <w:szCs w:val="21"/>
        </w:rPr>
      </w:pPr>
      <w:r>
        <w:rPr>
          <w:rFonts w:hint="eastAsia" w:ascii="宋体" w:hAnsi="宋体"/>
          <w:color w:val="000000"/>
          <w:szCs w:val="21"/>
        </w:rPr>
        <w:t>（3）评标委员会按照招标文件中的规定推荐中标候选人。</w:t>
      </w:r>
    </w:p>
    <w:p>
      <w:pPr>
        <w:snapToGrid w:val="0"/>
        <w:spacing w:line="360" w:lineRule="auto"/>
        <w:ind w:firstLine="424" w:firstLineChars="202"/>
        <w:jc w:val="left"/>
        <w:rPr>
          <w:rFonts w:ascii="宋体" w:hAnsi="宋体"/>
          <w:color w:val="000000"/>
          <w:szCs w:val="21"/>
        </w:rPr>
      </w:pPr>
      <w:r>
        <w:rPr>
          <w:rFonts w:hint="eastAsia" w:ascii="宋体" w:hAnsi="宋体"/>
          <w:color w:val="000000"/>
          <w:szCs w:val="21"/>
        </w:rPr>
        <w:t>（4）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成员应当在评标报告上签署不同意见及理由，否则视为同意评标报告。</w:t>
      </w:r>
    </w:p>
    <w:p>
      <w:pPr>
        <w:snapToGrid w:val="0"/>
        <w:spacing w:line="360" w:lineRule="auto"/>
        <w:ind w:firstLine="424" w:firstLineChars="202"/>
        <w:jc w:val="center"/>
        <w:rPr>
          <w:rFonts w:hint="eastAsia"/>
          <w:color w:val="000000"/>
        </w:rPr>
      </w:pPr>
      <w:r>
        <w:rPr>
          <w:color w:val="000000"/>
        </w:rPr>
        <w:br w:type="page"/>
      </w:r>
      <w:r>
        <w:rPr>
          <w:rFonts w:ascii="宋体" w:hAnsi="宋体" w:cs="宋体"/>
          <w:b/>
          <w:bCs/>
          <w:color w:val="000000"/>
          <w:sz w:val="32"/>
          <w:szCs w:val="32"/>
        </w:rPr>
        <w:t>三</w:t>
      </w:r>
      <w:r>
        <w:rPr>
          <w:rFonts w:hint="eastAsia" w:ascii="宋体" w:hAnsi="宋体" w:cs="宋体"/>
          <w:b/>
          <w:bCs/>
          <w:color w:val="000000"/>
          <w:sz w:val="32"/>
          <w:szCs w:val="32"/>
        </w:rPr>
        <w:t>、评标标准</w:t>
      </w:r>
    </w:p>
    <w:p>
      <w:pPr>
        <w:pStyle w:val="7"/>
        <w:keepNext w:val="0"/>
        <w:keepLines w:val="0"/>
        <w:jc w:val="center"/>
        <w:rPr>
          <w:rFonts w:hint="eastAsia" w:eastAsia="宋体"/>
          <w:color w:val="000000"/>
          <w:lang w:eastAsia="zh-CN"/>
        </w:rPr>
      </w:pPr>
      <w:r>
        <w:rPr>
          <w:rFonts w:hint="eastAsia"/>
          <w:color w:val="000000"/>
        </w:rPr>
        <w:t>综合评分法</w:t>
      </w:r>
      <w:r>
        <w:rPr>
          <w:rFonts w:hint="eastAsia"/>
          <w:color w:val="000000"/>
          <w:lang w:eastAsia="zh-CN"/>
        </w:rPr>
        <w:t>（</w:t>
      </w:r>
      <w:r>
        <w:rPr>
          <w:rFonts w:hint="eastAsia"/>
          <w:color w:val="000000"/>
          <w:lang w:val="en-US" w:eastAsia="zh-CN"/>
        </w:rPr>
        <w:t>适用于A分标、B分标、C分标、D分标</w:t>
      </w:r>
      <w:r>
        <w:rPr>
          <w:rFonts w:hint="eastAsia"/>
          <w:color w:val="000000"/>
          <w:lang w:eastAsia="zh-CN"/>
        </w:rPr>
        <w:t>）</w:t>
      </w:r>
    </w:p>
    <w:tbl>
      <w:tblPr>
        <w:tblStyle w:val="24"/>
        <w:tblW w:w="9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851"/>
        <w:gridCol w:w="1105"/>
        <w:gridCol w:w="6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6"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color w:val="000000"/>
                <w:szCs w:val="21"/>
              </w:rPr>
            </w:pPr>
            <w:r>
              <w:rPr>
                <w:rFonts w:hint="eastAsia" w:ascii="宋体" w:hAnsi="宋体"/>
                <w:b/>
                <w:color w:val="000000"/>
                <w:szCs w:val="21"/>
              </w:rPr>
              <w:t>序号</w:t>
            </w:r>
          </w:p>
        </w:tc>
        <w:tc>
          <w:tcPr>
            <w:tcW w:w="110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color w:val="000000"/>
                <w:szCs w:val="21"/>
              </w:rPr>
            </w:pPr>
            <w:r>
              <w:rPr>
                <w:rFonts w:hint="eastAsia" w:ascii="宋体" w:hAnsi="宋体"/>
                <w:b/>
                <w:color w:val="000000"/>
                <w:szCs w:val="21"/>
              </w:rPr>
              <w:t>评分因素</w:t>
            </w:r>
          </w:p>
        </w:tc>
        <w:tc>
          <w:tcPr>
            <w:tcW w:w="687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color w:val="000000"/>
                <w:szCs w:val="21"/>
              </w:rPr>
            </w:pPr>
            <w:r>
              <w:rPr>
                <w:rFonts w:hint="eastAsia" w:ascii="宋体" w:hAnsi="宋体"/>
                <w:b/>
                <w:color w:val="00000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b/>
                <w:color w:val="000000"/>
                <w:szCs w:val="21"/>
              </w:rPr>
            </w:pPr>
            <w:r>
              <w:rPr>
                <w:rFonts w:ascii="宋体" w:hAnsi="宋体"/>
                <w:b/>
                <w:color w:val="000000"/>
                <w:szCs w:val="21"/>
              </w:rPr>
              <w:t>1</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b/>
                <w:color w:val="000000"/>
                <w:szCs w:val="21"/>
              </w:rPr>
            </w:pPr>
            <w:r>
              <w:rPr>
                <w:rFonts w:hint="eastAsia" w:ascii="宋体" w:hAnsi="宋体"/>
                <w:b/>
                <w:color w:val="000000"/>
                <w:szCs w:val="21"/>
              </w:rPr>
              <w:t>价格分</w:t>
            </w:r>
          </w:p>
          <w:p>
            <w:pPr>
              <w:adjustRightInd w:val="0"/>
              <w:spacing w:line="360" w:lineRule="exact"/>
              <w:jc w:val="center"/>
              <w:textAlignment w:val="baseline"/>
              <w:rPr>
                <w:rFonts w:ascii="宋体" w:hAnsi="宋体"/>
                <w:color w:val="000000"/>
                <w:szCs w:val="21"/>
              </w:rPr>
            </w:pPr>
            <w:r>
              <w:rPr>
                <w:rFonts w:hint="eastAsia" w:ascii="宋体" w:hAnsi="宋体"/>
                <w:b/>
                <w:color w:val="000000"/>
                <w:szCs w:val="21"/>
              </w:rPr>
              <w:t>（</w:t>
            </w:r>
            <w:r>
              <w:rPr>
                <w:rFonts w:ascii="宋体" w:hAnsi="宋体"/>
                <w:b/>
                <w:color w:val="000000"/>
                <w:szCs w:val="21"/>
              </w:rPr>
              <w:t>30</w:t>
            </w:r>
            <w:r>
              <w:rPr>
                <w:rFonts w:hint="eastAsia" w:ascii="宋体" w:hAnsi="宋体"/>
                <w:b/>
                <w:color w:val="000000"/>
                <w:szCs w:val="21"/>
              </w:rPr>
              <w:t>分）</w:t>
            </w:r>
          </w:p>
        </w:tc>
        <w:tc>
          <w:tcPr>
            <w:tcW w:w="110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color w:val="000000"/>
                <w:szCs w:val="21"/>
              </w:rPr>
            </w:pPr>
            <w:r>
              <w:rPr>
                <w:rFonts w:hint="eastAsia" w:ascii="宋体" w:hAnsi="宋体"/>
                <w:color w:val="000000"/>
                <w:szCs w:val="21"/>
              </w:rPr>
              <w:t>投标报价（满分</w:t>
            </w:r>
            <w:r>
              <w:rPr>
                <w:rFonts w:ascii="宋体" w:hAnsi="宋体"/>
                <w:color w:val="000000"/>
                <w:szCs w:val="21"/>
              </w:rPr>
              <w:t>30</w:t>
            </w:r>
            <w:r>
              <w:rPr>
                <w:rFonts w:hint="eastAsia" w:ascii="宋体" w:hAnsi="宋体"/>
                <w:color w:val="000000"/>
                <w:szCs w:val="21"/>
              </w:rPr>
              <w:t>分）</w:t>
            </w:r>
          </w:p>
        </w:tc>
        <w:tc>
          <w:tcPr>
            <w:tcW w:w="687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233" w:firstLineChars="111"/>
              <w:rPr>
                <w:rFonts w:hint="eastAsia"/>
              </w:rPr>
            </w:pPr>
            <w:r>
              <w:rPr>
                <w:rFonts w:hint="eastAsia"/>
              </w:rPr>
              <w:t>（1）评标报价为投标人的投标报价进行政策性扣除后的价格，评标报价只是作为评标时使用。最终中标人的中标金额等于投标报价。</w:t>
            </w:r>
          </w:p>
          <w:p>
            <w:pPr>
              <w:snapToGrid w:val="0"/>
              <w:spacing w:line="360" w:lineRule="exact"/>
              <w:ind w:firstLine="233" w:firstLineChars="111"/>
              <w:rPr>
                <w:rFonts w:hint="eastAsia"/>
              </w:rPr>
            </w:pPr>
            <w:r>
              <w:rPr>
                <w:rFonts w:hint="eastAsia"/>
              </w:rPr>
              <w:t>（2）政策性扣除计算方法。</w:t>
            </w:r>
          </w:p>
          <w:p>
            <w:pPr>
              <w:snapToGrid w:val="0"/>
              <w:spacing w:line="360" w:lineRule="exact"/>
              <w:ind w:firstLine="233" w:firstLineChars="111"/>
              <w:rPr>
                <w:rFonts w:hint="eastAsia"/>
              </w:rPr>
            </w:pPr>
            <w:r>
              <w:rPr>
                <w:rFonts w:hint="eastAsia"/>
              </w:rPr>
              <w:t>根据《政府采购促进中小企业发展管理办法》（财库〔2020〕46号）的规定，投标人在其投标文件中提供《中小企业声明函》，且其投标全部货物由小微企业制造的，对其投标报价给予10%的扣除，扣除后的价格为评标报价，即评标报价=</w:t>
            </w:r>
            <w:r>
              <w:rPr>
                <w:rFonts w:hint="eastAsia"/>
                <w:lang w:eastAsia="zh-CN"/>
              </w:rPr>
              <w:t>（</w:t>
            </w:r>
            <w:r>
              <w:rPr>
                <w:rFonts w:hint="eastAsia"/>
                <w:lang w:val="en-US" w:eastAsia="zh-CN"/>
              </w:rPr>
              <w:t>1-投标折让率</w:t>
            </w:r>
            <w:r>
              <w:rPr>
                <w:rFonts w:hint="eastAsia"/>
                <w:lang w:eastAsia="zh-CN"/>
              </w:rPr>
              <w:t>）</w:t>
            </w:r>
            <w:r>
              <w:rPr>
                <w:rFonts w:hint="eastAsia"/>
              </w:rPr>
              <w:t>×（1-10%）。接受大中型企业与小微企业组成联合体或者允许大中型企业向一家或者多家小微企业分包的采购项目，联合协议或者分包意向协议约定小微企业的合同份额占到合同总金额30%以上的，采购人、采购代理机构应当对联合体或者大中型企业的报价给予2%的扣除，用扣除后的价格参加评审，扣除后的价格为评标报价，即评标报价=</w:t>
            </w:r>
            <w:r>
              <w:rPr>
                <w:rFonts w:hint="eastAsia"/>
                <w:lang w:eastAsia="zh-CN"/>
              </w:rPr>
              <w:t>（</w:t>
            </w:r>
            <w:r>
              <w:rPr>
                <w:rFonts w:hint="eastAsia"/>
                <w:lang w:val="en-US" w:eastAsia="zh-CN"/>
              </w:rPr>
              <w:t>1-投标折让率</w:t>
            </w:r>
            <w:r>
              <w:rPr>
                <w:rFonts w:hint="eastAsia"/>
                <w:lang w:eastAsia="zh-CN"/>
              </w:rPr>
              <w:t>）</w:t>
            </w:r>
            <w:r>
              <w:rPr>
                <w:rFonts w:hint="eastAsia"/>
              </w:rPr>
              <w:t>×（1-2%）。除上述情况外，评标报价=</w:t>
            </w:r>
            <w:r>
              <w:rPr>
                <w:rFonts w:hint="eastAsia"/>
                <w:lang w:eastAsia="zh-CN"/>
              </w:rPr>
              <w:t>（</w:t>
            </w:r>
            <w:r>
              <w:rPr>
                <w:rFonts w:hint="eastAsia"/>
                <w:lang w:val="en-US" w:eastAsia="zh-CN"/>
              </w:rPr>
              <w:t>1-投标折让率</w:t>
            </w:r>
            <w:r>
              <w:rPr>
                <w:rFonts w:hint="eastAsia"/>
                <w:lang w:eastAsia="zh-CN"/>
              </w:rPr>
              <w:t>）</w:t>
            </w:r>
            <w:r>
              <w:rPr>
                <w:rFonts w:hint="eastAsia"/>
              </w:rPr>
              <w:t>。</w:t>
            </w:r>
          </w:p>
          <w:p>
            <w:pPr>
              <w:snapToGrid w:val="0"/>
              <w:spacing w:line="360" w:lineRule="exact"/>
              <w:ind w:firstLine="233" w:firstLineChars="111"/>
              <w:rPr>
                <w:rFonts w:hint="eastAsia"/>
              </w:rPr>
            </w:pPr>
            <w:r>
              <w:rPr>
                <w:rFonts w:hint="eastAsia"/>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pPr>
              <w:snapToGrid w:val="0"/>
              <w:spacing w:line="360" w:lineRule="exact"/>
              <w:ind w:firstLine="233" w:firstLineChars="111"/>
              <w:rPr>
                <w:rFonts w:hint="eastAsia"/>
              </w:rPr>
            </w:pPr>
            <w:r>
              <w:rPr>
                <w:rFonts w:hint="eastAsia"/>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snapToGrid w:val="0"/>
              <w:spacing w:line="360" w:lineRule="exact"/>
              <w:ind w:firstLine="233" w:firstLineChars="111"/>
              <w:rPr>
                <w:rFonts w:hint="eastAsia"/>
              </w:rPr>
            </w:pPr>
            <w:r>
              <w:rPr>
                <w:rFonts w:hint="eastAsia"/>
              </w:rPr>
              <w:t>（5）满足招标文件要求且评标报价最低的评标报价为评标基准价，其价格分为满分。</w:t>
            </w:r>
          </w:p>
          <w:p>
            <w:pPr>
              <w:snapToGrid w:val="0"/>
              <w:spacing w:line="360" w:lineRule="exact"/>
              <w:ind w:firstLine="233" w:firstLineChars="111"/>
              <w:rPr>
                <w:rFonts w:hint="eastAsia"/>
              </w:rPr>
            </w:pPr>
            <w:r>
              <w:rPr>
                <w:rFonts w:hint="eastAsia"/>
              </w:rPr>
              <w:t>（6）价格分计算公式：价格分=(评标基准价／</w:t>
            </w:r>
            <w:r>
              <w:rPr>
                <w:rFonts w:hint="eastAsia"/>
                <w:lang w:eastAsia="zh-CN"/>
              </w:rPr>
              <w:t>（</w:t>
            </w:r>
            <w:r>
              <w:rPr>
                <w:rFonts w:hint="eastAsia"/>
              </w:rPr>
              <w:t>1-某投标人投标折让率</w:t>
            </w:r>
            <w:r>
              <w:rPr>
                <w:rFonts w:hint="eastAsia"/>
                <w:lang w:eastAsia="zh-CN"/>
              </w:rPr>
              <w:t>）</w:t>
            </w:r>
            <w:r>
              <w:rPr>
                <w:rFonts w:hint="eastAsia"/>
              </w:rPr>
              <w:t>)×30分</w:t>
            </w:r>
            <w:r>
              <w:t xml:space="preserve">   </w:t>
            </w:r>
          </w:p>
          <w:p>
            <w:pPr>
              <w:spacing w:line="360" w:lineRule="exact"/>
              <w:rPr>
                <w:rFonts w:hint="eastAsia"/>
              </w:rPr>
            </w:pPr>
            <w:r>
              <w:rPr>
                <w:rFonts w:hint="eastAsia"/>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
            </w:pPr>
            <w:r>
              <w:rPr>
                <w:rFonts w:hint="eastAsia" w:ascii="宋体" w:hAnsi="宋体" w:cs="宋体"/>
                <w:szCs w:val="21"/>
                <w:lang w:val="en-US" w:eastAsia="zh-CN"/>
              </w:rPr>
              <w:t>备注</w:t>
            </w:r>
            <w:r>
              <w:rPr>
                <w:rFonts w:hint="eastAsia" w:ascii="宋体" w:hAnsi="宋体" w:cs="宋体"/>
                <w:szCs w:val="21"/>
              </w:rPr>
              <w:t>：</w:t>
            </w:r>
            <w:r>
              <w:rPr>
                <w:rFonts w:hint="eastAsia" w:ascii="Times New Roman" w:hAnsi="Times New Roman" w:eastAsia="宋体" w:cs="Times New Roman"/>
                <w:kern w:val="2"/>
                <w:sz w:val="21"/>
                <w:szCs w:val="24"/>
                <w:lang w:val="en-US" w:eastAsia="zh-CN" w:bidi="ar-SA"/>
              </w:rPr>
              <w:t>本项目最高折让率＜20%的，作无效投标；本项目不接受零折让率的报价。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0" w:hRule="atLeast"/>
          <w:jc w:val="center"/>
        </w:trPr>
        <w:tc>
          <w:tcPr>
            <w:tcW w:w="615" w:type="dxa"/>
            <w:vMerge w:val="restart"/>
            <w:tcBorders>
              <w:top w:val="single" w:color="auto" w:sz="4" w:space="0"/>
              <w:left w:val="single" w:color="auto" w:sz="4" w:space="0"/>
              <w:right w:val="single" w:color="auto" w:sz="4" w:space="0"/>
            </w:tcBorders>
            <w:vAlign w:val="center"/>
          </w:tcPr>
          <w:p>
            <w:pPr>
              <w:adjustRightInd w:val="0"/>
              <w:spacing w:line="360" w:lineRule="exact"/>
              <w:jc w:val="center"/>
              <w:textAlignment w:val="baseline"/>
              <w:rPr>
                <w:rFonts w:ascii="宋体" w:hAnsi="宋体"/>
                <w:b/>
                <w:color w:val="000000"/>
                <w:szCs w:val="21"/>
              </w:rPr>
            </w:pPr>
            <w:r>
              <w:rPr>
                <w:rFonts w:ascii="宋体" w:hAnsi="宋体"/>
                <w:b/>
                <w:color w:val="000000"/>
                <w:szCs w:val="21"/>
              </w:rPr>
              <w:t>2</w:t>
            </w:r>
          </w:p>
        </w:tc>
        <w:tc>
          <w:tcPr>
            <w:tcW w:w="851" w:type="dxa"/>
            <w:vMerge w:val="restart"/>
            <w:tcBorders>
              <w:top w:val="single" w:color="auto" w:sz="4" w:space="0"/>
              <w:left w:val="single" w:color="auto" w:sz="4" w:space="0"/>
              <w:right w:val="single" w:color="auto" w:sz="4" w:space="0"/>
            </w:tcBorders>
            <w:vAlign w:val="center"/>
          </w:tcPr>
          <w:p>
            <w:pPr>
              <w:adjustRightInd w:val="0"/>
              <w:spacing w:line="360" w:lineRule="exact"/>
              <w:ind w:left="-105" w:leftChars="-50" w:right="-105" w:rightChars="-50"/>
              <w:jc w:val="center"/>
              <w:textAlignment w:val="baseline"/>
              <w:rPr>
                <w:rFonts w:ascii="宋体" w:hAnsi="宋体"/>
                <w:b/>
                <w:bCs/>
                <w:color w:val="000000"/>
                <w:szCs w:val="21"/>
              </w:rPr>
            </w:pPr>
            <w:r>
              <w:rPr>
                <w:rFonts w:hint="eastAsia" w:ascii="宋体" w:hAnsi="宋体"/>
                <w:b/>
                <w:bCs/>
                <w:color w:val="000000"/>
                <w:szCs w:val="21"/>
              </w:rPr>
              <w:t>技术分</w:t>
            </w:r>
          </w:p>
          <w:p>
            <w:pPr>
              <w:adjustRightInd w:val="0"/>
              <w:spacing w:line="360" w:lineRule="exact"/>
              <w:ind w:left="-105" w:leftChars="-50" w:right="-105" w:rightChars="-50"/>
              <w:jc w:val="center"/>
              <w:textAlignment w:val="baseline"/>
              <w:rPr>
                <w:rFonts w:ascii="宋体" w:hAnsi="宋体"/>
                <w:color w:val="000000"/>
                <w:spacing w:val="-18"/>
                <w:szCs w:val="21"/>
              </w:rPr>
            </w:pPr>
            <w:r>
              <w:rPr>
                <w:rFonts w:hint="eastAsia" w:ascii="宋体" w:hAnsi="宋体"/>
                <w:b/>
                <w:bCs/>
                <w:color w:val="000000"/>
                <w:szCs w:val="21"/>
              </w:rPr>
              <w:t>（</w:t>
            </w:r>
            <w:r>
              <w:rPr>
                <w:rFonts w:hint="eastAsia" w:ascii="宋体" w:hAnsi="宋体"/>
                <w:b/>
                <w:color w:val="000000"/>
                <w:szCs w:val="21"/>
              </w:rPr>
              <w:t>满分</w:t>
            </w:r>
            <w:r>
              <w:rPr>
                <w:rFonts w:hint="eastAsia" w:ascii="宋体" w:hAnsi="宋体"/>
                <w:b/>
                <w:bCs/>
                <w:color w:val="000000"/>
                <w:szCs w:val="21"/>
              </w:rPr>
              <w:t>4</w:t>
            </w:r>
            <w:r>
              <w:rPr>
                <w:rFonts w:hint="eastAsia" w:ascii="宋体" w:hAnsi="宋体"/>
                <w:b/>
                <w:bCs/>
                <w:color w:val="000000"/>
                <w:szCs w:val="21"/>
                <w:lang w:val="en-US" w:eastAsia="zh-CN"/>
              </w:rPr>
              <w:t>8</w:t>
            </w:r>
            <w:r>
              <w:rPr>
                <w:rFonts w:hint="eastAsia" w:ascii="宋体" w:hAnsi="宋体"/>
                <w:b/>
                <w:bCs/>
                <w:color w:val="000000"/>
                <w:szCs w:val="21"/>
              </w:rPr>
              <w:t>分）</w:t>
            </w:r>
          </w:p>
        </w:tc>
        <w:tc>
          <w:tcPr>
            <w:tcW w:w="1105" w:type="dxa"/>
            <w:tcBorders>
              <w:top w:val="single" w:color="auto" w:sz="4" w:space="0"/>
              <w:left w:val="single" w:color="auto" w:sz="4" w:space="0"/>
              <w:right w:val="single" w:color="auto" w:sz="4" w:space="0"/>
            </w:tcBorders>
            <w:vAlign w:val="center"/>
          </w:tcPr>
          <w:p>
            <w:pPr>
              <w:adjustRightInd w:val="0"/>
              <w:spacing w:line="360" w:lineRule="exact"/>
              <w:jc w:val="center"/>
              <w:textAlignment w:val="baseline"/>
              <w:rPr>
                <w:rFonts w:ascii="宋体" w:hAnsi="宋体"/>
                <w:bCs/>
                <w:color w:val="000000"/>
                <w:szCs w:val="21"/>
              </w:rPr>
            </w:pPr>
            <w:r>
              <w:rPr>
                <w:rFonts w:hint="eastAsia" w:ascii="宋体" w:hAnsi="宋体"/>
                <w:color w:val="000000"/>
                <w:szCs w:val="21"/>
              </w:rPr>
              <w:t>设备性能分（满分</w:t>
            </w:r>
            <w:r>
              <w:rPr>
                <w:rFonts w:hint="eastAsia" w:ascii="宋体" w:hAnsi="宋体"/>
                <w:color w:val="000000"/>
                <w:szCs w:val="21"/>
                <w:lang w:val="en-US" w:eastAsia="zh-CN"/>
              </w:rPr>
              <w:t>29</w:t>
            </w:r>
            <w:r>
              <w:rPr>
                <w:rFonts w:hint="eastAsia" w:ascii="宋体" w:hAnsi="宋体"/>
                <w:color w:val="000000"/>
                <w:szCs w:val="21"/>
              </w:rPr>
              <w:t>分）</w:t>
            </w:r>
          </w:p>
        </w:tc>
        <w:tc>
          <w:tcPr>
            <w:tcW w:w="6879"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cs="宋体"/>
                <w:color w:val="auto"/>
                <w:szCs w:val="21"/>
              </w:rPr>
            </w:pPr>
            <w:r>
              <w:rPr>
                <w:rFonts w:hint="eastAsia" w:ascii="宋体" w:hAnsi="宋体" w:cs="宋体"/>
                <w:color w:val="auto"/>
                <w:szCs w:val="21"/>
              </w:rPr>
              <w:t>评委根据招标文件要求，对通过资格性和符合性审查进入详评的各投标人所投产品技</w:t>
            </w:r>
            <w:r>
              <w:rPr>
                <w:rFonts w:hint="eastAsia" w:ascii="宋体" w:hAnsi="宋体" w:cs="宋体"/>
                <w:color w:val="auto"/>
                <w:szCs w:val="21"/>
              </w:rPr>
              <w:t>术参数偏离情况进行独立评审，并按如下计分方式确定得分:</w:t>
            </w:r>
          </w:p>
          <w:p>
            <w:pPr>
              <w:spacing w:line="440" w:lineRule="exact"/>
              <w:rPr>
                <w:rFonts w:hint="default"/>
                <w:color w:val="auto"/>
                <w:lang w:val="en-US"/>
              </w:rPr>
            </w:pPr>
            <w:r>
              <w:rPr>
                <w:rFonts w:hint="eastAsia" w:ascii="宋体" w:hAnsi="宋体" w:cs="宋体"/>
                <w:color w:val="auto"/>
                <w:szCs w:val="21"/>
              </w:rPr>
              <w:t>提供省级（含：自治区、直辖市）相关</w:t>
            </w:r>
            <w:r>
              <w:rPr>
                <w:rFonts w:hint="eastAsia" w:ascii="宋体" w:hAnsi="宋体" w:cs="宋体"/>
                <w:color w:val="auto"/>
                <w:szCs w:val="21"/>
                <w:lang w:val="en-US" w:eastAsia="zh-CN"/>
              </w:rPr>
              <w:t>专业质量</w:t>
            </w:r>
            <w:r>
              <w:rPr>
                <w:rFonts w:hint="eastAsia" w:ascii="宋体" w:hAnsi="宋体" w:cs="宋体"/>
                <w:color w:val="auto"/>
                <w:szCs w:val="21"/>
              </w:rPr>
              <w:t>监督检验部门出具的检测报告每项得</w:t>
            </w:r>
            <w:r>
              <w:rPr>
                <w:rFonts w:hint="eastAsia" w:ascii="宋体" w:hAnsi="宋体" w:cs="宋体"/>
                <w:color w:val="auto"/>
                <w:szCs w:val="21"/>
                <w:lang w:val="en-US" w:eastAsia="zh-CN"/>
              </w:rPr>
              <w:t>0.1</w:t>
            </w:r>
            <w:r>
              <w:rPr>
                <w:rFonts w:hint="eastAsia" w:ascii="宋体" w:hAnsi="宋体" w:cs="宋体"/>
                <w:color w:val="auto"/>
                <w:szCs w:val="21"/>
              </w:rPr>
              <w:t>分；提供国家级相关</w:t>
            </w:r>
            <w:r>
              <w:rPr>
                <w:rFonts w:hint="eastAsia" w:ascii="宋体" w:hAnsi="宋体" w:cs="宋体"/>
                <w:color w:val="auto"/>
                <w:szCs w:val="21"/>
                <w:lang w:val="en-US" w:eastAsia="zh-CN"/>
              </w:rPr>
              <w:t>专业</w:t>
            </w:r>
            <w:r>
              <w:rPr>
                <w:rFonts w:hint="eastAsia" w:ascii="宋体" w:hAnsi="宋体" w:cs="宋体"/>
                <w:color w:val="auto"/>
                <w:szCs w:val="21"/>
              </w:rPr>
              <w:t>质量监督检验部门出具的检测报告每项得</w:t>
            </w:r>
            <w:r>
              <w:rPr>
                <w:rFonts w:hint="eastAsia" w:ascii="宋体" w:hAnsi="宋体" w:cs="宋体"/>
                <w:color w:val="auto"/>
                <w:szCs w:val="21"/>
                <w:lang w:val="en-US" w:eastAsia="zh-CN"/>
              </w:rPr>
              <w:t>0.33</w:t>
            </w:r>
            <w:r>
              <w:rPr>
                <w:rFonts w:hint="eastAsia" w:ascii="宋体" w:hAnsi="宋体" w:cs="宋体"/>
                <w:color w:val="auto"/>
                <w:szCs w:val="21"/>
              </w:rPr>
              <w:t>分</w:t>
            </w:r>
            <w:r>
              <w:rPr>
                <w:rFonts w:hint="eastAsia" w:ascii="宋体" w:hAnsi="宋体" w:cs="宋体"/>
                <w:color w:val="auto"/>
                <w:szCs w:val="21"/>
                <w:lang w:eastAsia="zh-CN"/>
              </w:rPr>
              <w:t>。</w:t>
            </w:r>
            <w:r>
              <w:rPr>
                <w:rFonts w:hint="eastAsia" w:ascii="宋体" w:hAnsi="宋体" w:cs="宋体"/>
                <w:color w:val="auto"/>
                <w:szCs w:val="21"/>
                <w:lang w:val="en-US" w:eastAsia="zh-CN"/>
              </w:rPr>
              <w:t>(本项满分5分)</w:t>
            </w:r>
          </w:p>
          <w:p>
            <w:pPr>
              <w:spacing w:line="440" w:lineRule="exact"/>
              <w:rPr>
                <w:rFonts w:ascii="宋体" w:hAnsi="宋体" w:cs="宋体"/>
                <w:color w:val="auto"/>
                <w:szCs w:val="21"/>
              </w:rPr>
            </w:pPr>
            <w:r>
              <w:rPr>
                <w:rFonts w:hint="eastAsia" w:ascii="宋体" w:hAnsi="宋体" w:cs="宋体"/>
                <w:color w:val="auto"/>
                <w:szCs w:val="21"/>
              </w:rPr>
              <w:t>一档(</w:t>
            </w:r>
            <w:r>
              <w:rPr>
                <w:rFonts w:hint="eastAsia" w:ascii="宋体" w:hAnsi="宋体" w:cs="宋体"/>
                <w:color w:val="auto"/>
                <w:szCs w:val="21"/>
                <w:lang w:val="en-US" w:eastAsia="zh-CN"/>
              </w:rPr>
              <w:t>24</w:t>
            </w:r>
            <w:r>
              <w:rPr>
                <w:rFonts w:hint="eastAsia" w:ascii="宋体" w:hAnsi="宋体" w:cs="宋体"/>
                <w:color w:val="auto"/>
                <w:szCs w:val="21"/>
              </w:rPr>
              <w:t>分):所投产品技术参数(招标文件要求提供有效检测报告复印件必须满足)无负偏离得24分。</w:t>
            </w:r>
          </w:p>
          <w:p>
            <w:pPr>
              <w:spacing w:line="440" w:lineRule="exact"/>
              <w:rPr>
                <w:rFonts w:ascii="宋体" w:hAnsi="宋体" w:cs="宋体"/>
                <w:color w:val="auto"/>
                <w:szCs w:val="21"/>
              </w:rPr>
            </w:pPr>
            <w:r>
              <w:rPr>
                <w:rFonts w:hint="eastAsia" w:ascii="宋体" w:hAnsi="宋体" w:cs="宋体"/>
                <w:color w:val="auto"/>
                <w:szCs w:val="21"/>
              </w:rPr>
              <w:t>二档(20分):所投产品技术参数(招标文件要求提供有效检测报告复印件必须满足)有</w:t>
            </w:r>
            <w:r>
              <w:rPr>
                <w:rFonts w:hint="eastAsia" w:ascii="宋体" w:hAnsi="宋体" w:cs="宋体"/>
                <w:color w:val="auto"/>
                <w:szCs w:val="21"/>
                <w:lang w:val="en-US" w:eastAsia="zh-CN"/>
              </w:rPr>
              <w:t>1</w:t>
            </w:r>
            <w:r>
              <w:rPr>
                <w:rFonts w:hint="eastAsia" w:ascii="宋体" w:hAnsi="宋体" w:cs="宋体"/>
                <w:color w:val="auto"/>
                <w:szCs w:val="21"/>
              </w:rPr>
              <w:t>项负偏离得</w:t>
            </w:r>
            <w:r>
              <w:rPr>
                <w:rFonts w:hint="eastAsia" w:ascii="宋体" w:hAnsi="宋体" w:cs="宋体"/>
                <w:color w:val="auto"/>
                <w:szCs w:val="21"/>
                <w:lang w:val="en-US" w:eastAsia="zh-CN"/>
              </w:rPr>
              <w:t>20</w:t>
            </w:r>
            <w:r>
              <w:rPr>
                <w:rFonts w:hint="eastAsia" w:ascii="宋体" w:hAnsi="宋体" w:cs="宋体"/>
                <w:color w:val="auto"/>
                <w:szCs w:val="21"/>
              </w:rPr>
              <w:t>分。</w:t>
            </w:r>
          </w:p>
          <w:p>
            <w:pPr>
              <w:spacing w:line="440" w:lineRule="exact"/>
              <w:rPr>
                <w:rFonts w:ascii="宋体" w:hAnsi="宋体" w:cs="宋体"/>
                <w:color w:val="auto"/>
                <w:szCs w:val="21"/>
              </w:rPr>
            </w:pPr>
            <w:r>
              <w:rPr>
                <w:rFonts w:hint="eastAsia" w:ascii="宋体" w:hAnsi="宋体" w:cs="宋体"/>
                <w:color w:val="auto"/>
                <w:szCs w:val="21"/>
              </w:rPr>
              <w:t>三档(15分):所投产品技术参数(招标文件要求提供有效检测报告复印件必须满足)有</w:t>
            </w:r>
            <w:r>
              <w:rPr>
                <w:rFonts w:hint="eastAsia" w:ascii="宋体" w:hAnsi="宋体" w:cs="宋体"/>
                <w:color w:val="auto"/>
                <w:szCs w:val="21"/>
                <w:lang w:val="en-US" w:eastAsia="zh-CN"/>
              </w:rPr>
              <w:t>2</w:t>
            </w:r>
            <w:r>
              <w:rPr>
                <w:rFonts w:hint="eastAsia" w:ascii="宋体" w:hAnsi="宋体" w:cs="宋体"/>
                <w:color w:val="auto"/>
                <w:szCs w:val="21"/>
              </w:rPr>
              <w:t>项负偏离得</w:t>
            </w:r>
            <w:r>
              <w:rPr>
                <w:rFonts w:hint="eastAsia" w:ascii="宋体" w:hAnsi="宋体" w:cs="宋体"/>
                <w:color w:val="auto"/>
                <w:szCs w:val="21"/>
                <w:lang w:val="en-US" w:eastAsia="zh-CN"/>
              </w:rPr>
              <w:t>15</w:t>
            </w:r>
            <w:r>
              <w:rPr>
                <w:rFonts w:hint="eastAsia" w:ascii="宋体" w:hAnsi="宋体" w:cs="宋体"/>
                <w:color w:val="auto"/>
                <w:szCs w:val="21"/>
              </w:rPr>
              <w:t>分。</w:t>
            </w:r>
          </w:p>
          <w:p>
            <w:pPr>
              <w:spacing w:line="440" w:lineRule="exact"/>
              <w:rPr>
                <w:rFonts w:ascii="宋体" w:hAnsi="宋体" w:cs="宋体"/>
                <w:color w:val="auto"/>
                <w:szCs w:val="21"/>
              </w:rPr>
            </w:pPr>
            <w:r>
              <w:rPr>
                <w:rFonts w:hint="eastAsia" w:ascii="宋体" w:hAnsi="宋体" w:cs="宋体"/>
                <w:color w:val="auto"/>
                <w:szCs w:val="21"/>
              </w:rPr>
              <w:t>四档(5分) :所投产品技术参数(招标文件要求提供有效检测报告复印件必须满足)有</w:t>
            </w:r>
            <w:r>
              <w:rPr>
                <w:rFonts w:hint="eastAsia" w:ascii="宋体" w:hAnsi="宋体" w:cs="宋体"/>
                <w:color w:val="auto"/>
                <w:szCs w:val="21"/>
                <w:lang w:val="en-US" w:eastAsia="zh-CN"/>
              </w:rPr>
              <w:t>3</w:t>
            </w:r>
            <w:r>
              <w:rPr>
                <w:rFonts w:hint="eastAsia" w:ascii="宋体" w:hAnsi="宋体" w:cs="宋体"/>
                <w:color w:val="auto"/>
                <w:szCs w:val="21"/>
              </w:rPr>
              <w:t>项负偏离得</w:t>
            </w:r>
            <w:r>
              <w:rPr>
                <w:rFonts w:hint="eastAsia" w:ascii="宋体" w:hAnsi="宋体" w:cs="宋体"/>
                <w:color w:val="auto"/>
                <w:szCs w:val="21"/>
                <w:lang w:val="en-US" w:eastAsia="zh-CN"/>
              </w:rPr>
              <w:t>5</w:t>
            </w:r>
            <w:r>
              <w:rPr>
                <w:rFonts w:hint="eastAsia" w:ascii="宋体" w:hAnsi="宋体" w:cs="宋体"/>
                <w:color w:val="auto"/>
                <w:szCs w:val="21"/>
              </w:rPr>
              <w:t>分。</w:t>
            </w:r>
          </w:p>
          <w:p>
            <w:pPr>
              <w:adjustRightInd w:val="0"/>
              <w:spacing w:line="360" w:lineRule="exact"/>
              <w:textAlignment w:val="baseline"/>
              <w:rPr>
                <w:rFonts w:ascii="宋体" w:hAnsi="宋体"/>
                <w:color w:val="000000"/>
                <w:szCs w:val="21"/>
              </w:rPr>
            </w:pPr>
            <w:r>
              <w:rPr>
                <w:rFonts w:hint="eastAsia" w:ascii="宋体" w:hAnsi="宋体" w:cs="宋体"/>
                <w:color w:val="auto"/>
                <w:szCs w:val="21"/>
              </w:rPr>
              <w:t>说明：注:供应商须对本招标文件技术要求进行点对点应答，特别对有具体参数要求的指标，供应商必须提供所投设备的具体参数值。投标时提供</w:t>
            </w:r>
            <w:r>
              <w:rPr>
                <w:rFonts w:hint="eastAsia" w:ascii="宋体" w:hAnsi="宋体" w:cs="宋体"/>
                <w:color w:val="auto"/>
                <w:szCs w:val="21"/>
              </w:rPr>
              <w:t>的检测报告的检测时间为</w:t>
            </w:r>
            <w:r>
              <w:rPr>
                <w:rFonts w:hint="eastAsia" w:ascii="宋体" w:hAnsi="宋体" w:cs="宋体"/>
                <w:color w:val="auto"/>
                <w:szCs w:val="21"/>
                <w:lang w:val="en-US" w:eastAsia="zh-CN"/>
              </w:rPr>
              <w:t>四</w:t>
            </w:r>
            <w:r>
              <w:rPr>
                <w:rFonts w:hint="eastAsia" w:ascii="宋体" w:hAnsi="宋体" w:cs="宋体"/>
                <w:color w:val="auto"/>
                <w:szCs w:val="21"/>
              </w:rPr>
              <w:t>年（2</w:t>
            </w:r>
            <w:r>
              <w:rPr>
                <w:rFonts w:ascii="宋体" w:hAnsi="宋体" w:cs="宋体"/>
                <w:color w:val="auto"/>
                <w:szCs w:val="21"/>
              </w:rPr>
              <w:t>019</w:t>
            </w:r>
            <w:r>
              <w:rPr>
                <w:rFonts w:hint="eastAsia" w:ascii="宋体" w:hAnsi="宋体" w:cs="宋体"/>
                <w:color w:val="auto"/>
                <w:szCs w:val="21"/>
              </w:rPr>
              <w:t>年、2</w:t>
            </w:r>
            <w:r>
              <w:rPr>
                <w:rFonts w:ascii="宋体" w:hAnsi="宋体" w:cs="宋体"/>
                <w:color w:val="auto"/>
                <w:szCs w:val="21"/>
              </w:rPr>
              <w:t>020</w:t>
            </w:r>
            <w:r>
              <w:rPr>
                <w:rFonts w:hint="eastAsia" w:ascii="宋体" w:hAnsi="宋体" w:cs="宋体"/>
                <w:color w:val="auto"/>
                <w:szCs w:val="21"/>
              </w:rPr>
              <w:t>年、2</w:t>
            </w:r>
            <w:r>
              <w:rPr>
                <w:rFonts w:ascii="宋体" w:hAnsi="宋体" w:cs="宋体"/>
                <w:color w:val="auto"/>
                <w:szCs w:val="21"/>
              </w:rPr>
              <w:t>021</w:t>
            </w:r>
            <w:r>
              <w:rPr>
                <w:rFonts w:hint="eastAsia" w:ascii="宋体" w:hAnsi="宋体" w:cs="宋体"/>
                <w:color w:val="auto"/>
                <w:szCs w:val="21"/>
              </w:rPr>
              <w:t>年</w:t>
            </w:r>
            <w:r>
              <w:rPr>
                <w:rFonts w:hint="eastAsia" w:ascii="宋体" w:hAnsi="宋体" w:cs="宋体"/>
                <w:color w:val="auto"/>
                <w:szCs w:val="21"/>
                <w:lang w:val="en-US" w:eastAsia="zh-CN"/>
              </w:rPr>
              <w:t>2022年</w:t>
            </w:r>
            <w:r>
              <w:rPr>
                <w:rFonts w:hint="eastAsia" w:ascii="宋体" w:hAnsi="宋体" w:cs="宋体"/>
                <w:color w:val="auto"/>
                <w:szCs w:val="21"/>
              </w:rPr>
              <w:t>）</w:t>
            </w:r>
            <w:r>
              <w:rPr>
                <w:rFonts w:hint="eastAsia" w:ascii="宋体" w:hAnsi="宋体" w:cs="宋体"/>
                <w:color w:val="auto"/>
                <w:szCs w:val="21"/>
              </w:rPr>
              <w:t>，</w:t>
            </w:r>
            <w:r>
              <w:rPr>
                <w:rFonts w:hint="eastAsia" w:ascii="宋体" w:hAnsi="宋体" w:cs="宋体"/>
                <w:color w:val="auto"/>
                <w:szCs w:val="21"/>
              </w:rPr>
              <w:t>视为有效检测报告文件</w:t>
            </w:r>
            <w:r>
              <w:rPr>
                <w:rFonts w:hint="eastAsia" w:ascii="宋体" w:hAnsi="宋体" w:cs="宋体"/>
                <w:color w:val="auto"/>
                <w:szCs w:val="21"/>
                <w:lang w:eastAsia="zh-CN"/>
              </w:rPr>
              <w:t>，</w:t>
            </w:r>
            <w:r>
              <w:rPr>
                <w:rFonts w:hint="eastAsia" w:ascii="宋体" w:hAnsi="宋体" w:cs="宋体"/>
                <w:color w:val="auto"/>
                <w:szCs w:val="21"/>
              </w:rPr>
              <w:t>检测报告日期不得晚于本次项目参数公布之日。</w:t>
            </w:r>
            <w:r>
              <w:rPr>
                <w:rFonts w:hint="eastAsia" w:ascii="宋体" w:hAnsi="宋体" w:cs="宋体"/>
                <w:color w:val="auto"/>
                <w:szCs w:val="21"/>
              </w:rPr>
              <w:t>未按招标文件要求提供有效检测报告复印件视为负偏离，如供应商投标文件对招标文件技术要求响应为无偏离，但</w:t>
            </w:r>
            <w:r>
              <w:rPr>
                <w:rFonts w:hint="eastAsia" w:ascii="宋体" w:hAnsi="宋体" w:cs="宋体"/>
                <w:color w:val="auto"/>
                <w:szCs w:val="21"/>
              </w:rPr>
              <w:t>经评标委员会认定为负偏离的，评标委员会可给予相应档次定档，漏项视为负偏离。（投标时提供检测报告原件核查。）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9" w:hRule="atLeast"/>
          <w:jc w:val="center"/>
        </w:trPr>
        <w:tc>
          <w:tcPr>
            <w:tcW w:w="615" w:type="dxa"/>
            <w:vMerge w:val="continue"/>
            <w:tcBorders>
              <w:left w:val="single" w:color="auto" w:sz="4" w:space="0"/>
              <w:bottom w:val="single" w:color="auto" w:sz="4" w:space="0"/>
              <w:right w:val="single" w:color="auto" w:sz="4" w:space="0"/>
            </w:tcBorders>
            <w:vAlign w:val="center"/>
          </w:tcPr>
          <w:p>
            <w:pPr>
              <w:widowControl/>
              <w:spacing w:line="360" w:lineRule="exact"/>
              <w:jc w:val="left"/>
              <w:rPr>
                <w:rFonts w:ascii="宋体" w:hAnsi="宋体"/>
                <w:b/>
                <w:color w:val="000000"/>
                <w:szCs w:val="21"/>
              </w:rPr>
            </w:pPr>
          </w:p>
        </w:tc>
        <w:tc>
          <w:tcPr>
            <w:tcW w:w="851" w:type="dxa"/>
            <w:vMerge w:val="continue"/>
            <w:tcBorders>
              <w:left w:val="single" w:color="auto" w:sz="4" w:space="0"/>
              <w:bottom w:val="single" w:color="auto" w:sz="4" w:space="0"/>
              <w:right w:val="single" w:color="auto" w:sz="4" w:space="0"/>
            </w:tcBorders>
            <w:vAlign w:val="center"/>
          </w:tcPr>
          <w:p>
            <w:pPr>
              <w:widowControl/>
              <w:spacing w:line="360" w:lineRule="exact"/>
              <w:jc w:val="left"/>
              <w:rPr>
                <w:rFonts w:ascii="宋体" w:hAnsi="宋体"/>
                <w:color w:val="000000"/>
                <w:spacing w:val="-18"/>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bCs/>
                <w:color w:val="000000"/>
                <w:szCs w:val="21"/>
              </w:rPr>
            </w:pPr>
            <w:r>
              <w:rPr>
                <w:rFonts w:hint="eastAsia" w:ascii="宋体" w:hAnsi="宋体"/>
                <w:bCs/>
                <w:color w:val="000000"/>
                <w:szCs w:val="21"/>
              </w:rPr>
              <w:t>项目实施方案（满分</w:t>
            </w:r>
            <w:r>
              <w:rPr>
                <w:rFonts w:hint="eastAsia" w:ascii="宋体" w:hAnsi="宋体"/>
                <w:bCs/>
                <w:color w:val="000000"/>
                <w:szCs w:val="21"/>
                <w:lang w:val="en-US" w:eastAsia="zh-CN"/>
              </w:rPr>
              <w:t>19</w:t>
            </w:r>
            <w:r>
              <w:rPr>
                <w:rFonts w:hint="eastAsia" w:ascii="宋体" w:hAnsi="宋体"/>
                <w:bCs/>
                <w:color w:val="000000"/>
                <w:szCs w:val="21"/>
              </w:rPr>
              <w:t>分）</w:t>
            </w:r>
          </w:p>
        </w:tc>
        <w:tc>
          <w:tcPr>
            <w:tcW w:w="687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rFonts w:hint="eastAsia" w:ascii="宋体" w:hAnsi="宋体"/>
                <w:color w:val="000000"/>
                <w:szCs w:val="21"/>
              </w:rPr>
            </w:pPr>
            <w:r>
              <w:rPr>
                <w:rFonts w:hint="eastAsia" w:ascii="宋体" w:hAnsi="宋体" w:cs="宋体"/>
                <w:szCs w:val="21"/>
              </w:rPr>
              <w:t>由评委根据该项目实施方案的编制的科学性、针对性、合理性等方面进行评审并独立打分。 ①项目实施总体规划设计方案、项目实施管理、质量管理、质量保证措施及安全管理方案很简单，评定为差，得</w:t>
            </w:r>
            <w:r>
              <w:rPr>
                <w:rFonts w:hint="eastAsia" w:ascii="宋体" w:hAnsi="宋体" w:cs="宋体"/>
                <w:szCs w:val="21"/>
                <w:lang w:val="en-US" w:eastAsia="zh-CN"/>
              </w:rPr>
              <w:t>5</w:t>
            </w:r>
            <w:r>
              <w:rPr>
                <w:rFonts w:hint="eastAsia" w:ascii="宋体" w:hAnsi="宋体" w:cs="宋体"/>
                <w:szCs w:val="21"/>
              </w:rPr>
              <w:t>分； ②项目实施总体规划设计方案、项目实施管理、质量管理、质量保证措施及安全管理方案较详细，评定为一般，得 1</w:t>
            </w:r>
            <w:r>
              <w:rPr>
                <w:rFonts w:hint="eastAsia" w:ascii="宋体" w:hAnsi="宋体" w:cs="宋体"/>
                <w:szCs w:val="21"/>
                <w:lang w:val="en-US" w:eastAsia="zh-CN"/>
              </w:rPr>
              <w:t>0</w:t>
            </w:r>
            <w:r>
              <w:rPr>
                <w:rFonts w:hint="eastAsia" w:ascii="宋体" w:hAnsi="宋体" w:cs="宋体"/>
                <w:szCs w:val="21"/>
              </w:rPr>
              <w:t xml:space="preserve"> 分； ③项目实施总体规划设计方案、项目实施管理、质量管理、质量保证措施及安全管理方案很详细，具有科学性、针对性，方案较合理，评定为良好，得</w:t>
            </w:r>
            <w:r>
              <w:rPr>
                <w:rFonts w:hint="eastAsia" w:ascii="宋体" w:hAnsi="宋体" w:cs="宋体"/>
                <w:szCs w:val="21"/>
                <w:lang w:val="en-US" w:eastAsia="zh-CN"/>
              </w:rPr>
              <w:t>15</w:t>
            </w:r>
            <w:r>
              <w:rPr>
                <w:rFonts w:hint="eastAsia" w:ascii="宋体" w:hAnsi="宋体" w:cs="宋体"/>
                <w:szCs w:val="21"/>
              </w:rPr>
              <w:t>分； ④项目实施总体规划设计方案、项目实施管理、质量管理、质量保证措施及安全管理方案很详细，项目实施管理、质量管理、质量保正措施方案针对性强，所有方案有一定的科学性且合理的，评为优，得</w:t>
            </w:r>
            <w:r>
              <w:rPr>
                <w:rFonts w:hint="eastAsia" w:ascii="宋体" w:hAnsi="宋体" w:cs="宋体"/>
                <w:szCs w:val="21"/>
                <w:lang w:val="en-US" w:eastAsia="zh-CN"/>
              </w:rPr>
              <w:t>19</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615" w:type="dxa"/>
            <w:tcBorders>
              <w:top w:val="single" w:color="auto" w:sz="4" w:space="0"/>
              <w:left w:val="single" w:color="auto" w:sz="4" w:space="0"/>
              <w:right w:val="single" w:color="auto" w:sz="4" w:space="0"/>
            </w:tcBorders>
            <w:vAlign w:val="center"/>
          </w:tcPr>
          <w:p>
            <w:pPr>
              <w:spacing w:line="360" w:lineRule="exact"/>
              <w:jc w:val="center"/>
              <w:rPr>
                <w:rFonts w:ascii="宋体" w:hAnsi="宋体"/>
                <w:b/>
                <w:color w:val="000000"/>
                <w:szCs w:val="21"/>
              </w:rPr>
            </w:pPr>
            <w:r>
              <w:rPr>
                <w:rFonts w:ascii="宋体" w:hAnsi="宋体"/>
                <w:b/>
                <w:color w:val="000000"/>
                <w:szCs w:val="21"/>
              </w:rPr>
              <w:t xml:space="preserve"> 3</w:t>
            </w:r>
          </w:p>
        </w:tc>
        <w:tc>
          <w:tcPr>
            <w:tcW w:w="851" w:type="dxa"/>
            <w:tcBorders>
              <w:top w:val="single" w:color="auto" w:sz="4" w:space="0"/>
              <w:left w:val="single" w:color="auto" w:sz="4" w:space="0"/>
              <w:right w:val="single" w:color="auto" w:sz="4" w:space="0"/>
            </w:tcBorders>
            <w:vAlign w:val="center"/>
          </w:tcPr>
          <w:p>
            <w:pPr>
              <w:spacing w:line="360" w:lineRule="exact"/>
              <w:jc w:val="center"/>
              <w:rPr>
                <w:rFonts w:ascii="宋体" w:hAnsi="宋体"/>
                <w:b/>
                <w:color w:val="000000"/>
                <w:szCs w:val="21"/>
              </w:rPr>
            </w:pPr>
            <w:r>
              <w:rPr>
                <w:rFonts w:hint="eastAsia" w:ascii="宋体" w:hAnsi="宋体"/>
                <w:b/>
                <w:bCs/>
                <w:color w:val="000000"/>
                <w:szCs w:val="21"/>
              </w:rPr>
              <w:t>售后服务分（</w:t>
            </w:r>
            <w:r>
              <w:rPr>
                <w:rFonts w:hint="eastAsia" w:ascii="宋体" w:hAnsi="宋体"/>
                <w:b/>
                <w:color w:val="000000"/>
                <w:szCs w:val="21"/>
              </w:rPr>
              <w:t>满分</w:t>
            </w:r>
            <w:r>
              <w:rPr>
                <w:rFonts w:hint="eastAsia" w:ascii="宋体" w:hAnsi="宋体"/>
                <w:b/>
                <w:color w:val="000000"/>
                <w:szCs w:val="21"/>
                <w:lang w:val="en-US" w:eastAsia="zh-CN"/>
              </w:rPr>
              <w:t>15</w:t>
            </w:r>
            <w:r>
              <w:rPr>
                <w:rFonts w:hint="eastAsia" w:ascii="宋体" w:hAnsi="宋体"/>
                <w:b/>
                <w:color w:val="000000"/>
                <w:szCs w:val="21"/>
              </w:rPr>
              <w:t>分</w:t>
            </w:r>
            <w:r>
              <w:rPr>
                <w:rFonts w:hint="eastAsia" w:ascii="宋体" w:hAnsi="宋体"/>
                <w:b/>
                <w:bCs/>
                <w:color w:val="000000"/>
                <w:szCs w:val="21"/>
              </w:rPr>
              <w:t>）</w:t>
            </w:r>
          </w:p>
        </w:tc>
        <w:tc>
          <w:tcPr>
            <w:tcW w:w="110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60" w:lineRule="exact"/>
              <w:jc w:val="center"/>
              <w:rPr>
                <w:rFonts w:ascii="宋体" w:hAnsi="宋体"/>
                <w:color w:val="000000"/>
                <w:szCs w:val="21"/>
              </w:rPr>
            </w:pPr>
            <w:r>
              <w:rPr>
                <w:rFonts w:hint="eastAsia" w:ascii="宋体" w:hAnsi="宋体" w:cs="宋体"/>
                <w:szCs w:val="21"/>
              </w:rPr>
              <w:t>售后服务方案（满分15分）</w:t>
            </w:r>
          </w:p>
        </w:tc>
        <w:tc>
          <w:tcPr>
            <w:tcW w:w="6879"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Courier New"/>
                <w:color w:val="000000"/>
                <w:szCs w:val="21"/>
              </w:rPr>
            </w:pPr>
            <w:r>
              <w:rPr>
                <w:rFonts w:hint="eastAsia" w:ascii="宋体" w:hAnsi="宋体" w:cs="宋体"/>
                <w:szCs w:val="21"/>
              </w:rPr>
              <w:t>由评委根据投标文件中售后服务承诺书内容的完整性、可行性、到达故障现场时间、故障出现解决方案、定期维护（注明时间）、免费技术培训方案、保修期外维修方案、提供备品备件、其他优惠措施等方面进行独立评审并独立打分。满分15分。 ①售后服务方案简单，培训方案、服务人员配置、定期回访安排、排除故障时间、基本满足招标文件要求，得 5分； ②售后服务方案简单，培训方案、服务人员配置、定期回访安排、排除故障时间满足并优于招标文件要求得10分 ③售后服务方案详细，                                                                                                                                                                                                                                                                                                                                                         售后和验收方案完整、合理培训方案安排、有完整的项目组织机构及人员配备且合理的、提供定期回访安排、商务条款要求的服务承诺最优，得15分。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5" w:type="dxa"/>
            <w:vMerge w:val="restart"/>
            <w:tcBorders>
              <w:top w:val="single" w:color="auto" w:sz="4" w:space="0"/>
              <w:left w:val="single" w:color="auto" w:sz="4" w:space="0"/>
              <w:right w:val="single" w:color="auto" w:sz="4" w:space="0"/>
            </w:tcBorders>
            <w:vAlign w:val="center"/>
          </w:tcPr>
          <w:p>
            <w:pPr>
              <w:adjustRightInd w:val="0"/>
              <w:spacing w:line="360" w:lineRule="exact"/>
              <w:jc w:val="center"/>
              <w:textAlignment w:val="baseline"/>
              <w:rPr>
                <w:rFonts w:ascii="宋体" w:hAnsi="宋体"/>
                <w:b/>
                <w:color w:val="000000"/>
                <w:szCs w:val="21"/>
              </w:rPr>
            </w:pPr>
            <w:r>
              <w:rPr>
                <w:rFonts w:ascii="宋体" w:hAnsi="宋体"/>
                <w:b/>
                <w:color w:val="000000"/>
                <w:szCs w:val="21"/>
              </w:rPr>
              <w:t>4</w:t>
            </w:r>
          </w:p>
        </w:tc>
        <w:tc>
          <w:tcPr>
            <w:tcW w:w="851" w:type="dxa"/>
            <w:vMerge w:val="restart"/>
            <w:tcBorders>
              <w:top w:val="single" w:color="auto" w:sz="4" w:space="0"/>
              <w:left w:val="single" w:color="auto" w:sz="4" w:space="0"/>
              <w:right w:val="single" w:color="auto" w:sz="4" w:space="0"/>
            </w:tcBorders>
            <w:vAlign w:val="center"/>
          </w:tcPr>
          <w:p>
            <w:pPr>
              <w:adjustRightInd w:val="0"/>
              <w:spacing w:line="360" w:lineRule="exact"/>
              <w:jc w:val="center"/>
              <w:textAlignment w:val="baseline"/>
              <w:rPr>
                <w:rFonts w:ascii="宋体" w:hAnsi="宋体"/>
                <w:b/>
                <w:color w:val="000000"/>
                <w:szCs w:val="21"/>
              </w:rPr>
            </w:pPr>
            <w:r>
              <w:rPr>
                <w:rFonts w:hint="eastAsia" w:ascii="宋体" w:hAnsi="宋体"/>
                <w:b/>
                <w:bCs/>
                <w:color w:val="000000"/>
                <w:szCs w:val="21"/>
              </w:rPr>
              <w:t>信誉分（</w:t>
            </w:r>
            <w:r>
              <w:rPr>
                <w:rFonts w:hint="eastAsia" w:ascii="宋体" w:hAnsi="宋体"/>
                <w:b/>
                <w:color w:val="000000"/>
                <w:szCs w:val="21"/>
              </w:rPr>
              <w:t>满分6分</w:t>
            </w:r>
            <w:r>
              <w:rPr>
                <w:rFonts w:hint="eastAsia" w:ascii="宋体" w:hAnsi="宋体"/>
                <w:b/>
                <w:bCs/>
                <w:color w:val="000000"/>
                <w:szCs w:val="21"/>
              </w:rPr>
              <w:t>）</w:t>
            </w:r>
          </w:p>
        </w:tc>
        <w:tc>
          <w:tcPr>
            <w:tcW w:w="110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60" w:lineRule="exact"/>
              <w:jc w:val="center"/>
              <w:rPr>
                <w:rFonts w:ascii="宋体" w:hAnsi="宋体"/>
                <w:color w:val="000000"/>
                <w:szCs w:val="21"/>
              </w:rPr>
            </w:pPr>
            <w:r>
              <w:rPr>
                <w:rFonts w:hint="eastAsia" w:ascii="宋体" w:hAnsi="宋体" w:cs="宋体"/>
                <w:b/>
                <w:szCs w:val="21"/>
              </w:rPr>
              <w:t>业绩情况（满分2分）</w:t>
            </w:r>
          </w:p>
        </w:tc>
        <w:tc>
          <w:tcPr>
            <w:tcW w:w="6879"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color w:val="auto"/>
                <w:szCs w:val="21"/>
              </w:rPr>
            </w:pPr>
            <w:r>
              <w:rPr>
                <w:rFonts w:hint="eastAsia" w:ascii="宋体" w:hAnsi="宋体" w:cs="宋体"/>
                <w:color w:val="auto"/>
                <w:szCs w:val="21"/>
              </w:rPr>
              <w:t>投标人在近三年（201</w:t>
            </w:r>
            <w:r>
              <w:rPr>
                <w:rFonts w:hint="eastAsia" w:ascii="宋体" w:hAnsi="宋体" w:cs="宋体"/>
                <w:color w:val="auto"/>
                <w:szCs w:val="21"/>
                <w:lang w:val="en-US" w:eastAsia="zh-CN"/>
              </w:rPr>
              <w:t>9</w:t>
            </w:r>
            <w:r>
              <w:rPr>
                <w:rFonts w:hint="eastAsia" w:ascii="宋体" w:hAnsi="宋体" w:cs="宋体"/>
                <w:color w:val="auto"/>
                <w:szCs w:val="21"/>
              </w:rPr>
              <w:t>年起）需具有类似专业同类货物的销售业绩，每份合同得1分，最高2分。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5" w:type="dxa"/>
            <w:vMerge w:val="continue"/>
            <w:tcBorders>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b/>
                <w:color w:val="000000"/>
                <w:szCs w:val="21"/>
              </w:rPr>
            </w:pPr>
          </w:p>
        </w:tc>
        <w:tc>
          <w:tcPr>
            <w:tcW w:w="851" w:type="dxa"/>
            <w:vMerge w:val="continue"/>
            <w:tcBorders>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hint="eastAsia" w:ascii="宋体" w:hAnsi="宋体"/>
                <w:b/>
                <w:bCs/>
                <w:color w:val="000000"/>
                <w:szCs w:val="21"/>
              </w:rPr>
            </w:pPr>
          </w:p>
        </w:tc>
        <w:tc>
          <w:tcPr>
            <w:tcW w:w="110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60" w:lineRule="exact"/>
              <w:jc w:val="center"/>
              <w:rPr>
                <w:rFonts w:hint="eastAsia" w:ascii="宋体" w:hAnsi="宋体"/>
                <w:color w:val="000000"/>
                <w:szCs w:val="21"/>
              </w:rPr>
            </w:pPr>
            <w:r>
              <w:rPr>
                <w:rFonts w:hint="eastAsia" w:ascii="宋体" w:hAnsi="宋体" w:cs="宋体"/>
                <w:b/>
                <w:szCs w:val="21"/>
              </w:rPr>
              <w:t>资质信誉 （满分4分）</w:t>
            </w:r>
          </w:p>
        </w:tc>
        <w:tc>
          <w:tcPr>
            <w:tcW w:w="6879"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color w:val="auto"/>
                <w:szCs w:val="21"/>
              </w:rPr>
            </w:pPr>
            <w:r>
              <w:rPr>
                <w:rFonts w:hint="eastAsia" w:ascii="宋体" w:hAnsi="宋体"/>
                <w:color w:val="auto"/>
                <w:szCs w:val="21"/>
              </w:rPr>
              <w:t>（1）投标人通过ISO9001质量管理体系认证且在有效期内的得1分；投标人需提供有效的证书复印件。</w:t>
            </w:r>
          </w:p>
          <w:p>
            <w:pPr>
              <w:spacing w:line="360" w:lineRule="exact"/>
              <w:rPr>
                <w:rFonts w:ascii="宋体" w:hAnsi="宋体"/>
                <w:color w:val="auto"/>
                <w:szCs w:val="21"/>
              </w:rPr>
            </w:pPr>
            <w:r>
              <w:rPr>
                <w:rFonts w:hint="eastAsia" w:ascii="宋体" w:hAnsi="宋体"/>
                <w:color w:val="auto"/>
                <w:szCs w:val="21"/>
              </w:rPr>
              <w:t>（2）投标人通过ISO13485质量管理体系认证且在有效期内的得1分；投标人需提供有效的证书复印件。</w:t>
            </w:r>
          </w:p>
          <w:p>
            <w:pPr>
              <w:spacing w:line="360" w:lineRule="exact"/>
              <w:rPr>
                <w:rFonts w:ascii="宋体" w:hAnsi="宋体"/>
                <w:color w:val="auto"/>
                <w:szCs w:val="21"/>
              </w:rPr>
            </w:pPr>
            <w:r>
              <w:rPr>
                <w:rFonts w:hint="eastAsia" w:ascii="宋体" w:hAnsi="宋体"/>
                <w:color w:val="auto"/>
                <w:szCs w:val="21"/>
              </w:rPr>
              <w:t>（3）201</w:t>
            </w:r>
            <w:r>
              <w:rPr>
                <w:rFonts w:hint="eastAsia" w:ascii="宋体" w:hAnsi="宋体"/>
                <w:color w:val="auto"/>
                <w:szCs w:val="21"/>
                <w:lang w:val="en-US" w:eastAsia="zh-CN"/>
              </w:rPr>
              <w:t>9</w:t>
            </w:r>
            <w:r>
              <w:rPr>
                <w:rFonts w:hint="eastAsia" w:ascii="宋体" w:hAnsi="宋体"/>
                <w:color w:val="auto"/>
                <w:szCs w:val="21"/>
              </w:rPr>
              <w:t>年1月1日起至今，投标人或制造商参与国家级残疾人辅助器具相关课题研究项目的得2分。满分2分。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color w:val="000000"/>
                <w:szCs w:val="21"/>
              </w:rPr>
            </w:pPr>
            <w:r>
              <w:rPr>
                <w:rFonts w:ascii="宋体" w:hAnsi="宋体"/>
                <w:b/>
                <w:color w:val="000000"/>
                <w:szCs w:val="21"/>
              </w:rPr>
              <w:t>5</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color w:val="000000"/>
                <w:szCs w:val="21"/>
              </w:rPr>
            </w:pPr>
            <w:r>
              <w:rPr>
                <w:rFonts w:hint="eastAsia" w:ascii="宋体" w:hAnsi="宋体"/>
                <w:b/>
                <w:color w:val="000000"/>
                <w:szCs w:val="21"/>
              </w:rPr>
              <w:t>政策功能分（</w:t>
            </w:r>
            <w:r>
              <w:rPr>
                <w:rFonts w:hint="eastAsia" w:ascii="宋体" w:hAnsi="宋体"/>
                <w:b/>
                <w:color w:val="000000"/>
                <w:szCs w:val="21"/>
                <w:lang w:val="en-US" w:eastAsia="zh-CN"/>
              </w:rPr>
              <w:t>1</w:t>
            </w:r>
            <w:r>
              <w:rPr>
                <w:rFonts w:hint="eastAsia" w:ascii="宋体" w:hAnsi="宋体"/>
                <w:b/>
                <w:color w:val="000000"/>
                <w:szCs w:val="21"/>
              </w:rPr>
              <w:t>分）</w:t>
            </w:r>
          </w:p>
        </w:tc>
        <w:tc>
          <w:tcPr>
            <w:tcW w:w="11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Cs w:val="21"/>
              </w:rPr>
            </w:pPr>
            <w:r>
              <w:rPr>
                <w:rFonts w:hint="eastAsia" w:ascii="宋体" w:hAnsi="宋体"/>
                <w:color w:val="000000"/>
                <w:szCs w:val="21"/>
              </w:rPr>
              <w:t>节能、环保分</w:t>
            </w:r>
            <w:r>
              <w:rPr>
                <w:rFonts w:hint="eastAsia" w:ascii="宋体" w:hAnsi="宋体"/>
                <w:bCs/>
                <w:color w:val="000000"/>
                <w:szCs w:val="21"/>
              </w:rPr>
              <w:t>（</w:t>
            </w:r>
            <w:r>
              <w:rPr>
                <w:rFonts w:hint="eastAsia" w:ascii="宋体" w:hAnsi="宋体"/>
                <w:color w:val="000000"/>
                <w:szCs w:val="21"/>
              </w:rPr>
              <w:t>满分</w:t>
            </w:r>
            <w:r>
              <w:rPr>
                <w:rFonts w:hint="eastAsia" w:ascii="宋体" w:hAnsi="宋体"/>
                <w:color w:val="000000"/>
                <w:szCs w:val="21"/>
                <w:lang w:val="en-US" w:eastAsia="zh-CN"/>
              </w:rPr>
              <w:t>1</w:t>
            </w:r>
            <w:r>
              <w:rPr>
                <w:rFonts w:hint="eastAsia" w:ascii="宋体" w:hAnsi="宋体"/>
                <w:color w:val="000000"/>
                <w:szCs w:val="21"/>
              </w:rPr>
              <w:t>分</w:t>
            </w:r>
            <w:r>
              <w:rPr>
                <w:rFonts w:hint="eastAsia" w:ascii="宋体" w:hAnsi="宋体"/>
                <w:bCs/>
                <w:color w:val="000000"/>
                <w:szCs w:val="21"/>
              </w:rPr>
              <w:t>）</w:t>
            </w:r>
          </w:p>
        </w:tc>
        <w:tc>
          <w:tcPr>
            <w:tcW w:w="6879"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left"/>
              <w:rPr>
                <w:rFonts w:ascii="宋体" w:hAnsi="宋体"/>
                <w:color w:val="000000"/>
                <w:szCs w:val="21"/>
              </w:rPr>
            </w:pPr>
            <w:r>
              <w:rPr>
                <w:rFonts w:hint="eastAsia" w:ascii="宋体" w:hAnsi="宋体"/>
                <w:color w:val="000000"/>
                <w:szCs w:val="21"/>
              </w:rPr>
              <w:t>（1）属于财政部《节能产品政府采购品目清单》内优先采购（清单内未标注“</w:t>
            </w:r>
            <w:r>
              <w:rPr>
                <w:rFonts w:hint="eastAsia" w:ascii="宋体" w:hAnsi="宋体" w:cs="宋体"/>
                <w:color w:val="000000"/>
                <w:kern w:val="0"/>
                <w:szCs w:val="21"/>
              </w:rPr>
              <w:t>★</w:t>
            </w:r>
            <w:r>
              <w:rPr>
                <w:rFonts w:hint="eastAsia" w:ascii="宋体" w:hAnsi="宋体"/>
                <w:color w:val="000000"/>
                <w:szCs w:val="21"/>
              </w:rPr>
              <w:t>”的品目）的产品[投标文件中提供有效的认证证书复印件及品目清单（标注出投标产品在品目清单中所属的品目），并加盖供应商公章]，根据其所占项目（或分标）金额比例得0-</w:t>
            </w:r>
            <w:r>
              <w:rPr>
                <w:rFonts w:hint="eastAsia" w:ascii="宋体" w:hAnsi="宋体"/>
                <w:color w:val="000000"/>
                <w:szCs w:val="21"/>
                <w:lang w:val="en-US" w:eastAsia="zh-CN"/>
              </w:rPr>
              <w:t>0.5</w:t>
            </w:r>
            <w:r>
              <w:rPr>
                <w:rFonts w:hint="eastAsia" w:ascii="宋体" w:hAnsi="宋体"/>
                <w:color w:val="000000"/>
                <w:szCs w:val="21"/>
              </w:rPr>
              <w:t>分。</w:t>
            </w:r>
            <w:r>
              <w:rPr>
                <w:rFonts w:hint="eastAsia" w:ascii="宋体" w:hAnsi="宋体"/>
                <w:color w:val="000000"/>
                <w:szCs w:val="21"/>
              </w:rPr>
              <w:br w:type="textWrapping"/>
            </w:r>
            <w:r>
              <w:rPr>
                <w:rFonts w:hint="eastAsia" w:ascii="宋体" w:hAnsi="宋体"/>
                <w:color w:val="000000"/>
                <w:szCs w:val="21"/>
              </w:rPr>
              <w:t>（2）属于财政部《环境标志产品政府采购品目清单》内的产品[投标文件中提供有效的认证证书复印件及品目清单（标注出投标产品在品目清单中所属的品目），并加盖供应商公章]，根据其所占项目（或分标）金额比例得0-</w:t>
            </w:r>
            <w:r>
              <w:rPr>
                <w:rFonts w:hint="eastAsia" w:ascii="宋体" w:hAnsi="宋体"/>
                <w:color w:val="000000"/>
                <w:szCs w:val="21"/>
                <w:lang w:val="en-US" w:eastAsia="zh-CN"/>
              </w:rPr>
              <w:t>0.5</w:t>
            </w:r>
            <w:r>
              <w:rPr>
                <w:rFonts w:hint="eastAsia" w:ascii="宋体" w:hAnsi="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5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ind w:firstLine="420"/>
              <w:rPr>
                <w:rFonts w:ascii="宋体" w:hAnsi="宋体"/>
                <w:bCs/>
                <w:color w:val="000000"/>
                <w:szCs w:val="21"/>
              </w:rPr>
            </w:pPr>
            <w:r>
              <w:rPr>
                <w:rFonts w:hint="eastAsia" w:ascii="宋体" w:hAnsi="宋体"/>
                <w:b/>
                <w:bCs/>
                <w:color w:val="000000"/>
                <w:szCs w:val="21"/>
              </w:rPr>
              <w:t>总得分</w:t>
            </w:r>
            <w:r>
              <w:rPr>
                <w:rFonts w:ascii="宋体" w:hAnsi="宋体"/>
                <w:b/>
                <w:bCs/>
                <w:color w:val="000000"/>
                <w:szCs w:val="21"/>
              </w:rPr>
              <w:t>=1+2+3+4+5</w:t>
            </w:r>
            <w:r>
              <w:rPr>
                <w:rFonts w:hint="eastAsia" w:ascii="宋体" w:hAnsi="宋体"/>
                <w:b/>
                <w:bCs/>
                <w:color w:val="000000"/>
                <w:szCs w:val="21"/>
              </w:rPr>
              <w:t>。</w:t>
            </w:r>
          </w:p>
        </w:tc>
      </w:tr>
    </w:tbl>
    <w:p>
      <w:pPr>
        <w:pStyle w:val="15"/>
        <w:spacing w:line="360" w:lineRule="auto"/>
        <w:ind w:firstLine="420"/>
        <w:rPr>
          <w:rFonts w:hint="eastAsia" w:hAnsi="宋体"/>
          <w:bCs/>
          <w:color w:val="000000"/>
          <w:sz w:val="21"/>
        </w:rPr>
      </w:pPr>
    </w:p>
    <w:p>
      <w:pPr>
        <w:pStyle w:val="15"/>
        <w:spacing w:line="360" w:lineRule="auto"/>
        <w:ind w:firstLine="420"/>
        <w:rPr>
          <w:rFonts w:hint="eastAsia" w:hAnsi="宋体"/>
          <w:bCs/>
          <w:color w:val="000000"/>
          <w:sz w:val="21"/>
        </w:rPr>
      </w:pPr>
      <w:r>
        <w:rPr>
          <w:rFonts w:hint="eastAsia" w:hAnsi="宋体"/>
          <w:bCs/>
          <w:color w:val="000000"/>
          <w:sz w:val="21"/>
        </w:rPr>
        <w:t>注：计分方法按四舍五入取至百分位</w:t>
      </w:r>
    </w:p>
    <w:p>
      <w:pPr>
        <w:pStyle w:val="7"/>
        <w:keepNext w:val="0"/>
        <w:keepLines w:val="0"/>
        <w:jc w:val="center"/>
        <w:rPr>
          <w:rFonts w:hint="eastAsia"/>
          <w:color w:val="000000"/>
        </w:rPr>
      </w:pPr>
    </w:p>
    <w:p>
      <w:pPr>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3"/>
        <w:rPr>
          <w:rFonts w:hint="eastAsia"/>
          <w:color w:val="000000"/>
        </w:rPr>
      </w:pPr>
    </w:p>
    <w:p>
      <w:pPr>
        <w:pStyle w:val="7"/>
        <w:keepNext w:val="0"/>
        <w:keepLines w:val="0"/>
        <w:jc w:val="center"/>
        <w:rPr>
          <w:rFonts w:hint="eastAsia" w:eastAsia="宋体"/>
          <w:color w:val="000000"/>
          <w:lang w:eastAsia="zh-CN"/>
        </w:rPr>
      </w:pPr>
      <w:r>
        <w:rPr>
          <w:rFonts w:hint="eastAsia"/>
          <w:color w:val="000000"/>
        </w:rPr>
        <w:t>综合评分法</w:t>
      </w:r>
      <w:r>
        <w:rPr>
          <w:rFonts w:hint="eastAsia"/>
          <w:color w:val="000000"/>
          <w:lang w:eastAsia="zh-CN"/>
        </w:rPr>
        <w:t>（</w:t>
      </w:r>
      <w:r>
        <w:rPr>
          <w:rFonts w:hint="eastAsia"/>
          <w:color w:val="000000"/>
          <w:lang w:val="en-US" w:eastAsia="zh-CN"/>
        </w:rPr>
        <w:t>适用于E分标</w:t>
      </w:r>
      <w:r>
        <w:rPr>
          <w:rFonts w:hint="eastAsia"/>
          <w:color w:val="000000"/>
          <w:lang w:eastAsia="zh-CN"/>
        </w:rPr>
        <w:t>）</w:t>
      </w:r>
    </w:p>
    <w:tbl>
      <w:tblPr>
        <w:tblStyle w:val="24"/>
        <w:tblW w:w="9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851"/>
        <w:gridCol w:w="1105"/>
        <w:gridCol w:w="6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6"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color w:val="000000"/>
                <w:szCs w:val="21"/>
              </w:rPr>
            </w:pPr>
            <w:r>
              <w:rPr>
                <w:rFonts w:hint="eastAsia" w:ascii="宋体" w:hAnsi="宋体"/>
                <w:b/>
                <w:color w:val="000000"/>
                <w:szCs w:val="21"/>
              </w:rPr>
              <w:t>序号</w:t>
            </w:r>
          </w:p>
        </w:tc>
        <w:tc>
          <w:tcPr>
            <w:tcW w:w="110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color w:val="000000"/>
                <w:szCs w:val="21"/>
              </w:rPr>
            </w:pPr>
            <w:r>
              <w:rPr>
                <w:rFonts w:hint="eastAsia" w:ascii="宋体" w:hAnsi="宋体"/>
                <w:b/>
                <w:color w:val="000000"/>
                <w:szCs w:val="21"/>
              </w:rPr>
              <w:t>评分因素</w:t>
            </w:r>
          </w:p>
        </w:tc>
        <w:tc>
          <w:tcPr>
            <w:tcW w:w="687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color w:val="000000"/>
                <w:szCs w:val="21"/>
              </w:rPr>
            </w:pPr>
            <w:r>
              <w:rPr>
                <w:rFonts w:hint="eastAsia" w:ascii="宋体" w:hAnsi="宋体"/>
                <w:b/>
                <w:color w:val="00000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b/>
                <w:color w:val="000000"/>
                <w:szCs w:val="21"/>
              </w:rPr>
            </w:pPr>
            <w:r>
              <w:rPr>
                <w:rFonts w:ascii="宋体" w:hAnsi="宋体"/>
                <w:b/>
                <w:color w:val="000000"/>
                <w:szCs w:val="21"/>
              </w:rPr>
              <w:t>1</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b/>
                <w:color w:val="000000"/>
                <w:szCs w:val="21"/>
              </w:rPr>
            </w:pPr>
            <w:r>
              <w:rPr>
                <w:rFonts w:hint="eastAsia" w:ascii="宋体" w:hAnsi="宋体"/>
                <w:b/>
                <w:color w:val="000000"/>
                <w:szCs w:val="21"/>
              </w:rPr>
              <w:t>价格分</w:t>
            </w:r>
          </w:p>
          <w:p>
            <w:pPr>
              <w:adjustRightInd w:val="0"/>
              <w:spacing w:line="360" w:lineRule="exact"/>
              <w:jc w:val="center"/>
              <w:textAlignment w:val="baseline"/>
              <w:rPr>
                <w:rFonts w:ascii="宋体" w:hAnsi="宋体"/>
                <w:color w:val="000000"/>
                <w:szCs w:val="21"/>
              </w:rPr>
            </w:pPr>
            <w:r>
              <w:rPr>
                <w:rFonts w:hint="eastAsia" w:ascii="宋体" w:hAnsi="宋体"/>
                <w:b/>
                <w:color w:val="000000"/>
                <w:szCs w:val="21"/>
              </w:rPr>
              <w:t>（</w:t>
            </w:r>
            <w:r>
              <w:rPr>
                <w:rFonts w:ascii="宋体" w:hAnsi="宋体"/>
                <w:b/>
                <w:color w:val="000000"/>
                <w:szCs w:val="21"/>
              </w:rPr>
              <w:t>30</w:t>
            </w:r>
            <w:r>
              <w:rPr>
                <w:rFonts w:hint="eastAsia" w:ascii="宋体" w:hAnsi="宋体"/>
                <w:b/>
                <w:color w:val="000000"/>
                <w:szCs w:val="21"/>
              </w:rPr>
              <w:t>分）</w:t>
            </w:r>
          </w:p>
        </w:tc>
        <w:tc>
          <w:tcPr>
            <w:tcW w:w="110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color w:val="000000"/>
                <w:szCs w:val="21"/>
              </w:rPr>
            </w:pPr>
            <w:r>
              <w:rPr>
                <w:rFonts w:hint="eastAsia" w:ascii="宋体" w:hAnsi="宋体"/>
                <w:color w:val="000000"/>
                <w:szCs w:val="21"/>
              </w:rPr>
              <w:t>投标报价（满分</w:t>
            </w:r>
            <w:r>
              <w:rPr>
                <w:rFonts w:ascii="宋体" w:hAnsi="宋体"/>
                <w:color w:val="000000"/>
                <w:szCs w:val="21"/>
              </w:rPr>
              <w:t>30</w:t>
            </w:r>
            <w:r>
              <w:rPr>
                <w:rFonts w:hint="eastAsia" w:ascii="宋体" w:hAnsi="宋体"/>
                <w:color w:val="000000"/>
                <w:szCs w:val="21"/>
              </w:rPr>
              <w:t>分）</w:t>
            </w:r>
          </w:p>
        </w:tc>
        <w:tc>
          <w:tcPr>
            <w:tcW w:w="687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233" w:firstLineChars="111"/>
              <w:rPr>
                <w:rFonts w:hint="eastAsia"/>
              </w:rPr>
            </w:pPr>
            <w:r>
              <w:rPr>
                <w:rFonts w:hint="eastAsia"/>
              </w:rPr>
              <w:t>（1）评标报价为投标人的投标报价进行政策性扣除后的价格，评标报价只是作为评标时使用。最终中标人的中标金额等于投标报价。</w:t>
            </w:r>
          </w:p>
          <w:p>
            <w:pPr>
              <w:snapToGrid w:val="0"/>
              <w:spacing w:line="360" w:lineRule="exact"/>
              <w:ind w:firstLine="233" w:firstLineChars="111"/>
              <w:rPr>
                <w:rFonts w:hint="eastAsia"/>
              </w:rPr>
            </w:pPr>
            <w:r>
              <w:rPr>
                <w:rFonts w:hint="eastAsia"/>
              </w:rPr>
              <w:t>（2）政策性扣除计算方法。</w:t>
            </w:r>
          </w:p>
          <w:p>
            <w:pPr>
              <w:snapToGrid w:val="0"/>
              <w:spacing w:line="360" w:lineRule="exact"/>
              <w:ind w:firstLine="233" w:firstLineChars="111"/>
              <w:rPr>
                <w:rFonts w:hint="eastAsia"/>
              </w:rPr>
            </w:pPr>
            <w:r>
              <w:rPr>
                <w:rFonts w:hint="eastAsia"/>
              </w:rPr>
              <w:t>根据《政府采购促进中小企业发展管理办法》（财库〔2020〕46号）的规定，投标人在其投标文件中提供《中小企业声明函》，且其投标全部货物由小微企业制造的，对其投标报价给予10%的扣除，扣除后的价格为评标报价，即评标报价=</w:t>
            </w:r>
            <w:r>
              <w:rPr>
                <w:rFonts w:hint="eastAsia"/>
                <w:lang w:eastAsia="zh-CN"/>
              </w:rPr>
              <w:t>（</w:t>
            </w:r>
            <w:r>
              <w:rPr>
                <w:rFonts w:hint="eastAsia"/>
                <w:lang w:val="en-US" w:eastAsia="zh-CN"/>
              </w:rPr>
              <w:t>1-投标折让率</w:t>
            </w:r>
            <w:r>
              <w:rPr>
                <w:rFonts w:hint="eastAsia"/>
                <w:lang w:eastAsia="zh-CN"/>
              </w:rPr>
              <w:t>）</w:t>
            </w:r>
            <w:r>
              <w:rPr>
                <w:rFonts w:hint="eastAsia"/>
              </w:rPr>
              <w:t>×（1-10%）。接受大中型企业与小微企业组成联合体或者允许大中型企业向一家或者多家小微企业分包的采购项目，联合协议或者分包意向协议约定小微企业的合同份额占到合同总金额30%以上的，采购人、采购代理机构应当对联合体或者大中型企业的报价给予2%的扣除，用扣除后的价格参加评审，扣除后的价格为评标报价，即评标报价=</w:t>
            </w:r>
            <w:r>
              <w:rPr>
                <w:rFonts w:hint="eastAsia"/>
                <w:lang w:eastAsia="zh-CN"/>
              </w:rPr>
              <w:t>（</w:t>
            </w:r>
            <w:r>
              <w:rPr>
                <w:rFonts w:hint="eastAsia"/>
                <w:lang w:val="en-US" w:eastAsia="zh-CN"/>
              </w:rPr>
              <w:t>1-投标折让率</w:t>
            </w:r>
            <w:r>
              <w:rPr>
                <w:rFonts w:hint="eastAsia"/>
                <w:lang w:eastAsia="zh-CN"/>
              </w:rPr>
              <w:t>）</w:t>
            </w:r>
            <w:r>
              <w:rPr>
                <w:rFonts w:hint="eastAsia"/>
              </w:rPr>
              <w:t>×（1-2%）。除上述情况外，评标报价=</w:t>
            </w:r>
            <w:r>
              <w:rPr>
                <w:rFonts w:hint="eastAsia"/>
                <w:lang w:eastAsia="zh-CN"/>
              </w:rPr>
              <w:t>（</w:t>
            </w:r>
            <w:r>
              <w:rPr>
                <w:rFonts w:hint="eastAsia"/>
                <w:lang w:val="en-US" w:eastAsia="zh-CN"/>
              </w:rPr>
              <w:t>1-投标折让率</w:t>
            </w:r>
            <w:r>
              <w:rPr>
                <w:rFonts w:hint="eastAsia"/>
                <w:lang w:eastAsia="zh-CN"/>
              </w:rPr>
              <w:t>）</w:t>
            </w:r>
            <w:r>
              <w:rPr>
                <w:rFonts w:hint="eastAsia"/>
              </w:rPr>
              <w:t>。</w:t>
            </w:r>
          </w:p>
          <w:p>
            <w:pPr>
              <w:snapToGrid w:val="0"/>
              <w:spacing w:line="360" w:lineRule="exact"/>
              <w:ind w:firstLine="233" w:firstLineChars="111"/>
              <w:rPr>
                <w:rFonts w:hint="eastAsia"/>
              </w:rPr>
            </w:pPr>
            <w:r>
              <w:rPr>
                <w:rFonts w:hint="eastAsia"/>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pPr>
              <w:snapToGrid w:val="0"/>
              <w:spacing w:line="360" w:lineRule="exact"/>
              <w:ind w:firstLine="233" w:firstLineChars="111"/>
              <w:rPr>
                <w:rFonts w:hint="eastAsia"/>
              </w:rPr>
            </w:pPr>
            <w:r>
              <w:rPr>
                <w:rFonts w:hint="eastAsia"/>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snapToGrid w:val="0"/>
              <w:spacing w:line="360" w:lineRule="exact"/>
              <w:ind w:firstLine="233" w:firstLineChars="111"/>
              <w:rPr>
                <w:rFonts w:hint="eastAsia"/>
              </w:rPr>
            </w:pPr>
            <w:r>
              <w:rPr>
                <w:rFonts w:hint="eastAsia"/>
              </w:rPr>
              <w:t>（5）满足招标文件要求且评标报价最低的评标报价为评标基准价，其价格分为满分。</w:t>
            </w:r>
          </w:p>
          <w:p>
            <w:pPr>
              <w:snapToGrid w:val="0"/>
              <w:spacing w:line="360" w:lineRule="exact"/>
              <w:ind w:firstLine="233" w:firstLineChars="111"/>
              <w:rPr>
                <w:rFonts w:hint="eastAsia"/>
              </w:rPr>
            </w:pPr>
            <w:r>
              <w:rPr>
                <w:rFonts w:hint="eastAsia"/>
              </w:rPr>
              <w:t>（6）价格分计算公式：价格分=(评标基准价／</w:t>
            </w:r>
            <w:r>
              <w:rPr>
                <w:rFonts w:hint="eastAsia"/>
                <w:lang w:eastAsia="zh-CN"/>
              </w:rPr>
              <w:t>（</w:t>
            </w:r>
            <w:r>
              <w:rPr>
                <w:rFonts w:hint="eastAsia"/>
              </w:rPr>
              <w:t>1-某投标人投标折让率</w:t>
            </w:r>
            <w:r>
              <w:rPr>
                <w:rFonts w:hint="eastAsia"/>
                <w:lang w:eastAsia="zh-CN"/>
              </w:rPr>
              <w:t>）</w:t>
            </w:r>
            <w:r>
              <w:rPr>
                <w:rFonts w:hint="eastAsia"/>
              </w:rPr>
              <w:t>)×30分</w:t>
            </w:r>
            <w:r>
              <w:t xml:space="preserve">   </w:t>
            </w:r>
          </w:p>
          <w:p>
            <w:pPr>
              <w:spacing w:line="360" w:lineRule="exact"/>
              <w:rPr>
                <w:rFonts w:hint="eastAsia"/>
              </w:rPr>
            </w:pPr>
            <w:r>
              <w:rPr>
                <w:rFonts w:hint="eastAsia"/>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
            </w:pPr>
            <w:r>
              <w:rPr>
                <w:rFonts w:hint="eastAsia" w:ascii="宋体" w:hAnsi="宋体" w:cs="宋体"/>
                <w:szCs w:val="21"/>
                <w:lang w:val="en-US" w:eastAsia="zh-CN"/>
              </w:rPr>
              <w:t>备注</w:t>
            </w:r>
            <w:r>
              <w:rPr>
                <w:rFonts w:hint="eastAsia" w:ascii="宋体" w:hAnsi="宋体" w:cs="宋体"/>
                <w:szCs w:val="21"/>
              </w:rPr>
              <w:t>：</w:t>
            </w:r>
            <w:r>
              <w:rPr>
                <w:rFonts w:hint="eastAsia" w:ascii="Times New Roman" w:hAnsi="Times New Roman" w:eastAsia="宋体" w:cs="Times New Roman"/>
                <w:kern w:val="2"/>
                <w:sz w:val="21"/>
                <w:szCs w:val="24"/>
                <w:lang w:val="en-US" w:eastAsia="zh-CN" w:bidi="ar-SA"/>
              </w:rPr>
              <w:t>本项目最高折让率＜20%的，作无效投标；本项目不接受零折让率的报价。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0" w:hRule="atLeast"/>
          <w:jc w:val="center"/>
        </w:trPr>
        <w:tc>
          <w:tcPr>
            <w:tcW w:w="615" w:type="dxa"/>
            <w:vMerge w:val="restart"/>
            <w:tcBorders>
              <w:top w:val="single" w:color="auto" w:sz="4" w:space="0"/>
              <w:left w:val="single" w:color="auto" w:sz="4" w:space="0"/>
              <w:right w:val="single" w:color="auto" w:sz="4" w:space="0"/>
            </w:tcBorders>
            <w:vAlign w:val="center"/>
          </w:tcPr>
          <w:p>
            <w:pPr>
              <w:adjustRightInd w:val="0"/>
              <w:spacing w:line="360" w:lineRule="exact"/>
              <w:jc w:val="center"/>
              <w:textAlignment w:val="baseline"/>
              <w:rPr>
                <w:rFonts w:ascii="宋体" w:hAnsi="宋体"/>
                <w:b/>
                <w:color w:val="000000"/>
                <w:szCs w:val="21"/>
              </w:rPr>
            </w:pPr>
            <w:r>
              <w:rPr>
                <w:rFonts w:ascii="宋体" w:hAnsi="宋体"/>
                <w:b/>
                <w:color w:val="000000"/>
                <w:szCs w:val="21"/>
              </w:rPr>
              <w:t>2</w:t>
            </w:r>
          </w:p>
        </w:tc>
        <w:tc>
          <w:tcPr>
            <w:tcW w:w="851" w:type="dxa"/>
            <w:vMerge w:val="restart"/>
            <w:tcBorders>
              <w:top w:val="single" w:color="auto" w:sz="4" w:space="0"/>
              <w:left w:val="single" w:color="auto" w:sz="4" w:space="0"/>
              <w:right w:val="single" w:color="auto" w:sz="4" w:space="0"/>
            </w:tcBorders>
            <w:vAlign w:val="center"/>
          </w:tcPr>
          <w:p>
            <w:pPr>
              <w:adjustRightInd w:val="0"/>
              <w:spacing w:line="360" w:lineRule="exact"/>
              <w:ind w:left="-105" w:leftChars="-50" w:right="-105" w:rightChars="-50"/>
              <w:jc w:val="center"/>
              <w:textAlignment w:val="baseline"/>
              <w:rPr>
                <w:rFonts w:ascii="宋体" w:hAnsi="宋体"/>
                <w:b/>
                <w:bCs/>
                <w:color w:val="000000"/>
                <w:szCs w:val="21"/>
              </w:rPr>
            </w:pPr>
            <w:r>
              <w:rPr>
                <w:rFonts w:hint="eastAsia" w:ascii="宋体" w:hAnsi="宋体"/>
                <w:b/>
                <w:bCs/>
                <w:color w:val="000000"/>
                <w:szCs w:val="21"/>
              </w:rPr>
              <w:t>技术分</w:t>
            </w:r>
          </w:p>
          <w:p>
            <w:pPr>
              <w:adjustRightInd w:val="0"/>
              <w:spacing w:line="360" w:lineRule="exact"/>
              <w:ind w:left="-105" w:leftChars="-50" w:right="-105" w:rightChars="-50"/>
              <w:jc w:val="center"/>
              <w:textAlignment w:val="baseline"/>
              <w:rPr>
                <w:rFonts w:ascii="宋体" w:hAnsi="宋体"/>
                <w:color w:val="000000"/>
                <w:spacing w:val="-18"/>
                <w:szCs w:val="21"/>
              </w:rPr>
            </w:pPr>
            <w:r>
              <w:rPr>
                <w:rFonts w:hint="eastAsia" w:ascii="宋体" w:hAnsi="宋体"/>
                <w:b/>
                <w:bCs/>
                <w:color w:val="000000"/>
                <w:szCs w:val="21"/>
              </w:rPr>
              <w:t>（</w:t>
            </w:r>
            <w:r>
              <w:rPr>
                <w:rFonts w:hint="eastAsia" w:ascii="宋体" w:hAnsi="宋体"/>
                <w:b/>
                <w:color w:val="000000"/>
                <w:szCs w:val="21"/>
              </w:rPr>
              <w:t>满分</w:t>
            </w:r>
            <w:r>
              <w:rPr>
                <w:rFonts w:hint="eastAsia" w:ascii="宋体" w:hAnsi="宋体"/>
                <w:b/>
                <w:bCs/>
                <w:color w:val="000000"/>
                <w:szCs w:val="21"/>
                <w:lang w:val="en-US" w:eastAsia="zh-CN"/>
              </w:rPr>
              <w:t>40</w:t>
            </w:r>
            <w:r>
              <w:rPr>
                <w:rFonts w:hint="eastAsia" w:ascii="宋体" w:hAnsi="宋体"/>
                <w:b/>
                <w:bCs/>
                <w:color w:val="000000"/>
                <w:szCs w:val="21"/>
              </w:rPr>
              <w:t>分）</w:t>
            </w:r>
          </w:p>
        </w:tc>
        <w:tc>
          <w:tcPr>
            <w:tcW w:w="1105" w:type="dxa"/>
            <w:tcBorders>
              <w:top w:val="single" w:color="auto" w:sz="4" w:space="0"/>
              <w:left w:val="single" w:color="auto" w:sz="4" w:space="0"/>
              <w:right w:val="single" w:color="auto" w:sz="4" w:space="0"/>
            </w:tcBorders>
            <w:vAlign w:val="center"/>
          </w:tcPr>
          <w:p>
            <w:pPr>
              <w:adjustRightInd w:val="0"/>
              <w:spacing w:line="360" w:lineRule="exact"/>
              <w:jc w:val="center"/>
              <w:textAlignment w:val="baseline"/>
              <w:rPr>
                <w:rFonts w:ascii="宋体" w:hAnsi="宋体"/>
                <w:bCs/>
                <w:color w:val="000000"/>
                <w:szCs w:val="21"/>
              </w:rPr>
            </w:pPr>
            <w:r>
              <w:rPr>
                <w:rFonts w:hint="eastAsia" w:ascii="宋体" w:hAnsi="宋体"/>
                <w:color w:val="000000"/>
                <w:szCs w:val="21"/>
              </w:rPr>
              <w:t>设备性能分（满分</w:t>
            </w:r>
            <w:r>
              <w:rPr>
                <w:rFonts w:hint="eastAsia" w:ascii="宋体" w:hAnsi="宋体"/>
                <w:color w:val="000000"/>
                <w:szCs w:val="21"/>
                <w:lang w:val="en-US" w:eastAsia="zh-CN"/>
              </w:rPr>
              <w:t>25</w:t>
            </w:r>
            <w:r>
              <w:rPr>
                <w:rFonts w:hint="eastAsia" w:ascii="宋体" w:hAnsi="宋体"/>
                <w:color w:val="000000"/>
                <w:szCs w:val="21"/>
              </w:rPr>
              <w:t>分）</w:t>
            </w:r>
          </w:p>
        </w:tc>
        <w:tc>
          <w:tcPr>
            <w:tcW w:w="6879"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rPr>
            </w:pPr>
            <w:r>
              <w:rPr>
                <w:rFonts w:hint="eastAsia" w:ascii="宋体" w:hAnsi="宋体" w:cs="宋体"/>
                <w:szCs w:val="21"/>
              </w:rPr>
              <w:t>评委</w:t>
            </w:r>
            <w:r>
              <w:rPr>
                <w:rFonts w:hint="eastAsia" w:ascii="宋体" w:hAnsi="宋体" w:cs="宋体"/>
                <w:color w:val="auto"/>
                <w:szCs w:val="21"/>
              </w:rPr>
              <w:t>根据招标文件要求，对通过资格性和符合性审查进入详评的各投标人所投产品技术参数偏离情况进行独立评审，并按如下计分方式确定得分:</w:t>
            </w:r>
          </w:p>
          <w:p>
            <w:pPr>
              <w:spacing w:line="440" w:lineRule="exact"/>
              <w:rPr>
                <w:rFonts w:hint="eastAsia" w:ascii="宋体" w:hAnsi="宋体" w:eastAsia="宋体" w:cs="宋体"/>
                <w:color w:val="auto"/>
                <w:szCs w:val="21"/>
                <w:lang w:val="en-US" w:eastAsia="zh-CN"/>
              </w:rPr>
            </w:pPr>
            <w:r>
              <w:rPr>
                <w:rFonts w:hint="eastAsia" w:ascii="宋体" w:hAnsi="宋体" w:cs="宋体"/>
                <w:color w:val="auto"/>
                <w:szCs w:val="21"/>
              </w:rPr>
              <w:t>提供省级（含：自治区、直辖市）相关</w:t>
            </w:r>
            <w:r>
              <w:rPr>
                <w:rFonts w:hint="eastAsia" w:ascii="宋体" w:hAnsi="宋体" w:cs="宋体"/>
                <w:color w:val="auto"/>
                <w:szCs w:val="21"/>
                <w:lang w:val="en-US" w:eastAsia="zh-CN"/>
              </w:rPr>
              <w:t>专业质量</w:t>
            </w:r>
            <w:r>
              <w:rPr>
                <w:rFonts w:hint="eastAsia" w:ascii="宋体" w:hAnsi="宋体" w:cs="宋体"/>
                <w:color w:val="auto"/>
                <w:szCs w:val="21"/>
              </w:rPr>
              <w:t>监督检验部门出具的检测报告每项得</w:t>
            </w:r>
            <w:r>
              <w:rPr>
                <w:rFonts w:hint="eastAsia" w:ascii="宋体" w:hAnsi="宋体" w:cs="宋体"/>
                <w:color w:val="auto"/>
                <w:szCs w:val="21"/>
                <w:lang w:val="en-US" w:eastAsia="zh-CN"/>
              </w:rPr>
              <w:t>0.1</w:t>
            </w:r>
            <w:r>
              <w:rPr>
                <w:rFonts w:hint="eastAsia" w:ascii="宋体" w:hAnsi="宋体" w:cs="宋体"/>
                <w:color w:val="auto"/>
                <w:szCs w:val="21"/>
              </w:rPr>
              <w:t>分；提供国家级相关</w:t>
            </w:r>
            <w:r>
              <w:rPr>
                <w:rFonts w:hint="eastAsia" w:ascii="宋体" w:hAnsi="宋体" w:cs="宋体"/>
                <w:color w:val="auto"/>
                <w:szCs w:val="21"/>
                <w:lang w:val="en-US" w:eastAsia="zh-CN"/>
              </w:rPr>
              <w:t>专业</w:t>
            </w:r>
            <w:r>
              <w:rPr>
                <w:rFonts w:hint="eastAsia" w:ascii="宋体" w:hAnsi="宋体" w:cs="宋体"/>
                <w:color w:val="auto"/>
                <w:szCs w:val="21"/>
              </w:rPr>
              <w:t>质量监督检验部门出具的检测报告每项得</w:t>
            </w:r>
            <w:r>
              <w:rPr>
                <w:rFonts w:hint="eastAsia" w:ascii="宋体" w:hAnsi="宋体" w:cs="宋体"/>
                <w:color w:val="auto"/>
                <w:szCs w:val="21"/>
                <w:lang w:val="en-US" w:eastAsia="zh-CN"/>
              </w:rPr>
              <w:t>0.33</w:t>
            </w:r>
            <w:r>
              <w:rPr>
                <w:rFonts w:hint="eastAsia" w:ascii="宋体" w:hAnsi="宋体" w:cs="宋体"/>
                <w:color w:val="auto"/>
                <w:szCs w:val="21"/>
              </w:rPr>
              <w:t>分</w:t>
            </w:r>
            <w:r>
              <w:rPr>
                <w:rFonts w:hint="eastAsia" w:ascii="宋体" w:hAnsi="宋体" w:cs="宋体"/>
                <w:color w:val="auto"/>
                <w:szCs w:val="21"/>
                <w:lang w:eastAsia="zh-CN"/>
              </w:rPr>
              <w:t>。（</w:t>
            </w:r>
            <w:r>
              <w:rPr>
                <w:rFonts w:hint="eastAsia" w:ascii="宋体" w:hAnsi="宋体" w:cs="宋体"/>
                <w:color w:val="auto"/>
                <w:szCs w:val="21"/>
                <w:lang w:val="en-US" w:eastAsia="zh-CN"/>
              </w:rPr>
              <w:t>本项满分5分</w:t>
            </w:r>
            <w:r>
              <w:rPr>
                <w:rFonts w:hint="eastAsia" w:ascii="宋体" w:hAnsi="宋体" w:cs="宋体"/>
                <w:color w:val="auto"/>
                <w:szCs w:val="21"/>
                <w:lang w:eastAsia="zh-CN"/>
              </w:rPr>
              <w:t>）</w:t>
            </w:r>
          </w:p>
          <w:p>
            <w:pPr>
              <w:spacing w:line="440" w:lineRule="exact"/>
              <w:rPr>
                <w:rFonts w:ascii="宋体" w:hAnsi="宋体" w:cs="宋体"/>
                <w:color w:val="auto"/>
                <w:szCs w:val="21"/>
              </w:rPr>
            </w:pPr>
            <w:r>
              <w:rPr>
                <w:rFonts w:hint="eastAsia" w:ascii="宋体" w:hAnsi="宋体" w:cs="宋体"/>
                <w:color w:val="auto"/>
                <w:szCs w:val="21"/>
              </w:rPr>
              <w:t>一档(20分):所投产品技术参数(招标文件要求提供有效检测报告复印件必须满足)无负偏离且相关技术参数在检验报告中完整体现的得20分。</w:t>
            </w:r>
          </w:p>
          <w:p>
            <w:pPr>
              <w:spacing w:line="440" w:lineRule="exact"/>
              <w:rPr>
                <w:rFonts w:ascii="宋体" w:hAnsi="宋体" w:cs="宋体"/>
                <w:color w:val="auto"/>
                <w:szCs w:val="21"/>
              </w:rPr>
            </w:pPr>
            <w:r>
              <w:rPr>
                <w:rFonts w:hint="eastAsia" w:ascii="宋体" w:hAnsi="宋体" w:cs="宋体"/>
                <w:color w:val="auto"/>
                <w:szCs w:val="21"/>
              </w:rPr>
              <w:t>二档(15分):所投产品技术参数(招标文件要求提供有效检测报告复印件必须满足)无负偏离得15分。</w:t>
            </w:r>
          </w:p>
          <w:p>
            <w:pPr>
              <w:spacing w:line="440" w:lineRule="exact"/>
              <w:rPr>
                <w:rFonts w:ascii="宋体" w:hAnsi="宋体" w:cs="宋体"/>
                <w:color w:val="auto"/>
                <w:szCs w:val="21"/>
              </w:rPr>
            </w:pPr>
            <w:r>
              <w:rPr>
                <w:rFonts w:hint="eastAsia" w:ascii="宋体" w:hAnsi="宋体" w:cs="宋体"/>
                <w:color w:val="auto"/>
                <w:szCs w:val="21"/>
              </w:rPr>
              <w:t>三档(10分):所投产品技术参数(招标文件要求提供有效检测报告复印件必须满足)有</w:t>
            </w:r>
            <w:r>
              <w:rPr>
                <w:rFonts w:hint="eastAsia" w:ascii="宋体" w:hAnsi="宋体" w:cs="宋体"/>
                <w:color w:val="auto"/>
                <w:szCs w:val="21"/>
                <w:lang w:val="en-US" w:eastAsia="zh-CN"/>
              </w:rPr>
              <w:t>1</w:t>
            </w:r>
            <w:r>
              <w:rPr>
                <w:rFonts w:hint="eastAsia" w:ascii="宋体" w:hAnsi="宋体" w:cs="宋体"/>
                <w:color w:val="auto"/>
                <w:szCs w:val="21"/>
              </w:rPr>
              <w:t>项负偏离得10分。</w:t>
            </w:r>
          </w:p>
          <w:p>
            <w:pPr>
              <w:spacing w:line="440" w:lineRule="exact"/>
              <w:rPr>
                <w:rFonts w:ascii="宋体" w:hAnsi="宋体" w:cs="宋体"/>
                <w:color w:val="auto"/>
                <w:szCs w:val="21"/>
              </w:rPr>
            </w:pPr>
            <w:r>
              <w:rPr>
                <w:rFonts w:hint="eastAsia" w:ascii="宋体" w:hAnsi="宋体" w:cs="宋体"/>
                <w:color w:val="auto"/>
                <w:szCs w:val="21"/>
              </w:rPr>
              <w:t>四档(5分) :所投产品技术参数(招标文件要求提供有效检测报告复印件必须满足)有</w:t>
            </w:r>
            <w:r>
              <w:rPr>
                <w:rFonts w:hint="eastAsia" w:ascii="宋体" w:hAnsi="宋体" w:cs="宋体"/>
                <w:color w:val="auto"/>
                <w:szCs w:val="21"/>
                <w:lang w:val="en-US" w:eastAsia="zh-CN"/>
              </w:rPr>
              <w:t>3</w:t>
            </w:r>
            <w:r>
              <w:rPr>
                <w:rFonts w:hint="eastAsia" w:ascii="宋体" w:hAnsi="宋体" w:cs="宋体"/>
                <w:color w:val="auto"/>
                <w:szCs w:val="21"/>
              </w:rPr>
              <w:t>项负偏离得5分。</w:t>
            </w:r>
          </w:p>
          <w:p>
            <w:pPr>
              <w:adjustRightInd w:val="0"/>
              <w:spacing w:line="360" w:lineRule="exact"/>
              <w:textAlignment w:val="baseline"/>
              <w:rPr>
                <w:rFonts w:ascii="宋体" w:hAnsi="宋体"/>
                <w:color w:val="000000"/>
                <w:szCs w:val="21"/>
              </w:rPr>
            </w:pPr>
            <w:r>
              <w:rPr>
                <w:rFonts w:hint="eastAsia" w:ascii="宋体" w:hAnsi="宋体" w:cs="宋体"/>
                <w:color w:val="auto"/>
                <w:szCs w:val="21"/>
              </w:rPr>
              <w:t>说明：注:供应商须对本招标文件技术要求进行点对点应答，特别对有具体参数要求的指标，供应商必须提供所投设备的具体参数值。投标时提供的检测报告的检测时间为三年（2</w:t>
            </w:r>
            <w:r>
              <w:rPr>
                <w:rFonts w:ascii="宋体" w:hAnsi="宋体" w:cs="宋体"/>
                <w:color w:val="auto"/>
                <w:szCs w:val="21"/>
              </w:rPr>
              <w:t>0</w:t>
            </w:r>
            <w:r>
              <w:rPr>
                <w:rFonts w:hint="eastAsia" w:ascii="宋体" w:hAnsi="宋体" w:cs="宋体"/>
                <w:color w:val="auto"/>
                <w:szCs w:val="21"/>
                <w:lang w:val="en-US" w:eastAsia="zh-CN"/>
              </w:rPr>
              <w:t>20</w:t>
            </w:r>
            <w:r>
              <w:rPr>
                <w:rFonts w:hint="eastAsia" w:ascii="宋体" w:hAnsi="宋体" w:cs="宋体"/>
                <w:color w:val="auto"/>
                <w:szCs w:val="21"/>
              </w:rPr>
              <w:t>年、2</w:t>
            </w:r>
            <w:r>
              <w:rPr>
                <w:rFonts w:ascii="宋体" w:hAnsi="宋体" w:cs="宋体"/>
                <w:color w:val="auto"/>
                <w:szCs w:val="21"/>
              </w:rPr>
              <w:t>02</w:t>
            </w:r>
            <w:r>
              <w:rPr>
                <w:rFonts w:hint="eastAsia" w:ascii="宋体" w:hAnsi="宋体" w:cs="宋体"/>
                <w:color w:val="auto"/>
                <w:szCs w:val="21"/>
                <w:lang w:val="en-US" w:eastAsia="zh-CN"/>
              </w:rPr>
              <w:t>1</w:t>
            </w:r>
            <w:r>
              <w:rPr>
                <w:rFonts w:hint="eastAsia" w:ascii="宋体" w:hAnsi="宋体" w:cs="宋体"/>
                <w:color w:val="auto"/>
                <w:szCs w:val="21"/>
              </w:rPr>
              <w:t>年、2</w:t>
            </w:r>
            <w:r>
              <w:rPr>
                <w:rFonts w:ascii="宋体" w:hAnsi="宋体" w:cs="宋体"/>
                <w:color w:val="auto"/>
                <w:szCs w:val="21"/>
              </w:rPr>
              <w:t>021</w:t>
            </w:r>
            <w:r>
              <w:rPr>
                <w:rFonts w:hint="eastAsia" w:ascii="宋体" w:hAnsi="宋体" w:cs="宋体"/>
                <w:color w:val="auto"/>
                <w:szCs w:val="21"/>
              </w:rPr>
              <w:t>年），视为有效检测报告文件</w:t>
            </w:r>
            <w:r>
              <w:rPr>
                <w:rFonts w:hint="eastAsia" w:ascii="宋体" w:hAnsi="宋体" w:cs="宋体"/>
                <w:color w:val="auto"/>
                <w:szCs w:val="21"/>
                <w:lang w:eastAsia="zh-CN"/>
              </w:rPr>
              <w:t>，</w:t>
            </w:r>
            <w:r>
              <w:rPr>
                <w:rFonts w:hint="eastAsia" w:ascii="宋体" w:hAnsi="宋体" w:cs="宋体"/>
                <w:color w:val="auto"/>
                <w:szCs w:val="21"/>
              </w:rPr>
              <w:t>检测报告日期不得晚于本次项目参数公布之日</w:t>
            </w:r>
            <w:r>
              <w:rPr>
                <w:rFonts w:hint="eastAsia" w:ascii="宋体" w:hAnsi="宋体" w:cs="宋体"/>
                <w:color w:val="auto"/>
                <w:szCs w:val="21"/>
              </w:rPr>
              <w:t>。未按招标文件要求提供有效检测报告复印件视为负偏离，如供应商投标文件对招标文件技术要求响应为无偏离，但经评标委员会认定为负偏离的，评标委员会可给予相</w:t>
            </w:r>
            <w:r>
              <w:rPr>
                <w:rFonts w:hint="eastAsia" w:ascii="宋体" w:hAnsi="宋体" w:cs="宋体"/>
                <w:szCs w:val="21"/>
              </w:rPr>
              <w:t>应档次定档，漏项视为负偏离。（投标时提供检测报告原件核查。</w:t>
            </w:r>
            <w:r>
              <w:rPr>
                <w:rFonts w:hint="eastAsia" w:ascii="宋体" w:hAnsi="宋体" w:cs="宋体"/>
                <w:szCs w:val="21"/>
                <w:lang w:val="en-US" w:eastAsia="zh-CN"/>
              </w:rPr>
              <w:t>否则不得分</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15" w:type="dxa"/>
            <w:vMerge w:val="continue"/>
            <w:tcBorders>
              <w:left w:val="single" w:color="auto" w:sz="4" w:space="0"/>
              <w:bottom w:val="single" w:color="auto" w:sz="4" w:space="0"/>
              <w:right w:val="single" w:color="auto" w:sz="4" w:space="0"/>
            </w:tcBorders>
            <w:vAlign w:val="center"/>
          </w:tcPr>
          <w:p>
            <w:pPr>
              <w:widowControl/>
              <w:spacing w:line="360" w:lineRule="exact"/>
              <w:jc w:val="left"/>
              <w:rPr>
                <w:rFonts w:ascii="宋体" w:hAnsi="宋体"/>
                <w:b/>
                <w:color w:val="000000"/>
                <w:szCs w:val="21"/>
              </w:rPr>
            </w:pPr>
          </w:p>
        </w:tc>
        <w:tc>
          <w:tcPr>
            <w:tcW w:w="851" w:type="dxa"/>
            <w:vMerge w:val="continue"/>
            <w:tcBorders>
              <w:left w:val="single" w:color="auto" w:sz="4" w:space="0"/>
              <w:bottom w:val="single" w:color="auto" w:sz="4" w:space="0"/>
              <w:right w:val="single" w:color="auto" w:sz="4" w:space="0"/>
            </w:tcBorders>
            <w:vAlign w:val="center"/>
          </w:tcPr>
          <w:p>
            <w:pPr>
              <w:widowControl/>
              <w:spacing w:line="360" w:lineRule="exact"/>
              <w:jc w:val="left"/>
              <w:rPr>
                <w:rFonts w:ascii="宋体" w:hAnsi="宋体"/>
                <w:color w:val="000000"/>
                <w:spacing w:val="-18"/>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bCs/>
                <w:color w:val="000000"/>
                <w:szCs w:val="21"/>
              </w:rPr>
            </w:pPr>
            <w:r>
              <w:rPr>
                <w:rFonts w:hint="eastAsia" w:ascii="宋体" w:hAnsi="宋体"/>
                <w:bCs/>
                <w:color w:val="000000"/>
                <w:szCs w:val="21"/>
              </w:rPr>
              <w:t>项目实施方案（满分</w:t>
            </w:r>
            <w:r>
              <w:rPr>
                <w:rFonts w:hint="eastAsia" w:ascii="宋体" w:hAnsi="宋体"/>
                <w:bCs/>
                <w:color w:val="000000"/>
                <w:szCs w:val="21"/>
                <w:lang w:val="en-US" w:eastAsia="zh-CN"/>
              </w:rPr>
              <w:t>15</w:t>
            </w:r>
            <w:r>
              <w:rPr>
                <w:rFonts w:hint="eastAsia" w:ascii="宋体" w:hAnsi="宋体"/>
                <w:bCs/>
                <w:color w:val="000000"/>
                <w:szCs w:val="21"/>
              </w:rPr>
              <w:t>分）</w:t>
            </w:r>
          </w:p>
        </w:tc>
        <w:tc>
          <w:tcPr>
            <w:tcW w:w="6879"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color w:val="000000"/>
                <w:szCs w:val="21"/>
              </w:rPr>
            </w:pPr>
            <w:r>
              <w:rPr>
                <w:rFonts w:hint="eastAsia" w:ascii="宋体" w:hAnsi="宋体" w:cs="宋体"/>
                <w:color w:val="auto"/>
                <w:szCs w:val="21"/>
                <w:highlight w:val="none"/>
              </w:rPr>
              <w:t>由评委根据该项目实施方案的编制的科学性、针对性、合理性等方面进行评审并独立打分。 ①项目实施总体规划设计方案、项目实施管理、质量管理、质量保证措施及安全管理方案、项目装配技术方案很简单，评定为差，得</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 xml:space="preserve">分； ②项目实施总体规划设计方案、项目实施管理、质量管理、质量保证措施及安全管理方案、项目装配技术方案较详细，评定为一般，得 </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分； ③项目实施总体规划设计方案、项目实施管理、质量管理、质量保证措施及安全管理方案、项目装配方案很详细，具有科学性、针对性，方案较合理，评定为良好，得</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分； ④项目实施总体规划设计方案、项目实施管理、质量管理、质量保证措施及安全管理方案、项目装配技术方案很详细，项目实施管理、质量管理、质量保正措施方案针对性强，所有方案有一定的科学性且合理的，评为优，得</w:t>
            </w:r>
            <w:r>
              <w:rPr>
                <w:rFonts w:hint="eastAsia" w:ascii="宋体" w:hAnsi="宋体" w:cs="宋体"/>
                <w:color w:val="auto"/>
                <w:szCs w:val="21"/>
                <w:highlight w:val="none"/>
                <w:lang w:val="en-US" w:eastAsia="zh-CN"/>
              </w:rPr>
              <w:t>15</w:t>
            </w:r>
            <w:r>
              <w:rPr>
                <w:rFonts w:hint="eastAsia" w:ascii="宋体" w:hAnsi="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615" w:type="dxa"/>
            <w:tcBorders>
              <w:top w:val="single" w:color="auto" w:sz="4" w:space="0"/>
              <w:left w:val="single" w:color="auto" w:sz="4" w:space="0"/>
              <w:right w:val="single" w:color="auto" w:sz="4" w:space="0"/>
            </w:tcBorders>
            <w:vAlign w:val="center"/>
          </w:tcPr>
          <w:p>
            <w:pPr>
              <w:spacing w:line="360" w:lineRule="exact"/>
              <w:jc w:val="center"/>
              <w:rPr>
                <w:rFonts w:ascii="宋体" w:hAnsi="宋体"/>
                <w:b/>
                <w:color w:val="000000"/>
                <w:szCs w:val="21"/>
              </w:rPr>
            </w:pPr>
            <w:r>
              <w:rPr>
                <w:rFonts w:ascii="宋体" w:hAnsi="宋体"/>
                <w:b/>
                <w:color w:val="000000"/>
                <w:szCs w:val="21"/>
              </w:rPr>
              <w:t xml:space="preserve"> 3</w:t>
            </w:r>
          </w:p>
        </w:tc>
        <w:tc>
          <w:tcPr>
            <w:tcW w:w="851" w:type="dxa"/>
            <w:tcBorders>
              <w:top w:val="single" w:color="auto" w:sz="4" w:space="0"/>
              <w:left w:val="single" w:color="auto" w:sz="4" w:space="0"/>
              <w:right w:val="single" w:color="auto" w:sz="4" w:space="0"/>
            </w:tcBorders>
            <w:vAlign w:val="center"/>
          </w:tcPr>
          <w:p>
            <w:pPr>
              <w:spacing w:line="360" w:lineRule="exact"/>
              <w:jc w:val="center"/>
              <w:rPr>
                <w:rFonts w:ascii="宋体" w:hAnsi="宋体"/>
                <w:b/>
                <w:color w:val="000000"/>
                <w:szCs w:val="21"/>
              </w:rPr>
            </w:pPr>
            <w:r>
              <w:rPr>
                <w:rFonts w:hint="eastAsia" w:ascii="宋体" w:hAnsi="宋体"/>
                <w:b/>
                <w:bCs/>
                <w:color w:val="000000"/>
                <w:szCs w:val="21"/>
              </w:rPr>
              <w:t>售后服务分（</w:t>
            </w:r>
            <w:r>
              <w:rPr>
                <w:rFonts w:hint="eastAsia" w:ascii="宋体" w:hAnsi="宋体"/>
                <w:b/>
                <w:color w:val="000000"/>
                <w:szCs w:val="21"/>
              </w:rPr>
              <w:t>满分</w:t>
            </w:r>
            <w:r>
              <w:rPr>
                <w:rFonts w:hint="eastAsia" w:ascii="宋体" w:hAnsi="宋体"/>
                <w:b/>
                <w:color w:val="000000"/>
                <w:szCs w:val="21"/>
                <w:lang w:val="en-US" w:eastAsia="zh-CN"/>
              </w:rPr>
              <w:t>22</w:t>
            </w:r>
            <w:r>
              <w:rPr>
                <w:rFonts w:hint="eastAsia" w:ascii="宋体" w:hAnsi="宋体"/>
                <w:b/>
                <w:color w:val="000000"/>
                <w:szCs w:val="21"/>
              </w:rPr>
              <w:t>分</w:t>
            </w:r>
            <w:r>
              <w:rPr>
                <w:rFonts w:hint="eastAsia" w:ascii="宋体" w:hAnsi="宋体"/>
                <w:b/>
                <w:bCs/>
                <w:color w:val="000000"/>
                <w:szCs w:val="21"/>
              </w:rPr>
              <w:t>）</w:t>
            </w:r>
          </w:p>
        </w:tc>
        <w:tc>
          <w:tcPr>
            <w:tcW w:w="110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60" w:lineRule="exact"/>
              <w:jc w:val="center"/>
              <w:rPr>
                <w:rFonts w:ascii="宋体" w:hAnsi="宋体"/>
                <w:color w:val="000000"/>
                <w:szCs w:val="21"/>
              </w:rPr>
            </w:pPr>
            <w:r>
              <w:rPr>
                <w:rFonts w:hint="eastAsia" w:ascii="宋体" w:hAnsi="宋体" w:cs="宋体"/>
                <w:szCs w:val="21"/>
              </w:rPr>
              <w:t>售后服务方案（满分</w:t>
            </w:r>
            <w:r>
              <w:rPr>
                <w:rFonts w:hint="eastAsia" w:ascii="宋体" w:hAnsi="宋体" w:cs="宋体"/>
                <w:szCs w:val="21"/>
                <w:lang w:val="en-US" w:eastAsia="zh-CN"/>
              </w:rPr>
              <w:t>22</w:t>
            </w:r>
            <w:r>
              <w:rPr>
                <w:rFonts w:hint="eastAsia" w:ascii="宋体" w:hAnsi="宋体" w:cs="宋体"/>
                <w:szCs w:val="21"/>
              </w:rPr>
              <w:t>分）</w:t>
            </w:r>
          </w:p>
        </w:tc>
        <w:tc>
          <w:tcPr>
            <w:tcW w:w="6879"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cs="Courier New"/>
                <w:color w:val="000000"/>
                <w:szCs w:val="21"/>
              </w:rPr>
            </w:pPr>
            <w:r>
              <w:rPr>
                <w:rFonts w:hint="eastAsia" w:ascii="宋体" w:hAnsi="宋体" w:cs="宋体"/>
                <w:color w:val="auto"/>
                <w:szCs w:val="21"/>
                <w:highlight w:val="none"/>
              </w:rPr>
              <w:t>本项目服务的对象涉及广西全区，从投标人实力及项目实施经验等方面（包括但不限于：本地化服务、到达现场时间、解决故障时间、定期回访等）综合比较，自设或委托至少2家具有相应资质条件的服务机构，做好假肢矫形器装配服务。</w:t>
            </w:r>
            <w:r>
              <w:rPr>
                <w:rFonts w:hint="eastAsia" w:ascii="宋体" w:hAnsi="宋体"/>
                <w:b/>
                <w:color w:val="auto"/>
                <w:szCs w:val="21"/>
                <w:highlight w:val="none"/>
              </w:rPr>
              <w:t>委托服务的还须提供双方签字盖章的委托协议书，协议服务期限至少2年以上。</w:t>
            </w:r>
            <w:r>
              <w:rPr>
                <w:rFonts w:hint="eastAsia" w:ascii="宋体" w:hAnsi="宋体" w:cs="宋体"/>
                <w:color w:val="auto"/>
                <w:szCs w:val="21"/>
                <w:highlight w:val="none"/>
              </w:rPr>
              <w:t>一档：基本满足采购文件售后服务要求，售后服务方案可行，具备一定本地维护保障能力，在本地自设或委托不少于2家具有相应资质条件的服务机构，每家服务机构设有至少3人及以上的本地售后服务人员，并</w:t>
            </w:r>
            <w:r>
              <w:rPr>
                <w:rFonts w:hint="eastAsia"/>
                <w:color w:val="auto"/>
                <w:szCs w:val="21"/>
                <w:highlight w:val="none"/>
              </w:rPr>
              <w:t>提供至少2名注册执业假肢制作师或注册执业矫形器制作师职业资格证书和身份证、劳动合同复印件加盖公章</w:t>
            </w:r>
            <w:r>
              <w:rPr>
                <w:rFonts w:hint="eastAsia" w:ascii="宋体" w:hAnsi="宋体" w:cs="宋体"/>
                <w:color w:val="auto"/>
                <w:szCs w:val="21"/>
                <w:highlight w:val="none"/>
              </w:rPr>
              <w:t>得7分；二档：提供比较具体的售后服务方案的，对服务方式、方法有具体描述的，具备一定本地维护保障能力，在本地自设或委托不少于2家具有相应资质条件的服务机构，服务机构服务人员共计10人及以上，并提供</w:t>
            </w:r>
            <w:r>
              <w:rPr>
                <w:rFonts w:hint="eastAsia"/>
                <w:color w:val="auto"/>
                <w:szCs w:val="21"/>
                <w:highlight w:val="none"/>
              </w:rPr>
              <w:t>至少6名注册执业假肢制作师或注册执业矫形器制作师职业资格证书和身份证、劳动合同复印件加盖公章（需提供不少于4名注册执业假肢制作师或注册执业矫形器制作师在所属服务机构缴纳的</w:t>
            </w:r>
            <w:r>
              <w:rPr>
                <w:rFonts w:hint="eastAsia"/>
                <w:color w:val="auto"/>
                <w:szCs w:val="21"/>
                <w:highlight w:val="none"/>
                <w:lang w:val="en-US" w:eastAsia="zh-CN"/>
              </w:rPr>
              <w:t>2021年10月至12月</w:t>
            </w:r>
            <w:r>
              <w:rPr>
                <w:rFonts w:hint="eastAsia"/>
                <w:color w:val="auto"/>
                <w:szCs w:val="21"/>
                <w:highlight w:val="none"/>
              </w:rPr>
              <w:t>社保证明）</w:t>
            </w:r>
            <w:r>
              <w:rPr>
                <w:rFonts w:hint="eastAsia" w:ascii="宋体" w:hAnsi="宋体" w:cs="宋体"/>
                <w:color w:val="auto"/>
                <w:szCs w:val="21"/>
                <w:highlight w:val="none"/>
              </w:rPr>
              <w:t>得14分；三档：供应商提供详细的售后服务方案，详细说明售后工作内容、阐述清楚售后服务办法及保障体系，说明售后服务工作计划，具有较完备售后服务规范和管理制度，可操作性强，具备一定本地维护保障能力，在本地自设或委托不少于2家具有相应资质条件的服务机构，服务机构服务人员共计15人及以上，并提供</w:t>
            </w:r>
            <w:r>
              <w:rPr>
                <w:rFonts w:hint="eastAsia"/>
                <w:color w:val="auto"/>
                <w:szCs w:val="21"/>
                <w:highlight w:val="none"/>
              </w:rPr>
              <w:t>至少9名注册执业假肢制作师或注册执业矫形器制作师职业资格证书和身份证、劳动合同复印件加盖公章（需提供不少于6名注册执业假肢制作师或注册执业矫形器制作师在所属服务机构缴纳的</w:t>
            </w:r>
            <w:r>
              <w:rPr>
                <w:rFonts w:hint="eastAsia"/>
                <w:color w:val="auto"/>
                <w:szCs w:val="21"/>
                <w:highlight w:val="none"/>
                <w:lang w:val="en-US" w:eastAsia="zh-CN"/>
              </w:rPr>
              <w:t>2021年10月至12月的</w:t>
            </w:r>
            <w:r>
              <w:rPr>
                <w:rFonts w:hint="eastAsia"/>
                <w:color w:val="auto"/>
                <w:szCs w:val="21"/>
                <w:highlight w:val="none"/>
              </w:rPr>
              <w:t>社保证明）</w:t>
            </w:r>
            <w:r>
              <w:rPr>
                <w:rFonts w:hint="eastAsia" w:ascii="宋体" w:hAnsi="宋体" w:cs="宋体"/>
                <w:color w:val="auto"/>
                <w:szCs w:val="21"/>
                <w:highlight w:val="none"/>
              </w:rPr>
              <w:t>得22分。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5" w:type="dxa"/>
            <w:vMerge w:val="restart"/>
            <w:tcBorders>
              <w:top w:val="single" w:color="auto" w:sz="4" w:space="0"/>
              <w:left w:val="single" w:color="auto" w:sz="4" w:space="0"/>
              <w:right w:val="single" w:color="auto" w:sz="4" w:space="0"/>
            </w:tcBorders>
            <w:vAlign w:val="center"/>
          </w:tcPr>
          <w:p>
            <w:pPr>
              <w:adjustRightInd w:val="0"/>
              <w:spacing w:line="360" w:lineRule="exact"/>
              <w:jc w:val="center"/>
              <w:textAlignment w:val="baseline"/>
              <w:rPr>
                <w:rFonts w:ascii="宋体" w:hAnsi="宋体"/>
                <w:b/>
                <w:color w:val="auto"/>
                <w:szCs w:val="21"/>
              </w:rPr>
            </w:pPr>
            <w:r>
              <w:rPr>
                <w:rFonts w:ascii="宋体" w:hAnsi="宋体"/>
                <w:b/>
                <w:color w:val="auto"/>
                <w:szCs w:val="21"/>
              </w:rPr>
              <w:t>4</w:t>
            </w:r>
          </w:p>
        </w:tc>
        <w:tc>
          <w:tcPr>
            <w:tcW w:w="851" w:type="dxa"/>
            <w:vMerge w:val="restart"/>
            <w:tcBorders>
              <w:top w:val="single" w:color="auto" w:sz="4" w:space="0"/>
              <w:left w:val="single" w:color="auto" w:sz="4" w:space="0"/>
              <w:right w:val="single" w:color="auto" w:sz="4" w:space="0"/>
            </w:tcBorders>
            <w:vAlign w:val="center"/>
          </w:tcPr>
          <w:p>
            <w:pPr>
              <w:adjustRightInd w:val="0"/>
              <w:spacing w:line="360" w:lineRule="exact"/>
              <w:jc w:val="center"/>
              <w:textAlignment w:val="baseline"/>
              <w:rPr>
                <w:rFonts w:ascii="宋体" w:hAnsi="宋体"/>
                <w:b/>
                <w:color w:val="auto"/>
                <w:szCs w:val="21"/>
              </w:rPr>
            </w:pPr>
            <w:r>
              <w:rPr>
                <w:rFonts w:hint="eastAsia" w:ascii="宋体" w:hAnsi="宋体"/>
                <w:b/>
                <w:bCs/>
                <w:color w:val="auto"/>
                <w:szCs w:val="21"/>
              </w:rPr>
              <w:t>信誉分（</w:t>
            </w:r>
            <w:r>
              <w:rPr>
                <w:rFonts w:hint="eastAsia" w:ascii="宋体" w:hAnsi="宋体"/>
                <w:b/>
                <w:color w:val="auto"/>
                <w:szCs w:val="21"/>
              </w:rPr>
              <w:t>满分</w:t>
            </w:r>
            <w:r>
              <w:rPr>
                <w:rFonts w:hint="eastAsia" w:ascii="宋体" w:hAnsi="宋体"/>
                <w:b/>
                <w:color w:val="auto"/>
                <w:szCs w:val="21"/>
                <w:lang w:val="en-US" w:eastAsia="zh-CN"/>
              </w:rPr>
              <w:t>7</w:t>
            </w:r>
            <w:r>
              <w:rPr>
                <w:rFonts w:hint="eastAsia" w:ascii="宋体" w:hAnsi="宋体"/>
                <w:b/>
                <w:color w:val="auto"/>
                <w:szCs w:val="21"/>
              </w:rPr>
              <w:t>分</w:t>
            </w:r>
            <w:r>
              <w:rPr>
                <w:rFonts w:hint="eastAsia" w:ascii="宋体" w:hAnsi="宋体"/>
                <w:b/>
                <w:bCs/>
                <w:color w:val="auto"/>
                <w:szCs w:val="21"/>
              </w:rPr>
              <w:t>）</w:t>
            </w:r>
          </w:p>
        </w:tc>
        <w:tc>
          <w:tcPr>
            <w:tcW w:w="110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60" w:lineRule="exact"/>
              <w:jc w:val="center"/>
              <w:rPr>
                <w:rFonts w:ascii="宋体" w:hAnsi="宋体"/>
                <w:color w:val="auto"/>
                <w:szCs w:val="21"/>
              </w:rPr>
            </w:pPr>
            <w:r>
              <w:rPr>
                <w:rFonts w:hint="eastAsia" w:ascii="宋体" w:hAnsi="宋体" w:cs="宋体"/>
                <w:b/>
                <w:color w:val="auto"/>
                <w:szCs w:val="21"/>
              </w:rPr>
              <w:t>业绩情况（满分</w:t>
            </w:r>
            <w:r>
              <w:rPr>
                <w:rFonts w:hint="eastAsia" w:ascii="宋体" w:hAnsi="宋体" w:cs="宋体"/>
                <w:b/>
                <w:color w:val="auto"/>
                <w:szCs w:val="21"/>
                <w:lang w:val="en-US" w:eastAsia="zh-CN"/>
              </w:rPr>
              <w:t>3</w:t>
            </w:r>
            <w:r>
              <w:rPr>
                <w:rFonts w:hint="eastAsia" w:ascii="宋体" w:hAnsi="宋体" w:cs="宋体"/>
                <w:b/>
                <w:color w:val="auto"/>
                <w:szCs w:val="21"/>
              </w:rPr>
              <w:t>分）</w:t>
            </w:r>
          </w:p>
        </w:tc>
        <w:tc>
          <w:tcPr>
            <w:tcW w:w="6879"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color w:val="auto"/>
                <w:szCs w:val="21"/>
              </w:rPr>
            </w:pPr>
            <w:r>
              <w:rPr>
                <w:rFonts w:hint="eastAsia" w:ascii="宋体" w:hAnsi="宋体" w:cs="宋体"/>
                <w:color w:val="auto"/>
                <w:szCs w:val="21"/>
              </w:rPr>
              <w:t>投标人在近三年（201</w:t>
            </w:r>
            <w:r>
              <w:rPr>
                <w:rFonts w:hint="eastAsia" w:ascii="宋体" w:hAnsi="宋体" w:cs="宋体"/>
                <w:color w:val="auto"/>
                <w:szCs w:val="21"/>
                <w:lang w:val="en-US" w:eastAsia="zh-CN"/>
              </w:rPr>
              <w:t>9</w:t>
            </w:r>
            <w:r>
              <w:rPr>
                <w:rFonts w:hint="eastAsia" w:ascii="宋体" w:hAnsi="宋体" w:cs="宋体"/>
                <w:color w:val="auto"/>
                <w:szCs w:val="21"/>
              </w:rPr>
              <w:t>年起）需具有类似专业同类货物的销售业绩，每份合同得1分，最高3分。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5" w:type="dxa"/>
            <w:vMerge w:val="continue"/>
            <w:tcBorders>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b/>
                <w:color w:val="auto"/>
                <w:szCs w:val="21"/>
              </w:rPr>
            </w:pPr>
          </w:p>
        </w:tc>
        <w:tc>
          <w:tcPr>
            <w:tcW w:w="851" w:type="dxa"/>
            <w:vMerge w:val="continue"/>
            <w:tcBorders>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hint="eastAsia" w:ascii="宋体" w:hAnsi="宋体"/>
                <w:b/>
                <w:bCs/>
                <w:color w:val="auto"/>
                <w:szCs w:val="21"/>
              </w:rPr>
            </w:pPr>
          </w:p>
        </w:tc>
        <w:tc>
          <w:tcPr>
            <w:tcW w:w="110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60" w:lineRule="exact"/>
              <w:jc w:val="center"/>
              <w:rPr>
                <w:rFonts w:hint="eastAsia" w:ascii="宋体" w:hAnsi="宋体"/>
                <w:color w:val="auto"/>
                <w:szCs w:val="21"/>
              </w:rPr>
            </w:pPr>
            <w:r>
              <w:rPr>
                <w:rFonts w:hint="eastAsia" w:ascii="宋体" w:hAnsi="宋体" w:cs="宋体"/>
                <w:b/>
                <w:color w:val="auto"/>
                <w:szCs w:val="21"/>
              </w:rPr>
              <w:t>资质信誉 （满分4分）</w:t>
            </w:r>
          </w:p>
        </w:tc>
        <w:tc>
          <w:tcPr>
            <w:tcW w:w="6879"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cs="宋体"/>
                <w:color w:val="auto"/>
                <w:szCs w:val="21"/>
                <w:highlight w:val="none"/>
              </w:rPr>
            </w:pPr>
            <w:r>
              <w:rPr>
                <w:rFonts w:hint="eastAsia" w:ascii="宋体" w:hAnsi="宋体" w:cs="宋体"/>
                <w:color w:val="auto"/>
                <w:szCs w:val="21"/>
                <w:highlight w:val="none"/>
              </w:rPr>
              <w:t>（1）投标人通过ISO9001质量管理体系认证且在有效期内的得1分；投标人需提供有效的证书复印件。</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（2）投标人通过ISO13485质量管理体系认证且在有效期内的得1分；投标人需提供有效的证书复印件。</w:t>
            </w:r>
          </w:p>
          <w:p>
            <w:pPr>
              <w:pStyle w:val="8"/>
              <w:jc w:val="both"/>
              <w:rPr>
                <w:rFonts w:ascii="宋体" w:hAnsi="宋体"/>
                <w:color w:val="auto"/>
                <w:szCs w:val="21"/>
              </w:rPr>
            </w:pPr>
            <w:r>
              <w:rPr>
                <w:rFonts w:hint="eastAsia" w:ascii="宋体" w:hAnsi="宋体" w:eastAsia="宋体" w:cs="宋体"/>
                <w:color w:val="auto"/>
                <w:sz w:val="21"/>
                <w:szCs w:val="21"/>
                <w:highlight w:val="none"/>
              </w:rPr>
              <w:t>（3）201</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年1月1日起至今，投标人或制造商参与国家级残疾人辅助器具相关课题研究项目的得2分。满分2分</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color w:val="auto"/>
                <w:szCs w:val="21"/>
              </w:rPr>
            </w:pPr>
            <w:r>
              <w:rPr>
                <w:rFonts w:ascii="宋体" w:hAnsi="宋体"/>
                <w:b/>
                <w:color w:val="auto"/>
                <w:szCs w:val="21"/>
              </w:rPr>
              <w:t>5</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color w:val="auto"/>
                <w:szCs w:val="21"/>
              </w:rPr>
            </w:pPr>
            <w:r>
              <w:rPr>
                <w:rFonts w:hint="eastAsia" w:ascii="宋体" w:hAnsi="宋体"/>
                <w:b/>
                <w:color w:val="auto"/>
                <w:szCs w:val="21"/>
              </w:rPr>
              <w:t>政策功能分（</w:t>
            </w:r>
            <w:r>
              <w:rPr>
                <w:rFonts w:hint="eastAsia" w:ascii="宋体" w:hAnsi="宋体"/>
                <w:b/>
                <w:color w:val="auto"/>
                <w:szCs w:val="21"/>
                <w:lang w:val="en-US" w:eastAsia="zh-CN"/>
              </w:rPr>
              <w:t>1</w:t>
            </w:r>
            <w:r>
              <w:rPr>
                <w:rFonts w:hint="eastAsia" w:ascii="宋体" w:hAnsi="宋体"/>
                <w:b/>
                <w:color w:val="auto"/>
                <w:szCs w:val="21"/>
              </w:rPr>
              <w:t>分）</w:t>
            </w:r>
          </w:p>
        </w:tc>
        <w:tc>
          <w:tcPr>
            <w:tcW w:w="11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auto"/>
                <w:szCs w:val="21"/>
              </w:rPr>
            </w:pPr>
            <w:r>
              <w:rPr>
                <w:rFonts w:hint="eastAsia" w:ascii="宋体" w:hAnsi="宋体"/>
                <w:color w:val="auto"/>
                <w:szCs w:val="21"/>
              </w:rPr>
              <w:t>节能、环保分</w:t>
            </w:r>
            <w:r>
              <w:rPr>
                <w:rFonts w:hint="eastAsia" w:ascii="宋体" w:hAnsi="宋体"/>
                <w:bCs/>
                <w:color w:val="auto"/>
                <w:szCs w:val="21"/>
              </w:rPr>
              <w:t>（</w:t>
            </w:r>
            <w:r>
              <w:rPr>
                <w:rFonts w:hint="eastAsia" w:ascii="宋体" w:hAnsi="宋体"/>
                <w:color w:val="auto"/>
                <w:szCs w:val="21"/>
              </w:rPr>
              <w:t>满分</w:t>
            </w:r>
            <w:r>
              <w:rPr>
                <w:rFonts w:hint="eastAsia" w:ascii="宋体" w:hAnsi="宋体"/>
                <w:color w:val="auto"/>
                <w:szCs w:val="21"/>
                <w:lang w:val="en-US" w:eastAsia="zh-CN"/>
              </w:rPr>
              <w:t>1</w:t>
            </w:r>
            <w:r>
              <w:rPr>
                <w:rFonts w:hint="eastAsia" w:ascii="宋体" w:hAnsi="宋体"/>
                <w:color w:val="auto"/>
                <w:szCs w:val="21"/>
              </w:rPr>
              <w:t>分</w:t>
            </w:r>
            <w:r>
              <w:rPr>
                <w:rFonts w:hint="eastAsia" w:ascii="宋体" w:hAnsi="宋体"/>
                <w:bCs/>
                <w:color w:val="auto"/>
                <w:szCs w:val="21"/>
              </w:rPr>
              <w:t>）</w:t>
            </w:r>
          </w:p>
        </w:tc>
        <w:tc>
          <w:tcPr>
            <w:tcW w:w="6879"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left"/>
              <w:rPr>
                <w:rFonts w:ascii="宋体" w:hAnsi="宋体"/>
                <w:color w:val="auto"/>
                <w:szCs w:val="21"/>
              </w:rPr>
            </w:pPr>
            <w:r>
              <w:rPr>
                <w:rFonts w:hint="eastAsia" w:ascii="宋体" w:hAnsi="宋体"/>
                <w:color w:val="auto"/>
                <w:szCs w:val="21"/>
              </w:rPr>
              <w:t>（1）属于财政部《节能产品政府采购品目清单》内优先采购（清单内未标注“</w:t>
            </w:r>
            <w:r>
              <w:rPr>
                <w:rFonts w:hint="eastAsia" w:ascii="宋体" w:hAnsi="宋体" w:cs="宋体"/>
                <w:color w:val="auto"/>
                <w:kern w:val="0"/>
                <w:szCs w:val="21"/>
              </w:rPr>
              <w:t>★</w:t>
            </w:r>
            <w:r>
              <w:rPr>
                <w:rFonts w:hint="eastAsia" w:ascii="宋体" w:hAnsi="宋体"/>
                <w:color w:val="auto"/>
                <w:szCs w:val="21"/>
              </w:rPr>
              <w:t>”的品目）的产品[投标文件中提供有效的认证证书复印件及品目清单（标注出投标产品在品目清单中所属的品目），并加盖供应商公章]，根据其所占项目（或分标）金额比例得0-</w:t>
            </w:r>
            <w:r>
              <w:rPr>
                <w:rFonts w:hint="eastAsia" w:ascii="宋体" w:hAnsi="宋体"/>
                <w:color w:val="auto"/>
                <w:szCs w:val="21"/>
                <w:lang w:val="en-US" w:eastAsia="zh-CN"/>
              </w:rPr>
              <w:t>0.5</w:t>
            </w:r>
            <w:r>
              <w:rPr>
                <w:rFonts w:hint="eastAsia" w:ascii="宋体" w:hAnsi="宋体"/>
                <w:color w:val="auto"/>
                <w:szCs w:val="21"/>
              </w:rPr>
              <w:t>分。</w:t>
            </w:r>
            <w:r>
              <w:rPr>
                <w:rFonts w:hint="eastAsia" w:ascii="宋体" w:hAnsi="宋体"/>
                <w:color w:val="auto"/>
                <w:szCs w:val="21"/>
              </w:rPr>
              <w:br w:type="textWrapping"/>
            </w:r>
            <w:r>
              <w:rPr>
                <w:rFonts w:hint="eastAsia" w:ascii="宋体" w:hAnsi="宋体"/>
                <w:color w:val="auto"/>
                <w:szCs w:val="21"/>
              </w:rPr>
              <w:t>（2）属于财政部《环境标志产品政府采购品目清单》内的产品[投标文件中提供有效的认证证书复印件及品目清单（标注出投标产品在品目清单中所属的品目），并加盖供应商公章]，根据其所占项目（或分标）金额比例得0-</w:t>
            </w:r>
            <w:r>
              <w:rPr>
                <w:rFonts w:hint="eastAsia" w:ascii="宋体" w:hAnsi="宋体"/>
                <w:color w:val="auto"/>
                <w:szCs w:val="21"/>
                <w:lang w:val="en-US" w:eastAsia="zh-CN"/>
              </w:rPr>
              <w:t>0.5</w:t>
            </w:r>
            <w:r>
              <w:rPr>
                <w:rFonts w:hint="eastAsia" w:ascii="宋体" w:hAnsi="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5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ind w:firstLine="420"/>
              <w:rPr>
                <w:rFonts w:ascii="宋体" w:hAnsi="宋体"/>
                <w:bCs/>
                <w:color w:val="auto"/>
                <w:szCs w:val="21"/>
              </w:rPr>
            </w:pPr>
            <w:r>
              <w:rPr>
                <w:rFonts w:hint="eastAsia" w:ascii="宋体" w:hAnsi="宋体"/>
                <w:b/>
                <w:bCs/>
                <w:color w:val="auto"/>
                <w:szCs w:val="21"/>
              </w:rPr>
              <w:t>总得分</w:t>
            </w:r>
            <w:r>
              <w:rPr>
                <w:rFonts w:ascii="宋体" w:hAnsi="宋体"/>
                <w:b/>
                <w:bCs/>
                <w:color w:val="auto"/>
                <w:szCs w:val="21"/>
              </w:rPr>
              <w:t>=1+2+3+4+5</w:t>
            </w:r>
            <w:r>
              <w:rPr>
                <w:rFonts w:hint="eastAsia" w:ascii="宋体" w:hAnsi="宋体"/>
                <w:b/>
                <w:bCs/>
                <w:color w:val="auto"/>
                <w:szCs w:val="21"/>
              </w:rPr>
              <w:t>。</w:t>
            </w:r>
          </w:p>
        </w:tc>
      </w:tr>
    </w:tbl>
    <w:p>
      <w:pPr>
        <w:pStyle w:val="15"/>
        <w:spacing w:line="360" w:lineRule="auto"/>
        <w:ind w:firstLine="420"/>
        <w:rPr>
          <w:rFonts w:hint="eastAsia" w:hAnsi="宋体"/>
          <w:bCs/>
          <w:color w:val="auto"/>
          <w:sz w:val="21"/>
        </w:rPr>
      </w:pPr>
    </w:p>
    <w:p>
      <w:pPr>
        <w:pStyle w:val="15"/>
        <w:spacing w:line="360" w:lineRule="auto"/>
        <w:ind w:firstLine="420"/>
        <w:rPr>
          <w:rFonts w:hint="eastAsia" w:hAnsi="宋体"/>
          <w:bCs/>
          <w:color w:val="auto"/>
          <w:sz w:val="21"/>
        </w:rPr>
      </w:pPr>
      <w:r>
        <w:rPr>
          <w:rFonts w:hint="eastAsia" w:hAnsi="宋体"/>
          <w:bCs/>
          <w:color w:val="auto"/>
          <w:sz w:val="21"/>
        </w:rPr>
        <w:t>注：计分方法按四舍五入取至百分位</w:t>
      </w:r>
    </w:p>
    <w:p>
      <w:pPr>
        <w:pStyle w:val="7"/>
        <w:keepNext w:val="0"/>
        <w:keepLines w:val="0"/>
        <w:jc w:val="center"/>
        <w:rPr>
          <w:color w:val="auto"/>
        </w:rPr>
      </w:pPr>
      <w:r>
        <w:rPr>
          <w:rFonts w:hint="eastAsia"/>
          <w:color w:val="auto"/>
        </w:rPr>
        <w:t>综合评分法</w:t>
      </w:r>
      <w:r>
        <w:rPr>
          <w:rFonts w:hint="eastAsia"/>
          <w:color w:val="auto"/>
          <w:lang w:eastAsia="zh-CN"/>
        </w:rPr>
        <w:t>（</w:t>
      </w:r>
      <w:r>
        <w:rPr>
          <w:rFonts w:hint="eastAsia"/>
          <w:color w:val="auto"/>
          <w:lang w:val="en-US" w:eastAsia="zh-CN"/>
        </w:rPr>
        <w:t>适用于F分标</w:t>
      </w:r>
      <w:r>
        <w:rPr>
          <w:rFonts w:hint="eastAsia"/>
          <w:color w:val="auto"/>
          <w:lang w:eastAsia="zh-CN"/>
        </w:rPr>
        <w:t>）</w:t>
      </w:r>
    </w:p>
    <w:tbl>
      <w:tblPr>
        <w:tblStyle w:val="24"/>
        <w:tblW w:w="9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851"/>
        <w:gridCol w:w="1105"/>
        <w:gridCol w:w="6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6"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color w:val="auto"/>
                <w:szCs w:val="21"/>
              </w:rPr>
            </w:pPr>
            <w:r>
              <w:rPr>
                <w:rFonts w:hint="eastAsia" w:ascii="宋体" w:hAnsi="宋体"/>
                <w:b/>
                <w:color w:val="auto"/>
                <w:szCs w:val="21"/>
              </w:rPr>
              <w:t>序号</w:t>
            </w:r>
          </w:p>
        </w:tc>
        <w:tc>
          <w:tcPr>
            <w:tcW w:w="110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color w:val="auto"/>
                <w:szCs w:val="21"/>
              </w:rPr>
            </w:pPr>
            <w:r>
              <w:rPr>
                <w:rFonts w:hint="eastAsia" w:ascii="宋体" w:hAnsi="宋体"/>
                <w:b/>
                <w:color w:val="auto"/>
                <w:szCs w:val="21"/>
              </w:rPr>
              <w:t>评分因素</w:t>
            </w:r>
          </w:p>
        </w:tc>
        <w:tc>
          <w:tcPr>
            <w:tcW w:w="687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color w:val="auto"/>
                <w:szCs w:val="21"/>
              </w:rPr>
            </w:pPr>
            <w:r>
              <w:rPr>
                <w:rFonts w:hint="eastAsia" w:ascii="宋体" w:hAnsi="宋体"/>
                <w:b/>
                <w:color w:val="auto"/>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b/>
                <w:color w:val="auto"/>
                <w:szCs w:val="21"/>
              </w:rPr>
            </w:pPr>
            <w:r>
              <w:rPr>
                <w:rFonts w:ascii="宋体" w:hAnsi="宋体"/>
                <w:b/>
                <w:color w:val="auto"/>
                <w:szCs w:val="21"/>
              </w:rPr>
              <w:t>1</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b/>
                <w:color w:val="auto"/>
                <w:szCs w:val="21"/>
              </w:rPr>
            </w:pPr>
            <w:r>
              <w:rPr>
                <w:rFonts w:hint="eastAsia" w:ascii="宋体" w:hAnsi="宋体"/>
                <w:b/>
                <w:color w:val="auto"/>
                <w:szCs w:val="21"/>
              </w:rPr>
              <w:t>价格分</w:t>
            </w:r>
          </w:p>
          <w:p>
            <w:pPr>
              <w:adjustRightInd w:val="0"/>
              <w:spacing w:line="360" w:lineRule="exact"/>
              <w:jc w:val="center"/>
              <w:textAlignment w:val="baseline"/>
              <w:rPr>
                <w:rFonts w:ascii="宋体" w:hAnsi="宋体"/>
                <w:color w:val="auto"/>
                <w:szCs w:val="21"/>
              </w:rPr>
            </w:pPr>
            <w:r>
              <w:rPr>
                <w:rFonts w:hint="eastAsia" w:ascii="宋体" w:hAnsi="宋体"/>
                <w:b/>
                <w:color w:val="auto"/>
                <w:szCs w:val="21"/>
              </w:rPr>
              <w:t>（</w:t>
            </w:r>
            <w:r>
              <w:rPr>
                <w:rFonts w:ascii="宋体" w:hAnsi="宋体"/>
                <w:b/>
                <w:color w:val="auto"/>
                <w:szCs w:val="21"/>
              </w:rPr>
              <w:t>30</w:t>
            </w:r>
            <w:r>
              <w:rPr>
                <w:rFonts w:hint="eastAsia" w:ascii="宋体" w:hAnsi="宋体"/>
                <w:b/>
                <w:color w:val="auto"/>
                <w:szCs w:val="21"/>
              </w:rPr>
              <w:t>分）</w:t>
            </w:r>
          </w:p>
        </w:tc>
        <w:tc>
          <w:tcPr>
            <w:tcW w:w="110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color w:val="auto"/>
                <w:szCs w:val="21"/>
              </w:rPr>
            </w:pPr>
            <w:r>
              <w:rPr>
                <w:rFonts w:hint="eastAsia" w:ascii="宋体" w:hAnsi="宋体"/>
                <w:color w:val="auto"/>
                <w:szCs w:val="21"/>
              </w:rPr>
              <w:t>投标报价（满分</w:t>
            </w:r>
            <w:r>
              <w:rPr>
                <w:rFonts w:ascii="宋体" w:hAnsi="宋体"/>
                <w:color w:val="auto"/>
                <w:szCs w:val="21"/>
              </w:rPr>
              <w:t>30</w:t>
            </w:r>
            <w:r>
              <w:rPr>
                <w:rFonts w:hint="eastAsia" w:ascii="宋体" w:hAnsi="宋体"/>
                <w:color w:val="auto"/>
                <w:szCs w:val="21"/>
              </w:rPr>
              <w:t>分）</w:t>
            </w:r>
          </w:p>
        </w:tc>
        <w:tc>
          <w:tcPr>
            <w:tcW w:w="687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233" w:firstLineChars="111"/>
              <w:rPr>
                <w:rFonts w:hint="eastAsia"/>
                <w:color w:val="auto"/>
              </w:rPr>
            </w:pPr>
            <w:r>
              <w:rPr>
                <w:rFonts w:hint="eastAsia"/>
                <w:color w:val="auto"/>
              </w:rPr>
              <w:t>（1）评标报价为投标人的投标报价进行政策性扣除后的价格，评标报价只是作为评标时使用。最终中标人的中标金额等于投标报价。</w:t>
            </w:r>
          </w:p>
          <w:p>
            <w:pPr>
              <w:snapToGrid w:val="0"/>
              <w:spacing w:line="360" w:lineRule="exact"/>
              <w:ind w:firstLine="233" w:firstLineChars="111"/>
              <w:rPr>
                <w:rFonts w:hint="eastAsia"/>
                <w:color w:val="auto"/>
              </w:rPr>
            </w:pPr>
            <w:r>
              <w:rPr>
                <w:rFonts w:hint="eastAsia"/>
                <w:color w:val="auto"/>
              </w:rPr>
              <w:t>（2）政策性扣除计算方法。</w:t>
            </w:r>
          </w:p>
          <w:p>
            <w:pPr>
              <w:snapToGrid w:val="0"/>
              <w:spacing w:line="360" w:lineRule="exact"/>
              <w:ind w:firstLine="233" w:firstLineChars="111"/>
              <w:rPr>
                <w:rFonts w:hint="eastAsia"/>
                <w:color w:val="auto"/>
              </w:rPr>
            </w:pPr>
            <w:r>
              <w:rPr>
                <w:rFonts w:hint="eastAsia"/>
                <w:color w:val="auto"/>
              </w:rPr>
              <w:t>根据《政府采购促进中小企业发展管理办法》（财库〔2020〕46号）的规定，投标人在其投标文件中提供《中小企业声明函》，且其投标全部货物由小微企业制造的，对其投标报价给予10%的扣除，扣除后的价格为评标报价，即评标报价=</w:t>
            </w:r>
            <w:r>
              <w:rPr>
                <w:rFonts w:hint="eastAsia"/>
                <w:color w:val="auto"/>
                <w:lang w:eastAsia="zh-CN"/>
              </w:rPr>
              <w:t>（</w:t>
            </w:r>
            <w:r>
              <w:rPr>
                <w:rFonts w:hint="eastAsia"/>
                <w:color w:val="auto"/>
                <w:lang w:val="en-US" w:eastAsia="zh-CN"/>
              </w:rPr>
              <w:t>1-投标折让率</w:t>
            </w:r>
            <w:r>
              <w:rPr>
                <w:rFonts w:hint="eastAsia"/>
                <w:color w:val="auto"/>
                <w:lang w:eastAsia="zh-CN"/>
              </w:rPr>
              <w:t>）</w:t>
            </w:r>
            <w:r>
              <w:rPr>
                <w:rFonts w:hint="eastAsia"/>
                <w:color w:val="auto"/>
              </w:rPr>
              <w:t>×（1-10%）。接受大中型企业与小微企业组成联合体或者允许大中型企业向一家或者多家小微企业分包的采购项目，联合协议或者分包意向协议约定小微企业的合同份额占到合同总金额30%以上的，采购人、采购代理机构应当对联合体或者大中型企业的报价给予2%的扣除，用扣除后的价格参加评审，扣除后的价格为评标报价，即评标报价=</w:t>
            </w:r>
            <w:r>
              <w:rPr>
                <w:rFonts w:hint="eastAsia"/>
                <w:color w:val="auto"/>
                <w:lang w:eastAsia="zh-CN"/>
              </w:rPr>
              <w:t>（</w:t>
            </w:r>
            <w:r>
              <w:rPr>
                <w:rFonts w:hint="eastAsia"/>
                <w:color w:val="auto"/>
                <w:lang w:val="en-US" w:eastAsia="zh-CN"/>
              </w:rPr>
              <w:t>1-投标折让率</w:t>
            </w:r>
            <w:r>
              <w:rPr>
                <w:rFonts w:hint="eastAsia"/>
                <w:color w:val="auto"/>
                <w:lang w:eastAsia="zh-CN"/>
              </w:rPr>
              <w:t>）</w:t>
            </w:r>
            <w:r>
              <w:rPr>
                <w:rFonts w:hint="eastAsia"/>
                <w:color w:val="auto"/>
              </w:rPr>
              <w:t>×（1-2%）。除上述情况外，评标报价=</w:t>
            </w:r>
            <w:r>
              <w:rPr>
                <w:rFonts w:hint="eastAsia"/>
                <w:color w:val="auto"/>
                <w:lang w:eastAsia="zh-CN"/>
              </w:rPr>
              <w:t>（</w:t>
            </w:r>
            <w:r>
              <w:rPr>
                <w:rFonts w:hint="eastAsia"/>
                <w:color w:val="auto"/>
                <w:lang w:val="en-US" w:eastAsia="zh-CN"/>
              </w:rPr>
              <w:t>1-投标折让率</w:t>
            </w:r>
            <w:r>
              <w:rPr>
                <w:rFonts w:hint="eastAsia"/>
                <w:color w:val="auto"/>
                <w:lang w:eastAsia="zh-CN"/>
              </w:rPr>
              <w:t>）</w:t>
            </w:r>
            <w:r>
              <w:rPr>
                <w:rFonts w:hint="eastAsia"/>
                <w:color w:val="auto"/>
              </w:rPr>
              <w:t>。</w:t>
            </w:r>
          </w:p>
          <w:p>
            <w:pPr>
              <w:snapToGrid w:val="0"/>
              <w:spacing w:line="360" w:lineRule="exact"/>
              <w:ind w:firstLine="233" w:firstLineChars="111"/>
              <w:rPr>
                <w:rFonts w:hint="eastAsia"/>
                <w:color w:val="auto"/>
              </w:rPr>
            </w:pPr>
            <w:r>
              <w:rPr>
                <w:rFonts w:hint="eastAsia"/>
                <w:color w:val="auto"/>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pPr>
              <w:snapToGrid w:val="0"/>
              <w:spacing w:line="360" w:lineRule="exact"/>
              <w:ind w:firstLine="233" w:firstLineChars="111"/>
              <w:rPr>
                <w:rFonts w:hint="eastAsia"/>
                <w:color w:val="auto"/>
              </w:rPr>
            </w:pPr>
            <w:r>
              <w:rPr>
                <w:rFonts w:hint="eastAsia"/>
                <w:color w:val="auto"/>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snapToGrid w:val="0"/>
              <w:spacing w:line="360" w:lineRule="exact"/>
              <w:ind w:firstLine="233" w:firstLineChars="111"/>
              <w:rPr>
                <w:rFonts w:hint="eastAsia"/>
                <w:color w:val="auto"/>
              </w:rPr>
            </w:pPr>
            <w:r>
              <w:rPr>
                <w:rFonts w:hint="eastAsia"/>
                <w:color w:val="auto"/>
              </w:rPr>
              <w:t>（5）满足招标文件要求且评标报价最低的评标报价为评标基准价，其价格分为满分。</w:t>
            </w:r>
          </w:p>
          <w:p>
            <w:pPr>
              <w:snapToGrid w:val="0"/>
              <w:spacing w:line="360" w:lineRule="exact"/>
              <w:ind w:firstLine="233" w:firstLineChars="111"/>
              <w:rPr>
                <w:rFonts w:hint="eastAsia"/>
                <w:color w:val="auto"/>
              </w:rPr>
            </w:pPr>
            <w:r>
              <w:rPr>
                <w:rFonts w:hint="eastAsia"/>
                <w:color w:val="auto"/>
              </w:rPr>
              <w:t>（6）价格分计算公式：价格分=(评标基准价／</w:t>
            </w:r>
            <w:r>
              <w:rPr>
                <w:rFonts w:hint="eastAsia"/>
                <w:color w:val="auto"/>
                <w:lang w:eastAsia="zh-CN"/>
              </w:rPr>
              <w:t>（</w:t>
            </w:r>
            <w:r>
              <w:rPr>
                <w:rFonts w:hint="eastAsia"/>
                <w:color w:val="auto"/>
              </w:rPr>
              <w:t>1-某投标人投标折让率</w:t>
            </w:r>
            <w:r>
              <w:rPr>
                <w:rFonts w:hint="eastAsia"/>
                <w:color w:val="auto"/>
                <w:lang w:eastAsia="zh-CN"/>
              </w:rPr>
              <w:t>）</w:t>
            </w:r>
            <w:r>
              <w:rPr>
                <w:rFonts w:hint="eastAsia"/>
                <w:color w:val="auto"/>
              </w:rPr>
              <w:t>)×30分</w:t>
            </w:r>
            <w:r>
              <w:rPr>
                <w:color w:val="auto"/>
              </w:rPr>
              <w:t xml:space="preserve">   </w:t>
            </w:r>
          </w:p>
          <w:p>
            <w:pPr>
              <w:spacing w:line="360" w:lineRule="exact"/>
              <w:rPr>
                <w:rFonts w:hint="eastAsia"/>
                <w:color w:val="auto"/>
              </w:rPr>
            </w:pPr>
            <w:r>
              <w:rPr>
                <w:rFonts w:hint="eastAsia"/>
                <w:color w:val="auto"/>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
              <w:rPr>
                <w:color w:val="auto"/>
              </w:rPr>
            </w:pPr>
            <w:r>
              <w:rPr>
                <w:rFonts w:hint="eastAsia" w:ascii="宋体" w:hAnsi="宋体" w:cs="宋体"/>
                <w:color w:val="auto"/>
                <w:szCs w:val="21"/>
                <w:lang w:val="en-US" w:eastAsia="zh-CN"/>
              </w:rPr>
              <w:t>备注</w:t>
            </w:r>
            <w:r>
              <w:rPr>
                <w:rFonts w:hint="eastAsia" w:ascii="宋体" w:hAnsi="宋体" w:cs="宋体"/>
                <w:color w:val="auto"/>
                <w:szCs w:val="21"/>
              </w:rPr>
              <w:t>：</w:t>
            </w:r>
            <w:r>
              <w:rPr>
                <w:rFonts w:hint="eastAsia" w:ascii="Times New Roman" w:hAnsi="Times New Roman" w:eastAsia="宋体" w:cs="Times New Roman"/>
                <w:color w:val="auto"/>
                <w:kern w:val="2"/>
                <w:sz w:val="21"/>
                <w:szCs w:val="24"/>
                <w:lang w:val="en-US" w:eastAsia="zh-CN" w:bidi="ar-SA"/>
              </w:rPr>
              <w:t>本项目最高折让率＜20%的，作无效投标；本项目不接受零折让率的报价。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15" w:type="dxa"/>
            <w:vMerge w:val="restart"/>
            <w:tcBorders>
              <w:top w:val="single" w:color="auto" w:sz="4" w:space="0"/>
              <w:left w:val="single" w:color="auto" w:sz="4" w:space="0"/>
              <w:right w:val="single" w:color="auto" w:sz="4" w:space="0"/>
            </w:tcBorders>
            <w:vAlign w:val="center"/>
          </w:tcPr>
          <w:p>
            <w:pPr>
              <w:adjustRightInd w:val="0"/>
              <w:spacing w:line="360" w:lineRule="exact"/>
              <w:jc w:val="center"/>
              <w:textAlignment w:val="baseline"/>
              <w:rPr>
                <w:rFonts w:ascii="宋体" w:hAnsi="宋体"/>
                <w:b/>
                <w:color w:val="auto"/>
                <w:szCs w:val="21"/>
              </w:rPr>
            </w:pPr>
            <w:r>
              <w:rPr>
                <w:rFonts w:ascii="宋体" w:hAnsi="宋体"/>
                <w:b/>
                <w:color w:val="auto"/>
                <w:szCs w:val="21"/>
              </w:rPr>
              <w:t>2</w:t>
            </w:r>
          </w:p>
        </w:tc>
        <w:tc>
          <w:tcPr>
            <w:tcW w:w="851" w:type="dxa"/>
            <w:vMerge w:val="restart"/>
            <w:tcBorders>
              <w:top w:val="single" w:color="auto" w:sz="4" w:space="0"/>
              <w:left w:val="single" w:color="auto" w:sz="4" w:space="0"/>
              <w:right w:val="single" w:color="auto" w:sz="4" w:space="0"/>
            </w:tcBorders>
            <w:vAlign w:val="center"/>
          </w:tcPr>
          <w:p>
            <w:pPr>
              <w:adjustRightInd w:val="0"/>
              <w:spacing w:line="360" w:lineRule="exact"/>
              <w:ind w:left="-105" w:leftChars="-50" w:right="-105" w:rightChars="-50"/>
              <w:jc w:val="center"/>
              <w:textAlignment w:val="baseline"/>
              <w:rPr>
                <w:rFonts w:ascii="宋体" w:hAnsi="宋体"/>
                <w:b/>
                <w:bCs/>
                <w:color w:val="auto"/>
                <w:szCs w:val="21"/>
              </w:rPr>
            </w:pPr>
            <w:r>
              <w:rPr>
                <w:rFonts w:hint="eastAsia" w:ascii="宋体" w:hAnsi="宋体"/>
                <w:b/>
                <w:bCs/>
                <w:color w:val="auto"/>
                <w:szCs w:val="21"/>
              </w:rPr>
              <w:t>技术分</w:t>
            </w:r>
          </w:p>
          <w:p>
            <w:pPr>
              <w:adjustRightInd w:val="0"/>
              <w:spacing w:line="360" w:lineRule="exact"/>
              <w:ind w:left="-105" w:leftChars="-50" w:right="-105" w:rightChars="-50"/>
              <w:jc w:val="center"/>
              <w:textAlignment w:val="baseline"/>
              <w:rPr>
                <w:rFonts w:ascii="宋体" w:hAnsi="宋体"/>
                <w:color w:val="auto"/>
                <w:spacing w:val="-18"/>
                <w:szCs w:val="21"/>
              </w:rPr>
            </w:pPr>
            <w:r>
              <w:rPr>
                <w:rFonts w:hint="eastAsia" w:ascii="宋体" w:hAnsi="宋体"/>
                <w:b/>
                <w:bCs/>
                <w:color w:val="auto"/>
                <w:szCs w:val="21"/>
              </w:rPr>
              <w:t>（</w:t>
            </w:r>
            <w:r>
              <w:rPr>
                <w:rFonts w:hint="eastAsia" w:ascii="宋体" w:hAnsi="宋体"/>
                <w:b/>
                <w:color w:val="auto"/>
                <w:szCs w:val="21"/>
              </w:rPr>
              <w:t>满分</w:t>
            </w:r>
            <w:r>
              <w:rPr>
                <w:rFonts w:hint="eastAsia" w:ascii="宋体" w:hAnsi="宋体"/>
                <w:b/>
                <w:bCs/>
                <w:color w:val="auto"/>
                <w:szCs w:val="21"/>
                <w:lang w:val="en-US" w:eastAsia="zh-CN"/>
              </w:rPr>
              <w:t>52</w:t>
            </w:r>
            <w:r>
              <w:rPr>
                <w:rFonts w:hint="eastAsia" w:ascii="宋体" w:hAnsi="宋体"/>
                <w:b/>
                <w:bCs/>
                <w:color w:val="auto"/>
                <w:szCs w:val="21"/>
              </w:rPr>
              <w:t>分）</w:t>
            </w:r>
          </w:p>
        </w:tc>
        <w:tc>
          <w:tcPr>
            <w:tcW w:w="1105" w:type="dxa"/>
            <w:tcBorders>
              <w:top w:val="single" w:color="auto" w:sz="4" w:space="0"/>
              <w:left w:val="single" w:color="auto" w:sz="4" w:space="0"/>
              <w:right w:val="single" w:color="auto" w:sz="4" w:space="0"/>
            </w:tcBorders>
            <w:vAlign w:val="center"/>
          </w:tcPr>
          <w:p>
            <w:pPr>
              <w:adjustRightInd w:val="0"/>
              <w:spacing w:line="360" w:lineRule="exact"/>
              <w:jc w:val="center"/>
              <w:textAlignment w:val="baseline"/>
              <w:rPr>
                <w:rFonts w:ascii="宋体" w:hAnsi="宋体"/>
                <w:bCs/>
                <w:color w:val="auto"/>
                <w:szCs w:val="21"/>
              </w:rPr>
            </w:pPr>
            <w:r>
              <w:rPr>
                <w:rFonts w:hint="eastAsia" w:ascii="宋体" w:hAnsi="宋体"/>
                <w:color w:val="auto"/>
                <w:szCs w:val="21"/>
              </w:rPr>
              <w:t>设备性能分（满分</w:t>
            </w:r>
            <w:r>
              <w:rPr>
                <w:rFonts w:hint="eastAsia" w:ascii="宋体" w:hAnsi="宋体"/>
                <w:color w:val="auto"/>
                <w:szCs w:val="21"/>
                <w:lang w:val="en-US" w:eastAsia="zh-CN"/>
              </w:rPr>
              <w:t>25</w:t>
            </w:r>
            <w:r>
              <w:rPr>
                <w:rFonts w:hint="eastAsia" w:ascii="宋体" w:hAnsi="宋体"/>
                <w:color w:val="auto"/>
                <w:szCs w:val="21"/>
              </w:rPr>
              <w:t>分）</w:t>
            </w:r>
          </w:p>
        </w:tc>
        <w:tc>
          <w:tcPr>
            <w:tcW w:w="687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rFonts w:ascii="宋体" w:hAnsi="宋体"/>
                <w:color w:val="auto"/>
                <w:szCs w:val="21"/>
              </w:rPr>
            </w:pPr>
            <w:r>
              <w:rPr>
                <w:rFonts w:hint="eastAsia" w:ascii="宋体" w:hAnsi="宋体"/>
                <w:color w:val="auto"/>
                <w:szCs w:val="21"/>
              </w:rPr>
              <w:t>评委根据招标文件要求，对通过资格性和符合性审查进入详评的各投标人所投产品技术参数偏离情况进行独立评审，并按如下计分方式确定得分:</w:t>
            </w:r>
          </w:p>
          <w:p>
            <w:pPr>
              <w:adjustRightInd w:val="0"/>
              <w:spacing w:line="360" w:lineRule="exact"/>
              <w:textAlignment w:val="baseline"/>
              <w:rPr>
                <w:rFonts w:hint="eastAsia" w:ascii="宋体" w:hAnsi="宋体"/>
                <w:color w:val="auto"/>
                <w:szCs w:val="21"/>
              </w:rPr>
            </w:pPr>
            <w:r>
              <w:rPr>
                <w:rFonts w:hint="eastAsia" w:ascii="宋体" w:hAnsi="宋体"/>
                <w:color w:val="auto"/>
                <w:szCs w:val="21"/>
              </w:rPr>
              <w:t>提供省级（含：自治区、直辖市）相关</w:t>
            </w:r>
            <w:r>
              <w:rPr>
                <w:rFonts w:hint="eastAsia" w:ascii="宋体" w:hAnsi="宋体"/>
                <w:color w:val="auto"/>
                <w:szCs w:val="21"/>
                <w:lang w:val="en-US" w:eastAsia="zh-CN"/>
              </w:rPr>
              <w:t>专业质量</w:t>
            </w:r>
            <w:r>
              <w:rPr>
                <w:rFonts w:hint="eastAsia" w:ascii="宋体" w:hAnsi="宋体"/>
                <w:color w:val="auto"/>
                <w:szCs w:val="21"/>
              </w:rPr>
              <w:t>监督检验部门出具的检测报告每项得</w:t>
            </w:r>
            <w:r>
              <w:rPr>
                <w:rFonts w:hint="eastAsia" w:ascii="宋体" w:hAnsi="宋体"/>
                <w:color w:val="auto"/>
                <w:szCs w:val="21"/>
                <w:lang w:val="en-US" w:eastAsia="zh-CN"/>
              </w:rPr>
              <w:t>0.2</w:t>
            </w:r>
            <w:r>
              <w:rPr>
                <w:rFonts w:hint="eastAsia" w:ascii="宋体" w:hAnsi="宋体"/>
                <w:color w:val="auto"/>
                <w:szCs w:val="21"/>
              </w:rPr>
              <w:t>分；提供国家级相关</w:t>
            </w:r>
            <w:r>
              <w:rPr>
                <w:rFonts w:hint="eastAsia" w:ascii="宋体" w:hAnsi="宋体"/>
                <w:color w:val="auto"/>
                <w:szCs w:val="21"/>
                <w:lang w:val="en-US" w:eastAsia="zh-CN"/>
              </w:rPr>
              <w:t>专业</w:t>
            </w:r>
            <w:r>
              <w:rPr>
                <w:rFonts w:hint="eastAsia" w:ascii="宋体" w:hAnsi="宋体"/>
                <w:color w:val="auto"/>
                <w:szCs w:val="21"/>
              </w:rPr>
              <w:t>质量监督检验部门出具的检测报告每项得</w:t>
            </w:r>
            <w:r>
              <w:rPr>
                <w:rFonts w:hint="eastAsia" w:ascii="宋体" w:hAnsi="宋体"/>
                <w:color w:val="auto"/>
                <w:szCs w:val="21"/>
                <w:lang w:val="en-US" w:eastAsia="zh-CN"/>
              </w:rPr>
              <w:t>0.7</w:t>
            </w:r>
            <w:r>
              <w:rPr>
                <w:rFonts w:hint="eastAsia" w:ascii="宋体" w:hAnsi="宋体"/>
                <w:color w:val="auto"/>
                <w:szCs w:val="21"/>
              </w:rPr>
              <w:t>分</w:t>
            </w:r>
            <w:r>
              <w:rPr>
                <w:rFonts w:hint="eastAsia" w:ascii="宋体" w:hAnsi="宋体"/>
                <w:color w:val="auto"/>
                <w:szCs w:val="21"/>
                <w:lang w:eastAsia="zh-CN"/>
              </w:rPr>
              <w:t>。（</w:t>
            </w:r>
            <w:r>
              <w:rPr>
                <w:rFonts w:hint="eastAsia" w:ascii="宋体" w:hAnsi="宋体"/>
                <w:color w:val="auto"/>
                <w:szCs w:val="21"/>
                <w:lang w:val="en-US" w:eastAsia="zh-CN"/>
              </w:rPr>
              <w:t>本项满分5分</w:t>
            </w:r>
            <w:r>
              <w:rPr>
                <w:rFonts w:hint="eastAsia" w:ascii="宋体" w:hAnsi="宋体"/>
                <w:color w:val="auto"/>
                <w:szCs w:val="21"/>
                <w:lang w:eastAsia="zh-CN"/>
              </w:rPr>
              <w:t>）</w:t>
            </w:r>
          </w:p>
          <w:p>
            <w:pPr>
              <w:adjustRightInd w:val="0"/>
              <w:spacing w:line="360" w:lineRule="exact"/>
              <w:textAlignment w:val="baseline"/>
              <w:rPr>
                <w:rFonts w:hint="eastAsia" w:ascii="宋体" w:hAnsi="宋体"/>
                <w:color w:val="auto"/>
                <w:szCs w:val="21"/>
                <w:lang w:val="en-US" w:eastAsia="zh-CN"/>
              </w:rPr>
            </w:pPr>
            <w:r>
              <w:rPr>
                <w:rFonts w:hint="eastAsia" w:ascii="宋体" w:hAnsi="宋体"/>
                <w:color w:val="auto"/>
                <w:szCs w:val="21"/>
              </w:rPr>
              <w:t>一档(20分):所投产品技术参数(招标文件要求提供有效检测报告复印件必须满足)无负偏离</w:t>
            </w:r>
            <w:r>
              <w:rPr>
                <w:rFonts w:hint="eastAsia" w:ascii="宋体" w:hAnsi="宋体"/>
                <w:color w:val="auto"/>
                <w:szCs w:val="21"/>
                <w:lang w:eastAsia="zh-CN"/>
              </w:rPr>
              <w:t>得</w:t>
            </w:r>
            <w:r>
              <w:rPr>
                <w:rFonts w:hint="eastAsia" w:ascii="宋体" w:hAnsi="宋体"/>
                <w:color w:val="auto"/>
                <w:szCs w:val="21"/>
                <w:lang w:val="en-US" w:eastAsia="zh-CN"/>
              </w:rPr>
              <w:t>15分，</w:t>
            </w:r>
            <w:r>
              <w:rPr>
                <w:rFonts w:hint="eastAsia" w:ascii="宋体" w:hAnsi="宋体"/>
                <w:color w:val="auto"/>
                <w:szCs w:val="21"/>
              </w:rPr>
              <w:t>带*的项目</w:t>
            </w:r>
            <w:r>
              <w:rPr>
                <w:rFonts w:hint="eastAsia" w:ascii="宋体" w:hAnsi="宋体"/>
                <w:color w:val="auto"/>
                <w:szCs w:val="21"/>
                <w:lang w:val="en-US" w:eastAsia="zh-CN"/>
              </w:rPr>
              <w:t>有正偏离的每项加一分，最高分5分，满分20分。</w:t>
            </w:r>
          </w:p>
          <w:p>
            <w:pPr>
              <w:adjustRightInd w:val="0"/>
              <w:spacing w:line="360" w:lineRule="exact"/>
              <w:textAlignment w:val="baseline"/>
              <w:rPr>
                <w:rFonts w:ascii="宋体" w:hAnsi="宋体"/>
                <w:color w:val="auto"/>
                <w:szCs w:val="21"/>
              </w:rPr>
            </w:pPr>
            <w:r>
              <w:rPr>
                <w:rFonts w:hint="eastAsia" w:ascii="宋体" w:hAnsi="宋体"/>
                <w:color w:val="auto"/>
                <w:szCs w:val="21"/>
              </w:rPr>
              <w:t>二档(15分):所投产品技术参数(招标文件要求提供有效检测报告复印件必须满足)无负偏离得15分。</w:t>
            </w:r>
          </w:p>
          <w:p>
            <w:pPr>
              <w:adjustRightInd w:val="0"/>
              <w:spacing w:line="360" w:lineRule="exact"/>
              <w:textAlignment w:val="baseline"/>
              <w:rPr>
                <w:rFonts w:ascii="宋体" w:hAnsi="宋体"/>
                <w:color w:val="auto"/>
                <w:szCs w:val="21"/>
              </w:rPr>
            </w:pPr>
            <w:r>
              <w:rPr>
                <w:rFonts w:hint="eastAsia" w:ascii="宋体" w:hAnsi="宋体"/>
                <w:color w:val="auto"/>
                <w:szCs w:val="21"/>
              </w:rPr>
              <w:t>三档(10分):所投产品技术参数(招标文件要求提供有效检测报告复印件必须满足)有</w:t>
            </w:r>
            <w:r>
              <w:rPr>
                <w:rFonts w:hint="eastAsia" w:ascii="宋体" w:hAnsi="宋体"/>
                <w:color w:val="auto"/>
                <w:szCs w:val="21"/>
                <w:lang w:val="en-US" w:eastAsia="zh-CN"/>
              </w:rPr>
              <w:t>1</w:t>
            </w:r>
            <w:r>
              <w:rPr>
                <w:rFonts w:hint="eastAsia" w:ascii="宋体" w:hAnsi="宋体"/>
                <w:color w:val="auto"/>
                <w:szCs w:val="21"/>
              </w:rPr>
              <w:t>项负偏离得10分。</w:t>
            </w:r>
          </w:p>
          <w:p>
            <w:pPr>
              <w:adjustRightInd w:val="0"/>
              <w:spacing w:line="360" w:lineRule="exact"/>
              <w:textAlignment w:val="baseline"/>
              <w:rPr>
                <w:rFonts w:ascii="宋体" w:hAnsi="宋体"/>
                <w:color w:val="auto"/>
                <w:szCs w:val="21"/>
              </w:rPr>
            </w:pPr>
            <w:r>
              <w:rPr>
                <w:rFonts w:hint="eastAsia" w:ascii="宋体" w:hAnsi="宋体"/>
                <w:color w:val="auto"/>
                <w:szCs w:val="21"/>
              </w:rPr>
              <w:t>四档(5分) :所投产品技术参数(招标文件要求提供有效检测报告复印件必须满足)有</w:t>
            </w:r>
            <w:r>
              <w:rPr>
                <w:rFonts w:hint="eastAsia" w:ascii="宋体" w:hAnsi="宋体"/>
                <w:color w:val="auto"/>
                <w:szCs w:val="21"/>
                <w:lang w:val="en-US" w:eastAsia="zh-CN"/>
              </w:rPr>
              <w:t>3</w:t>
            </w:r>
            <w:r>
              <w:rPr>
                <w:rFonts w:hint="eastAsia" w:ascii="宋体" w:hAnsi="宋体"/>
                <w:color w:val="auto"/>
                <w:szCs w:val="21"/>
              </w:rPr>
              <w:t>项负偏离得5分。</w:t>
            </w:r>
          </w:p>
          <w:p>
            <w:pPr>
              <w:adjustRightInd w:val="0"/>
              <w:spacing w:line="360" w:lineRule="exact"/>
              <w:textAlignment w:val="baseline"/>
              <w:rPr>
                <w:rFonts w:ascii="宋体" w:hAnsi="宋体"/>
                <w:color w:val="auto"/>
                <w:szCs w:val="21"/>
              </w:rPr>
            </w:pPr>
            <w:r>
              <w:rPr>
                <w:rFonts w:hint="eastAsia" w:ascii="宋体" w:hAnsi="宋体"/>
                <w:color w:val="auto"/>
                <w:szCs w:val="21"/>
              </w:rPr>
              <w:t>说明：注:供应商须对本招标文件技术要求进行点对点应答，特别对有具体参数要求的指标，供应商必须提供所投设备的具体参数值。投标时提供的检测报告的检测时间为</w:t>
            </w:r>
            <w:r>
              <w:rPr>
                <w:rFonts w:hint="eastAsia" w:ascii="宋体" w:hAnsi="宋体"/>
                <w:color w:val="auto"/>
                <w:szCs w:val="21"/>
                <w:lang w:val="en-US" w:eastAsia="zh-CN"/>
              </w:rPr>
              <w:t>三</w:t>
            </w:r>
            <w:r>
              <w:rPr>
                <w:rFonts w:hint="eastAsia" w:ascii="宋体" w:hAnsi="宋体"/>
                <w:color w:val="auto"/>
                <w:szCs w:val="21"/>
              </w:rPr>
              <w:t>年（2</w:t>
            </w:r>
            <w:r>
              <w:rPr>
                <w:rFonts w:ascii="宋体" w:hAnsi="宋体"/>
                <w:color w:val="auto"/>
                <w:szCs w:val="21"/>
              </w:rPr>
              <w:t>020</w:t>
            </w:r>
            <w:r>
              <w:rPr>
                <w:rFonts w:hint="eastAsia" w:ascii="宋体" w:hAnsi="宋体"/>
                <w:color w:val="auto"/>
                <w:szCs w:val="21"/>
              </w:rPr>
              <w:t>年、2</w:t>
            </w:r>
            <w:r>
              <w:rPr>
                <w:rFonts w:ascii="宋体" w:hAnsi="宋体"/>
                <w:color w:val="auto"/>
                <w:szCs w:val="21"/>
              </w:rPr>
              <w:t>021</w:t>
            </w:r>
            <w:r>
              <w:rPr>
                <w:rFonts w:hint="eastAsia" w:ascii="宋体" w:hAnsi="宋体"/>
                <w:color w:val="auto"/>
                <w:szCs w:val="21"/>
              </w:rPr>
              <w:t>年</w:t>
            </w:r>
            <w:r>
              <w:rPr>
                <w:rFonts w:hint="eastAsia" w:ascii="宋体" w:hAnsi="宋体"/>
                <w:color w:val="auto"/>
                <w:szCs w:val="21"/>
                <w:lang w:eastAsia="zh-CN"/>
              </w:rPr>
              <w:t>、</w:t>
            </w:r>
            <w:r>
              <w:rPr>
                <w:rFonts w:hint="eastAsia" w:ascii="宋体" w:hAnsi="宋体"/>
                <w:color w:val="auto"/>
                <w:szCs w:val="21"/>
                <w:lang w:val="en-US" w:eastAsia="zh-CN"/>
              </w:rPr>
              <w:t>2022年</w:t>
            </w:r>
            <w:r>
              <w:rPr>
                <w:rFonts w:hint="eastAsia" w:ascii="宋体" w:hAnsi="宋体"/>
                <w:color w:val="auto"/>
                <w:szCs w:val="21"/>
              </w:rPr>
              <w:t>）视为有效检测报告文件</w:t>
            </w:r>
            <w:r>
              <w:rPr>
                <w:rFonts w:hint="eastAsia" w:ascii="宋体" w:hAnsi="宋体"/>
                <w:color w:val="auto"/>
                <w:szCs w:val="21"/>
                <w:lang w:eastAsia="zh-CN"/>
              </w:rPr>
              <w:t>，</w:t>
            </w:r>
            <w:r>
              <w:rPr>
                <w:rFonts w:hint="eastAsia" w:ascii="宋体" w:hAnsi="宋体" w:cs="宋体"/>
                <w:color w:val="auto"/>
                <w:szCs w:val="21"/>
              </w:rPr>
              <w:t>检测报告日期不得晚于本次项目参数公布之日</w:t>
            </w:r>
            <w:r>
              <w:rPr>
                <w:rFonts w:hint="eastAsia" w:ascii="宋体" w:hAnsi="宋体"/>
                <w:color w:val="auto"/>
                <w:szCs w:val="21"/>
              </w:rPr>
              <w:t>。未按招标文件要求提供有效检测报告复印件视为负偏离，如供应商投标文件对招标文件技术要求响应为无偏离，但经评标委员会认定为负偏离的，评标委员会可给予相应档次定档，漏项视为负偏离。（投标时提供检测报告原件核查。）投标人所投助听器机型应为2020年</w:t>
            </w:r>
            <w:r>
              <w:rPr>
                <w:rFonts w:hint="eastAsia" w:ascii="宋体" w:hAnsi="宋体"/>
                <w:color w:val="auto"/>
                <w:szCs w:val="21"/>
                <w:lang w:val="en-US" w:eastAsia="zh-CN"/>
              </w:rPr>
              <w:t>及以后</w:t>
            </w:r>
            <w:r>
              <w:rPr>
                <w:rFonts w:hint="eastAsia" w:ascii="宋体" w:hAnsi="宋体"/>
                <w:color w:val="auto"/>
                <w:szCs w:val="21"/>
              </w:rPr>
              <w:t>上市产品。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9" w:hRule="atLeast"/>
          <w:jc w:val="center"/>
        </w:trPr>
        <w:tc>
          <w:tcPr>
            <w:tcW w:w="615" w:type="dxa"/>
            <w:vMerge w:val="continue"/>
            <w:tcBorders>
              <w:left w:val="single" w:color="auto" w:sz="4" w:space="0"/>
              <w:bottom w:val="single" w:color="auto" w:sz="4" w:space="0"/>
              <w:right w:val="single" w:color="auto" w:sz="4" w:space="0"/>
            </w:tcBorders>
            <w:vAlign w:val="center"/>
          </w:tcPr>
          <w:p>
            <w:pPr>
              <w:widowControl/>
              <w:spacing w:line="360" w:lineRule="exact"/>
              <w:jc w:val="left"/>
              <w:rPr>
                <w:rFonts w:ascii="宋体" w:hAnsi="宋体"/>
                <w:b/>
                <w:color w:val="auto"/>
                <w:szCs w:val="21"/>
              </w:rPr>
            </w:pPr>
          </w:p>
        </w:tc>
        <w:tc>
          <w:tcPr>
            <w:tcW w:w="851" w:type="dxa"/>
            <w:vMerge w:val="continue"/>
            <w:tcBorders>
              <w:left w:val="single" w:color="auto" w:sz="4" w:space="0"/>
              <w:bottom w:val="single" w:color="auto" w:sz="4" w:space="0"/>
              <w:right w:val="single" w:color="auto" w:sz="4" w:space="0"/>
            </w:tcBorders>
            <w:vAlign w:val="center"/>
          </w:tcPr>
          <w:p>
            <w:pPr>
              <w:widowControl/>
              <w:spacing w:line="360" w:lineRule="exact"/>
              <w:jc w:val="left"/>
              <w:rPr>
                <w:rFonts w:ascii="宋体" w:hAnsi="宋体"/>
                <w:color w:val="auto"/>
                <w:spacing w:val="-18"/>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bCs/>
                <w:color w:val="auto"/>
                <w:szCs w:val="21"/>
              </w:rPr>
            </w:pPr>
            <w:r>
              <w:rPr>
                <w:rFonts w:hint="eastAsia" w:ascii="宋体" w:hAnsi="宋体"/>
                <w:bCs/>
                <w:color w:val="auto"/>
                <w:szCs w:val="21"/>
              </w:rPr>
              <w:t>服务保障能力分(满分</w:t>
            </w:r>
            <w:r>
              <w:rPr>
                <w:rFonts w:hint="eastAsia" w:ascii="宋体" w:hAnsi="宋体"/>
                <w:bCs/>
                <w:color w:val="auto"/>
                <w:szCs w:val="21"/>
                <w:lang w:val="en-US" w:eastAsia="zh-CN"/>
              </w:rPr>
              <w:t>27</w:t>
            </w:r>
            <w:r>
              <w:rPr>
                <w:rFonts w:hint="eastAsia" w:ascii="宋体" w:hAnsi="宋体"/>
                <w:bCs/>
                <w:color w:val="auto"/>
                <w:szCs w:val="21"/>
              </w:rPr>
              <w:t>分)</w:t>
            </w:r>
          </w:p>
          <w:p>
            <w:pPr>
              <w:widowControl/>
              <w:spacing w:line="360" w:lineRule="exact"/>
              <w:jc w:val="center"/>
              <w:rPr>
                <w:rFonts w:ascii="宋体" w:hAnsi="宋体"/>
                <w:bCs/>
                <w:color w:val="auto"/>
                <w:szCs w:val="21"/>
              </w:rPr>
            </w:pPr>
          </w:p>
        </w:tc>
        <w:tc>
          <w:tcPr>
            <w:tcW w:w="687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rFonts w:hint="eastAsia" w:ascii="宋体" w:hAnsi="宋体"/>
                <w:color w:val="auto"/>
                <w:szCs w:val="21"/>
              </w:rPr>
            </w:pPr>
            <w:r>
              <w:rPr>
                <w:rFonts w:hint="eastAsia" w:ascii="宋体" w:hAnsi="宋体"/>
                <w:color w:val="auto"/>
                <w:szCs w:val="21"/>
              </w:rPr>
              <w:t>有服务保障能力但投标人提供的资料未到达标准的得2分；</w:t>
            </w:r>
          </w:p>
          <w:p>
            <w:pPr>
              <w:adjustRightInd w:val="0"/>
              <w:spacing w:line="360" w:lineRule="exact"/>
              <w:textAlignment w:val="baseline"/>
              <w:rPr>
                <w:rFonts w:hint="eastAsia" w:ascii="宋体" w:hAnsi="宋体"/>
                <w:color w:val="auto"/>
                <w:szCs w:val="21"/>
              </w:rPr>
            </w:pPr>
            <w:r>
              <w:rPr>
                <w:rFonts w:hint="eastAsia" w:ascii="宋体" w:hAnsi="宋体"/>
                <w:color w:val="auto"/>
                <w:szCs w:val="21"/>
              </w:rPr>
              <w:t>一档（10分）：本项目服务的对象涉及广西全区，从投标人实力及项目实施经验等方面（包括但不限于：本地化服务、到达现场时间、解决故障时间、定期回访等）综合比较，自设或委托至少2家具有相应资质条件的服务机构，做好助听器验配售后服务，委托服务的还须提供双方签字盖章的委托协议书，协议服务期限至少2年以上。每家服务机构要在广西各地设有不少于7家服务网点，每家服务网点必须具备营业执照，第二类医疗器械经营备案凭证(备案范围要包含“6846”内容) 和至少一名以上助听器验配师（需提供听器验配师资格证书和身份证、劳动合同复印件加盖公章）。(原件备查)</w:t>
            </w:r>
          </w:p>
          <w:p>
            <w:pPr>
              <w:adjustRightInd w:val="0"/>
              <w:spacing w:line="360" w:lineRule="exact"/>
              <w:textAlignment w:val="baseline"/>
              <w:rPr>
                <w:rFonts w:hint="eastAsia" w:ascii="宋体" w:hAnsi="宋体"/>
                <w:color w:val="auto"/>
                <w:szCs w:val="21"/>
              </w:rPr>
            </w:pPr>
            <w:r>
              <w:rPr>
                <w:rFonts w:hint="eastAsia" w:ascii="宋体" w:hAnsi="宋体"/>
                <w:color w:val="auto"/>
                <w:szCs w:val="21"/>
              </w:rPr>
              <w:t>二档（</w:t>
            </w:r>
            <w:r>
              <w:rPr>
                <w:rFonts w:hint="eastAsia" w:ascii="宋体" w:hAnsi="宋体"/>
                <w:color w:val="auto"/>
                <w:szCs w:val="21"/>
                <w:lang w:val="en-US" w:eastAsia="zh-CN"/>
              </w:rPr>
              <w:t>17</w:t>
            </w:r>
            <w:r>
              <w:rPr>
                <w:rFonts w:hint="eastAsia" w:ascii="宋体" w:hAnsi="宋体"/>
                <w:color w:val="auto"/>
                <w:szCs w:val="21"/>
              </w:rPr>
              <w:t>分）：本项目服务的对象涉及广西全区，从投标人实力及项目实施经验等方面（包括但不限于：本地化服务、到达现场时间、解决故障时间、定期回访等）综合比较，自设或委托至少2家具有相应资质条件的服务机构，做好助听器验配售后服务，委托服务的还须提供双方签字盖章的委托协议书，协议服务期限至少2年以上。服务机构合计在广西各地设有至少20家服务网点，每家服务网点必须具备营业执照，第二类医疗器械经营备案凭证(备案范围要包含“6846”内容），服务机构服务人员累计30人及以上，配备不少于20名助听器验配师（需提供助听器验配师资格证书和身份证、劳动合同复印件加盖公章，及至少1</w:t>
            </w:r>
            <w:r>
              <w:rPr>
                <w:rFonts w:hint="eastAsia" w:ascii="宋体" w:hAnsi="宋体"/>
                <w:color w:val="auto"/>
                <w:szCs w:val="21"/>
                <w:lang w:val="en-US" w:eastAsia="zh-CN"/>
              </w:rPr>
              <w:t>5</w:t>
            </w:r>
            <w:r>
              <w:rPr>
                <w:rFonts w:hint="eastAsia" w:ascii="宋体" w:hAnsi="宋体"/>
                <w:color w:val="auto"/>
                <w:szCs w:val="21"/>
              </w:rPr>
              <w:t>名助听器验配师在所属服务机构缴纳的</w:t>
            </w:r>
            <w:r>
              <w:rPr>
                <w:rFonts w:hint="eastAsia" w:ascii="宋体" w:hAnsi="宋体"/>
                <w:color w:val="auto"/>
                <w:szCs w:val="21"/>
                <w:lang w:val="en-US" w:eastAsia="zh-CN"/>
              </w:rPr>
              <w:t>2021年10月至12月</w:t>
            </w:r>
            <w:r>
              <w:rPr>
                <w:rFonts w:hint="eastAsia" w:ascii="宋体" w:hAnsi="宋体"/>
                <w:color w:val="auto"/>
                <w:szCs w:val="21"/>
              </w:rPr>
              <w:t>社保证明复印件加盖公章）。(原件备查)</w:t>
            </w:r>
          </w:p>
          <w:p>
            <w:pPr>
              <w:adjustRightInd w:val="0"/>
              <w:spacing w:line="360" w:lineRule="exact"/>
              <w:textAlignment w:val="baseline"/>
              <w:rPr>
                <w:rFonts w:hint="eastAsia" w:ascii="宋体" w:hAnsi="宋体"/>
                <w:color w:val="auto"/>
                <w:szCs w:val="21"/>
              </w:rPr>
            </w:pPr>
            <w:r>
              <w:rPr>
                <w:rFonts w:hint="eastAsia" w:ascii="宋体" w:hAnsi="宋体"/>
                <w:color w:val="auto"/>
                <w:szCs w:val="21"/>
              </w:rPr>
              <w:t>三档（</w:t>
            </w:r>
            <w:r>
              <w:rPr>
                <w:rFonts w:hint="eastAsia" w:ascii="宋体" w:hAnsi="宋体"/>
                <w:color w:val="auto"/>
                <w:szCs w:val="21"/>
                <w:lang w:val="en-US" w:eastAsia="zh-CN"/>
              </w:rPr>
              <w:t>27</w:t>
            </w:r>
            <w:r>
              <w:rPr>
                <w:rFonts w:hint="eastAsia" w:ascii="宋体" w:hAnsi="宋体"/>
                <w:color w:val="auto"/>
                <w:szCs w:val="21"/>
              </w:rPr>
              <w:t>分）：本项目服务的对象涉及广西全区，从投标人实力及项目实施经验等方面（包括但不限于：本地化服务、到达现场时间、解决故障时间、定期回访等）综合比较，自设或委托至少2家具有相应资质条件的服务机构，做好助听器验配售后服务，委托服务的还须提供双方签字盖章的委托协议书，协议服务期限至少2年以上。服务机构合计在广西各地设有至少30家服务网点，每家服务网点必须具备营业执照，第二类医疗器械经营备案凭证(备案范围要包含“6846”内容），服务机构服务人员累计40人及以上，配备不少于30名助听器验配师（需提供助听器验配师资格证书和身份证、劳动合同复印件加盖公章，及至少2</w:t>
            </w:r>
            <w:r>
              <w:rPr>
                <w:rFonts w:hint="eastAsia" w:ascii="宋体" w:hAnsi="宋体"/>
                <w:color w:val="auto"/>
                <w:szCs w:val="21"/>
                <w:lang w:val="en-US" w:eastAsia="zh-CN"/>
              </w:rPr>
              <w:t>5</w:t>
            </w:r>
            <w:r>
              <w:rPr>
                <w:rFonts w:hint="eastAsia" w:ascii="宋体" w:hAnsi="宋体"/>
                <w:color w:val="auto"/>
                <w:szCs w:val="21"/>
              </w:rPr>
              <w:t>名助听器验配师在所属服务机构缴纳的</w:t>
            </w:r>
            <w:r>
              <w:rPr>
                <w:rFonts w:hint="eastAsia" w:ascii="宋体" w:hAnsi="宋体"/>
                <w:color w:val="auto"/>
                <w:szCs w:val="21"/>
                <w:lang w:val="en-US" w:eastAsia="zh-CN"/>
              </w:rPr>
              <w:t>2021年10月-12月</w:t>
            </w:r>
            <w:r>
              <w:rPr>
                <w:rFonts w:hint="eastAsia" w:ascii="宋体" w:hAnsi="宋体"/>
                <w:color w:val="auto"/>
                <w:szCs w:val="21"/>
              </w:rPr>
              <w:t>社保证明复印件加盖公章）。(原件备查)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615" w:type="dxa"/>
            <w:tcBorders>
              <w:top w:val="single" w:color="auto" w:sz="4" w:space="0"/>
              <w:left w:val="single" w:color="auto" w:sz="4" w:space="0"/>
              <w:right w:val="single" w:color="auto" w:sz="4" w:space="0"/>
            </w:tcBorders>
            <w:vAlign w:val="center"/>
          </w:tcPr>
          <w:p>
            <w:pPr>
              <w:spacing w:line="360" w:lineRule="exact"/>
              <w:jc w:val="center"/>
              <w:rPr>
                <w:rFonts w:ascii="宋体" w:hAnsi="宋体"/>
                <w:b/>
                <w:color w:val="000000"/>
                <w:szCs w:val="21"/>
              </w:rPr>
            </w:pPr>
            <w:r>
              <w:rPr>
                <w:rFonts w:ascii="宋体" w:hAnsi="宋体"/>
                <w:b/>
                <w:color w:val="000000"/>
                <w:szCs w:val="21"/>
              </w:rPr>
              <w:t xml:space="preserve"> 3</w:t>
            </w:r>
          </w:p>
        </w:tc>
        <w:tc>
          <w:tcPr>
            <w:tcW w:w="851" w:type="dxa"/>
            <w:tcBorders>
              <w:top w:val="single" w:color="auto" w:sz="4" w:space="0"/>
              <w:left w:val="single" w:color="auto" w:sz="4" w:space="0"/>
              <w:right w:val="single" w:color="auto" w:sz="4" w:space="0"/>
            </w:tcBorders>
            <w:vAlign w:val="center"/>
          </w:tcPr>
          <w:p>
            <w:pPr>
              <w:spacing w:line="360" w:lineRule="exact"/>
              <w:jc w:val="center"/>
              <w:rPr>
                <w:rFonts w:ascii="宋体" w:hAnsi="宋体"/>
                <w:b/>
                <w:color w:val="000000"/>
                <w:szCs w:val="21"/>
              </w:rPr>
            </w:pPr>
            <w:r>
              <w:rPr>
                <w:rFonts w:hint="eastAsia" w:ascii="宋体" w:hAnsi="宋体"/>
                <w:b/>
                <w:bCs/>
                <w:color w:val="000000"/>
                <w:szCs w:val="21"/>
              </w:rPr>
              <w:t>售后服务分（</w:t>
            </w:r>
            <w:r>
              <w:rPr>
                <w:rFonts w:hint="eastAsia" w:ascii="宋体" w:hAnsi="宋体"/>
                <w:b/>
                <w:color w:val="000000"/>
                <w:szCs w:val="21"/>
              </w:rPr>
              <w:t>满分</w:t>
            </w:r>
            <w:r>
              <w:rPr>
                <w:rFonts w:hint="eastAsia" w:ascii="宋体" w:hAnsi="宋体"/>
                <w:b/>
                <w:color w:val="000000"/>
                <w:szCs w:val="21"/>
                <w:lang w:val="en-US" w:eastAsia="zh-CN"/>
              </w:rPr>
              <w:t>12</w:t>
            </w:r>
            <w:r>
              <w:rPr>
                <w:rFonts w:hint="eastAsia" w:ascii="宋体" w:hAnsi="宋体"/>
                <w:b/>
                <w:color w:val="000000"/>
                <w:szCs w:val="21"/>
              </w:rPr>
              <w:t>分</w:t>
            </w:r>
            <w:r>
              <w:rPr>
                <w:rFonts w:hint="eastAsia" w:ascii="宋体" w:hAnsi="宋体"/>
                <w:b/>
                <w:bCs/>
                <w:color w:val="000000"/>
                <w:szCs w:val="21"/>
              </w:rPr>
              <w:t>）</w:t>
            </w:r>
          </w:p>
        </w:tc>
        <w:tc>
          <w:tcPr>
            <w:tcW w:w="110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60" w:lineRule="exact"/>
              <w:jc w:val="center"/>
              <w:rPr>
                <w:rFonts w:ascii="宋体" w:hAnsi="宋体"/>
                <w:color w:val="000000"/>
                <w:szCs w:val="21"/>
              </w:rPr>
            </w:pPr>
            <w:r>
              <w:rPr>
                <w:rFonts w:hint="eastAsia" w:ascii="宋体" w:hAnsi="宋体" w:cs="宋体"/>
                <w:szCs w:val="21"/>
              </w:rPr>
              <w:t>售后服务方案（满分</w:t>
            </w:r>
            <w:r>
              <w:rPr>
                <w:rFonts w:hint="eastAsia" w:ascii="宋体" w:hAnsi="宋体" w:cs="宋体"/>
                <w:szCs w:val="21"/>
                <w:lang w:val="en-US" w:eastAsia="zh-CN"/>
              </w:rPr>
              <w:t>12</w:t>
            </w:r>
            <w:r>
              <w:rPr>
                <w:rFonts w:hint="eastAsia" w:ascii="宋体" w:hAnsi="宋体" w:cs="宋体"/>
                <w:szCs w:val="21"/>
              </w:rPr>
              <w:t>分）</w:t>
            </w:r>
          </w:p>
        </w:tc>
        <w:tc>
          <w:tcPr>
            <w:tcW w:w="6879"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cs="Courier New"/>
                <w:color w:val="000000"/>
                <w:szCs w:val="21"/>
              </w:rPr>
            </w:pPr>
            <w:r>
              <w:rPr>
                <w:rFonts w:hint="eastAsia" w:ascii="宋体" w:hAnsi="宋体" w:cs="Courier New"/>
                <w:color w:val="000000"/>
                <w:szCs w:val="21"/>
              </w:rPr>
              <w:t xml:space="preserve">售后服务方案（满分 </w:t>
            </w:r>
            <w:r>
              <w:rPr>
                <w:rFonts w:hint="eastAsia" w:ascii="宋体" w:hAnsi="宋体" w:cs="Courier New"/>
                <w:color w:val="000000"/>
                <w:szCs w:val="21"/>
                <w:lang w:val="en-US" w:eastAsia="zh-CN"/>
              </w:rPr>
              <w:t>12</w:t>
            </w:r>
            <w:r>
              <w:rPr>
                <w:rFonts w:hint="eastAsia" w:ascii="宋体" w:hAnsi="宋体" w:cs="Courier New"/>
                <w:color w:val="000000"/>
                <w:szCs w:val="21"/>
              </w:rPr>
              <w:t>分）：由评委根据投标文件中售后服务承诺书内容的完整性、可行性、到达故障现场时间、故障出现解决方案、定期维护（注明时间）、免费技术培训方案、保修期外维修方案、提供备品备件、其他优惠措施等方面进行独立评审并独立打分。满分</w:t>
            </w:r>
            <w:r>
              <w:rPr>
                <w:rFonts w:hint="eastAsia" w:ascii="宋体" w:hAnsi="宋体" w:cs="Courier New"/>
                <w:color w:val="000000"/>
                <w:szCs w:val="21"/>
                <w:lang w:val="en-US" w:eastAsia="zh-CN"/>
              </w:rPr>
              <w:t>12</w:t>
            </w:r>
            <w:r>
              <w:rPr>
                <w:rFonts w:hint="eastAsia" w:ascii="宋体" w:hAnsi="宋体" w:cs="Courier New"/>
                <w:color w:val="000000"/>
                <w:szCs w:val="21"/>
              </w:rPr>
              <w:t xml:space="preserve"> 分。 ①售后服务方案简单，培训方案、服务人员配置、定期回访安排、排除故障时间、基本满足招标文件要求，得 </w:t>
            </w:r>
            <w:r>
              <w:rPr>
                <w:rFonts w:hint="eastAsia" w:ascii="宋体" w:hAnsi="宋体" w:cs="Courier New"/>
                <w:color w:val="000000"/>
                <w:szCs w:val="21"/>
                <w:lang w:val="en-US" w:eastAsia="zh-CN"/>
              </w:rPr>
              <w:t>4</w:t>
            </w:r>
            <w:r>
              <w:rPr>
                <w:rFonts w:hint="eastAsia" w:ascii="宋体" w:hAnsi="宋体" w:cs="Courier New"/>
                <w:color w:val="000000"/>
                <w:szCs w:val="21"/>
              </w:rPr>
              <w:t>分； ②售后服务方案简单，培训方案、服务人员配置、定期回访安排、排除故障时间满足并优于招标文件要求，得</w:t>
            </w:r>
            <w:r>
              <w:rPr>
                <w:rFonts w:hint="eastAsia" w:ascii="宋体" w:hAnsi="宋体" w:cs="Courier New"/>
                <w:color w:val="000000"/>
                <w:szCs w:val="21"/>
                <w:lang w:val="en-US" w:eastAsia="zh-CN"/>
              </w:rPr>
              <w:t>8</w:t>
            </w:r>
            <w:r>
              <w:rPr>
                <w:rFonts w:hint="eastAsia" w:ascii="宋体" w:hAnsi="宋体" w:cs="Courier New"/>
                <w:color w:val="000000"/>
                <w:szCs w:val="21"/>
              </w:rPr>
              <w:t>分 ③售后服务方案详细，调试方案和培训方案详细、有完整的项目组织机构及人员配备、提供定期回访安排，商务条款要求的服务承诺最优，得</w:t>
            </w:r>
            <w:r>
              <w:rPr>
                <w:rFonts w:hint="eastAsia" w:ascii="宋体" w:hAnsi="宋体" w:cs="Courier New"/>
                <w:color w:val="000000"/>
                <w:szCs w:val="21"/>
                <w:lang w:val="en-US" w:eastAsia="zh-CN"/>
              </w:rPr>
              <w:t>12</w:t>
            </w:r>
            <w:r>
              <w:rPr>
                <w:rFonts w:hint="eastAsia" w:ascii="宋体" w:hAnsi="宋体" w:cs="Courier New"/>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5" w:type="dxa"/>
            <w:vMerge w:val="restart"/>
            <w:tcBorders>
              <w:top w:val="single" w:color="auto" w:sz="4" w:space="0"/>
              <w:left w:val="single" w:color="auto" w:sz="4" w:space="0"/>
              <w:right w:val="single" w:color="auto" w:sz="4" w:space="0"/>
            </w:tcBorders>
            <w:vAlign w:val="center"/>
          </w:tcPr>
          <w:p>
            <w:pPr>
              <w:adjustRightInd w:val="0"/>
              <w:spacing w:line="360" w:lineRule="exact"/>
              <w:jc w:val="center"/>
              <w:textAlignment w:val="baseline"/>
              <w:rPr>
                <w:rFonts w:ascii="宋体" w:hAnsi="宋体"/>
                <w:b/>
                <w:color w:val="000000"/>
                <w:szCs w:val="21"/>
              </w:rPr>
            </w:pPr>
            <w:r>
              <w:rPr>
                <w:rFonts w:ascii="宋体" w:hAnsi="宋体"/>
                <w:b/>
                <w:color w:val="000000"/>
                <w:szCs w:val="21"/>
              </w:rPr>
              <w:t>4</w:t>
            </w:r>
          </w:p>
        </w:tc>
        <w:tc>
          <w:tcPr>
            <w:tcW w:w="851" w:type="dxa"/>
            <w:vMerge w:val="restart"/>
            <w:tcBorders>
              <w:top w:val="single" w:color="auto" w:sz="4" w:space="0"/>
              <w:left w:val="single" w:color="auto" w:sz="4" w:space="0"/>
              <w:right w:val="single" w:color="auto" w:sz="4" w:space="0"/>
            </w:tcBorders>
            <w:vAlign w:val="center"/>
          </w:tcPr>
          <w:p>
            <w:pPr>
              <w:adjustRightInd w:val="0"/>
              <w:spacing w:line="360" w:lineRule="exact"/>
              <w:jc w:val="center"/>
              <w:textAlignment w:val="baseline"/>
              <w:rPr>
                <w:rFonts w:ascii="宋体" w:hAnsi="宋体"/>
                <w:b/>
                <w:color w:val="000000"/>
                <w:szCs w:val="21"/>
              </w:rPr>
            </w:pPr>
            <w:r>
              <w:rPr>
                <w:rFonts w:hint="eastAsia" w:ascii="宋体" w:hAnsi="宋体"/>
                <w:b/>
                <w:bCs/>
                <w:color w:val="000000"/>
                <w:szCs w:val="21"/>
              </w:rPr>
              <w:t>信誉分（</w:t>
            </w:r>
            <w:r>
              <w:rPr>
                <w:rFonts w:hint="eastAsia" w:ascii="宋体" w:hAnsi="宋体"/>
                <w:b/>
                <w:color w:val="000000"/>
                <w:szCs w:val="21"/>
              </w:rPr>
              <w:t>满分</w:t>
            </w:r>
            <w:r>
              <w:rPr>
                <w:rFonts w:hint="eastAsia" w:ascii="宋体" w:hAnsi="宋体"/>
                <w:b/>
                <w:color w:val="000000"/>
                <w:szCs w:val="21"/>
                <w:lang w:val="en-US" w:eastAsia="zh-CN"/>
              </w:rPr>
              <w:t>5</w:t>
            </w:r>
            <w:r>
              <w:rPr>
                <w:rFonts w:hint="eastAsia" w:ascii="宋体" w:hAnsi="宋体"/>
                <w:b/>
                <w:color w:val="000000"/>
                <w:szCs w:val="21"/>
              </w:rPr>
              <w:t>分</w:t>
            </w:r>
            <w:r>
              <w:rPr>
                <w:rFonts w:hint="eastAsia" w:ascii="宋体" w:hAnsi="宋体"/>
                <w:b/>
                <w:bCs/>
                <w:color w:val="000000"/>
                <w:szCs w:val="21"/>
              </w:rPr>
              <w:t>）</w:t>
            </w:r>
          </w:p>
        </w:tc>
        <w:tc>
          <w:tcPr>
            <w:tcW w:w="110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60" w:lineRule="exact"/>
              <w:jc w:val="center"/>
              <w:rPr>
                <w:rFonts w:ascii="宋体" w:hAnsi="宋体"/>
                <w:color w:val="000000"/>
                <w:szCs w:val="21"/>
              </w:rPr>
            </w:pPr>
            <w:r>
              <w:rPr>
                <w:rFonts w:hint="eastAsia" w:ascii="宋体" w:hAnsi="宋体" w:cs="宋体"/>
                <w:b/>
                <w:szCs w:val="21"/>
              </w:rPr>
              <w:t>业绩情况（满分</w:t>
            </w:r>
            <w:r>
              <w:rPr>
                <w:rFonts w:hint="eastAsia" w:ascii="宋体" w:hAnsi="宋体" w:cs="宋体"/>
                <w:b/>
                <w:szCs w:val="21"/>
                <w:lang w:val="en-US" w:eastAsia="zh-CN"/>
              </w:rPr>
              <w:t>3</w:t>
            </w:r>
            <w:r>
              <w:rPr>
                <w:rFonts w:hint="eastAsia" w:ascii="宋体" w:hAnsi="宋体" w:cs="宋体"/>
                <w:b/>
                <w:szCs w:val="21"/>
              </w:rPr>
              <w:t>分）</w:t>
            </w:r>
          </w:p>
        </w:tc>
        <w:tc>
          <w:tcPr>
            <w:tcW w:w="6879"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color w:val="000000"/>
                <w:szCs w:val="21"/>
              </w:rPr>
            </w:pPr>
            <w:r>
              <w:rPr>
                <w:rFonts w:hint="eastAsia" w:ascii="宋体" w:hAnsi="宋体"/>
                <w:color w:val="000000"/>
                <w:szCs w:val="21"/>
              </w:rPr>
              <w:t>投标人在近三年（</w:t>
            </w:r>
            <w:r>
              <w:rPr>
                <w:rFonts w:hint="eastAsia" w:ascii="宋体" w:hAnsi="宋体"/>
                <w:color w:val="FF0000"/>
                <w:szCs w:val="21"/>
              </w:rPr>
              <w:t>20</w:t>
            </w:r>
            <w:r>
              <w:rPr>
                <w:rFonts w:hint="eastAsia" w:ascii="宋体" w:hAnsi="宋体"/>
                <w:color w:val="FF0000"/>
                <w:szCs w:val="21"/>
                <w:lang w:val="en-US" w:eastAsia="zh-CN"/>
              </w:rPr>
              <w:t>19</w:t>
            </w:r>
            <w:r>
              <w:rPr>
                <w:rFonts w:hint="eastAsia" w:ascii="宋体" w:hAnsi="宋体"/>
                <w:color w:val="FF0000"/>
                <w:szCs w:val="21"/>
              </w:rPr>
              <w:t>年</w:t>
            </w:r>
            <w:r>
              <w:rPr>
                <w:rFonts w:hint="eastAsia" w:ascii="宋体" w:hAnsi="宋体"/>
                <w:color w:val="000000"/>
                <w:szCs w:val="21"/>
              </w:rPr>
              <w:t>起）需具有类似专业同类货物的销售业绩，每份合同得1分，最高3分。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5" w:type="dxa"/>
            <w:vMerge w:val="continue"/>
            <w:tcBorders>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b/>
                <w:color w:val="000000"/>
                <w:szCs w:val="21"/>
              </w:rPr>
            </w:pPr>
          </w:p>
        </w:tc>
        <w:tc>
          <w:tcPr>
            <w:tcW w:w="851" w:type="dxa"/>
            <w:vMerge w:val="continue"/>
            <w:tcBorders>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hint="eastAsia" w:ascii="宋体" w:hAnsi="宋体"/>
                <w:b/>
                <w:bCs/>
                <w:color w:val="000000"/>
                <w:szCs w:val="21"/>
              </w:rPr>
            </w:pPr>
          </w:p>
        </w:tc>
        <w:tc>
          <w:tcPr>
            <w:tcW w:w="110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60" w:lineRule="exact"/>
              <w:jc w:val="center"/>
              <w:rPr>
                <w:rFonts w:hint="eastAsia" w:ascii="宋体" w:hAnsi="宋体"/>
                <w:color w:val="000000"/>
                <w:szCs w:val="21"/>
              </w:rPr>
            </w:pPr>
            <w:r>
              <w:rPr>
                <w:rFonts w:hint="eastAsia" w:ascii="宋体" w:hAnsi="宋体" w:cs="宋体"/>
                <w:b/>
                <w:szCs w:val="21"/>
              </w:rPr>
              <w:t>资质信誉 （满分</w:t>
            </w:r>
            <w:r>
              <w:rPr>
                <w:rFonts w:hint="eastAsia" w:ascii="宋体" w:hAnsi="宋体" w:cs="宋体"/>
                <w:b/>
                <w:szCs w:val="21"/>
                <w:lang w:val="en-US" w:eastAsia="zh-CN"/>
              </w:rPr>
              <w:t>2</w:t>
            </w:r>
            <w:r>
              <w:rPr>
                <w:rFonts w:hint="eastAsia" w:ascii="宋体" w:hAnsi="宋体" w:cs="宋体"/>
                <w:b/>
                <w:szCs w:val="21"/>
              </w:rPr>
              <w:t>分）</w:t>
            </w:r>
          </w:p>
        </w:tc>
        <w:tc>
          <w:tcPr>
            <w:tcW w:w="6879" w:type="dxa"/>
            <w:tcBorders>
              <w:top w:val="single" w:color="auto" w:sz="4" w:space="0"/>
              <w:left w:val="single" w:color="auto" w:sz="4" w:space="0"/>
              <w:bottom w:val="single" w:color="auto" w:sz="4" w:space="0"/>
              <w:right w:val="single" w:color="auto" w:sz="4" w:space="0"/>
            </w:tcBorders>
            <w:vAlign w:val="top"/>
          </w:tcPr>
          <w:p>
            <w:pPr>
              <w:pStyle w:val="8"/>
              <w:jc w:val="both"/>
              <w:rPr>
                <w:rFonts w:hint="eastAsia" w:ascii="宋体" w:hAnsi="宋体" w:eastAsia="宋体" w:cs="Courier New"/>
                <w:color w:val="000000"/>
                <w:kern w:val="2"/>
                <w:sz w:val="21"/>
                <w:szCs w:val="21"/>
                <w:lang w:val="en-US" w:eastAsia="zh-CN" w:bidi="ar-SA"/>
              </w:rPr>
            </w:pPr>
            <w:r>
              <w:rPr>
                <w:rFonts w:hint="eastAsia" w:ascii="宋体" w:hAnsi="宋体" w:eastAsia="宋体" w:cs="Courier New"/>
                <w:color w:val="000000"/>
                <w:kern w:val="2"/>
                <w:sz w:val="21"/>
                <w:szCs w:val="21"/>
                <w:lang w:val="en-US" w:eastAsia="zh-CN" w:bidi="ar-SA"/>
              </w:rPr>
              <w:t>（1）投标人通过ISO9001质量管理体系认证且在有效期内的得1分；投标人需提供有效的证书复印件。</w:t>
            </w:r>
          </w:p>
          <w:p>
            <w:pPr>
              <w:pStyle w:val="8"/>
              <w:jc w:val="both"/>
              <w:rPr>
                <w:rFonts w:ascii="宋体" w:hAnsi="宋体"/>
                <w:color w:val="000000"/>
                <w:szCs w:val="21"/>
              </w:rPr>
            </w:pPr>
            <w:r>
              <w:rPr>
                <w:rFonts w:hint="eastAsia" w:ascii="宋体" w:hAnsi="宋体" w:eastAsia="宋体" w:cs="Courier New"/>
                <w:color w:val="000000"/>
                <w:kern w:val="2"/>
                <w:sz w:val="21"/>
                <w:szCs w:val="21"/>
                <w:lang w:val="en-US" w:eastAsia="zh-CN" w:bidi="ar-SA"/>
              </w:rPr>
              <w:t>（2）投标人通过ISO13485质量管理体系认证且在有效期内的得1分；投标人需提供有效的证书复印件。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color w:val="000000"/>
                <w:szCs w:val="21"/>
              </w:rPr>
            </w:pPr>
            <w:r>
              <w:rPr>
                <w:rFonts w:ascii="宋体" w:hAnsi="宋体"/>
                <w:b/>
                <w:color w:val="000000"/>
                <w:szCs w:val="21"/>
              </w:rPr>
              <w:t>5</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color w:val="000000"/>
                <w:szCs w:val="21"/>
              </w:rPr>
            </w:pPr>
            <w:r>
              <w:rPr>
                <w:rFonts w:hint="eastAsia" w:ascii="宋体" w:hAnsi="宋体"/>
                <w:b/>
                <w:color w:val="000000"/>
                <w:szCs w:val="21"/>
              </w:rPr>
              <w:t>政策功能分（</w:t>
            </w:r>
            <w:r>
              <w:rPr>
                <w:rFonts w:hint="eastAsia" w:ascii="宋体" w:hAnsi="宋体"/>
                <w:b/>
                <w:color w:val="000000"/>
                <w:szCs w:val="21"/>
                <w:lang w:val="en-US" w:eastAsia="zh-CN"/>
              </w:rPr>
              <w:t>1</w:t>
            </w:r>
            <w:r>
              <w:rPr>
                <w:rFonts w:hint="eastAsia" w:ascii="宋体" w:hAnsi="宋体"/>
                <w:b/>
                <w:color w:val="000000"/>
                <w:szCs w:val="21"/>
              </w:rPr>
              <w:t>分）</w:t>
            </w:r>
          </w:p>
        </w:tc>
        <w:tc>
          <w:tcPr>
            <w:tcW w:w="11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Cs w:val="21"/>
              </w:rPr>
            </w:pPr>
            <w:r>
              <w:rPr>
                <w:rFonts w:hint="eastAsia" w:ascii="宋体" w:hAnsi="宋体"/>
                <w:color w:val="000000"/>
                <w:szCs w:val="21"/>
              </w:rPr>
              <w:t>节能、环保分</w:t>
            </w:r>
            <w:r>
              <w:rPr>
                <w:rFonts w:hint="eastAsia" w:ascii="宋体" w:hAnsi="宋体"/>
                <w:bCs/>
                <w:color w:val="000000"/>
                <w:szCs w:val="21"/>
              </w:rPr>
              <w:t>（</w:t>
            </w:r>
            <w:r>
              <w:rPr>
                <w:rFonts w:hint="eastAsia" w:ascii="宋体" w:hAnsi="宋体"/>
                <w:color w:val="000000"/>
                <w:szCs w:val="21"/>
              </w:rPr>
              <w:t>满分</w:t>
            </w:r>
            <w:r>
              <w:rPr>
                <w:rFonts w:hint="eastAsia" w:ascii="宋体" w:hAnsi="宋体"/>
                <w:color w:val="000000"/>
                <w:szCs w:val="21"/>
                <w:lang w:val="en-US" w:eastAsia="zh-CN"/>
              </w:rPr>
              <w:t>1</w:t>
            </w:r>
            <w:r>
              <w:rPr>
                <w:rFonts w:hint="eastAsia" w:ascii="宋体" w:hAnsi="宋体"/>
                <w:color w:val="000000"/>
                <w:szCs w:val="21"/>
              </w:rPr>
              <w:t>分</w:t>
            </w:r>
            <w:r>
              <w:rPr>
                <w:rFonts w:hint="eastAsia" w:ascii="宋体" w:hAnsi="宋体"/>
                <w:bCs/>
                <w:color w:val="000000"/>
                <w:szCs w:val="21"/>
              </w:rPr>
              <w:t>）</w:t>
            </w:r>
          </w:p>
        </w:tc>
        <w:tc>
          <w:tcPr>
            <w:tcW w:w="6879"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left"/>
              <w:rPr>
                <w:rFonts w:ascii="宋体" w:hAnsi="宋体"/>
                <w:color w:val="000000"/>
                <w:szCs w:val="21"/>
              </w:rPr>
            </w:pPr>
            <w:r>
              <w:rPr>
                <w:rFonts w:hint="eastAsia" w:ascii="宋体" w:hAnsi="宋体"/>
                <w:color w:val="000000"/>
                <w:szCs w:val="21"/>
              </w:rPr>
              <w:t>（1）属于财政部《节能产品政府采购品目清单》内优先采购（清单内未标注“</w:t>
            </w:r>
            <w:r>
              <w:rPr>
                <w:rFonts w:hint="eastAsia" w:ascii="宋体" w:hAnsi="宋体" w:cs="宋体"/>
                <w:color w:val="000000"/>
                <w:kern w:val="0"/>
                <w:szCs w:val="21"/>
              </w:rPr>
              <w:t>★</w:t>
            </w:r>
            <w:r>
              <w:rPr>
                <w:rFonts w:hint="eastAsia" w:ascii="宋体" w:hAnsi="宋体"/>
                <w:color w:val="000000"/>
                <w:szCs w:val="21"/>
              </w:rPr>
              <w:t>”的品目）的产品[投标文件中提供有效的认证证书复印件及品目清单（标注出投标产品在品目清单中所属的品目），并加盖供应商公章]，根据其所占项目（或分标）金额比例得0-</w:t>
            </w:r>
            <w:r>
              <w:rPr>
                <w:rFonts w:hint="eastAsia" w:ascii="宋体" w:hAnsi="宋体"/>
                <w:color w:val="000000"/>
                <w:szCs w:val="21"/>
                <w:lang w:val="en-US" w:eastAsia="zh-CN"/>
              </w:rPr>
              <w:t>0.5</w:t>
            </w:r>
            <w:r>
              <w:rPr>
                <w:rFonts w:hint="eastAsia" w:ascii="宋体" w:hAnsi="宋体"/>
                <w:color w:val="000000"/>
                <w:szCs w:val="21"/>
              </w:rPr>
              <w:t>分。</w:t>
            </w:r>
            <w:r>
              <w:rPr>
                <w:rFonts w:hint="eastAsia" w:ascii="宋体" w:hAnsi="宋体"/>
                <w:color w:val="000000"/>
                <w:szCs w:val="21"/>
              </w:rPr>
              <w:br w:type="textWrapping"/>
            </w:r>
            <w:r>
              <w:rPr>
                <w:rFonts w:hint="eastAsia" w:ascii="宋体" w:hAnsi="宋体"/>
                <w:color w:val="000000"/>
                <w:szCs w:val="21"/>
              </w:rPr>
              <w:t>（2）属于财政部《环境标志产品政府采购品目清单》内的产品[投标文件中提供有效的认证证书复印件及品目清单（标注出投标产品在品目清单中所属的品目），并加盖供应商公章]，根据其所占项目（或分标）金额比例得0-</w:t>
            </w:r>
            <w:r>
              <w:rPr>
                <w:rFonts w:hint="eastAsia" w:ascii="宋体" w:hAnsi="宋体"/>
                <w:color w:val="000000"/>
                <w:szCs w:val="21"/>
                <w:lang w:val="en-US" w:eastAsia="zh-CN"/>
              </w:rPr>
              <w:t>0.5</w:t>
            </w:r>
            <w:r>
              <w:rPr>
                <w:rFonts w:hint="eastAsia" w:ascii="宋体" w:hAnsi="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5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ind w:firstLine="420"/>
              <w:rPr>
                <w:rFonts w:ascii="宋体" w:hAnsi="宋体"/>
                <w:bCs/>
                <w:color w:val="000000"/>
                <w:szCs w:val="21"/>
              </w:rPr>
            </w:pPr>
            <w:r>
              <w:rPr>
                <w:rFonts w:hint="eastAsia" w:ascii="宋体" w:hAnsi="宋体"/>
                <w:b/>
                <w:bCs/>
                <w:color w:val="000000"/>
                <w:szCs w:val="21"/>
              </w:rPr>
              <w:t>总得分</w:t>
            </w:r>
            <w:r>
              <w:rPr>
                <w:rFonts w:ascii="宋体" w:hAnsi="宋体"/>
                <w:b/>
                <w:bCs/>
                <w:color w:val="000000"/>
                <w:szCs w:val="21"/>
              </w:rPr>
              <w:t>=1+2+3+4+5</w:t>
            </w:r>
            <w:r>
              <w:rPr>
                <w:rFonts w:hint="eastAsia" w:ascii="宋体" w:hAnsi="宋体"/>
                <w:b/>
                <w:bCs/>
                <w:color w:val="000000"/>
                <w:szCs w:val="21"/>
              </w:rPr>
              <w:t>。</w:t>
            </w:r>
          </w:p>
        </w:tc>
      </w:tr>
    </w:tbl>
    <w:p>
      <w:pPr>
        <w:spacing w:line="360" w:lineRule="auto"/>
        <w:ind w:firstLine="420" w:firstLineChars="200"/>
        <w:rPr>
          <w:rFonts w:hint="eastAsia" w:hAnsi="宋体"/>
          <w:color w:val="000000"/>
        </w:rPr>
      </w:pPr>
    </w:p>
    <w:p>
      <w:pPr>
        <w:pStyle w:val="15"/>
        <w:spacing w:line="360" w:lineRule="auto"/>
        <w:ind w:firstLine="420"/>
        <w:rPr>
          <w:rFonts w:hint="eastAsia" w:hAnsi="宋体"/>
          <w:bCs/>
          <w:color w:val="000000"/>
          <w:sz w:val="21"/>
        </w:rPr>
      </w:pPr>
      <w:r>
        <w:rPr>
          <w:rFonts w:hint="eastAsia" w:hAnsi="宋体"/>
          <w:bCs/>
          <w:color w:val="000000"/>
          <w:sz w:val="21"/>
        </w:rPr>
        <w:t>注：计分方法按四舍五入取至百分位</w:t>
      </w:r>
    </w:p>
    <w:p>
      <w:pPr>
        <w:pStyle w:val="7"/>
        <w:keepNext w:val="0"/>
        <w:keepLines w:val="0"/>
        <w:jc w:val="center"/>
        <w:rPr>
          <w:color w:val="000000"/>
          <w:sz w:val="30"/>
          <w:szCs w:val="30"/>
        </w:rPr>
      </w:pPr>
      <w:r>
        <w:rPr>
          <w:rFonts w:hint="eastAsia"/>
          <w:color w:val="000000"/>
          <w:sz w:val="30"/>
          <w:szCs w:val="30"/>
        </w:rPr>
        <w:t>四、中标候选人推荐</w:t>
      </w:r>
    </w:p>
    <w:p>
      <w:pPr>
        <w:pStyle w:val="15"/>
        <w:spacing w:line="360" w:lineRule="auto"/>
        <w:contextualSpacing/>
        <w:rPr>
          <w:rFonts w:hint="eastAsia" w:hAnsi="宋体"/>
          <w:b/>
          <w:bCs/>
          <w:color w:val="000000"/>
          <w:sz w:val="24"/>
          <w:szCs w:val="24"/>
        </w:rPr>
      </w:pPr>
      <w:r>
        <w:rPr>
          <w:rFonts w:hint="eastAsia" w:hAnsi="宋体"/>
          <w:b/>
          <w:bCs/>
          <w:color w:val="000000"/>
          <w:sz w:val="24"/>
          <w:szCs w:val="24"/>
        </w:rPr>
        <w:t>综合评分法</w:t>
      </w:r>
    </w:p>
    <w:p>
      <w:pPr>
        <w:pStyle w:val="15"/>
        <w:spacing w:line="360" w:lineRule="auto"/>
        <w:ind w:firstLine="420" w:firstLineChars="200"/>
        <w:contextualSpacing/>
        <w:rPr>
          <w:rFonts w:hAnsi="宋体"/>
          <w:color w:val="000000"/>
          <w:sz w:val="21"/>
        </w:rPr>
      </w:pPr>
      <w:r>
        <w:rPr>
          <w:rFonts w:hint="eastAsia" w:hAnsi="宋体"/>
          <w:color w:val="000000"/>
          <w:sz w:val="21"/>
        </w:rPr>
        <w:t>1</w:t>
      </w:r>
      <w:r>
        <w:rPr>
          <w:rFonts w:hAnsi="宋体"/>
          <w:color w:val="000000"/>
          <w:sz w:val="21"/>
        </w:rPr>
        <w:t>.</w:t>
      </w:r>
      <w:r>
        <w:rPr>
          <w:rFonts w:hint="eastAsia" w:hAnsi="宋体"/>
          <w:color w:val="000000"/>
          <w:sz w:val="21"/>
        </w:rPr>
        <w:t>评标委员会根据原始评标记录和评标结果编写评标报告，并通过电子交易平台向采购人、采购代理机构提交。</w:t>
      </w:r>
    </w:p>
    <w:p>
      <w:pPr>
        <w:pStyle w:val="15"/>
        <w:spacing w:line="360" w:lineRule="auto"/>
        <w:ind w:firstLine="420" w:firstLineChars="200"/>
        <w:contextualSpacing/>
        <w:rPr>
          <w:rFonts w:hint="eastAsia" w:hAnsi="宋体"/>
          <w:color w:val="000000"/>
          <w:sz w:val="21"/>
        </w:rPr>
      </w:pPr>
      <w:r>
        <w:rPr>
          <w:rFonts w:hint="eastAsia" w:hAnsi="宋体"/>
          <w:color w:val="000000"/>
          <w:sz w:val="21"/>
        </w:rPr>
        <w:t>2</w:t>
      </w:r>
      <w:r>
        <w:rPr>
          <w:rFonts w:hAnsi="宋体"/>
          <w:color w:val="000000"/>
          <w:sz w:val="21"/>
        </w:rPr>
        <w:t>.</w:t>
      </w:r>
      <w:r>
        <w:rPr>
          <w:rFonts w:hint="eastAsia" w:hAnsi="宋体"/>
          <w:color w:val="000000"/>
          <w:sz w:val="21"/>
        </w:rPr>
        <w:t>评标委员会将根据总得分由高到低排列次序并推荐中标候选人。得分相同的，以投标报价由低到高顺序排列。得分相同且投标报价相同的并列，投标文件满足招标文件全部实质性要求，且按照评审因素的量化指标评审得分最高的投标人为排名第一的中标候选人。</w:t>
      </w:r>
    </w:p>
    <w:p>
      <w:pPr>
        <w:pStyle w:val="15"/>
        <w:spacing w:line="440" w:lineRule="exact"/>
        <w:ind w:firstLine="420"/>
        <w:rPr>
          <w:rFonts w:hAnsi="宋体" w:cs="宋体"/>
          <w:bCs/>
          <w:color w:val="auto"/>
          <w:sz w:val="21"/>
          <w:highlight w:val="none"/>
        </w:rPr>
      </w:pPr>
      <w:r>
        <w:rPr>
          <w:rFonts w:hint="eastAsia" w:hAnsi="宋体"/>
          <w:color w:val="000000"/>
          <w:sz w:val="21"/>
          <w:lang w:val="en-US" w:eastAsia="zh-CN"/>
        </w:rPr>
        <w:t>3</w:t>
      </w:r>
      <w:r>
        <w:rPr>
          <w:rFonts w:hint="eastAsia" w:hAnsi="宋体" w:cs="宋体"/>
          <w:bCs/>
          <w:color w:val="auto"/>
          <w:sz w:val="21"/>
          <w:highlight w:val="none"/>
        </w:rPr>
        <w:t>、本项目投标人可投2个分标，但只能中一个分标。本项目按照A-B-C-D-E-F分标的顺序依次评标，在分标一被确定为中标人的投标人，不得成为分标二和后续分标的中标人。以此类推。</w:t>
      </w:r>
    </w:p>
    <w:p>
      <w:pPr>
        <w:spacing w:line="440" w:lineRule="exact"/>
        <w:rPr>
          <w:rFonts w:hint="eastAsia" w:hAnsi="宋体" w:cs="宋体"/>
          <w:b/>
          <w:bCs/>
          <w:color w:val="auto"/>
          <w:highlight w:val="none"/>
        </w:rPr>
      </w:pPr>
      <w:r>
        <w:rPr>
          <w:rFonts w:hint="eastAsia" w:hAnsi="宋体" w:cs="宋体"/>
          <w:bCs/>
          <w:color w:val="auto"/>
          <w:highlight w:val="none"/>
          <w:lang w:val="en-US" w:eastAsia="zh-CN"/>
        </w:rPr>
        <w:t>44</w:t>
      </w:r>
      <w:r>
        <w:rPr>
          <w:rFonts w:hint="eastAsia" w:hAnsi="宋体" w:cs="宋体"/>
          <w:bCs/>
          <w:color w:val="auto"/>
          <w:highlight w:val="none"/>
        </w:rPr>
        <w:t>、评标委员会将根据得分由高到低排列次序（得分相同时，以投标</w:t>
      </w:r>
      <w:r>
        <w:rPr>
          <w:rFonts w:hint="eastAsia" w:hAnsi="宋体" w:cs="宋体"/>
          <w:color w:val="auto"/>
          <w:highlight w:val="none"/>
        </w:rPr>
        <w:t>折让率</w:t>
      </w:r>
      <w:r>
        <w:rPr>
          <w:rFonts w:hint="eastAsia" w:hAnsi="宋体" w:cs="宋体"/>
          <w:bCs/>
          <w:color w:val="auto"/>
          <w:highlight w:val="none"/>
        </w:rPr>
        <w:t>由高到低顺序排列；得分相同且投标</w:t>
      </w:r>
      <w:r>
        <w:rPr>
          <w:rFonts w:hint="eastAsia" w:hAnsi="宋体" w:cs="宋体"/>
          <w:color w:val="auto"/>
          <w:highlight w:val="none"/>
        </w:rPr>
        <w:t>折让率</w:t>
      </w:r>
      <w:r>
        <w:rPr>
          <w:rFonts w:hint="eastAsia" w:hAnsi="宋体" w:cs="宋体"/>
          <w:bCs/>
          <w:color w:val="auto"/>
          <w:highlight w:val="none"/>
        </w:rPr>
        <w:t>相同的，按技术指标优劣顺序排列）并推荐中标候选供应商。采购人应当确定评审委员会根据采购需求供应商入围比例推荐的中标候选人为中标人。排名第一的中标候选人放弃中标、因不可抗力提出不能履行合同，或者招标文件规定应当提交质量保证金而在规定的期限内未能提交的，采购人可以确定排名第二的中标候选人为中标人。排名第二的中标候选人因前款规定的同样原因不能签订合同的，采购人可以确定排名第三的中标候选人为中标人，其余以此类推</w:t>
      </w:r>
      <w:r>
        <w:rPr>
          <w:rFonts w:hint="eastAsia" w:hAnsi="宋体" w:cs="宋体"/>
          <w:b/>
          <w:bCs/>
          <w:color w:val="auto"/>
          <w:highlight w:val="none"/>
        </w:rPr>
        <w:t>。采购人也可以决定重新采购。</w:t>
      </w:r>
    </w:p>
    <w:p>
      <w:pPr>
        <w:pStyle w:val="15"/>
        <w:spacing w:line="360" w:lineRule="auto"/>
        <w:ind w:firstLine="420" w:firstLineChars="200"/>
        <w:contextualSpacing/>
        <w:rPr>
          <w:rFonts w:hint="eastAsia" w:hAnsi="宋体" w:eastAsia="宋体"/>
          <w:color w:val="000000"/>
          <w:sz w:val="21"/>
          <w:lang w:val="en-US" w:eastAsia="zh-CN"/>
        </w:rPr>
      </w:pPr>
    </w:p>
    <w:p>
      <w:pPr>
        <w:spacing w:before="120" w:beforeLines="50" w:after="120" w:afterLines="50" w:line="400" w:lineRule="exact"/>
        <w:rPr>
          <w:rFonts w:hint="eastAsia" w:ascii="宋体" w:hAnsi="宋体"/>
          <w:b/>
          <w:color w:val="000000"/>
          <w:sz w:val="24"/>
        </w:rPr>
      </w:pPr>
    </w:p>
    <w:p>
      <w:pPr>
        <w:spacing w:before="120" w:beforeLines="50" w:after="120" w:afterLines="50" w:line="400" w:lineRule="exact"/>
        <w:rPr>
          <w:rFonts w:hint="eastAsia" w:ascii="宋体" w:hAnsi="宋体"/>
          <w:b/>
          <w:color w:val="000000"/>
          <w:sz w:val="24"/>
        </w:rPr>
      </w:pPr>
    </w:p>
    <w:p>
      <w:pPr>
        <w:spacing w:before="120" w:beforeLines="50" w:after="120" w:afterLines="50" w:line="400" w:lineRule="exact"/>
        <w:rPr>
          <w:rFonts w:hint="eastAsia" w:ascii="宋体" w:hAnsi="宋体"/>
          <w:b/>
          <w:color w:val="000000"/>
          <w:sz w:val="24"/>
        </w:rPr>
      </w:pPr>
    </w:p>
    <w:p>
      <w:pPr>
        <w:spacing w:before="120" w:beforeLines="50" w:after="120" w:afterLines="50" w:line="400" w:lineRule="exact"/>
        <w:rPr>
          <w:rFonts w:hint="eastAsia" w:ascii="宋体" w:hAnsi="宋体"/>
          <w:b/>
          <w:color w:val="000000"/>
          <w:sz w:val="24"/>
        </w:rPr>
      </w:pPr>
    </w:p>
    <w:p>
      <w:pPr>
        <w:spacing w:before="120" w:beforeLines="50" w:after="120" w:afterLines="50" w:line="400" w:lineRule="exact"/>
        <w:rPr>
          <w:rFonts w:hint="eastAsia" w:ascii="宋体" w:hAnsi="宋体"/>
          <w:b/>
          <w:color w:val="000000"/>
          <w:sz w:val="24"/>
        </w:rPr>
      </w:pPr>
    </w:p>
    <w:p>
      <w:pPr>
        <w:spacing w:before="120" w:beforeLines="50" w:after="120" w:afterLines="50" w:line="400" w:lineRule="exact"/>
        <w:rPr>
          <w:rFonts w:hint="eastAsia" w:ascii="宋体" w:hAnsi="宋体"/>
          <w:b/>
          <w:color w:val="000000"/>
          <w:sz w:val="24"/>
        </w:rPr>
      </w:pPr>
    </w:p>
    <w:p>
      <w:pPr>
        <w:spacing w:before="120" w:beforeLines="50" w:after="120" w:afterLines="50" w:line="400" w:lineRule="exact"/>
        <w:rPr>
          <w:rFonts w:hint="eastAsia" w:ascii="宋体" w:hAnsi="宋体"/>
          <w:b/>
          <w:color w:val="000000"/>
          <w:sz w:val="24"/>
        </w:rPr>
      </w:pPr>
    </w:p>
    <w:p>
      <w:pPr>
        <w:spacing w:before="120" w:beforeLines="50" w:after="120" w:afterLines="50" w:line="400" w:lineRule="exact"/>
        <w:rPr>
          <w:rFonts w:hint="eastAsia" w:ascii="宋体" w:hAnsi="宋体"/>
          <w:b/>
          <w:color w:val="000000"/>
          <w:sz w:val="24"/>
        </w:rPr>
      </w:pPr>
    </w:p>
    <w:p>
      <w:pPr>
        <w:spacing w:before="120" w:beforeLines="50" w:after="120" w:afterLines="50" w:line="400" w:lineRule="exact"/>
        <w:rPr>
          <w:rFonts w:hint="eastAsia" w:ascii="宋体" w:hAnsi="宋体"/>
          <w:b/>
          <w:color w:val="000000"/>
          <w:sz w:val="24"/>
        </w:rPr>
      </w:pPr>
    </w:p>
    <w:p>
      <w:pPr>
        <w:spacing w:before="120" w:beforeLines="50" w:after="120" w:afterLines="50" w:line="400" w:lineRule="exact"/>
        <w:rPr>
          <w:rFonts w:hint="eastAsia" w:ascii="宋体" w:hAnsi="宋体"/>
          <w:b/>
          <w:color w:val="000000"/>
          <w:sz w:val="24"/>
        </w:rPr>
      </w:pPr>
    </w:p>
    <w:p>
      <w:pPr>
        <w:pStyle w:val="6"/>
        <w:keepNext w:val="0"/>
        <w:keepLines w:val="0"/>
        <w:jc w:val="center"/>
        <w:rPr>
          <w:rFonts w:hint="eastAsia"/>
          <w:color w:val="000000"/>
        </w:rPr>
      </w:pPr>
      <w:r>
        <w:rPr>
          <w:color w:val="000000"/>
        </w:rPr>
        <w:br w:type="page"/>
      </w:r>
    </w:p>
    <w:p>
      <w:pPr>
        <w:pStyle w:val="6"/>
        <w:keepNext w:val="0"/>
        <w:keepLines w:val="0"/>
        <w:jc w:val="center"/>
        <w:rPr>
          <w:rFonts w:hint="eastAsia"/>
          <w:color w:val="000000"/>
        </w:rPr>
      </w:pPr>
    </w:p>
    <w:p>
      <w:pPr>
        <w:pStyle w:val="6"/>
        <w:keepNext w:val="0"/>
        <w:keepLines w:val="0"/>
        <w:jc w:val="center"/>
        <w:rPr>
          <w:rFonts w:hint="eastAsia"/>
          <w:color w:val="000000"/>
        </w:rPr>
      </w:pPr>
    </w:p>
    <w:p>
      <w:pPr>
        <w:pStyle w:val="6"/>
        <w:keepNext w:val="0"/>
        <w:keepLines w:val="0"/>
        <w:jc w:val="center"/>
        <w:rPr>
          <w:rFonts w:hint="eastAsia"/>
          <w:color w:val="000000"/>
        </w:rPr>
      </w:pPr>
    </w:p>
    <w:p>
      <w:pPr>
        <w:pStyle w:val="6"/>
        <w:keepNext w:val="0"/>
        <w:keepLines w:val="0"/>
        <w:jc w:val="center"/>
        <w:rPr>
          <w:rFonts w:hint="eastAsia"/>
          <w:color w:val="000000"/>
        </w:rPr>
      </w:pPr>
    </w:p>
    <w:p>
      <w:pPr>
        <w:pStyle w:val="6"/>
        <w:keepNext w:val="0"/>
        <w:keepLines w:val="0"/>
        <w:jc w:val="center"/>
        <w:rPr>
          <w:rFonts w:hint="eastAsia"/>
          <w:color w:val="000000"/>
        </w:rPr>
      </w:pPr>
    </w:p>
    <w:p>
      <w:pPr>
        <w:pStyle w:val="6"/>
        <w:keepNext w:val="0"/>
        <w:keepLines w:val="0"/>
        <w:jc w:val="center"/>
        <w:rPr>
          <w:rFonts w:hint="eastAsia"/>
          <w:color w:val="000000"/>
        </w:rPr>
      </w:pPr>
    </w:p>
    <w:p>
      <w:pPr>
        <w:pStyle w:val="5"/>
        <w:jc w:val="center"/>
        <w:rPr>
          <w:rFonts w:hint="eastAsia"/>
          <w:color w:val="000000"/>
        </w:rPr>
      </w:pPr>
      <w:bookmarkStart w:id="143" w:name="_Toc74320804"/>
      <w:r>
        <w:rPr>
          <w:rFonts w:hint="eastAsia"/>
          <w:color w:val="000000"/>
        </w:rPr>
        <w:t>第五章  拟签订的合同文本</w:t>
      </w:r>
      <w:bookmarkEnd w:id="143"/>
    </w:p>
    <w:p>
      <w:pPr>
        <w:snapToGrid w:val="0"/>
        <w:jc w:val="center"/>
        <w:rPr>
          <w:rFonts w:hint="eastAsia" w:ascii="宋体" w:hAnsi="宋体"/>
          <w:bCs/>
          <w:color w:val="000000"/>
          <w:sz w:val="32"/>
          <w:szCs w:val="32"/>
        </w:rPr>
      </w:pPr>
    </w:p>
    <w:p>
      <w:pPr>
        <w:snapToGrid w:val="0"/>
        <w:jc w:val="center"/>
        <w:rPr>
          <w:rFonts w:hint="eastAsia" w:ascii="宋体" w:hAnsi="宋体"/>
          <w:bCs/>
          <w:color w:val="000000"/>
          <w:sz w:val="32"/>
          <w:szCs w:val="32"/>
        </w:rPr>
      </w:pPr>
    </w:p>
    <w:p>
      <w:pPr>
        <w:snapToGrid w:val="0"/>
        <w:jc w:val="center"/>
        <w:rPr>
          <w:rFonts w:hint="eastAsia" w:ascii="宋体" w:hAnsi="宋体"/>
          <w:bCs/>
          <w:color w:val="000000"/>
          <w:sz w:val="32"/>
          <w:szCs w:val="32"/>
        </w:rPr>
      </w:pPr>
    </w:p>
    <w:p>
      <w:pPr>
        <w:snapToGrid w:val="0"/>
        <w:jc w:val="center"/>
        <w:rPr>
          <w:rFonts w:hint="eastAsia" w:ascii="宋体" w:hAnsi="宋体"/>
          <w:bCs/>
          <w:color w:val="000000"/>
          <w:sz w:val="32"/>
          <w:szCs w:val="32"/>
        </w:rPr>
      </w:pPr>
    </w:p>
    <w:p>
      <w:pPr>
        <w:snapToGrid w:val="0"/>
        <w:jc w:val="center"/>
        <w:rPr>
          <w:rFonts w:hint="eastAsia" w:ascii="宋体" w:hAnsi="宋体"/>
          <w:bCs/>
          <w:color w:val="000000"/>
          <w:sz w:val="32"/>
          <w:szCs w:val="32"/>
        </w:rPr>
      </w:pPr>
    </w:p>
    <w:p>
      <w:pPr>
        <w:snapToGrid w:val="0"/>
        <w:jc w:val="center"/>
        <w:rPr>
          <w:rFonts w:hint="eastAsia" w:ascii="宋体" w:hAnsi="宋体"/>
          <w:bCs/>
          <w:color w:val="000000"/>
          <w:sz w:val="32"/>
          <w:szCs w:val="32"/>
        </w:rPr>
      </w:pPr>
    </w:p>
    <w:p>
      <w:pPr>
        <w:snapToGrid w:val="0"/>
        <w:jc w:val="center"/>
        <w:rPr>
          <w:rFonts w:hint="eastAsia" w:ascii="宋体" w:hAnsi="宋体"/>
          <w:bCs/>
          <w:color w:val="000000"/>
          <w:sz w:val="32"/>
          <w:szCs w:val="32"/>
        </w:rPr>
      </w:pPr>
    </w:p>
    <w:p>
      <w:pPr>
        <w:snapToGrid w:val="0"/>
        <w:jc w:val="center"/>
        <w:rPr>
          <w:rFonts w:hint="eastAsia" w:ascii="宋体" w:hAnsi="宋体"/>
          <w:bCs/>
          <w:color w:val="000000"/>
          <w:sz w:val="32"/>
          <w:szCs w:val="32"/>
        </w:rPr>
      </w:pPr>
    </w:p>
    <w:p>
      <w:pPr>
        <w:snapToGrid w:val="0"/>
        <w:jc w:val="center"/>
        <w:rPr>
          <w:rFonts w:hint="eastAsia" w:ascii="宋体" w:hAnsi="宋体"/>
          <w:bCs/>
          <w:color w:val="000000"/>
          <w:sz w:val="32"/>
          <w:szCs w:val="32"/>
        </w:rPr>
      </w:pPr>
    </w:p>
    <w:p>
      <w:pPr>
        <w:snapToGrid w:val="0"/>
        <w:jc w:val="center"/>
        <w:rPr>
          <w:rFonts w:hint="eastAsia" w:ascii="宋体" w:hAnsi="宋体"/>
          <w:bCs/>
          <w:color w:val="000000"/>
          <w:sz w:val="32"/>
          <w:szCs w:val="32"/>
        </w:rPr>
      </w:pPr>
    </w:p>
    <w:p>
      <w:pPr>
        <w:snapToGrid w:val="0"/>
        <w:jc w:val="center"/>
        <w:rPr>
          <w:rFonts w:hint="eastAsia" w:ascii="宋体" w:hAnsi="宋体"/>
          <w:bCs/>
          <w:color w:val="000000"/>
          <w:sz w:val="32"/>
          <w:szCs w:val="32"/>
        </w:rPr>
      </w:pPr>
    </w:p>
    <w:p>
      <w:pPr>
        <w:snapToGrid w:val="0"/>
        <w:jc w:val="center"/>
        <w:rPr>
          <w:rFonts w:hint="eastAsia" w:ascii="宋体" w:hAnsi="宋体"/>
          <w:bCs/>
          <w:color w:val="000000"/>
          <w:sz w:val="32"/>
          <w:szCs w:val="32"/>
        </w:rPr>
      </w:pPr>
    </w:p>
    <w:p>
      <w:pPr>
        <w:snapToGrid w:val="0"/>
        <w:jc w:val="center"/>
        <w:rPr>
          <w:rFonts w:hint="eastAsia" w:ascii="宋体" w:hAnsi="宋体"/>
          <w:b/>
          <w:color w:val="000000"/>
          <w:sz w:val="32"/>
          <w:szCs w:val="32"/>
        </w:rPr>
      </w:pPr>
      <w:r>
        <w:rPr>
          <w:rFonts w:ascii="宋体" w:hAnsi="宋体"/>
          <w:bCs/>
          <w:color w:val="000000"/>
          <w:sz w:val="32"/>
          <w:szCs w:val="32"/>
        </w:rPr>
        <w:br w:type="page"/>
      </w:r>
      <w:bookmarkStart w:id="144" w:name="_Hlk55381736"/>
      <w:r>
        <w:rPr>
          <w:rFonts w:hint="eastAsia" w:ascii="宋体" w:hAnsi="宋体"/>
          <w:b/>
          <w:color w:val="000000"/>
          <w:sz w:val="32"/>
          <w:szCs w:val="32"/>
        </w:rPr>
        <w:t xml:space="preserve"> </w:t>
      </w:r>
      <w:r>
        <w:rPr>
          <w:rFonts w:hint="eastAsia" w:ascii="宋体" w:hAnsi="宋体"/>
          <w:b/>
          <w:bCs/>
          <w:color w:val="000000"/>
          <w:sz w:val="32"/>
          <w:szCs w:val="32"/>
        </w:rPr>
        <w:t>《广西壮族自治区政府采购合同》</w:t>
      </w:r>
      <w:r>
        <w:rPr>
          <w:rFonts w:hint="eastAsia" w:ascii="宋体" w:hAnsi="宋体"/>
          <w:b/>
          <w:color w:val="000000"/>
          <w:sz w:val="32"/>
          <w:szCs w:val="32"/>
        </w:rPr>
        <w:t>文本</w:t>
      </w:r>
    </w:p>
    <w:p>
      <w:pPr>
        <w:pStyle w:val="2"/>
        <w:rPr>
          <w:rFonts w:hint="eastAsia"/>
          <w:color w:val="000000"/>
        </w:rPr>
      </w:pPr>
    </w:p>
    <w:p>
      <w:pPr>
        <w:snapToGrid w:val="0"/>
        <w:spacing w:line="400" w:lineRule="exact"/>
        <w:jc w:val="center"/>
        <w:rPr>
          <w:rFonts w:ascii="宋体" w:hAnsi="宋体"/>
          <w:b/>
          <w:bCs/>
          <w:color w:val="auto"/>
          <w:sz w:val="32"/>
          <w:szCs w:val="32"/>
          <w:highlight w:val="none"/>
        </w:rPr>
      </w:pPr>
      <w:r>
        <w:rPr>
          <w:rFonts w:hint="eastAsia" w:ascii="宋体" w:hAnsi="宋体"/>
          <w:b/>
          <w:bCs/>
          <w:color w:val="auto"/>
          <w:sz w:val="32"/>
          <w:szCs w:val="32"/>
          <w:highlight w:val="none"/>
        </w:rPr>
        <w:t>《广西壮族自治区政府采购合同》</w:t>
      </w:r>
    </w:p>
    <w:p>
      <w:pPr>
        <w:snapToGrid w:val="0"/>
        <w:spacing w:line="400" w:lineRule="exact"/>
        <w:ind w:right="480" w:firstLine="5250" w:firstLineChars="2500"/>
        <w:rPr>
          <w:rFonts w:ascii="宋体" w:hAnsi="宋体"/>
          <w:bCs/>
          <w:color w:val="auto"/>
          <w:szCs w:val="21"/>
          <w:highlight w:val="none"/>
        </w:rPr>
      </w:pPr>
    </w:p>
    <w:p>
      <w:pPr>
        <w:snapToGrid w:val="0"/>
        <w:spacing w:line="400" w:lineRule="exact"/>
        <w:ind w:right="480" w:firstLine="5250" w:firstLineChars="2500"/>
        <w:rPr>
          <w:rFonts w:ascii="宋体" w:hAnsi="宋体"/>
          <w:bCs/>
          <w:color w:val="auto"/>
          <w:szCs w:val="21"/>
          <w:highlight w:val="none"/>
          <w:u w:val="single"/>
        </w:rPr>
      </w:pPr>
      <w:r>
        <w:rPr>
          <w:rFonts w:hint="eastAsia" w:ascii="宋体" w:hAnsi="宋体"/>
          <w:bCs/>
          <w:color w:val="auto"/>
          <w:szCs w:val="21"/>
          <w:highlight w:val="none"/>
        </w:rPr>
        <w:t>合同编号：</w:t>
      </w:r>
    </w:p>
    <w:p>
      <w:pPr>
        <w:snapToGrid w:val="0"/>
        <w:spacing w:line="400" w:lineRule="exact"/>
        <w:rPr>
          <w:rFonts w:ascii="宋体" w:hAnsi="宋体"/>
          <w:color w:val="auto"/>
          <w:szCs w:val="21"/>
          <w:highlight w:val="none"/>
        </w:rPr>
      </w:pPr>
    </w:p>
    <w:p>
      <w:pPr>
        <w:snapToGrid w:val="0"/>
        <w:spacing w:line="400" w:lineRule="exact"/>
        <w:rPr>
          <w:rFonts w:ascii="宋体" w:hAnsi="宋体"/>
          <w:color w:val="auto"/>
          <w:szCs w:val="21"/>
          <w:highlight w:val="none"/>
          <w:u w:val="single"/>
        </w:rPr>
      </w:pPr>
      <w:r>
        <w:rPr>
          <w:rFonts w:hint="eastAsia" w:ascii="宋体" w:hAnsi="宋体"/>
          <w:color w:val="auto"/>
          <w:szCs w:val="21"/>
          <w:highlight w:val="none"/>
        </w:rPr>
        <w:t>采购单位（甲方）</w:t>
      </w:r>
      <w:r>
        <w:rPr>
          <w:rFonts w:hint="eastAsia" w:ascii="宋体" w:hAnsi="宋体"/>
          <w:color w:val="auto"/>
          <w:spacing w:val="-20"/>
          <w:szCs w:val="21"/>
          <w:highlight w:val="none"/>
        </w:rPr>
        <w:t>采 购 计 划 号</w:t>
      </w:r>
      <w:r>
        <w:rPr>
          <w:rFonts w:hint="eastAsia" w:ascii="宋体" w:hAnsi="宋体"/>
          <w:color w:val="auto"/>
          <w:szCs w:val="21"/>
          <w:highlight w:val="none"/>
        </w:rPr>
        <w:t>。</w:t>
      </w:r>
    </w:p>
    <w:p>
      <w:pPr>
        <w:snapToGrid w:val="0"/>
        <w:spacing w:line="400" w:lineRule="exact"/>
        <w:rPr>
          <w:rFonts w:ascii="宋体" w:hAnsi="宋体"/>
          <w:color w:val="auto"/>
          <w:szCs w:val="21"/>
          <w:highlight w:val="none"/>
          <w:u w:val="single"/>
        </w:rPr>
      </w:pPr>
      <w:r>
        <w:rPr>
          <w:rFonts w:hint="eastAsia" w:ascii="宋体" w:hAnsi="宋体"/>
          <w:color w:val="auto"/>
          <w:szCs w:val="21"/>
          <w:highlight w:val="none"/>
        </w:rPr>
        <w:t>供 应 商（乙方）</w:t>
      </w:r>
      <w:r>
        <w:rPr>
          <w:rFonts w:hint="eastAsia" w:ascii="宋体" w:hAnsi="宋体"/>
          <w:color w:val="auto"/>
          <w:spacing w:val="-20"/>
          <w:szCs w:val="21"/>
          <w:highlight w:val="none"/>
        </w:rPr>
        <w:t>招  标  编  号</w:t>
      </w:r>
      <w:r>
        <w:rPr>
          <w:rFonts w:hint="eastAsia" w:ascii="宋体" w:hAnsi="宋体"/>
          <w:color w:val="auto"/>
          <w:szCs w:val="21"/>
          <w:highlight w:val="none"/>
        </w:rPr>
        <w:t>。</w:t>
      </w:r>
    </w:p>
    <w:p>
      <w:pPr>
        <w:snapToGrid w:val="0"/>
        <w:spacing w:line="400" w:lineRule="exact"/>
        <w:rPr>
          <w:rFonts w:ascii="宋体" w:hAnsi="宋体"/>
          <w:color w:val="auto"/>
          <w:szCs w:val="21"/>
          <w:highlight w:val="none"/>
          <w:u w:val="single"/>
        </w:rPr>
      </w:pPr>
      <w:r>
        <w:rPr>
          <w:rFonts w:hint="eastAsia" w:ascii="宋体" w:hAnsi="宋体"/>
          <w:color w:val="auto"/>
          <w:szCs w:val="21"/>
          <w:highlight w:val="none"/>
        </w:rPr>
        <w:t>签  订  地  点    签 订 时 间。</w:t>
      </w:r>
    </w:p>
    <w:p>
      <w:pPr>
        <w:snapToGrid w:val="0"/>
        <w:spacing w:line="400" w:lineRule="exact"/>
        <w:ind w:firstLine="420" w:firstLineChars="200"/>
        <w:rPr>
          <w:rFonts w:ascii="宋体" w:hAnsi="宋体"/>
          <w:color w:val="auto"/>
          <w:szCs w:val="21"/>
          <w:highlight w:val="none"/>
        </w:rPr>
      </w:pP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根据《中华人民共和国政府采购法》、《中华人民共和国民法典》等法律、法规规定，按照招投标文件（采购文件）规定条款和中标（成交）供应商承诺，甲乙双方签订本合同。</w:t>
      </w:r>
    </w:p>
    <w:p>
      <w:pPr>
        <w:snapToGrid w:val="0"/>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rPr>
        <w:t>第一条　合同标的</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1、供货一览表</w:t>
      </w:r>
    </w:p>
    <w:tbl>
      <w:tblPr>
        <w:tblStyle w:val="24"/>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3"/>
        <w:gridCol w:w="1059"/>
        <w:gridCol w:w="1233"/>
        <w:gridCol w:w="1210"/>
        <w:gridCol w:w="908"/>
        <w:gridCol w:w="668"/>
        <w:gridCol w:w="947"/>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0" w:hRule="atLeast"/>
        </w:trPr>
        <w:tc>
          <w:tcPr>
            <w:tcW w:w="709"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highlight w:val="none"/>
              </w:rPr>
            </w:pPr>
            <w:r>
              <w:rPr>
                <w:rFonts w:hint="eastAsia" w:ascii="宋体" w:hAnsi="宋体"/>
                <w:color w:val="auto"/>
                <w:szCs w:val="21"/>
                <w:highlight w:val="none"/>
              </w:rPr>
              <w:t>序号</w:t>
            </w:r>
          </w:p>
        </w:tc>
        <w:tc>
          <w:tcPr>
            <w:tcW w:w="1233"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highlight w:val="none"/>
              </w:rPr>
            </w:pPr>
            <w:r>
              <w:rPr>
                <w:rFonts w:hint="eastAsia" w:ascii="宋体" w:hAnsi="宋体"/>
                <w:color w:val="auto"/>
                <w:szCs w:val="21"/>
                <w:highlight w:val="none"/>
              </w:rPr>
              <w:t>产品名称</w:t>
            </w:r>
          </w:p>
        </w:tc>
        <w:tc>
          <w:tcPr>
            <w:tcW w:w="1059"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highlight w:val="none"/>
              </w:rPr>
            </w:pPr>
            <w:r>
              <w:rPr>
                <w:rFonts w:hint="eastAsia" w:ascii="宋体" w:hAnsi="宋体"/>
                <w:color w:val="auto"/>
                <w:szCs w:val="21"/>
                <w:highlight w:val="none"/>
              </w:rPr>
              <w:t>商标品牌</w:t>
            </w:r>
          </w:p>
        </w:tc>
        <w:tc>
          <w:tcPr>
            <w:tcW w:w="1233"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highlight w:val="none"/>
              </w:rPr>
            </w:pPr>
            <w:r>
              <w:rPr>
                <w:rFonts w:hint="eastAsia" w:ascii="宋体" w:hAnsi="宋体"/>
                <w:color w:val="auto"/>
                <w:szCs w:val="21"/>
                <w:highlight w:val="none"/>
              </w:rPr>
              <w:t>规格型号</w:t>
            </w:r>
          </w:p>
        </w:tc>
        <w:tc>
          <w:tcPr>
            <w:tcW w:w="1210"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highlight w:val="none"/>
              </w:rPr>
            </w:pPr>
            <w:r>
              <w:rPr>
                <w:rFonts w:hint="eastAsia" w:ascii="宋体" w:hAnsi="宋体"/>
                <w:color w:val="auto"/>
                <w:szCs w:val="21"/>
                <w:highlight w:val="none"/>
              </w:rPr>
              <w:t>生产厂家</w:t>
            </w:r>
          </w:p>
        </w:tc>
        <w:tc>
          <w:tcPr>
            <w:tcW w:w="908"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highlight w:val="none"/>
              </w:rPr>
            </w:pPr>
            <w:r>
              <w:rPr>
                <w:rFonts w:hint="eastAsia" w:ascii="宋体" w:hAnsi="宋体"/>
                <w:color w:val="auto"/>
                <w:szCs w:val="21"/>
                <w:highlight w:val="none"/>
              </w:rPr>
              <w:t>数  量</w:t>
            </w:r>
          </w:p>
        </w:tc>
        <w:tc>
          <w:tcPr>
            <w:tcW w:w="668"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highlight w:val="none"/>
              </w:rPr>
            </w:pPr>
            <w:r>
              <w:rPr>
                <w:rFonts w:hint="eastAsia" w:ascii="宋体" w:hAnsi="宋体"/>
                <w:color w:val="auto"/>
                <w:szCs w:val="21"/>
                <w:highlight w:val="none"/>
              </w:rPr>
              <w:t>单位</w:t>
            </w:r>
          </w:p>
        </w:tc>
        <w:tc>
          <w:tcPr>
            <w:tcW w:w="947"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highlight w:val="none"/>
              </w:rPr>
            </w:pPr>
            <w:r>
              <w:rPr>
                <w:rFonts w:hint="eastAsia" w:ascii="宋体" w:hAnsi="宋体"/>
                <w:color w:val="auto"/>
                <w:szCs w:val="21"/>
                <w:highlight w:val="none"/>
              </w:rPr>
              <w:t>单  价</w:t>
            </w:r>
          </w:p>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highlight w:val="none"/>
              </w:rPr>
            </w:pPr>
            <w:r>
              <w:rPr>
                <w:rFonts w:hint="eastAsia" w:ascii="宋体" w:hAnsi="宋体"/>
                <w:color w:val="auto"/>
                <w:szCs w:val="21"/>
                <w:highlight w:val="none"/>
              </w:rPr>
              <w:t>（元）</w:t>
            </w:r>
          </w:p>
        </w:tc>
        <w:tc>
          <w:tcPr>
            <w:tcW w:w="1573"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highlight w:val="none"/>
              </w:rPr>
            </w:pPr>
            <w:r>
              <w:rPr>
                <w:rFonts w:hint="eastAsia" w:ascii="宋体" w:hAnsi="宋体"/>
                <w:color w:val="auto"/>
                <w:szCs w:val="21"/>
                <w:highlight w:val="none"/>
              </w:rPr>
              <w:t>金  额</w:t>
            </w:r>
          </w:p>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highlight w:val="none"/>
              </w:rPr>
            </w:pPr>
            <w:r>
              <w:rPr>
                <w:rFonts w:hint="eastAsia" w:ascii="宋体" w:hAnsi="宋体"/>
                <w:color w:val="auto"/>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709"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highlight w:val="none"/>
              </w:rPr>
            </w:pPr>
            <w:r>
              <w:rPr>
                <w:rFonts w:hint="eastAsia" w:ascii="宋体" w:hAnsi="宋体"/>
                <w:color w:val="auto"/>
                <w:szCs w:val="21"/>
                <w:highlight w:val="none"/>
              </w:rPr>
              <w:t>1</w:t>
            </w:r>
          </w:p>
        </w:tc>
        <w:tc>
          <w:tcPr>
            <w:tcW w:w="1233"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highlight w:val="none"/>
              </w:rPr>
            </w:pPr>
          </w:p>
        </w:tc>
        <w:tc>
          <w:tcPr>
            <w:tcW w:w="1059"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highlight w:val="none"/>
              </w:rPr>
            </w:pPr>
          </w:p>
        </w:tc>
        <w:tc>
          <w:tcPr>
            <w:tcW w:w="1233"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highlight w:val="none"/>
              </w:rPr>
            </w:pPr>
          </w:p>
        </w:tc>
        <w:tc>
          <w:tcPr>
            <w:tcW w:w="1210" w:type="dxa"/>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highlight w:val="none"/>
              </w:rPr>
            </w:pPr>
          </w:p>
        </w:tc>
        <w:tc>
          <w:tcPr>
            <w:tcW w:w="908" w:type="dxa"/>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highlight w:val="none"/>
              </w:rPr>
            </w:pPr>
          </w:p>
        </w:tc>
        <w:tc>
          <w:tcPr>
            <w:tcW w:w="668" w:type="dxa"/>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highlight w:val="none"/>
              </w:rPr>
            </w:pPr>
          </w:p>
        </w:tc>
        <w:tc>
          <w:tcPr>
            <w:tcW w:w="947"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highlight w:val="none"/>
              </w:rPr>
            </w:pPr>
          </w:p>
        </w:tc>
        <w:tc>
          <w:tcPr>
            <w:tcW w:w="1573"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709"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highlight w:val="none"/>
              </w:rPr>
            </w:pPr>
            <w:r>
              <w:rPr>
                <w:rFonts w:hint="eastAsia" w:ascii="宋体" w:hAnsi="宋体"/>
                <w:color w:val="auto"/>
                <w:szCs w:val="21"/>
                <w:highlight w:val="none"/>
              </w:rPr>
              <w:t>2</w:t>
            </w:r>
          </w:p>
        </w:tc>
        <w:tc>
          <w:tcPr>
            <w:tcW w:w="1233"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highlight w:val="none"/>
              </w:rPr>
            </w:pPr>
          </w:p>
        </w:tc>
        <w:tc>
          <w:tcPr>
            <w:tcW w:w="1059"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highlight w:val="none"/>
              </w:rPr>
            </w:pPr>
          </w:p>
        </w:tc>
        <w:tc>
          <w:tcPr>
            <w:tcW w:w="1233"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highlight w:val="none"/>
              </w:rPr>
            </w:pPr>
          </w:p>
        </w:tc>
        <w:tc>
          <w:tcPr>
            <w:tcW w:w="1210" w:type="dxa"/>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highlight w:val="none"/>
              </w:rPr>
            </w:pPr>
          </w:p>
        </w:tc>
        <w:tc>
          <w:tcPr>
            <w:tcW w:w="908" w:type="dxa"/>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highlight w:val="none"/>
              </w:rPr>
            </w:pPr>
          </w:p>
        </w:tc>
        <w:tc>
          <w:tcPr>
            <w:tcW w:w="668" w:type="dxa"/>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highlight w:val="none"/>
              </w:rPr>
            </w:pPr>
          </w:p>
        </w:tc>
        <w:tc>
          <w:tcPr>
            <w:tcW w:w="947"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highlight w:val="none"/>
              </w:rPr>
            </w:pPr>
          </w:p>
        </w:tc>
        <w:tc>
          <w:tcPr>
            <w:tcW w:w="1573"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709"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highlight w:val="none"/>
              </w:rPr>
            </w:pPr>
            <w:r>
              <w:rPr>
                <w:rFonts w:hint="eastAsia" w:ascii="宋体" w:hAnsi="宋体"/>
                <w:color w:val="auto"/>
                <w:szCs w:val="21"/>
                <w:highlight w:val="none"/>
              </w:rPr>
              <w:t>3</w:t>
            </w:r>
          </w:p>
        </w:tc>
        <w:tc>
          <w:tcPr>
            <w:tcW w:w="1233"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highlight w:val="none"/>
              </w:rPr>
            </w:pPr>
          </w:p>
        </w:tc>
        <w:tc>
          <w:tcPr>
            <w:tcW w:w="1059"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highlight w:val="none"/>
              </w:rPr>
            </w:pPr>
          </w:p>
        </w:tc>
        <w:tc>
          <w:tcPr>
            <w:tcW w:w="1233"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highlight w:val="none"/>
              </w:rPr>
            </w:pPr>
          </w:p>
        </w:tc>
        <w:tc>
          <w:tcPr>
            <w:tcW w:w="1210" w:type="dxa"/>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highlight w:val="none"/>
              </w:rPr>
            </w:pPr>
          </w:p>
        </w:tc>
        <w:tc>
          <w:tcPr>
            <w:tcW w:w="908" w:type="dxa"/>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highlight w:val="none"/>
              </w:rPr>
            </w:pPr>
          </w:p>
        </w:tc>
        <w:tc>
          <w:tcPr>
            <w:tcW w:w="668" w:type="dxa"/>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highlight w:val="none"/>
              </w:rPr>
            </w:pPr>
          </w:p>
        </w:tc>
        <w:tc>
          <w:tcPr>
            <w:tcW w:w="947"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highlight w:val="none"/>
              </w:rPr>
            </w:pPr>
          </w:p>
        </w:tc>
        <w:tc>
          <w:tcPr>
            <w:tcW w:w="1573"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9540" w:type="dxa"/>
            <w:gridSpan w:val="9"/>
            <w:vAlign w:val="center"/>
          </w:tcPr>
          <w:p>
            <w:pPr>
              <w:keepNext w:val="0"/>
              <w:keepLines w:val="0"/>
              <w:suppressLineNumbers w:val="0"/>
              <w:snapToGrid w:val="0"/>
              <w:spacing w:before="0" w:beforeAutospacing="0" w:after="0" w:afterAutospacing="0" w:line="400" w:lineRule="exact"/>
              <w:ind w:left="0" w:right="0"/>
              <w:rPr>
                <w:rFonts w:hint="default" w:ascii="宋体" w:hAnsi="宋体"/>
                <w:color w:val="auto"/>
                <w:szCs w:val="21"/>
                <w:highlight w:val="none"/>
              </w:rPr>
            </w:pPr>
            <w:r>
              <w:rPr>
                <w:rFonts w:hint="eastAsia" w:ascii="宋体" w:hAnsi="宋体"/>
                <w:color w:val="auto"/>
                <w:szCs w:val="21"/>
                <w:highlight w:val="none"/>
              </w:rPr>
              <w:t>人民币合计金额：</w:t>
            </w:r>
          </w:p>
        </w:tc>
      </w:tr>
    </w:tbl>
    <w:p>
      <w:pPr>
        <w:snapToGrid w:val="0"/>
        <w:spacing w:line="400" w:lineRule="exact"/>
        <w:ind w:right="52" w:firstLine="420" w:firstLineChars="200"/>
        <w:rPr>
          <w:rFonts w:ascii="宋体" w:hAnsi="宋体"/>
          <w:color w:val="auto"/>
          <w:szCs w:val="21"/>
          <w:highlight w:val="none"/>
        </w:rPr>
      </w:pPr>
      <w:r>
        <w:rPr>
          <w:rFonts w:hint="eastAsia" w:ascii="宋体" w:hAnsi="宋体"/>
          <w:color w:val="auto"/>
          <w:szCs w:val="21"/>
          <w:highlight w:val="none"/>
        </w:rPr>
        <w:t>2、合同合计金额包括货物价款，备件、专用工具、安装、调试、检验、技术培训及技术资料和包装、运输等全部费用。如招投标文件对其另有规定的，从其规定。</w:t>
      </w:r>
    </w:p>
    <w:p>
      <w:pPr>
        <w:snapToGrid w:val="0"/>
        <w:spacing w:line="400" w:lineRule="exact"/>
        <w:ind w:firstLine="422" w:firstLineChars="200"/>
        <w:rPr>
          <w:rFonts w:ascii="宋体" w:hAnsi="宋体"/>
          <w:color w:val="auto"/>
          <w:szCs w:val="21"/>
          <w:highlight w:val="none"/>
        </w:rPr>
      </w:pPr>
      <w:r>
        <w:rPr>
          <w:rFonts w:hint="eastAsia" w:ascii="宋体" w:hAnsi="宋体"/>
          <w:b/>
          <w:color w:val="auto"/>
          <w:szCs w:val="21"/>
          <w:highlight w:val="none"/>
        </w:rPr>
        <w:t>第二条　质量保证</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1、乙方所提供的货物型号、技术规格、技术参数等质量必须与招投标文件和承诺相一致。乙方提供的节能和环保产品必须是列入政府采购清单的产品。</w:t>
      </w:r>
    </w:p>
    <w:p>
      <w:pPr>
        <w:snapToGrid w:val="0"/>
        <w:spacing w:line="400" w:lineRule="exact"/>
        <w:ind w:firstLine="420" w:firstLineChars="200"/>
        <w:rPr>
          <w:rFonts w:ascii="宋体" w:hAnsi="宋体"/>
          <w:color w:val="auto"/>
          <w:szCs w:val="21"/>
          <w:highlight w:val="none"/>
          <w:u w:val="single"/>
        </w:rPr>
      </w:pPr>
      <w:r>
        <w:rPr>
          <w:rFonts w:hint="eastAsia" w:ascii="宋体" w:hAnsi="宋体"/>
          <w:color w:val="auto"/>
          <w:szCs w:val="21"/>
          <w:highlight w:val="none"/>
        </w:rPr>
        <w:t>2、乙方所提供的货物必须是全新、未使用的原装产品，且在正常安装、使用和保养条件下，其使用寿命期内各项指标均达到质量要求。</w:t>
      </w:r>
    </w:p>
    <w:p>
      <w:pPr>
        <w:snapToGrid w:val="0"/>
        <w:spacing w:line="400" w:lineRule="exact"/>
        <w:ind w:firstLine="422" w:firstLineChars="200"/>
        <w:rPr>
          <w:rFonts w:ascii="宋体" w:hAnsi="宋体"/>
          <w:color w:val="auto"/>
          <w:szCs w:val="21"/>
          <w:highlight w:val="none"/>
        </w:rPr>
      </w:pPr>
      <w:r>
        <w:rPr>
          <w:rFonts w:hint="eastAsia" w:ascii="宋体" w:hAnsi="宋体"/>
          <w:b/>
          <w:color w:val="auto"/>
          <w:szCs w:val="21"/>
          <w:highlight w:val="none"/>
        </w:rPr>
        <w:t>第三条　权利保证</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乙方应保证所提供货物在使用时不会侵犯任何第三方的专利权、商标权、工业设计权或其他权利。</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乙方应按采购文件规定的时间向甲方提供使用货物的有关技术资料。</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乙方保证所交付的货物的所有权完全属于乙方且无任何抵押、质押、查封等产权瑕疵。</w:t>
      </w:r>
    </w:p>
    <w:p>
      <w:pPr>
        <w:snapToGrid w:val="0"/>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rPr>
        <w:t>第四条　包装和运输</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1、乙方提供的货物均应按招投标文件要求的包装材料、包装标准、包装方式进行包装，每一包装单元内应附详细的装箱单和质量合格证。</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2、货物的运输方式：</w:t>
      </w:r>
      <w:r>
        <w:rPr>
          <w:rFonts w:hint="eastAsia" w:ascii="宋体" w:hAnsi="宋体"/>
          <w:color w:val="auto"/>
          <w:szCs w:val="21"/>
          <w:highlight w:val="none"/>
          <w:u w:val="single"/>
        </w:rPr>
        <w:t xml:space="preserve">  不限   </w:t>
      </w:r>
      <w:r>
        <w:rPr>
          <w:rFonts w:hint="eastAsia" w:ascii="宋体" w:hAnsi="宋体"/>
          <w:color w:val="auto"/>
          <w:szCs w:val="21"/>
          <w:highlight w:val="none"/>
        </w:rPr>
        <w:t>。</w:t>
      </w:r>
    </w:p>
    <w:p>
      <w:pPr>
        <w:snapToGrid w:val="0"/>
        <w:spacing w:line="400" w:lineRule="exact"/>
        <w:ind w:firstLine="420" w:firstLineChars="200"/>
        <w:rPr>
          <w:rFonts w:ascii="宋体" w:hAnsi="宋体"/>
          <w:color w:val="auto"/>
          <w:szCs w:val="21"/>
          <w:highlight w:val="none"/>
          <w:u w:val="single"/>
        </w:rPr>
      </w:pPr>
      <w:r>
        <w:rPr>
          <w:rFonts w:hint="eastAsia" w:ascii="宋体" w:hAnsi="宋体"/>
          <w:color w:val="auto"/>
          <w:szCs w:val="21"/>
          <w:highlight w:val="none"/>
        </w:rPr>
        <w:t>3、乙方负责货物运输，货物运输合理损耗及计算方法：</w:t>
      </w:r>
      <w:r>
        <w:rPr>
          <w:rFonts w:hint="eastAsia" w:ascii="宋体" w:hAnsi="宋体"/>
          <w:color w:val="auto"/>
          <w:szCs w:val="21"/>
          <w:highlight w:val="none"/>
          <w:u w:val="single"/>
        </w:rPr>
        <w:t xml:space="preserve">  本项目合同不接受损耗 </w:t>
      </w:r>
      <w:r>
        <w:rPr>
          <w:rFonts w:hint="eastAsia" w:ascii="宋体" w:hAnsi="宋体"/>
          <w:color w:val="auto"/>
          <w:szCs w:val="21"/>
          <w:highlight w:val="none"/>
        </w:rPr>
        <w:t>。</w:t>
      </w:r>
    </w:p>
    <w:p>
      <w:pPr>
        <w:snapToGrid w:val="0"/>
        <w:spacing w:line="400" w:lineRule="exact"/>
        <w:ind w:firstLine="422" w:firstLineChars="200"/>
        <w:rPr>
          <w:rFonts w:ascii="宋体" w:hAnsi="宋体"/>
          <w:color w:val="auto"/>
          <w:szCs w:val="21"/>
          <w:highlight w:val="none"/>
        </w:rPr>
      </w:pPr>
      <w:r>
        <w:rPr>
          <w:rFonts w:hint="eastAsia" w:ascii="宋体" w:hAnsi="宋体"/>
          <w:b/>
          <w:color w:val="auto"/>
          <w:szCs w:val="21"/>
          <w:highlight w:val="none"/>
        </w:rPr>
        <w:t>第五条　交付和验收</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1、交货时间及地点：</w:t>
      </w:r>
      <w:r>
        <w:rPr>
          <w:rFonts w:hint="eastAsia" w:ascii="宋体" w:hAnsi="宋体"/>
          <w:color w:val="auto"/>
          <w:szCs w:val="21"/>
          <w:highlight w:val="none"/>
          <w:u w:val="single"/>
        </w:rPr>
        <w:t xml:space="preserve"> 见《商务偏离表》 </w:t>
      </w:r>
      <w:r>
        <w:rPr>
          <w:rFonts w:hint="eastAsia" w:ascii="宋体" w:hAnsi="宋体"/>
          <w:color w:val="auto"/>
          <w:szCs w:val="21"/>
          <w:highlight w:val="none"/>
        </w:rPr>
        <w:t>。</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2、乙方提供不符合招投标文件和本合同规定的货物，甲方有权拒绝接受。</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3、乙方应将所提供货物的装箱清单、用户手册、原厂保修卡、随机资料、工具和备品、备件等交付给甲方，货物属于进口产品的，供货时应同时附上中文使用说明书，如有缺失应及时补齐，否则视为逾期交货。</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4、甲方应当在到货（安装、调试完）后七个工作日内进行货物验收，逾期不验收的，乙方可视同验收合格。验收合格后由甲乙双方签署货物验收单并加盖采购单位公章，甲乙双方各执一份。</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6、甲方对验收有异议的，在验收后十个工作日内以书面形式向乙方提出，乙方应自收到甲方书面异议后</w:t>
      </w:r>
      <w:r>
        <w:rPr>
          <w:rFonts w:hint="eastAsia" w:ascii="宋体" w:hAnsi="宋体"/>
          <w:color w:val="auto"/>
          <w:szCs w:val="21"/>
          <w:highlight w:val="none"/>
          <w:u w:val="single"/>
        </w:rPr>
        <w:t xml:space="preserve"> 10个工作 </w:t>
      </w:r>
      <w:r>
        <w:rPr>
          <w:rFonts w:hint="eastAsia" w:ascii="宋体" w:hAnsi="宋体"/>
          <w:color w:val="auto"/>
          <w:szCs w:val="21"/>
          <w:highlight w:val="none"/>
        </w:rPr>
        <w:t>日内及时予以解决。</w:t>
      </w:r>
    </w:p>
    <w:p>
      <w:pPr>
        <w:snapToGrid w:val="0"/>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rPr>
        <w:t>第六条　安装和培训</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1、甲方应提供必要安装条件（如场地、电源、水源等）。</w:t>
      </w:r>
    </w:p>
    <w:p>
      <w:pPr>
        <w:snapToGrid w:val="0"/>
        <w:spacing w:line="400" w:lineRule="exact"/>
        <w:ind w:firstLine="420" w:firstLineChars="200"/>
        <w:rPr>
          <w:rFonts w:ascii="宋体" w:hAnsi="宋体"/>
          <w:color w:val="auto"/>
          <w:szCs w:val="21"/>
          <w:highlight w:val="none"/>
          <w:u w:val="single"/>
        </w:rPr>
      </w:pPr>
      <w:r>
        <w:rPr>
          <w:rFonts w:hint="eastAsia" w:ascii="宋体" w:hAnsi="宋体"/>
          <w:color w:val="auto"/>
          <w:szCs w:val="21"/>
          <w:highlight w:val="none"/>
        </w:rPr>
        <w:t>2、乙方负责甲方有关人员的培训。培训时间、地点：</w:t>
      </w:r>
      <w:r>
        <w:rPr>
          <w:rFonts w:hint="eastAsia" w:ascii="宋体" w:hAnsi="宋体"/>
          <w:color w:val="auto"/>
          <w:szCs w:val="21"/>
          <w:highlight w:val="none"/>
          <w:u w:val="single"/>
        </w:rPr>
        <w:t>见《售后服务承诺书》。</w:t>
      </w:r>
    </w:p>
    <w:p>
      <w:pPr>
        <w:snapToGrid w:val="0"/>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rPr>
        <w:t>第七条  售后服务、质保期</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1、乙方应按照国家有关法律法规和“三包”规定以及招投标文件和本合同所附的《售后服务承诺书》，为甲方提供售后服务。</w:t>
      </w:r>
    </w:p>
    <w:p>
      <w:pPr>
        <w:snapToGrid w:val="0"/>
        <w:spacing w:line="400" w:lineRule="exact"/>
        <w:ind w:firstLine="420" w:firstLineChars="200"/>
        <w:rPr>
          <w:rFonts w:ascii="宋体" w:hAnsi="宋体"/>
          <w:color w:val="auto"/>
          <w:szCs w:val="21"/>
          <w:highlight w:val="none"/>
          <w:u w:val="single"/>
        </w:rPr>
      </w:pPr>
      <w:r>
        <w:rPr>
          <w:rFonts w:hint="eastAsia" w:ascii="宋体" w:hAnsi="宋体"/>
          <w:color w:val="auto"/>
          <w:szCs w:val="21"/>
          <w:highlight w:val="none"/>
        </w:rPr>
        <w:t>2、货物质保期：</w:t>
      </w:r>
      <w:r>
        <w:rPr>
          <w:rFonts w:hint="eastAsia" w:ascii="宋体" w:hAnsi="宋体"/>
          <w:color w:val="auto"/>
          <w:szCs w:val="21"/>
          <w:highlight w:val="none"/>
          <w:u w:val="single"/>
        </w:rPr>
        <w:t>见《商务偏离表》分项有要求的按分项要求，分项无要求的按国家标准实行“三包”。</w:t>
      </w:r>
    </w:p>
    <w:p>
      <w:pPr>
        <w:snapToGrid w:val="0"/>
        <w:spacing w:line="400" w:lineRule="exact"/>
        <w:ind w:firstLine="420" w:firstLineChars="200"/>
        <w:rPr>
          <w:rFonts w:ascii="宋体" w:hAnsi="宋体"/>
          <w:color w:val="auto"/>
          <w:szCs w:val="21"/>
          <w:highlight w:val="none"/>
          <w:u w:val="single"/>
        </w:rPr>
      </w:pPr>
      <w:r>
        <w:rPr>
          <w:rFonts w:hint="eastAsia" w:ascii="宋体" w:hAnsi="宋体"/>
          <w:color w:val="auto"/>
          <w:szCs w:val="21"/>
          <w:highlight w:val="none"/>
        </w:rPr>
        <w:t>3、乙方提供的服务承诺和售后服务及保修期责任等其它具体约定事项。（见合同附件）</w:t>
      </w:r>
    </w:p>
    <w:p>
      <w:pPr>
        <w:snapToGrid w:val="0"/>
        <w:spacing w:line="400" w:lineRule="exact"/>
        <w:ind w:firstLine="422" w:firstLineChars="200"/>
        <w:rPr>
          <w:rFonts w:ascii="宋体" w:hAnsi="宋体"/>
          <w:color w:val="auto"/>
          <w:szCs w:val="21"/>
          <w:highlight w:val="none"/>
        </w:rPr>
      </w:pPr>
      <w:r>
        <w:rPr>
          <w:rFonts w:hint="eastAsia" w:ascii="宋体" w:hAnsi="宋体"/>
          <w:b/>
          <w:color w:val="auto"/>
          <w:szCs w:val="21"/>
          <w:highlight w:val="none"/>
        </w:rPr>
        <w:t>第八条　付款方式和保证金</w:t>
      </w:r>
    </w:p>
    <w:p>
      <w:pPr>
        <w:pStyle w:val="15"/>
        <w:snapToGrid w:val="0"/>
        <w:spacing w:line="400" w:lineRule="exact"/>
        <w:ind w:firstLine="420" w:firstLineChars="200"/>
        <w:rPr>
          <w:rFonts w:hAnsi="宋体"/>
          <w:color w:val="auto"/>
          <w:sz w:val="21"/>
          <w:highlight w:val="none"/>
        </w:rPr>
      </w:pPr>
      <w:r>
        <w:rPr>
          <w:rFonts w:hAnsi="宋体"/>
          <w:bCs/>
          <w:color w:val="auto"/>
          <w:sz w:val="21"/>
          <w:highlight w:val="none"/>
        </w:rPr>
        <w:t>1、</w:t>
      </w:r>
      <w:r>
        <w:rPr>
          <w:rFonts w:hAnsi="宋体"/>
          <w:color w:val="auto"/>
          <w:sz w:val="21"/>
          <w:highlight w:val="none"/>
        </w:rPr>
        <w:t>当采购数量与实际使用数量不一致时，乙方应根据实际使用量供货，合同的最终结算金额按实际使用量乘以成交单价进行计算。</w:t>
      </w:r>
    </w:p>
    <w:p>
      <w:pPr>
        <w:snapToGrid w:val="0"/>
        <w:spacing w:line="400" w:lineRule="exact"/>
        <w:ind w:firstLine="420" w:firstLineChars="200"/>
        <w:rPr>
          <w:rFonts w:ascii="宋体" w:hAnsi="宋体"/>
          <w:color w:val="auto"/>
          <w:szCs w:val="21"/>
          <w:highlight w:val="none"/>
          <w:u w:val="single"/>
        </w:rPr>
      </w:pPr>
      <w:r>
        <w:rPr>
          <w:rFonts w:hint="eastAsia" w:ascii="宋体" w:hAnsi="宋体"/>
          <w:color w:val="auto"/>
          <w:szCs w:val="21"/>
          <w:highlight w:val="none"/>
        </w:rPr>
        <w:t>2、资金性质：</w:t>
      </w:r>
      <w:r>
        <w:rPr>
          <w:rFonts w:hint="eastAsia" w:ascii="宋体" w:hAnsi="宋体"/>
          <w:color w:val="auto"/>
          <w:szCs w:val="21"/>
          <w:highlight w:val="none"/>
          <w:u w:val="single"/>
        </w:rPr>
        <w:t xml:space="preserve">  财政性资金  。</w:t>
      </w:r>
    </w:p>
    <w:p>
      <w:pPr>
        <w:snapToGrid w:val="0"/>
        <w:spacing w:line="400" w:lineRule="exact"/>
        <w:ind w:left="-61" w:leftChars="-29" w:firstLine="514" w:firstLineChars="245"/>
        <w:rPr>
          <w:rFonts w:ascii="宋体" w:hAnsi="宋体"/>
          <w:color w:val="auto"/>
          <w:szCs w:val="21"/>
          <w:highlight w:val="none"/>
          <w:u w:val="single"/>
        </w:rPr>
      </w:pPr>
      <w:r>
        <w:rPr>
          <w:rFonts w:hint="eastAsia" w:ascii="宋体" w:hAnsi="宋体"/>
          <w:color w:val="auto"/>
          <w:szCs w:val="21"/>
          <w:highlight w:val="none"/>
        </w:rPr>
        <w:t>3、付款方式：</w:t>
      </w:r>
      <w:r>
        <w:rPr>
          <w:rFonts w:hint="eastAsia" w:hAnsi="宋体" w:cs="宋体"/>
          <w:color w:val="auto"/>
          <w:kern w:val="0"/>
          <w:highlight w:val="none"/>
          <w:u w:val="single"/>
        </w:rPr>
        <w:t>由中标供应商与广西壮族自治区残疾人联合会签订总合同，并与</w:t>
      </w:r>
      <w:r>
        <w:rPr>
          <w:rFonts w:hint="eastAsia" w:hAnsi="宋体" w:cs="宋体"/>
          <w:color w:val="auto"/>
          <w:highlight w:val="none"/>
          <w:u w:val="single"/>
        </w:rPr>
        <w:t>采购单位县（市、区）残联</w:t>
      </w:r>
      <w:r>
        <w:rPr>
          <w:rFonts w:hint="eastAsia" w:hAnsi="宋体" w:cs="宋体"/>
          <w:color w:val="auto"/>
          <w:kern w:val="0"/>
          <w:highlight w:val="none"/>
          <w:u w:val="single"/>
        </w:rPr>
        <w:t>签订分合同。</w:t>
      </w:r>
      <w:r>
        <w:rPr>
          <w:rFonts w:hint="eastAsia" w:hAnsi="宋体" w:cs="宋体"/>
          <w:color w:val="auto"/>
          <w:highlight w:val="none"/>
          <w:u w:val="single"/>
        </w:rPr>
        <w:t>乙方根据甲方需求按订单供货，每次订单的货物经交付验收合格后十个工作日内，由甲方按乙方中标标的物的中标单价和实际供货数量计算</w:t>
      </w:r>
      <w:r>
        <w:rPr>
          <w:rFonts w:hint="eastAsia" w:hAnsi="宋体" w:cs="宋体"/>
          <w:color w:val="auto"/>
          <w:highlight w:val="none"/>
          <w:u w:val="single"/>
          <w:lang w:eastAsia="zh-CN"/>
        </w:rPr>
        <w:t>。</w:t>
      </w:r>
      <w:r>
        <w:rPr>
          <w:rFonts w:hint="eastAsia" w:hAnsi="宋体" w:cs="宋体"/>
          <w:color w:val="auto"/>
          <w:highlight w:val="none"/>
          <w:u w:val="single"/>
          <w:lang w:val="en-US" w:eastAsia="zh-CN"/>
        </w:rPr>
        <w:t>付款方式由中标供应商与具体签订合同的采购单位县（市、区）残联以签订分合同的方式确认。乙方自</w:t>
      </w:r>
      <w:r>
        <w:rPr>
          <w:rFonts w:hint="eastAsia" w:hAnsi="宋体" w:cs="宋体"/>
          <w:color w:val="auto"/>
          <w:highlight w:val="none"/>
          <w:u w:val="single"/>
        </w:rPr>
        <w:t>收到货款之日起三个工作日内开具发票给甲方</w:t>
      </w:r>
      <w:r>
        <w:rPr>
          <w:rFonts w:hint="eastAsia" w:ascii="宋体" w:hAnsi="宋体"/>
          <w:color w:val="auto"/>
          <w:szCs w:val="21"/>
          <w:highlight w:val="none"/>
          <w:u w:val="single"/>
        </w:rPr>
        <w:t>。</w:t>
      </w:r>
    </w:p>
    <w:p>
      <w:pPr>
        <w:snapToGrid w:val="0"/>
        <w:spacing w:line="400" w:lineRule="exact"/>
        <w:ind w:left="-61" w:leftChars="-29" w:firstLine="517" w:firstLineChars="245"/>
        <w:rPr>
          <w:rFonts w:ascii="宋体" w:hAnsi="宋体"/>
          <w:b/>
          <w:color w:val="auto"/>
          <w:szCs w:val="21"/>
          <w:highlight w:val="none"/>
        </w:rPr>
      </w:pPr>
      <w:r>
        <w:rPr>
          <w:rFonts w:hint="eastAsia" w:ascii="宋体" w:hAnsi="宋体"/>
          <w:b/>
          <w:color w:val="auto"/>
          <w:szCs w:val="21"/>
          <w:highlight w:val="none"/>
        </w:rPr>
        <w:t>第九条　质量保证金</w:t>
      </w:r>
    </w:p>
    <w:p>
      <w:pPr>
        <w:snapToGrid w:val="0"/>
        <w:spacing w:line="400" w:lineRule="exact"/>
        <w:ind w:left="-61" w:firstLine="514"/>
        <w:rPr>
          <w:rFonts w:ascii="宋体" w:hAnsi="宋体"/>
          <w:b/>
          <w:color w:val="auto"/>
          <w:szCs w:val="21"/>
          <w:highlight w:val="none"/>
          <w:u w:val="single"/>
        </w:rPr>
      </w:pPr>
      <w:r>
        <w:rPr>
          <w:rFonts w:hint="eastAsia" w:ascii="宋体" w:hAnsi="宋体"/>
          <w:color w:val="auto"/>
          <w:szCs w:val="21"/>
          <w:highlight w:val="none"/>
          <w:u w:val="single"/>
          <w:lang w:val="en-US" w:eastAsia="zh-CN"/>
        </w:rPr>
        <w:t>是否扣留质量保证金，以及扣留比例和扣留方式，由</w:t>
      </w:r>
      <w:r>
        <w:rPr>
          <w:rFonts w:hint="eastAsia" w:hAnsi="宋体" w:cs="宋体"/>
          <w:color w:val="auto"/>
          <w:highlight w:val="none"/>
          <w:u w:val="single"/>
          <w:lang w:val="en-US" w:eastAsia="zh-CN"/>
        </w:rPr>
        <w:t>中标供应商与具体签订分合同的采购单位县（市、区）残联自行商定</w:t>
      </w:r>
      <w:r>
        <w:rPr>
          <w:rFonts w:hint="eastAsia" w:ascii="宋体" w:hAnsi="宋体"/>
          <w:color w:val="auto"/>
          <w:szCs w:val="21"/>
          <w:highlight w:val="none"/>
          <w:u w:val="single"/>
          <w:lang w:eastAsia="zh-CN"/>
        </w:rPr>
        <w:t>。</w:t>
      </w:r>
    </w:p>
    <w:p>
      <w:pPr>
        <w:snapToGrid w:val="0"/>
        <w:spacing w:line="400" w:lineRule="exact"/>
        <w:ind w:left="-61" w:firstLine="514"/>
        <w:rPr>
          <w:rFonts w:ascii="宋体" w:hAnsi="宋体"/>
          <w:b/>
          <w:color w:val="auto"/>
          <w:szCs w:val="21"/>
          <w:highlight w:val="none"/>
        </w:rPr>
      </w:pPr>
      <w:r>
        <w:rPr>
          <w:rFonts w:hint="eastAsia" w:ascii="宋体" w:hAnsi="宋体"/>
          <w:b/>
          <w:color w:val="auto"/>
          <w:szCs w:val="21"/>
          <w:highlight w:val="none"/>
        </w:rPr>
        <w:t>第十条  税费</w:t>
      </w:r>
    </w:p>
    <w:p>
      <w:pPr>
        <w:snapToGrid w:val="0"/>
        <w:spacing w:line="400" w:lineRule="exact"/>
        <w:ind w:left="-61" w:firstLine="514"/>
        <w:rPr>
          <w:rFonts w:ascii="宋体" w:hAnsi="宋体"/>
          <w:color w:val="auto"/>
          <w:szCs w:val="21"/>
          <w:highlight w:val="none"/>
        </w:rPr>
      </w:pPr>
      <w:r>
        <w:rPr>
          <w:rFonts w:hint="eastAsia" w:ascii="宋体" w:hAnsi="宋体"/>
          <w:color w:val="auto"/>
          <w:szCs w:val="21"/>
          <w:highlight w:val="none"/>
        </w:rPr>
        <w:t>本合同执行中相关的一切税费均由乙方负担。</w:t>
      </w:r>
    </w:p>
    <w:p>
      <w:pPr>
        <w:snapToGrid w:val="0"/>
        <w:spacing w:line="400" w:lineRule="exact"/>
        <w:ind w:left="-61" w:firstLine="514"/>
        <w:rPr>
          <w:rFonts w:ascii="宋体" w:hAnsi="宋体"/>
          <w:color w:val="auto"/>
          <w:szCs w:val="21"/>
          <w:highlight w:val="none"/>
        </w:rPr>
      </w:pPr>
      <w:r>
        <w:rPr>
          <w:rFonts w:hint="eastAsia" w:ascii="宋体" w:hAnsi="宋体"/>
          <w:b/>
          <w:color w:val="auto"/>
          <w:szCs w:val="21"/>
          <w:highlight w:val="none"/>
        </w:rPr>
        <w:t>第十一条  质量保证及售后服务</w:t>
      </w:r>
    </w:p>
    <w:p>
      <w:pPr>
        <w:pStyle w:val="15"/>
        <w:snapToGrid w:val="0"/>
        <w:spacing w:line="400" w:lineRule="exact"/>
        <w:ind w:firstLine="420" w:firstLineChars="200"/>
        <w:rPr>
          <w:rFonts w:hAnsi="宋体"/>
          <w:color w:val="auto"/>
          <w:sz w:val="21"/>
          <w:highlight w:val="none"/>
        </w:rPr>
      </w:pPr>
      <w:r>
        <w:rPr>
          <w:rFonts w:hAnsi="宋体"/>
          <w:color w:val="auto"/>
          <w:sz w:val="21"/>
          <w:highlight w:val="none"/>
        </w:rPr>
        <w:t>1. 乙方应按采购文件规定的货物性能、技术要求、质量标准向甲方提供未经使用的全新产品。不符合要求的，根据实际情况，经双方协商，可按以下办法处理：</w:t>
      </w:r>
    </w:p>
    <w:p>
      <w:pPr>
        <w:pStyle w:val="15"/>
        <w:snapToGrid w:val="0"/>
        <w:spacing w:line="400" w:lineRule="exact"/>
        <w:ind w:firstLine="420" w:firstLineChars="200"/>
        <w:rPr>
          <w:rFonts w:hAnsi="宋体"/>
          <w:color w:val="auto"/>
          <w:sz w:val="21"/>
          <w:highlight w:val="none"/>
        </w:rPr>
      </w:pPr>
      <w:r>
        <w:rPr>
          <w:rFonts w:hAnsi="宋体"/>
          <w:color w:val="auto"/>
          <w:sz w:val="21"/>
          <w:highlight w:val="none"/>
        </w:rPr>
        <w:t>⑴更换：由乙方承担所发生的全部费用。</w:t>
      </w:r>
    </w:p>
    <w:p>
      <w:pPr>
        <w:pStyle w:val="15"/>
        <w:snapToGrid w:val="0"/>
        <w:spacing w:line="400" w:lineRule="exact"/>
        <w:ind w:firstLine="420"/>
        <w:rPr>
          <w:rFonts w:hAnsi="宋体"/>
          <w:color w:val="auto"/>
          <w:sz w:val="21"/>
          <w:highlight w:val="none"/>
        </w:rPr>
      </w:pPr>
      <w:r>
        <w:rPr>
          <w:rFonts w:hAnsi="宋体"/>
          <w:color w:val="auto"/>
          <w:sz w:val="21"/>
          <w:highlight w:val="none"/>
        </w:rPr>
        <w:t>⑵贬值处理：由甲乙双方合议定价。</w:t>
      </w:r>
    </w:p>
    <w:p>
      <w:pPr>
        <w:pStyle w:val="15"/>
        <w:snapToGrid w:val="0"/>
        <w:spacing w:line="400" w:lineRule="exact"/>
        <w:ind w:firstLine="420" w:firstLineChars="200"/>
        <w:rPr>
          <w:rFonts w:hAnsi="宋体"/>
          <w:color w:val="auto"/>
          <w:sz w:val="21"/>
          <w:highlight w:val="none"/>
        </w:rPr>
      </w:pPr>
      <w:r>
        <w:rPr>
          <w:rFonts w:hAnsi="宋体"/>
          <w:color w:val="auto"/>
          <w:sz w:val="21"/>
          <w:highlight w:val="none"/>
        </w:rPr>
        <w:t>⑶退货处理：乙方应退还甲方支付的合同款，同时应承担该货物的直接费用（运输、保险、检验、货款利息及银行手续费等）。</w:t>
      </w:r>
    </w:p>
    <w:p>
      <w:pPr>
        <w:pStyle w:val="15"/>
        <w:snapToGrid w:val="0"/>
        <w:spacing w:line="400" w:lineRule="exact"/>
        <w:ind w:firstLine="420" w:firstLineChars="200"/>
        <w:rPr>
          <w:rFonts w:hAnsi="宋体"/>
          <w:color w:val="auto"/>
          <w:sz w:val="21"/>
          <w:highlight w:val="none"/>
        </w:rPr>
      </w:pPr>
      <w:r>
        <w:rPr>
          <w:rFonts w:hAnsi="宋体"/>
          <w:color w:val="auto"/>
          <w:sz w:val="21"/>
          <w:highlight w:val="none"/>
        </w:rPr>
        <w:t>2. 如在使用过程中发生质量问题，乙方在接到甲方通知后在</w:t>
      </w:r>
      <w:r>
        <w:rPr>
          <w:rFonts w:hAnsi="宋体"/>
          <w:color w:val="auto"/>
          <w:sz w:val="21"/>
          <w:highlight w:val="none"/>
          <w:u w:val="single"/>
        </w:rPr>
        <w:t xml:space="preserve"> 乙方售后服务承诺 </w:t>
      </w:r>
      <w:r>
        <w:rPr>
          <w:rFonts w:hAnsi="宋体"/>
          <w:color w:val="auto"/>
          <w:sz w:val="21"/>
          <w:highlight w:val="none"/>
        </w:rPr>
        <w:t>小时内到达甲方现场处理。</w:t>
      </w:r>
    </w:p>
    <w:p>
      <w:pPr>
        <w:pStyle w:val="15"/>
        <w:snapToGrid w:val="0"/>
        <w:spacing w:line="400" w:lineRule="exact"/>
        <w:ind w:firstLine="420" w:firstLineChars="200"/>
        <w:rPr>
          <w:rFonts w:hAnsi="宋体"/>
          <w:color w:val="auto"/>
          <w:sz w:val="21"/>
          <w:highlight w:val="none"/>
        </w:rPr>
      </w:pPr>
      <w:r>
        <w:rPr>
          <w:rFonts w:hAnsi="宋体"/>
          <w:color w:val="auto"/>
          <w:sz w:val="21"/>
          <w:highlight w:val="none"/>
        </w:rPr>
        <w:t>3. 在质保期内，乙方应对货物出现的质量及安全问题负责处理解决并承担一切费用。</w:t>
      </w:r>
    </w:p>
    <w:p>
      <w:pPr>
        <w:snapToGrid w:val="0"/>
        <w:spacing w:line="400" w:lineRule="exact"/>
        <w:ind w:left="-61" w:firstLine="514"/>
        <w:rPr>
          <w:rFonts w:ascii="宋体" w:hAnsi="宋体"/>
          <w:color w:val="auto"/>
          <w:szCs w:val="21"/>
          <w:highlight w:val="none"/>
        </w:rPr>
      </w:pPr>
      <w:r>
        <w:rPr>
          <w:rFonts w:hint="eastAsia" w:ascii="宋体" w:hAnsi="宋体"/>
          <w:color w:val="auto"/>
          <w:szCs w:val="21"/>
          <w:highlight w:val="none"/>
        </w:rPr>
        <w:t>4. 货物因人为因素出现的故障不在免费保修范围内。超过保修期的机器设备，终生维修，维修时只收部件成本费。</w:t>
      </w:r>
    </w:p>
    <w:p>
      <w:pPr>
        <w:snapToGrid w:val="0"/>
        <w:spacing w:line="400" w:lineRule="exact"/>
        <w:ind w:left="-61" w:firstLine="514"/>
        <w:rPr>
          <w:rFonts w:ascii="宋体" w:hAnsi="宋体"/>
          <w:color w:val="auto"/>
          <w:szCs w:val="21"/>
          <w:highlight w:val="none"/>
        </w:rPr>
      </w:pPr>
      <w:r>
        <w:rPr>
          <w:rFonts w:hint="eastAsia" w:ascii="宋体" w:hAnsi="宋体"/>
          <w:b/>
          <w:color w:val="auto"/>
          <w:szCs w:val="21"/>
          <w:highlight w:val="none"/>
        </w:rPr>
        <w:t>第十二条  调试和验收</w:t>
      </w:r>
    </w:p>
    <w:p>
      <w:pPr>
        <w:pStyle w:val="15"/>
        <w:snapToGrid w:val="0"/>
        <w:spacing w:line="400" w:lineRule="exact"/>
        <w:ind w:firstLine="420" w:firstLineChars="200"/>
        <w:jc w:val="left"/>
        <w:rPr>
          <w:rFonts w:hAnsi="宋体"/>
          <w:color w:val="auto"/>
          <w:sz w:val="21"/>
          <w:highlight w:val="none"/>
        </w:rPr>
      </w:pPr>
      <w:r>
        <w:rPr>
          <w:rFonts w:hAnsi="宋体"/>
          <w:color w:val="auto"/>
          <w:sz w:val="21"/>
          <w:highlight w:val="none"/>
        </w:rPr>
        <w:t>1. 甲方对乙方提交的货物依据采购文件上的技术规格要求和国家有关质量标准进行现场初步验收，外观、说明书符合采购文件技术要求的，给予签收，初步验收不合格的不予签收。货到后，甲方应当在到货（安装、调试完）后七个工作日内进行货物验收。</w:t>
      </w:r>
    </w:p>
    <w:p>
      <w:pPr>
        <w:pStyle w:val="15"/>
        <w:snapToGrid w:val="0"/>
        <w:spacing w:line="400" w:lineRule="exact"/>
        <w:ind w:firstLine="420" w:firstLineChars="200"/>
        <w:rPr>
          <w:rFonts w:hAnsi="宋体"/>
          <w:color w:val="auto"/>
          <w:sz w:val="21"/>
          <w:highlight w:val="none"/>
        </w:rPr>
      </w:pPr>
      <w:r>
        <w:rPr>
          <w:rFonts w:hAnsi="宋体"/>
          <w:color w:val="auto"/>
          <w:sz w:val="21"/>
          <w:highlight w:val="none"/>
        </w:rPr>
        <w:t>2. 乙方交货前应对产品作出全面检查和对验收文件进行整理，并列出清单，作为甲方收货验收和使用的技术条件依据，检验的结果应随货物交甲方。</w:t>
      </w:r>
    </w:p>
    <w:p>
      <w:pPr>
        <w:pStyle w:val="15"/>
        <w:snapToGrid w:val="0"/>
        <w:spacing w:line="400" w:lineRule="exact"/>
        <w:ind w:firstLine="420" w:firstLineChars="200"/>
        <w:rPr>
          <w:rFonts w:hAnsi="宋体"/>
          <w:color w:val="auto"/>
          <w:sz w:val="21"/>
          <w:highlight w:val="none"/>
        </w:rPr>
      </w:pPr>
      <w:r>
        <w:rPr>
          <w:rFonts w:hAnsi="宋体"/>
          <w:color w:val="auto"/>
          <w:sz w:val="21"/>
          <w:highlight w:val="none"/>
        </w:rPr>
        <w:t>3. 甲方对乙方提供的货物在使用前进行调试时，乙方需负责安装并培训甲方的使用操作人员，并协助甲方一起调试，直到符合技术要求，甲方才做最终验收。</w:t>
      </w:r>
    </w:p>
    <w:p>
      <w:pPr>
        <w:pStyle w:val="15"/>
        <w:snapToGrid w:val="0"/>
        <w:spacing w:line="400" w:lineRule="exact"/>
        <w:ind w:firstLine="420" w:firstLineChars="200"/>
        <w:rPr>
          <w:rFonts w:hAnsi="宋体"/>
          <w:color w:val="auto"/>
          <w:sz w:val="21"/>
          <w:highlight w:val="none"/>
        </w:rPr>
      </w:pPr>
      <w:r>
        <w:rPr>
          <w:rFonts w:hAnsi="宋体"/>
          <w:color w:val="auto"/>
          <w:sz w:val="21"/>
          <w:highlight w:val="none"/>
        </w:rPr>
        <w:t>4. 对技术复杂的货物，甲方应请国家认可的专业检测机构参与初步验收及最终验收，并由其出具质量检测报告。</w:t>
      </w:r>
    </w:p>
    <w:p>
      <w:pPr>
        <w:snapToGrid w:val="0"/>
        <w:spacing w:line="400" w:lineRule="exact"/>
        <w:ind w:left="-61" w:firstLine="514"/>
        <w:rPr>
          <w:rFonts w:ascii="宋体" w:hAnsi="宋体"/>
          <w:color w:val="auto"/>
          <w:szCs w:val="21"/>
          <w:highlight w:val="none"/>
        </w:rPr>
      </w:pPr>
      <w:r>
        <w:rPr>
          <w:rFonts w:hint="eastAsia" w:ascii="宋体" w:hAnsi="宋体"/>
          <w:color w:val="auto"/>
          <w:szCs w:val="21"/>
          <w:highlight w:val="none"/>
        </w:rPr>
        <w:t>5. 验收时乙方必须在现场，验收完毕后作出验收结果报告；验收费用由乙方负责。</w:t>
      </w:r>
    </w:p>
    <w:p>
      <w:pPr>
        <w:pStyle w:val="15"/>
        <w:snapToGrid w:val="0"/>
        <w:spacing w:line="400" w:lineRule="exact"/>
        <w:ind w:firstLine="413" w:firstLineChars="196"/>
        <w:rPr>
          <w:rFonts w:hAnsi="宋体"/>
          <w:b/>
          <w:color w:val="auto"/>
          <w:sz w:val="21"/>
          <w:highlight w:val="none"/>
        </w:rPr>
      </w:pPr>
      <w:r>
        <w:rPr>
          <w:rFonts w:hAnsi="宋体"/>
          <w:b/>
          <w:color w:val="auto"/>
          <w:sz w:val="21"/>
          <w:highlight w:val="none"/>
        </w:rPr>
        <w:t>第十三条  货物包装、发运及运输</w:t>
      </w:r>
    </w:p>
    <w:p>
      <w:pPr>
        <w:pStyle w:val="15"/>
        <w:snapToGrid w:val="0"/>
        <w:spacing w:line="400" w:lineRule="exact"/>
        <w:ind w:firstLine="420" w:firstLineChars="200"/>
        <w:rPr>
          <w:rFonts w:hAnsi="宋体"/>
          <w:color w:val="auto"/>
          <w:sz w:val="21"/>
          <w:highlight w:val="none"/>
        </w:rPr>
      </w:pPr>
      <w:r>
        <w:rPr>
          <w:rFonts w:hAnsi="宋体"/>
          <w:color w:val="auto"/>
          <w:sz w:val="21"/>
          <w:highlight w:val="none"/>
        </w:rPr>
        <w:t>1. 乙方应在货物发运前对其进行满足运输距离、防潮、防震、防锈和防破损装卸等要求包装，以保证货物安全运达甲方指定地点。</w:t>
      </w:r>
    </w:p>
    <w:p>
      <w:pPr>
        <w:pStyle w:val="15"/>
        <w:snapToGrid w:val="0"/>
        <w:spacing w:line="400" w:lineRule="exact"/>
        <w:ind w:firstLine="420" w:firstLineChars="200"/>
        <w:rPr>
          <w:rFonts w:hAnsi="宋体"/>
          <w:color w:val="auto"/>
          <w:sz w:val="21"/>
          <w:highlight w:val="none"/>
        </w:rPr>
      </w:pPr>
      <w:r>
        <w:rPr>
          <w:rFonts w:hAnsi="宋体"/>
          <w:color w:val="auto"/>
          <w:sz w:val="21"/>
          <w:highlight w:val="none"/>
        </w:rPr>
        <w:t>2. 使用说明书（货物属于进口产品的，供货时应同时附上中文使用说明书）、质量检验证明书、随配附件和工具以及清单一并附于货物内。</w:t>
      </w:r>
    </w:p>
    <w:p>
      <w:pPr>
        <w:pStyle w:val="15"/>
        <w:snapToGrid w:val="0"/>
        <w:spacing w:line="400" w:lineRule="exact"/>
        <w:ind w:firstLine="420" w:firstLineChars="200"/>
        <w:rPr>
          <w:rFonts w:hAnsi="宋体"/>
          <w:color w:val="auto"/>
          <w:sz w:val="21"/>
          <w:highlight w:val="none"/>
        </w:rPr>
      </w:pPr>
      <w:r>
        <w:rPr>
          <w:rFonts w:hAnsi="宋体"/>
          <w:color w:val="auto"/>
          <w:sz w:val="21"/>
          <w:highlight w:val="none"/>
        </w:rPr>
        <w:t>3. 乙方在货物发运手续办理完毕后二十四小时内或货到甲方四十八小时前通知甲方，以准备接货。</w:t>
      </w:r>
    </w:p>
    <w:p>
      <w:pPr>
        <w:pStyle w:val="15"/>
        <w:snapToGrid w:val="0"/>
        <w:spacing w:line="400" w:lineRule="exact"/>
        <w:ind w:left="420" w:leftChars="200"/>
        <w:rPr>
          <w:rFonts w:hAnsi="宋体"/>
          <w:color w:val="auto"/>
          <w:sz w:val="21"/>
          <w:highlight w:val="none"/>
        </w:rPr>
      </w:pPr>
      <w:r>
        <w:rPr>
          <w:rFonts w:hAnsi="宋体"/>
          <w:color w:val="auto"/>
          <w:sz w:val="21"/>
          <w:highlight w:val="none"/>
        </w:rPr>
        <w:t>4. 货物在交付甲方前发生的风险均由乙方负责。</w:t>
      </w:r>
    </w:p>
    <w:p>
      <w:pPr>
        <w:snapToGrid w:val="0"/>
        <w:spacing w:line="400" w:lineRule="exact"/>
        <w:ind w:left="-61" w:firstLine="514"/>
        <w:rPr>
          <w:rFonts w:ascii="宋体" w:hAnsi="宋体"/>
          <w:color w:val="auto"/>
          <w:szCs w:val="21"/>
          <w:highlight w:val="none"/>
        </w:rPr>
      </w:pPr>
      <w:r>
        <w:rPr>
          <w:rFonts w:hint="eastAsia" w:ascii="宋体" w:hAnsi="宋体"/>
          <w:color w:val="auto"/>
          <w:szCs w:val="21"/>
          <w:highlight w:val="none"/>
        </w:rPr>
        <w:t>5. 货物在规定的交付期限内由乙方送达甲方指定的地点视为交付，乙方同时需通知甲方货物已送达。</w:t>
      </w:r>
    </w:p>
    <w:p>
      <w:pPr>
        <w:snapToGrid w:val="0"/>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rPr>
        <w:t>第十四条　违约责任</w:t>
      </w:r>
    </w:p>
    <w:p>
      <w:pPr>
        <w:snapToGrid w:val="0"/>
        <w:spacing w:line="400" w:lineRule="exact"/>
        <w:ind w:firstLine="525" w:firstLineChars="250"/>
        <w:rPr>
          <w:rFonts w:ascii="宋体" w:hAnsi="宋体"/>
          <w:color w:val="auto"/>
          <w:szCs w:val="21"/>
          <w:highlight w:val="none"/>
        </w:rPr>
      </w:pPr>
      <w:r>
        <w:rPr>
          <w:rFonts w:hint="eastAsia" w:ascii="宋体" w:hAnsi="宋体"/>
          <w:color w:val="auto"/>
          <w:szCs w:val="21"/>
          <w:highlight w:val="none"/>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pPr>
        <w:snapToGrid w:val="0"/>
        <w:spacing w:line="400" w:lineRule="exact"/>
        <w:ind w:firstLine="472" w:firstLineChars="225"/>
        <w:rPr>
          <w:rFonts w:ascii="宋体" w:hAnsi="宋体"/>
          <w:color w:val="auto"/>
          <w:szCs w:val="21"/>
          <w:highlight w:val="none"/>
        </w:rPr>
      </w:pPr>
      <w:r>
        <w:rPr>
          <w:rFonts w:hint="eastAsia" w:ascii="宋体" w:hAnsi="宋体"/>
          <w:color w:val="auto"/>
          <w:szCs w:val="21"/>
          <w:highlight w:val="none"/>
        </w:rPr>
        <w:t>2、乙方提供的货物如侵犯了第三方合法权益而引发的任何纠纷或诉讼，均由乙方负责交涉并承担全部责任。</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3、因包装、运输引起的货物损坏，按质量不合格处罚。</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lang w:val="en-US" w:eastAsia="zh-CN"/>
        </w:rPr>
        <w:t>4</w:t>
      </w:r>
      <w:r>
        <w:rPr>
          <w:rFonts w:hint="eastAsia" w:ascii="宋体" w:hAnsi="宋体"/>
          <w:color w:val="auto"/>
          <w:szCs w:val="21"/>
          <w:highlight w:val="none"/>
        </w:rPr>
        <w:t>、乙方未按本合同和投标文件中规定的服务承诺提供售后服务的，乙方应按本合同合计金额</w:t>
      </w:r>
      <w:r>
        <w:rPr>
          <w:rFonts w:hint="eastAsia" w:ascii="宋体" w:hAnsi="宋体"/>
          <w:color w:val="auto"/>
          <w:szCs w:val="21"/>
          <w:highlight w:val="none"/>
          <w:u w:val="single"/>
        </w:rPr>
        <w:t xml:space="preserve"> 5%</w:t>
      </w:r>
      <w:r>
        <w:rPr>
          <w:rFonts w:hint="eastAsia" w:ascii="宋体" w:hAnsi="宋体"/>
          <w:color w:val="auto"/>
          <w:szCs w:val="21"/>
          <w:highlight w:val="none"/>
        </w:rPr>
        <w:t>向甲方支付违约金。</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lang w:val="en-US" w:eastAsia="zh-CN"/>
        </w:rPr>
        <w:t>5</w:t>
      </w:r>
      <w:r>
        <w:rPr>
          <w:rFonts w:hint="eastAsia" w:ascii="宋体" w:hAnsi="宋体"/>
          <w:color w:val="auto"/>
          <w:szCs w:val="21"/>
          <w:highlight w:val="none"/>
        </w:rPr>
        <w:t>、乙方提供的货物在质保期内，因设计、工艺或材料的缺陷和其它质量原因造成的问题，</w:t>
      </w:r>
      <w:r>
        <w:rPr>
          <w:rFonts w:hint="eastAsia" w:ascii="宋体" w:hAnsi="宋体"/>
          <w:color w:val="auto"/>
          <w:szCs w:val="21"/>
          <w:highlight w:val="none"/>
          <w:lang w:val="en-US" w:eastAsia="zh-CN"/>
        </w:rPr>
        <w:t>由乙方负责并承担一切费用</w:t>
      </w:r>
      <w:r>
        <w:rPr>
          <w:rFonts w:hint="eastAsia" w:ascii="宋体" w:hAnsi="宋体"/>
          <w:color w:val="auto"/>
          <w:szCs w:val="21"/>
          <w:highlight w:val="none"/>
        </w:rPr>
        <w:t>。</w:t>
      </w:r>
    </w:p>
    <w:p>
      <w:pPr>
        <w:snapToGrid w:val="0"/>
        <w:spacing w:line="400" w:lineRule="exact"/>
        <w:ind w:left="-61" w:firstLine="514"/>
        <w:rPr>
          <w:rFonts w:ascii="宋体" w:hAnsi="宋体"/>
          <w:color w:val="auto"/>
          <w:szCs w:val="21"/>
          <w:highlight w:val="none"/>
        </w:rPr>
      </w:pPr>
      <w:r>
        <w:rPr>
          <w:rFonts w:hint="eastAsia" w:ascii="宋体" w:hAnsi="宋体"/>
          <w:color w:val="auto"/>
          <w:szCs w:val="21"/>
          <w:highlight w:val="none"/>
          <w:lang w:val="en-US" w:eastAsia="zh-CN"/>
        </w:rPr>
        <w:t>6</w:t>
      </w:r>
      <w:r>
        <w:rPr>
          <w:rFonts w:hint="eastAsia" w:ascii="宋体" w:hAnsi="宋体"/>
          <w:color w:val="auto"/>
          <w:szCs w:val="21"/>
          <w:highlight w:val="none"/>
        </w:rPr>
        <w:t>、其它违约行为按违约货款额5%收取违约金并赔偿经济损失。</w:t>
      </w:r>
    </w:p>
    <w:p>
      <w:pPr>
        <w:pStyle w:val="15"/>
        <w:snapToGrid w:val="0"/>
        <w:spacing w:line="400" w:lineRule="exact"/>
        <w:ind w:firstLine="413" w:firstLineChars="196"/>
        <w:rPr>
          <w:rFonts w:hAnsi="宋体"/>
          <w:b/>
          <w:color w:val="FF0000"/>
          <w:sz w:val="21"/>
          <w:highlight w:val="none"/>
        </w:rPr>
      </w:pPr>
      <w:r>
        <w:rPr>
          <w:rFonts w:hAnsi="宋体"/>
          <w:b/>
          <w:color w:val="auto"/>
          <w:sz w:val="21"/>
          <w:highlight w:val="none"/>
        </w:rPr>
        <w:t>第十五条  不可抗力事件处理</w:t>
      </w:r>
    </w:p>
    <w:p>
      <w:pPr>
        <w:pStyle w:val="15"/>
        <w:snapToGrid w:val="0"/>
        <w:spacing w:line="400" w:lineRule="exact"/>
        <w:ind w:firstLine="420" w:firstLineChars="200"/>
        <w:rPr>
          <w:rFonts w:hAnsi="宋体"/>
          <w:color w:val="auto"/>
          <w:sz w:val="21"/>
          <w:highlight w:val="none"/>
        </w:rPr>
      </w:pPr>
      <w:r>
        <w:rPr>
          <w:rFonts w:hAnsi="宋体"/>
          <w:color w:val="auto"/>
          <w:sz w:val="21"/>
          <w:highlight w:val="none"/>
        </w:rPr>
        <w:t>1. 在合同有效期内，任何一方因不可抗力事件导致不能履行合同，则合同履行期可延长，其延长期与不可抗力影响期相同。</w:t>
      </w:r>
    </w:p>
    <w:p>
      <w:pPr>
        <w:pStyle w:val="15"/>
        <w:snapToGrid w:val="0"/>
        <w:spacing w:line="400" w:lineRule="exact"/>
        <w:ind w:firstLine="420" w:firstLineChars="200"/>
        <w:rPr>
          <w:rFonts w:hAnsi="宋体"/>
          <w:color w:val="auto"/>
          <w:sz w:val="21"/>
          <w:highlight w:val="none"/>
        </w:rPr>
      </w:pPr>
      <w:r>
        <w:rPr>
          <w:rFonts w:hAnsi="宋体"/>
          <w:color w:val="auto"/>
          <w:sz w:val="21"/>
          <w:highlight w:val="none"/>
        </w:rPr>
        <w:t>2. 不可抗力事件发生后，应立即通知对方，并寄送有关权威机构出具的证明。</w:t>
      </w:r>
    </w:p>
    <w:p>
      <w:pPr>
        <w:snapToGrid w:val="0"/>
        <w:spacing w:line="400" w:lineRule="exact"/>
        <w:ind w:left="-61" w:firstLine="514"/>
        <w:rPr>
          <w:rFonts w:ascii="宋体" w:hAnsi="宋体"/>
          <w:color w:val="auto"/>
          <w:szCs w:val="21"/>
          <w:highlight w:val="none"/>
        </w:rPr>
      </w:pPr>
      <w:r>
        <w:rPr>
          <w:rFonts w:hint="eastAsia" w:ascii="宋体" w:hAnsi="宋体"/>
          <w:color w:val="auto"/>
          <w:szCs w:val="21"/>
          <w:highlight w:val="none"/>
        </w:rPr>
        <w:t>3. 不可抗力事件延续一百二十天以上，双方应通过友好协商，确定是否继续履行合同。</w:t>
      </w:r>
    </w:p>
    <w:p>
      <w:pPr>
        <w:snapToGrid w:val="0"/>
        <w:spacing w:line="400" w:lineRule="exact"/>
        <w:ind w:firstLine="422" w:firstLineChars="200"/>
        <w:rPr>
          <w:rFonts w:ascii="宋体" w:hAnsi="宋体"/>
          <w:color w:val="auto"/>
          <w:szCs w:val="21"/>
          <w:highlight w:val="none"/>
        </w:rPr>
      </w:pPr>
      <w:r>
        <w:rPr>
          <w:rFonts w:hint="eastAsia" w:ascii="宋体" w:hAnsi="宋体"/>
          <w:b/>
          <w:color w:val="auto"/>
          <w:szCs w:val="21"/>
          <w:highlight w:val="none"/>
        </w:rPr>
        <w:t>第十六条  合同争议解决</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1、因货物质量问题发生争议的，应邀请国家认可的质量检测机构对货物质量进行鉴定。货物符合标准的，鉴定费由甲方承担；货物不符合标准的，鉴定费由乙方承担。</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2、因履行本合同引起的或与本合同有关的争议，甲乙双方应首先通过友好协商解决，如果协商不能解决，可向甲方所在地人民法院提起诉讼。</w:t>
      </w:r>
    </w:p>
    <w:p>
      <w:pPr>
        <w:snapToGrid w:val="0"/>
        <w:spacing w:line="400" w:lineRule="exact"/>
        <w:ind w:left="-61" w:firstLine="514"/>
        <w:rPr>
          <w:rFonts w:ascii="宋体" w:hAnsi="宋体"/>
          <w:color w:val="auto"/>
          <w:szCs w:val="21"/>
          <w:highlight w:val="none"/>
        </w:rPr>
      </w:pPr>
      <w:r>
        <w:rPr>
          <w:rFonts w:hint="eastAsia" w:ascii="宋体" w:hAnsi="宋体"/>
          <w:color w:val="auto"/>
          <w:szCs w:val="21"/>
          <w:highlight w:val="none"/>
        </w:rPr>
        <w:t>3、诉讼期间，本合同继续履行。</w:t>
      </w:r>
    </w:p>
    <w:p>
      <w:pPr>
        <w:pStyle w:val="15"/>
        <w:snapToGrid w:val="0"/>
        <w:spacing w:line="400" w:lineRule="exact"/>
        <w:ind w:firstLine="413" w:firstLineChars="196"/>
        <w:rPr>
          <w:rFonts w:hAnsi="宋体"/>
          <w:b/>
          <w:color w:val="auto"/>
          <w:sz w:val="21"/>
          <w:highlight w:val="none"/>
        </w:rPr>
      </w:pPr>
      <w:r>
        <w:rPr>
          <w:rFonts w:hAnsi="宋体"/>
          <w:b/>
          <w:color w:val="auto"/>
          <w:sz w:val="21"/>
          <w:highlight w:val="none"/>
        </w:rPr>
        <w:t>第十七条  合同生效及其它</w:t>
      </w:r>
    </w:p>
    <w:p>
      <w:pPr>
        <w:pStyle w:val="15"/>
        <w:snapToGrid w:val="0"/>
        <w:spacing w:line="400" w:lineRule="exact"/>
        <w:ind w:firstLine="420" w:firstLineChars="200"/>
        <w:rPr>
          <w:rFonts w:hAnsi="宋体"/>
          <w:color w:val="auto"/>
          <w:sz w:val="21"/>
          <w:highlight w:val="none"/>
        </w:rPr>
      </w:pPr>
      <w:r>
        <w:rPr>
          <w:rFonts w:hAnsi="宋体"/>
          <w:color w:val="auto"/>
          <w:sz w:val="21"/>
          <w:highlight w:val="none"/>
        </w:rPr>
        <w:t>1.合同经双方法定代表人或被授权代表签字并加盖单位公章后生效。</w:t>
      </w:r>
    </w:p>
    <w:p>
      <w:pPr>
        <w:pStyle w:val="15"/>
        <w:snapToGrid w:val="0"/>
        <w:spacing w:line="400" w:lineRule="exact"/>
        <w:ind w:firstLine="420" w:firstLineChars="200"/>
        <w:rPr>
          <w:rFonts w:hAnsi="宋体"/>
          <w:color w:val="auto"/>
          <w:sz w:val="21"/>
          <w:highlight w:val="none"/>
        </w:rPr>
      </w:pPr>
      <w:r>
        <w:rPr>
          <w:rFonts w:hAnsi="宋体"/>
          <w:color w:val="auto"/>
          <w:sz w:val="21"/>
          <w:highlight w:val="none"/>
        </w:rPr>
        <w:t>2.合同执行中涉及采购资金和采购内容修改或补充的，在法规范围内，须签书面补充协议方可作为主合同不可分割的一部分。</w:t>
      </w:r>
    </w:p>
    <w:p>
      <w:pPr>
        <w:pStyle w:val="15"/>
        <w:snapToGrid w:val="0"/>
        <w:spacing w:line="400" w:lineRule="exact"/>
        <w:ind w:left="420" w:leftChars="200"/>
        <w:rPr>
          <w:rFonts w:hAnsi="宋体"/>
          <w:color w:val="auto"/>
          <w:sz w:val="21"/>
          <w:highlight w:val="none"/>
        </w:rPr>
      </w:pPr>
      <w:r>
        <w:rPr>
          <w:rFonts w:hAnsi="宋体"/>
          <w:color w:val="auto"/>
          <w:sz w:val="21"/>
          <w:highlight w:val="none"/>
        </w:rPr>
        <w:t>3.本合同未尽事宜，遵照《</w:t>
      </w:r>
      <w:r>
        <w:rPr>
          <w:rFonts w:hint="eastAsia" w:hAnsi="宋体"/>
          <w:color w:val="auto"/>
          <w:sz w:val="21"/>
          <w:highlight w:val="none"/>
        </w:rPr>
        <w:t>中华人民共和国民法典</w:t>
      </w:r>
      <w:r>
        <w:rPr>
          <w:rFonts w:hAnsi="宋体"/>
          <w:color w:val="auto"/>
          <w:sz w:val="21"/>
          <w:highlight w:val="none"/>
        </w:rPr>
        <w:t>》有关条文执行。</w:t>
      </w:r>
    </w:p>
    <w:p>
      <w:pPr>
        <w:snapToGrid w:val="0"/>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rPr>
        <w:t>第十八条　合同的变更、终止与转让</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1、除《中华人民共和国政府采购法》第五十条规定的情形外，本合同一经签订，甲乙双方不得擅自变更、中止或终止。</w:t>
      </w:r>
    </w:p>
    <w:p>
      <w:pPr>
        <w:snapToGrid w:val="0"/>
        <w:spacing w:line="400" w:lineRule="exact"/>
        <w:ind w:left="-61" w:firstLine="514"/>
        <w:rPr>
          <w:color w:val="auto"/>
          <w:szCs w:val="21"/>
          <w:highlight w:val="none"/>
        </w:rPr>
      </w:pPr>
      <w:r>
        <w:rPr>
          <w:rFonts w:hint="eastAsia"/>
          <w:color w:val="auto"/>
          <w:szCs w:val="21"/>
          <w:highlight w:val="none"/>
        </w:rPr>
        <w:t>2、乙方不得擅自转让（无进口资格的供应商委托进口货物除外）其应履行的合同义务。</w:t>
      </w:r>
    </w:p>
    <w:p>
      <w:pPr>
        <w:snapToGrid w:val="0"/>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rPr>
        <w:t>第十九条　签订本合同依据</w:t>
      </w:r>
    </w:p>
    <w:p>
      <w:pPr>
        <w:pStyle w:val="15"/>
        <w:snapToGrid w:val="0"/>
        <w:spacing w:line="400" w:lineRule="exact"/>
        <w:ind w:left="420" w:leftChars="200"/>
        <w:rPr>
          <w:rFonts w:hAnsi="宋体"/>
          <w:color w:val="auto"/>
          <w:sz w:val="21"/>
          <w:highlight w:val="none"/>
        </w:rPr>
      </w:pPr>
      <w:r>
        <w:rPr>
          <w:rFonts w:hAnsi="宋体"/>
          <w:color w:val="auto"/>
          <w:sz w:val="21"/>
          <w:highlight w:val="none"/>
        </w:rPr>
        <w:t>1、政府采购项目采购文件；</w:t>
      </w:r>
    </w:p>
    <w:p>
      <w:pPr>
        <w:pStyle w:val="15"/>
        <w:snapToGrid w:val="0"/>
        <w:spacing w:line="400" w:lineRule="exact"/>
        <w:ind w:left="420" w:leftChars="200"/>
        <w:rPr>
          <w:rFonts w:hAnsi="宋体"/>
          <w:color w:val="auto"/>
          <w:sz w:val="21"/>
          <w:highlight w:val="none"/>
        </w:rPr>
      </w:pPr>
      <w:r>
        <w:rPr>
          <w:rFonts w:hAnsi="宋体"/>
          <w:color w:val="auto"/>
          <w:sz w:val="21"/>
          <w:highlight w:val="none"/>
        </w:rPr>
        <w:t>2、乙方提供的采购投标（或应答）文件；</w:t>
      </w:r>
    </w:p>
    <w:p>
      <w:pPr>
        <w:pStyle w:val="15"/>
        <w:snapToGrid w:val="0"/>
        <w:spacing w:line="400" w:lineRule="exact"/>
        <w:ind w:left="420" w:leftChars="200"/>
        <w:rPr>
          <w:rFonts w:hAnsi="宋体"/>
          <w:color w:val="auto"/>
          <w:sz w:val="21"/>
          <w:highlight w:val="none"/>
        </w:rPr>
      </w:pPr>
      <w:r>
        <w:rPr>
          <w:rFonts w:hAnsi="宋体"/>
          <w:color w:val="auto"/>
          <w:sz w:val="21"/>
          <w:highlight w:val="none"/>
        </w:rPr>
        <w:t>3、投标承诺书；</w:t>
      </w:r>
    </w:p>
    <w:p>
      <w:pPr>
        <w:pStyle w:val="15"/>
        <w:snapToGrid w:val="0"/>
        <w:spacing w:line="400" w:lineRule="exact"/>
        <w:ind w:left="420" w:leftChars="200"/>
        <w:rPr>
          <w:rFonts w:hAnsi="宋体"/>
          <w:b/>
          <w:color w:val="auto"/>
          <w:sz w:val="21"/>
          <w:highlight w:val="none"/>
        </w:rPr>
      </w:pPr>
      <w:r>
        <w:rPr>
          <w:rFonts w:hAnsi="宋体"/>
          <w:color w:val="auto"/>
          <w:sz w:val="21"/>
          <w:highlight w:val="none"/>
        </w:rPr>
        <w:t>4、成交通知书。</w:t>
      </w:r>
    </w:p>
    <w:p>
      <w:pPr>
        <w:snapToGrid w:val="0"/>
        <w:spacing w:line="400" w:lineRule="exact"/>
        <w:ind w:firstLine="422" w:firstLineChars="200"/>
        <w:rPr>
          <w:rFonts w:ascii="宋体" w:hAnsi="宋体"/>
          <w:color w:val="auto"/>
          <w:szCs w:val="21"/>
          <w:highlight w:val="none"/>
        </w:rPr>
      </w:pPr>
      <w:r>
        <w:rPr>
          <w:rFonts w:hint="eastAsia" w:ascii="宋体" w:hAnsi="宋体"/>
          <w:b/>
          <w:color w:val="auto"/>
          <w:szCs w:val="21"/>
          <w:highlight w:val="none"/>
        </w:rPr>
        <w:t>第二十条　</w:t>
      </w:r>
      <w:r>
        <w:rPr>
          <w:rFonts w:hint="eastAsia" w:ascii="宋体" w:hAnsi="宋体"/>
          <w:color w:val="auto"/>
          <w:szCs w:val="21"/>
          <w:highlight w:val="none"/>
        </w:rPr>
        <w:t>本合同一式五份，具有同等法律效力，甲方三份，乙方一份，采购代理机构一份。本合同甲乙双方签字盖章后生效。</w:t>
      </w:r>
    </w:p>
    <w:tbl>
      <w:tblPr>
        <w:tblStyle w:val="24"/>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8" w:hRule="atLeast"/>
          <w:jc w:val="center"/>
        </w:trPr>
        <w:tc>
          <w:tcPr>
            <w:tcW w:w="4264"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olor w:val="auto"/>
                <w:szCs w:val="21"/>
                <w:highlight w:val="none"/>
              </w:rPr>
            </w:pPr>
            <w:r>
              <w:rPr>
                <w:rFonts w:hint="eastAsia" w:ascii="宋体" w:hAnsi="宋体"/>
                <w:color w:val="auto"/>
                <w:szCs w:val="21"/>
                <w:highlight w:val="none"/>
              </w:rPr>
              <w:t xml:space="preserve">甲方（章）           </w:t>
            </w:r>
          </w:p>
          <w:p>
            <w:pPr>
              <w:keepNext w:val="0"/>
              <w:keepLines w:val="0"/>
              <w:suppressLineNumbers w:val="0"/>
              <w:snapToGrid w:val="0"/>
              <w:spacing w:before="0" w:beforeAutospacing="0" w:after="0" w:afterAutospacing="0" w:line="400" w:lineRule="exact"/>
              <w:ind w:left="0" w:right="0"/>
              <w:rPr>
                <w:rFonts w:hint="default" w:ascii="宋体" w:hAnsi="宋体"/>
                <w:color w:val="auto"/>
                <w:szCs w:val="21"/>
                <w:highlight w:val="none"/>
              </w:rPr>
            </w:pPr>
          </w:p>
          <w:p>
            <w:pPr>
              <w:keepNext w:val="0"/>
              <w:keepLines w:val="0"/>
              <w:suppressLineNumbers w:val="0"/>
              <w:snapToGrid w:val="0"/>
              <w:spacing w:before="0" w:beforeAutospacing="0" w:after="0" w:afterAutospacing="0" w:line="400" w:lineRule="exact"/>
              <w:ind w:left="0" w:right="0" w:firstLine="945" w:firstLineChars="450"/>
              <w:jc w:val="right"/>
              <w:rPr>
                <w:rFonts w:hint="default" w:ascii="宋体" w:hAnsi="宋体"/>
                <w:color w:val="auto"/>
                <w:szCs w:val="21"/>
                <w:highlight w:val="none"/>
              </w:rPr>
            </w:pPr>
            <w:r>
              <w:rPr>
                <w:rFonts w:hint="eastAsia" w:ascii="宋体" w:hAnsi="宋体"/>
                <w:color w:val="auto"/>
                <w:szCs w:val="21"/>
                <w:highlight w:val="none"/>
              </w:rPr>
              <w:t>年   月   日</w:t>
            </w:r>
          </w:p>
        </w:tc>
        <w:tc>
          <w:tcPr>
            <w:tcW w:w="4264"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olor w:val="auto"/>
                <w:szCs w:val="21"/>
                <w:highlight w:val="none"/>
              </w:rPr>
            </w:pPr>
            <w:r>
              <w:rPr>
                <w:rFonts w:hint="eastAsia" w:ascii="宋体" w:hAnsi="宋体"/>
                <w:color w:val="auto"/>
                <w:szCs w:val="21"/>
                <w:highlight w:val="none"/>
              </w:rPr>
              <w:t xml:space="preserve">乙方（章）              </w:t>
            </w:r>
          </w:p>
          <w:p>
            <w:pPr>
              <w:keepNext w:val="0"/>
              <w:keepLines w:val="0"/>
              <w:suppressLineNumbers w:val="0"/>
              <w:snapToGrid w:val="0"/>
              <w:spacing w:before="0" w:beforeAutospacing="0" w:after="0" w:afterAutospacing="0" w:line="400" w:lineRule="exact"/>
              <w:ind w:left="0" w:right="0"/>
              <w:rPr>
                <w:rFonts w:hint="default" w:ascii="宋体" w:hAnsi="宋体"/>
                <w:color w:val="auto"/>
                <w:szCs w:val="21"/>
                <w:highlight w:val="none"/>
              </w:rPr>
            </w:pPr>
          </w:p>
          <w:p>
            <w:pPr>
              <w:keepNext w:val="0"/>
              <w:keepLines w:val="0"/>
              <w:suppressLineNumbers w:val="0"/>
              <w:snapToGrid w:val="0"/>
              <w:spacing w:before="0" w:beforeAutospacing="0" w:after="0" w:afterAutospacing="0" w:line="400" w:lineRule="exact"/>
              <w:ind w:left="0" w:right="0"/>
              <w:jc w:val="right"/>
              <w:rPr>
                <w:rFonts w:hint="default" w:ascii="宋体" w:hAnsi="宋体"/>
                <w:color w:val="auto"/>
                <w:szCs w:val="21"/>
                <w:highlight w:val="none"/>
              </w:rPr>
            </w:pPr>
            <w:r>
              <w:rPr>
                <w:rFonts w:hint="eastAsia" w:ascii="宋体" w:hAnsi="宋体"/>
                <w:color w:val="auto"/>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264"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olor w:val="auto"/>
                <w:szCs w:val="21"/>
                <w:highlight w:val="none"/>
              </w:rPr>
            </w:pPr>
            <w:r>
              <w:rPr>
                <w:rFonts w:hint="eastAsia" w:ascii="宋体" w:hAnsi="宋体"/>
                <w:color w:val="auto"/>
                <w:szCs w:val="21"/>
                <w:highlight w:val="none"/>
              </w:rPr>
              <w:t>单位地址：</w:t>
            </w:r>
          </w:p>
        </w:tc>
        <w:tc>
          <w:tcPr>
            <w:tcW w:w="4264"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olor w:val="auto"/>
                <w:szCs w:val="21"/>
                <w:highlight w:val="none"/>
              </w:rPr>
            </w:pPr>
            <w:r>
              <w:rPr>
                <w:rFonts w:hint="eastAsia" w:ascii="宋体" w:hAnsi="宋体"/>
                <w:color w:val="auto"/>
                <w:szCs w:val="21"/>
                <w:highlight w:val="none"/>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264"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olor w:val="auto"/>
                <w:szCs w:val="21"/>
                <w:highlight w:val="none"/>
              </w:rPr>
            </w:pPr>
            <w:r>
              <w:rPr>
                <w:rFonts w:hint="eastAsia" w:ascii="宋体" w:hAnsi="宋体"/>
                <w:color w:val="auto"/>
                <w:szCs w:val="21"/>
                <w:highlight w:val="none"/>
              </w:rPr>
              <w:t>法定代表人：</w:t>
            </w:r>
          </w:p>
        </w:tc>
        <w:tc>
          <w:tcPr>
            <w:tcW w:w="4264"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olor w:val="auto"/>
                <w:szCs w:val="21"/>
                <w:highlight w:val="none"/>
              </w:rPr>
            </w:pPr>
            <w:r>
              <w:rPr>
                <w:rFonts w:hint="eastAsia" w:ascii="宋体" w:hAnsi="宋体"/>
                <w:color w:val="auto"/>
                <w:szCs w:val="21"/>
                <w:highlight w:val="none"/>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264"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olor w:val="auto"/>
                <w:szCs w:val="21"/>
                <w:highlight w:val="none"/>
              </w:rPr>
            </w:pPr>
            <w:r>
              <w:rPr>
                <w:rFonts w:hint="eastAsia" w:ascii="宋体" w:hAnsi="宋体"/>
                <w:color w:val="auto"/>
                <w:szCs w:val="21"/>
                <w:highlight w:val="none"/>
              </w:rPr>
              <w:t>委托代理人：</w:t>
            </w:r>
          </w:p>
        </w:tc>
        <w:tc>
          <w:tcPr>
            <w:tcW w:w="4264"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olor w:val="auto"/>
                <w:szCs w:val="21"/>
                <w:highlight w:val="none"/>
              </w:rPr>
            </w:pPr>
            <w:r>
              <w:rPr>
                <w:rFonts w:hint="eastAsia" w:ascii="宋体" w:hAnsi="宋体"/>
                <w:color w:val="auto"/>
                <w:szCs w:val="21"/>
                <w:highlight w:val="none"/>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264"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olor w:val="auto"/>
                <w:szCs w:val="21"/>
                <w:highlight w:val="none"/>
              </w:rPr>
            </w:pPr>
            <w:r>
              <w:rPr>
                <w:rFonts w:hint="eastAsia" w:ascii="宋体" w:hAnsi="宋体"/>
                <w:color w:val="auto"/>
                <w:szCs w:val="21"/>
                <w:highlight w:val="none"/>
              </w:rPr>
              <w:t>电话：</w:t>
            </w:r>
          </w:p>
        </w:tc>
        <w:tc>
          <w:tcPr>
            <w:tcW w:w="4264"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olor w:val="auto"/>
                <w:szCs w:val="21"/>
                <w:highlight w:val="none"/>
              </w:rPr>
            </w:pPr>
            <w:r>
              <w:rPr>
                <w:rFonts w:hint="eastAsia" w:ascii="宋体" w:hAnsi="宋体"/>
                <w:color w:val="auto"/>
                <w:szCs w:val="21"/>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264"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olor w:val="auto"/>
                <w:szCs w:val="21"/>
                <w:highlight w:val="none"/>
              </w:rPr>
            </w:pPr>
            <w:r>
              <w:rPr>
                <w:rFonts w:hint="eastAsia" w:ascii="宋体" w:hAnsi="宋体"/>
                <w:color w:val="auto"/>
                <w:szCs w:val="21"/>
                <w:highlight w:val="none"/>
              </w:rPr>
              <w:t>电子邮箱：</w:t>
            </w:r>
          </w:p>
        </w:tc>
        <w:tc>
          <w:tcPr>
            <w:tcW w:w="4264"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olor w:val="auto"/>
                <w:szCs w:val="21"/>
                <w:highlight w:val="none"/>
              </w:rPr>
            </w:pPr>
            <w:r>
              <w:rPr>
                <w:rFonts w:hint="eastAsia" w:ascii="宋体" w:hAnsi="宋体"/>
                <w:color w:val="auto"/>
                <w:szCs w:val="21"/>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264"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olor w:val="auto"/>
                <w:szCs w:val="21"/>
                <w:highlight w:val="none"/>
              </w:rPr>
            </w:pPr>
            <w:r>
              <w:rPr>
                <w:rFonts w:hint="eastAsia" w:ascii="宋体" w:hAnsi="宋体"/>
                <w:color w:val="auto"/>
                <w:szCs w:val="21"/>
                <w:highlight w:val="none"/>
              </w:rPr>
              <w:t>开户银行：</w:t>
            </w:r>
          </w:p>
        </w:tc>
        <w:tc>
          <w:tcPr>
            <w:tcW w:w="4264"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olor w:val="auto"/>
                <w:szCs w:val="21"/>
                <w:highlight w:val="none"/>
              </w:rPr>
            </w:pPr>
            <w:r>
              <w:rPr>
                <w:rFonts w:hint="eastAsia" w:ascii="宋体" w:hAnsi="宋体"/>
                <w:color w:val="auto"/>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264"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olor w:val="auto"/>
                <w:szCs w:val="21"/>
                <w:highlight w:val="none"/>
              </w:rPr>
            </w:pPr>
            <w:r>
              <w:rPr>
                <w:rFonts w:hint="eastAsia" w:ascii="宋体" w:hAnsi="宋体"/>
                <w:color w:val="auto"/>
                <w:szCs w:val="21"/>
                <w:highlight w:val="none"/>
              </w:rPr>
              <w:t>账号：</w:t>
            </w:r>
          </w:p>
        </w:tc>
        <w:tc>
          <w:tcPr>
            <w:tcW w:w="4264"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olor w:val="auto"/>
                <w:szCs w:val="21"/>
                <w:highlight w:val="none"/>
              </w:rPr>
            </w:pPr>
            <w:r>
              <w:rPr>
                <w:rFonts w:hint="eastAsia" w:ascii="宋体" w:hAnsi="宋体"/>
                <w:color w:val="auto"/>
                <w:szCs w:val="21"/>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264" w:type="dxa"/>
            <w:vAlign w:val="center"/>
          </w:tcPr>
          <w:p>
            <w:pPr>
              <w:keepNext w:val="0"/>
              <w:keepLines w:val="0"/>
              <w:suppressLineNumbers w:val="0"/>
              <w:snapToGrid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纳税人识别号或统一社会信用代码：</w:t>
            </w:r>
          </w:p>
        </w:tc>
        <w:tc>
          <w:tcPr>
            <w:tcW w:w="4264" w:type="dxa"/>
            <w:vAlign w:val="center"/>
          </w:tcPr>
          <w:p>
            <w:pPr>
              <w:keepNext w:val="0"/>
              <w:keepLines w:val="0"/>
              <w:suppressLineNumbers w:val="0"/>
              <w:snapToGrid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纳税人识别号或统一社会信用代码：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264"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olor w:val="auto"/>
                <w:szCs w:val="21"/>
                <w:highlight w:val="none"/>
              </w:rPr>
            </w:pPr>
            <w:r>
              <w:rPr>
                <w:rFonts w:hint="eastAsia" w:ascii="宋体" w:hAnsi="宋体"/>
                <w:color w:val="auto"/>
                <w:szCs w:val="21"/>
                <w:highlight w:val="none"/>
              </w:rPr>
              <w:t>邮政编码：</w:t>
            </w:r>
          </w:p>
        </w:tc>
        <w:tc>
          <w:tcPr>
            <w:tcW w:w="4264"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olor w:val="auto"/>
                <w:szCs w:val="21"/>
                <w:highlight w:val="none"/>
              </w:rPr>
            </w:pPr>
            <w:r>
              <w:rPr>
                <w:rFonts w:hint="eastAsia" w:ascii="宋体" w:hAnsi="宋体"/>
                <w:color w:val="auto"/>
                <w:szCs w:val="21"/>
                <w:highlight w:val="none"/>
              </w:rPr>
              <w:t>邮政编码：</w:t>
            </w:r>
          </w:p>
        </w:tc>
      </w:tr>
    </w:tbl>
    <w:p>
      <w:pPr>
        <w:rPr>
          <w:color w:val="auto"/>
          <w:szCs w:val="21"/>
          <w:highlight w:val="none"/>
        </w:rPr>
      </w:pPr>
    </w:p>
    <w:p>
      <w:pPr>
        <w:snapToGrid w:val="0"/>
        <w:rPr>
          <w:rFonts w:ascii="宋体" w:hAnsi="宋体"/>
          <w:b/>
          <w:bCs/>
          <w:color w:val="auto"/>
          <w:sz w:val="32"/>
          <w:szCs w:val="32"/>
          <w:highlight w:val="none"/>
        </w:rPr>
      </w:pPr>
      <w:r>
        <w:rPr>
          <w:rFonts w:hint="eastAsia" w:ascii="宋体" w:hAnsi="宋体"/>
          <w:b/>
          <w:color w:val="auto"/>
          <w:sz w:val="24"/>
          <w:szCs w:val="22"/>
          <w:highlight w:val="none"/>
          <w:u w:val="single"/>
        </w:rPr>
        <w:t>备注：签定的合同可按照以</w:t>
      </w:r>
      <w:r>
        <w:rPr>
          <w:rFonts w:hint="eastAsia" w:ascii="宋体" w:hAnsi="宋体"/>
          <w:b/>
          <w:color w:val="auto"/>
          <w:sz w:val="24"/>
          <w:szCs w:val="22"/>
          <w:highlight w:val="none"/>
          <w:u w:val="single"/>
          <w:lang w:eastAsia="zh-CN"/>
        </w:rPr>
        <w:t>上</w:t>
      </w:r>
      <w:r>
        <w:rPr>
          <w:rFonts w:hint="eastAsia" w:ascii="宋体" w:hAnsi="宋体"/>
          <w:b/>
          <w:color w:val="auto"/>
          <w:sz w:val="24"/>
          <w:szCs w:val="22"/>
          <w:highlight w:val="none"/>
          <w:u w:val="single"/>
        </w:rPr>
        <w:t>合同条款进行约定，招标文件中各项招标需求均可在签订合同时列入或以更优的投标文件承诺内容列入。如在签定合同过程中部分条款需要调整，经双方沟通、协商同意后调整，最终有效合同以双方签字盖章的文本为准。</w:t>
      </w:r>
    </w:p>
    <w:p>
      <w:pPr>
        <w:snapToGrid w:val="0"/>
        <w:spacing w:line="360" w:lineRule="auto"/>
        <w:ind w:left="420" w:hanging="420" w:hangingChars="200"/>
        <w:rPr>
          <w:rFonts w:hint="eastAsia" w:ascii="宋体" w:hAnsi="宋体"/>
          <w:color w:val="000000"/>
          <w:szCs w:val="21"/>
        </w:rPr>
      </w:pPr>
    </w:p>
    <w:p>
      <w:pPr>
        <w:snapToGrid w:val="0"/>
        <w:spacing w:line="360" w:lineRule="auto"/>
        <w:jc w:val="center"/>
        <w:rPr>
          <w:rFonts w:ascii="宋体" w:hAnsi="宋体"/>
          <w:bCs/>
          <w:color w:val="000000"/>
          <w:sz w:val="32"/>
          <w:szCs w:val="32"/>
        </w:rPr>
      </w:pPr>
      <w:r>
        <w:rPr>
          <w:rFonts w:ascii="宋体" w:hAnsi="宋体"/>
          <w:b/>
          <w:color w:val="000000"/>
          <w:szCs w:val="21"/>
        </w:rPr>
        <w:br w:type="page"/>
      </w:r>
    </w:p>
    <w:bookmarkEnd w:id="144"/>
    <w:p>
      <w:pPr>
        <w:snapToGrid w:val="0"/>
        <w:jc w:val="center"/>
        <w:rPr>
          <w:rFonts w:hint="eastAsia" w:ascii="宋体" w:hAnsi="宋体"/>
          <w:bCs/>
          <w:color w:val="000000"/>
          <w:sz w:val="32"/>
          <w:szCs w:val="32"/>
        </w:rPr>
      </w:pPr>
    </w:p>
    <w:p>
      <w:pPr>
        <w:snapToGrid w:val="0"/>
        <w:jc w:val="center"/>
        <w:rPr>
          <w:rFonts w:hint="eastAsia" w:ascii="宋体" w:hAnsi="宋体"/>
          <w:bCs/>
          <w:color w:val="000000"/>
          <w:sz w:val="32"/>
          <w:szCs w:val="32"/>
        </w:rPr>
      </w:pPr>
    </w:p>
    <w:p>
      <w:pPr>
        <w:snapToGrid w:val="0"/>
        <w:jc w:val="center"/>
        <w:rPr>
          <w:rFonts w:hint="eastAsia" w:ascii="宋体" w:hAnsi="宋体"/>
          <w:bCs/>
          <w:color w:val="000000"/>
          <w:sz w:val="32"/>
          <w:szCs w:val="32"/>
        </w:rPr>
      </w:pPr>
    </w:p>
    <w:p>
      <w:pPr>
        <w:snapToGrid w:val="0"/>
        <w:jc w:val="center"/>
        <w:rPr>
          <w:rFonts w:hint="eastAsia" w:ascii="宋体" w:hAnsi="宋体"/>
          <w:bCs/>
          <w:color w:val="000000"/>
          <w:sz w:val="32"/>
          <w:szCs w:val="32"/>
        </w:rPr>
      </w:pPr>
    </w:p>
    <w:p>
      <w:pPr>
        <w:snapToGrid w:val="0"/>
        <w:jc w:val="center"/>
        <w:rPr>
          <w:rFonts w:hint="eastAsia" w:ascii="宋体" w:hAnsi="宋体"/>
          <w:bCs/>
          <w:color w:val="000000"/>
          <w:sz w:val="32"/>
          <w:szCs w:val="32"/>
        </w:rPr>
      </w:pPr>
    </w:p>
    <w:p>
      <w:pPr>
        <w:pStyle w:val="5"/>
        <w:jc w:val="center"/>
        <w:rPr>
          <w:rFonts w:hint="eastAsia"/>
          <w:color w:val="000000"/>
        </w:rPr>
      </w:pPr>
      <w:bookmarkStart w:id="145" w:name="_Toc74320805"/>
      <w:r>
        <w:rPr>
          <w:rFonts w:hint="eastAsia"/>
          <w:color w:val="000000"/>
        </w:rPr>
        <w:t>第六章　投标文件格式</w:t>
      </w:r>
      <w:bookmarkEnd w:id="145"/>
    </w:p>
    <w:p>
      <w:pPr>
        <w:snapToGrid w:val="0"/>
        <w:spacing w:before="50" w:after="50"/>
        <w:outlineLvl w:val="1"/>
        <w:rPr>
          <w:rFonts w:hint="eastAsia" w:ascii="宋体" w:hAnsi="宋体"/>
          <w:color w:val="000000"/>
          <w:sz w:val="32"/>
          <w:szCs w:val="20"/>
        </w:rPr>
      </w:pPr>
    </w:p>
    <w:p>
      <w:pPr>
        <w:snapToGrid w:val="0"/>
        <w:spacing w:before="50" w:after="50"/>
        <w:outlineLvl w:val="1"/>
        <w:rPr>
          <w:rFonts w:hint="eastAsia" w:ascii="宋体" w:hAnsi="宋体"/>
          <w:color w:val="000000"/>
          <w:sz w:val="32"/>
          <w:szCs w:val="20"/>
        </w:rPr>
      </w:pPr>
    </w:p>
    <w:p>
      <w:pPr>
        <w:snapToGrid w:val="0"/>
        <w:spacing w:before="50" w:after="50"/>
        <w:outlineLvl w:val="1"/>
        <w:rPr>
          <w:rFonts w:hint="eastAsia" w:ascii="宋体" w:hAnsi="宋体"/>
          <w:color w:val="000000"/>
          <w:sz w:val="32"/>
          <w:szCs w:val="20"/>
        </w:rPr>
      </w:pPr>
    </w:p>
    <w:p>
      <w:pPr>
        <w:snapToGrid w:val="0"/>
        <w:spacing w:before="50" w:after="50"/>
        <w:outlineLvl w:val="1"/>
        <w:rPr>
          <w:rFonts w:hint="eastAsia" w:ascii="宋体" w:hAnsi="宋体"/>
          <w:color w:val="000000"/>
          <w:sz w:val="32"/>
          <w:szCs w:val="20"/>
        </w:rPr>
      </w:pPr>
    </w:p>
    <w:p>
      <w:pPr>
        <w:snapToGrid w:val="0"/>
        <w:spacing w:before="50" w:after="50"/>
        <w:outlineLvl w:val="1"/>
        <w:rPr>
          <w:rFonts w:hint="eastAsia" w:ascii="宋体" w:hAnsi="宋体"/>
          <w:color w:val="000000"/>
          <w:sz w:val="32"/>
          <w:szCs w:val="20"/>
        </w:rPr>
      </w:pPr>
    </w:p>
    <w:p>
      <w:pPr>
        <w:snapToGrid w:val="0"/>
        <w:spacing w:before="50" w:after="50"/>
        <w:outlineLvl w:val="1"/>
        <w:rPr>
          <w:rFonts w:hint="eastAsia" w:ascii="宋体" w:hAnsi="宋体"/>
          <w:color w:val="000000"/>
          <w:sz w:val="32"/>
          <w:szCs w:val="20"/>
        </w:rPr>
      </w:pPr>
    </w:p>
    <w:p>
      <w:pPr>
        <w:snapToGrid w:val="0"/>
        <w:spacing w:before="50" w:after="50"/>
        <w:outlineLvl w:val="1"/>
        <w:rPr>
          <w:rFonts w:hint="eastAsia" w:ascii="宋体" w:hAnsi="宋体"/>
          <w:color w:val="000000"/>
          <w:sz w:val="32"/>
          <w:szCs w:val="20"/>
        </w:rPr>
      </w:pPr>
    </w:p>
    <w:p>
      <w:pPr>
        <w:snapToGrid w:val="0"/>
        <w:spacing w:before="50" w:after="50"/>
        <w:outlineLvl w:val="1"/>
        <w:rPr>
          <w:rFonts w:hint="eastAsia" w:ascii="宋体" w:hAnsi="宋体"/>
          <w:color w:val="000000"/>
          <w:sz w:val="32"/>
          <w:szCs w:val="20"/>
        </w:rPr>
      </w:pPr>
    </w:p>
    <w:p>
      <w:pPr>
        <w:snapToGrid w:val="0"/>
        <w:spacing w:before="50" w:after="50"/>
        <w:outlineLvl w:val="1"/>
        <w:rPr>
          <w:rFonts w:hint="eastAsia" w:ascii="宋体" w:hAnsi="宋体"/>
          <w:color w:val="000000"/>
          <w:sz w:val="32"/>
          <w:szCs w:val="20"/>
        </w:rPr>
      </w:pPr>
    </w:p>
    <w:p>
      <w:pPr>
        <w:snapToGrid w:val="0"/>
        <w:spacing w:before="50" w:after="50"/>
        <w:outlineLvl w:val="1"/>
        <w:rPr>
          <w:rFonts w:hint="eastAsia" w:ascii="宋体" w:hAnsi="宋体"/>
          <w:color w:val="000000"/>
          <w:sz w:val="32"/>
          <w:szCs w:val="20"/>
        </w:rPr>
      </w:pPr>
    </w:p>
    <w:p>
      <w:pPr>
        <w:snapToGrid w:val="0"/>
        <w:spacing w:before="50" w:after="50"/>
        <w:outlineLvl w:val="1"/>
        <w:rPr>
          <w:rFonts w:hint="eastAsia" w:ascii="宋体" w:hAnsi="宋体"/>
          <w:color w:val="000000"/>
          <w:sz w:val="32"/>
          <w:szCs w:val="20"/>
        </w:rPr>
      </w:pPr>
    </w:p>
    <w:p>
      <w:pPr>
        <w:pStyle w:val="2"/>
        <w:rPr>
          <w:rFonts w:hint="eastAsia" w:ascii="宋体" w:hAnsi="宋体"/>
          <w:color w:val="000000"/>
          <w:sz w:val="32"/>
          <w:szCs w:val="20"/>
        </w:rPr>
      </w:pPr>
    </w:p>
    <w:p>
      <w:pPr>
        <w:pStyle w:val="3"/>
        <w:rPr>
          <w:rFonts w:hint="eastAsia" w:ascii="宋体" w:hAnsi="宋体"/>
          <w:color w:val="000000"/>
          <w:sz w:val="32"/>
          <w:szCs w:val="20"/>
        </w:rPr>
      </w:pPr>
    </w:p>
    <w:p>
      <w:pPr>
        <w:pStyle w:val="3"/>
        <w:rPr>
          <w:rFonts w:hint="eastAsia" w:ascii="宋体" w:hAnsi="宋体"/>
          <w:color w:val="000000"/>
          <w:sz w:val="32"/>
          <w:szCs w:val="20"/>
        </w:rPr>
      </w:pPr>
    </w:p>
    <w:p>
      <w:pPr>
        <w:pStyle w:val="3"/>
        <w:rPr>
          <w:rFonts w:hint="eastAsia" w:ascii="宋体" w:hAnsi="宋体"/>
          <w:color w:val="000000"/>
          <w:sz w:val="32"/>
          <w:szCs w:val="20"/>
        </w:rPr>
      </w:pPr>
    </w:p>
    <w:p>
      <w:pPr>
        <w:pStyle w:val="3"/>
        <w:rPr>
          <w:rFonts w:hint="eastAsia" w:ascii="宋体" w:hAnsi="宋体"/>
          <w:color w:val="000000"/>
          <w:sz w:val="32"/>
          <w:szCs w:val="20"/>
        </w:rPr>
      </w:pPr>
    </w:p>
    <w:p>
      <w:pPr>
        <w:pStyle w:val="3"/>
        <w:rPr>
          <w:rFonts w:hint="eastAsia" w:ascii="宋体" w:hAnsi="宋体"/>
          <w:color w:val="000000"/>
          <w:sz w:val="32"/>
          <w:szCs w:val="20"/>
        </w:rPr>
      </w:pPr>
    </w:p>
    <w:p>
      <w:pPr>
        <w:pStyle w:val="3"/>
        <w:rPr>
          <w:rFonts w:hint="eastAsia" w:ascii="宋体" w:hAnsi="宋体"/>
          <w:color w:val="000000"/>
          <w:sz w:val="32"/>
          <w:szCs w:val="20"/>
        </w:rPr>
      </w:pPr>
    </w:p>
    <w:p>
      <w:pPr>
        <w:snapToGrid w:val="0"/>
        <w:spacing w:before="120" w:beforeLines="50" w:after="50"/>
        <w:jc w:val="center"/>
        <w:outlineLvl w:val="1"/>
        <w:rPr>
          <w:rFonts w:hint="eastAsia" w:ascii="宋体" w:hAnsi="宋体"/>
          <w:color w:val="000000"/>
        </w:rPr>
      </w:pPr>
    </w:p>
    <w:p>
      <w:pPr>
        <w:rPr>
          <w:rFonts w:hint="eastAsia"/>
          <w:b/>
          <w:color w:val="000000"/>
          <w:sz w:val="28"/>
          <w:szCs w:val="28"/>
        </w:rPr>
      </w:pPr>
      <w:bookmarkStart w:id="146" w:name="_Toc19686836"/>
      <w:bookmarkStart w:id="147" w:name="_Toc254970698"/>
      <w:bookmarkStart w:id="148" w:name="_Toc254970557"/>
      <w:r>
        <w:rPr>
          <w:rFonts w:hint="eastAsia"/>
          <w:b/>
          <w:color w:val="000000"/>
          <w:sz w:val="28"/>
          <w:szCs w:val="28"/>
        </w:rPr>
        <w:t>一、报价文件格式</w:t>
      </w:r>
      <w:bookmarkEnd w:id="146"/>
    </w:p>
    <w:p>
      <w:pPr>
        <w:snapToGrid w:val="0"/>
        <w:spacing w:before="120" w:beforeLines="50" w:after="50" w:line="360" w:lineRule="auto"/>
        <w:ind w:left="142"/>
        <w:jc w:val="left"/>
        <w:rPr>
          <w:rFonts w:hint="eastAsia" w:ascii="宋体" w:hAnsi="宋体"/>
          <w:b/>
          <w:color w:val="000000"/>
          <w:sz w:val="24"/>
        </w:rPr>
      </w:pPr>
      <w:r>
        <w:rPr>
          <w:rFonts w:hint="eastAsia" w:ascii="宋体" w:hAnsi="宋体"/>
          <w:b/>
          <w:color w:val="000000"/>
          <w:sz w:val="24"/>
        </w:rPr>
        <w:t xml:space="preserve">1. 报价文件封面格式： </w:t>
      </w:r>
    </w:p>
    <w:p>
      <w:pPr>
        <w:snapToGrid w:val="0"/>
        <w:spacing w:before="120" w:beforeLines="50" w:after="50" w:line="360" w:lineRule="auto"/>
        <w:ind w:left="142"/>
        <w:jc w:val="center"/>
        <w:rPr>
          <w:rFonts w:hint="eastAsia" w:ascii="宋体" w:hAnsi="宋体" w:eastAsia="方正小标宋简体"/>
          <w:bCs/>
          <w:color w:val="000000"/>
          <w:sz w:val="48"/>
          <w:szCs w:val="48"/>
        </w:rPr>
      </w:pPr>
      <w:r>
        <w:rPr>
          <w:rFonts w:hint="eastAsia" w:ascii="宋体" w:hAnsi="宋体" w:eastAsia="方正小标宋简体"/>
          <w:bCs/>
          <w:color w:val="000000"/>
          <w:sz w:val="48"/>
          <w:szCs w:val="48"/>
        </w:rPr>
        <w:t>电子投标文件</w:t>
      </w:r>
    </w:p>
    <w:p>
      <w:pPr>
        <w:snapToGrid w:val="0"/>
        <w:spacing w:before="120" w:beforeLines="50" w:after="50" w:line="400" w:lineRule="exact"/>
        <w:jc w:val="left"/>
        <w:rPr>
          <w:rFonts w:hint="eastAsia" w:ascii="宋体" w:hAnsi="宋体" w:eastAsia="方正小标宋简体"/>
          <w:bCs/>
          <w:color w:val="000000"/>
          <w:sz w:val="48"/>
          <w:szCs w:val="48"/>
        </w:rPr>
      </w:pPr>
    </w:p>
    <w:p>
      <w:pPr>
        <w:snapToGrid w:val="0"/>
        <w:spacing w:before="120" w:beforeLines="50" w:after="50" w:line="4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报  价  文  件</w:t>
      </w:r>
    </w:p>
    <w:p>
      <w:pPr>
        <w:snapToGrid w:val="0"/>
        <w:spacing w:before="120" w:beforeLines="50" w:after="50" w:line="400" w:lineRule="exact"/>
        <w:rPr>
          <w:rFonts w:hint="eastAsia" w:ascii="宋体" w:hAnsi="宋体"/>
          <w:bCs/>
          <w:color w:val="000000"/>
          <w:sz w:val="24"/>
          <w:szCs w:val="20"/>
        </w:rPr>
      </w:pPr>
    </w:p>
    <w:p>
      <w:pPr>
        <w:snapToGrid w:val="0"/>
        <w:spacing w:before="120" w:beforeLines="50" w:after="50" w:line="400" w:lineRule="exact"/>
        <w:rPr>
          <w:rFonts w:hint="eastAsia" w:ascii="宋体" w:hAnsi="宋体"/>
          <w:bCs/>
          <w:color w:val="000000"/>
          <w:sz w:val="24"/>
          <w:szCs w:val="20"/>
        </w:rPr>
      </w:pPr>
    </w:p>
    <w:p>
      <w:pPr>
        <w:snapToGrid w:val="0"/>
        <w:spacing w:before="120" w:beforeLines="50" w:after="50" w:line="400" w:lineRule="exact"/>
        <w:rPr>
          <w:rFonts w:hint="eastAsia" w:ascii="宋体" w:hAnsi="宋体"/>
          <w:bCs/>
          <w:color w:val="000000"/>
          <w:sz w:val="24"/>
          <w:szCs w:val="20"/>
        </w:rPr>
      </w:pPr>
    </w:p>
    <w:p>
      <w:pPr>
        <w:snapToGrid w:val="0"/>
        <w:spacing w:before="120" w:beforeLines="50" w:after="50" w:line="400" w:lineRule="exact"/>
        <w:ind w:firstLine="360" w:firstLineChars="150"/>
        <w:rPr>
          <w:rFonts w:ascii="宋体" w:hAnsi="宋体"/>
          <w:bCs/>
          <w:color w:val="000000"/>
          <w:sz w:val="24"/>
        </w:rPr>
      </w:pPr>
      <w:r>
        <w:rPr>
          <w:rFonts w:hint="eastAsia" w:ascii="宋体" w:hAnsi="宋体"/>
          <w:bCs/>
          <w:color w:val="000000"/>
          <w:sz w:val="24"/>
        </w:rPr>
        <w:t xml:space="preserve">项目名称： </w:t>
      </w:r>
    </w:p>
    <w:p>
      <w:pPr>
        <w:snapToGrid w:val="0"/>
        <w:spacing w:before="120" w:beforeLines="50" w:after="50" w:line="400" w:lineRule="exact"/>
        <w:ind w:firstLine="360" w:firstLineChars="150"/>
        <w:rPr>
          <w:rFonts w:hint="eastAsia" w:ascii="宋体" w:hAnsi="宋体"/>
          <w:bCs/>
          <w:color w:val="000000"/>
          <w:sz w:val="24"/>
        </w:rPr>
      </w:pPr>
    </w:p>
    <w:p>
      <w:pPr>
        <w:snapToGrid w:val="0"/>
        <w:spacing w:before="120" w:beforeLines="50" w:after="50" w:line="400" w:lineRule="exact"/>
        <w:ind w:firstLine="360" w:firstLineChars="150"/>
        <w:rPr>
          <w:rFonts w:ascii="宋体" w:hAnsi="宋体"/>
          <w:bCs/>
          <w:color w:val="000000"/>
          <w:sz w:val="24"/>
        </w:rPr>
      </w:pPr>
      <w:r>
        <w:rPr>
          <w:rFonts w:hint="eastAsia" w:ascii="宋体" w:hAnsi="宋体"/>
          <w:bCs/>
          <w:color w:val="000000"/>
          <w:sz w:val="24"/>
        </w:rPr>
        <w:t xml:space="preserve">项目编号： </w:t>
      </w:r>
    </w:p>
    <w:p>
      <w:pPr>
        <w:snapToGrid w:val="0"/>
        <w:spacing w:before="120" w:beforeLines="50" w:after="50" w:line="400" w:lineRule="exact"/>
        <w:ind w:firstLine="360" w:firstLineChars="150"/>
        <w:rPr>
          <w:rFonts w:hint="eastAsia" w:ascii="宋体" w:hAnsi="宋体"/>
          <w:bCs/>
          <w:color w:val="000000"/>
          <w:sz w:val="24"/>
        </w:rPr>
      </w:pPr>
    </w:p>
    <w:p>
      <w:pPr>
        <w:snapToGrid w:val="0"/>
        <w:spacing w:before="120" w:beforeLines="50" w:after="50" w:line="400" w:lineRule="exact"/>
        <w:ind w:firstLine="360" w:firstLineChars="150"/>
        <w:rPr>
          <w:rFonts w:ascii="宋体" w:hAnsi="宋体"/>
          <w:bCs/>
          <w:color w:val="000000"/>
          <w:sz w:val="24"/>
        </w:rPr>
      </w:pPr>
      <w:r>
        <w:rPr>
          <w:rFonts w:hint="eastAsia" w:ascii="宋体" w:hAnsi="宋体"/>
          <w:bCs/>
          <w:color w:val="000000"/>
          <w:sz w:val="24"/>
        </w:rPr>
        <w:t>所投分标：</w:t>
      </w:r>
    </w:p>
    <w:p>
      <w:pPr>
        <w:snapToGrid w:val="0"/>
        <w:spacing w:before="120" w:beforeLines="50" w:after="50" w:line="400" w:lineRule="exact"/>
        <w:ind w:firstLine="360" w:firstLineChars="150"/>
        <w:rPr>
          <w:rFonts w:hint="eastAsia" w:ascii="宋体" w:hAnsi="宋体"/>
          <w:bCs/>
          <w:color w:val="000000"/>
          <w:sz w:val="24"/>
        </w:rPr>
      </w:pPr>
    </w:p>
    <w:p>
      <w:pPr>
        <w:snapToGrid w:val="0"/>
        <w:spacing w:before="120" w:beforeLines="50" w:after="50" w:line="400" w:lineRule="exact"/>
        <w:ind w:firstLine="360" w:firstLineChars="150"/>
        <w:rPr>
          <w:rFonts w:ascii="宋体" w:hAnsi="宋体"/>
          <w:bCs/>
          <w:color w:val="000000"/>
          <w:sz w:val="24"/>
        </w:rPr>
      </w:pPr>
      <w:r>
        <w:rPr>
          <w:rFonts w:hint="eastAsia" w:ascii="宋体" w:hAnsi="宋体"/>
          <w:bCs/>
          <w:color w:val="000000"/>
          <w:sz w:val="24"/>
        </w:rPr>
        <w:t>投标人名称：</w:t>
      </w:r>
    </w:p>
    <w:p>
      <w:pPr>
        <w:snapToGrid w:val="0"/>
        <w:spacing w:before="120" w:beforeLines="50" w:after="50" w:line="400" w:lineRule="exact"/>
        <w:ind w:firstLine="360" w:firstLineChars="150"/>
        <w:rPr>
          <w:rFonts w:hint="eastAsia" w:ascii="宋体" w:hAnsi="宋体"/>
          <w:bCs/>
          <w:color w:val="000000"/>
          <w:sz w:val="24"/>
        </w:rPr>
      </w:pPr>
    </w:p>
    <w:p>
      <w:pPr>
        <w:snapToGrid w:val="0"/>
        <w:spacing w:before="120" w:beforeLines="50" w:after="50" w:line="400" w:lineRule="exact"/>
        <w:ind w:firstLine="360" w:firstLineChars="150"/>
        <w:rPr>
          <w:rFonts w:hint="eastAsia" w:ascii="宋体" w:hAnsi="宋体"/>
          <w:bCs/>
          <w:color w:val="000000"/>
          <w:sz w:val="24"/>
        </w:rPr>
      </w:pPr>
      <w:r>
        <w:rPr>
          <w:rFonts w:hint="eastAsia" w:ascii="宋体" w:hAnsi="宋体"/>
          <w:bCs/>
          <w:color w:val="000000"/>
          <w:sz w:val="24"/>
        </w:rPr>
        <w:t>投标人地址：</w:t>
      </w:r>
    </w:p>
    <w:p>
      <w:pPr>
        <w:pStyle w:val="10"/>
        <w:snapToGrid w:val="0"/>
        <w:spacing w:before="50" w:after="50" w:line="400" w:lineRule="exact"/>
        <w:ind w:firstLine="960" w:firstLineChars="400"/>
        <w:rPr>
          <w:rFonts w:hint="eastAsia" w:ascii="宋体" w:hAnsi="宋体"/>
          <w:bCs/>
          <w:color w:val="000000"/>
          <w:sz w:val="24"/>
          <w:szCs w:val="24"/>
        </w:rPr>
      </w:pPr>
    </w:p>
    <w:p>
      <w:pPr>
        <w:snapToGrid w:val="0"/>
        <w:spacing w:before="120" w:beforeLines="50" w:after="50" w:line="400" w:lineRule="exact"/>
        <w:rPr>
          <w:rFonts w:hint="eastAsia" w:ascii="宋体" w:hAnsi="宋体"/>
          <w:color w:val="000000"/>
          <w:sz w:val="30"/>
          <w:szCs w:val="20"/>
        </w:rPr>
      </w:pPr>
      <w:r>
        <w:rPr>
          <w:rFonts w:hint="eastAsia" w:ascii="宋体" w:hAnsi="宋体"/>
          <w:color w:val="000000"/>
          <w:sz w:val="24"/>
        </w:rPr>
        <w:t xml:space="preserve">                                   年  月  日</w:t>
      </w:r>
    </w:p>
    <w:p>
      <w:pPr>
        <w:snapToGrid w:val="0"/>
        <w:spacing w:before="120" w:beforeLines="50" w:after="50" w:line="360" w:lineRule="auto"/>
        <w:jc w:val="left"/>
        <w:rPr>
          <w:rFonts w:hint="eastAsia" w:ascii="宋体" w:hAnsi="宋体"/>
          <w:color w:val="000000"/>
          <w:sz w:val="24"/>
          <w:szCs w:val="20"/>
        </w:rPr>
      </w:pPr>
      <w:r>
        <w:rPr>
          <w:rFonts w:ascii="宋体" w:hAnsi="宋体"/>
          <w:b/>
          <w:color w:val="000000"/>
          <w:sz w:val="24"/>
        </w:rPr>
        <w:br w:type="page"/>
      </w:r>
      <w:r>
        <w:rPr>
          <w:rFonts w:hint="eastAsia" w:ascii="宋体" w:hAnsi="宋体"/>
          <w:b/>
          <w:color w:val="000000"/>
          <w:sz w:val="24"/>
        </w:rPr>
        <w:t>2.</w:t>
      </w:r>
      <w:r>
        <w:rPr>
          <w:rFonts w:hint="eastAsia" w:ascii="宋体" w:hAnsi="宋体"/>
          <w:b/>
          <w:bCs/>
          <w:color w:val="000000"/>
          <w:sz w:val="24"/>
        </w:rPr>
        <w:t>报价文件目录</w:t>
      </w:r>
    </w:p>
    <w:p>
      <w:pPr>
        <w:snapToGrid w:val="0"/>
        <w:spacing w:before="50" w:after="120" w:afterLines="50" w:line="360" w:lineRule="auto"/>
        <w:jc w:val="left"/>
        <w:rPr>
          <w:rFonts w:ascii="宋体" w:hAnsi="宋体"/>
          <w:b/>
          <w:color w:val="000000"/>
          <w:sz w:val="24"/>
        </w:rPr>
      </w:pPr>
      <w:r>
        <w:rPr>
          <w:rFonts w:hint="eastAsia" w:ascii="宋体" w:hAnsi="宋体"/>
          <w:color w:val="000000"/>
          <w:szCs w:val="21"/>
        </w:rPr>
        <w:t>根据招标文件规定及投标人提供的材料自行编写目录。</w:t>
      </w:r>
    </w:p>
    <w:p>
      <w:pPr>
        <w:snapToGrid w:val="0"/>
        <w:spacing w:before="120" w:beforeLines="50" w:after="50"/>
        <w:rPr>
          <w:rFonts w:hint="eastAsia" w:ascii="宋体" w:hAnsi="宋体"/>
          <w:b/>
          <w:color w:val="000000"/>
          <w:sz w:val="24"/>
        </w:rPr>
      </w:pPr>
    </w:p>
    <w:p>
      <w:pPr>
        <w:snapToGrid w:val="0"/>
        <w:spacing w:before="120" w:beforeLines="50" w:after="50"/>
        <w:rPr>
          <w:rFonts w:hint="eastAsia" w:ascii="宋体" w:hAnsi="宋体"/>
          <w:b/>
          <w:color w:val="000000"/>
          <w:sz w:val="24"/>
        </w:rPr>
      </w:pPr>
    </w:p>
    <w:p>
      <w:pPr>
        <w:snapToGrid w:val="0"/>
        <w:spacing w:before="120" w:beforeLines="50" w:after="50"/>
        <w:rPr>
          <w:rFonts w:hint="eastAsia" w:ascii="宋体" w:hAnsi="宋体"/>
          <w:b/>
          <w:color w:val="000000"/>
          <w:sz w:val="24"/>
        </w:rPr>
      </w:pPr>
    </w:p>
    <w:p>
      <w:pPr>
        <w:snapToGrid w:val="0"/>
        <w:spacing w:before="120" w:beforeLines="50" w:after="50"/>
        <w:ind w:left="142"/>
        <w:jc w:val="left"/>
        <w:rPr>
          <w:rFonts w:hint="eastAsia" w:ascii="宋体" w:hAnsi="宋体"/>
          <w:b/>
          <w:color w:val="000000"/>
          <w:sz w:val="24"/>
        </w:rPr>
      </w:pPr>
      <w:r>
        <w:rPr>
          <w:rFonts w:ascii="宋体" w:hAnsi="宋体"/>
          <w:b/>
          <w:color w:val="000000"/>
          <w:sz w:val="24"/>
        </w:rPr>
        <w:br w:type="page"/>
      </w:r>
      <w:r>
        <w:rPr>
          <w:rFonts w:hint="eastAsia" w:ascii="宋体" w:hAnsi="宋体"/>
          <w:b/>
          <w:color w:val="000000"/>
          <w:sz w:val="24"/>
        </w:rPr>
        <w:t>3. 投标函格式：</w:t>
      </w:r>
    </w:p>
    <w:p>
      <w:pPr>
        <w:snapToGrid w:val="0"/>
        <w:spacing w:before="120" w:beforeLines="50" w:after="50" w:line="360" w:lineRule="auto"/>
        <w:jc w:val="center"/>
        <w:rPr>
          <w:rFonts w:hint="eastAsia" w:ascii="宋体" w:hAnsi="宋体" w:eastAsia="宋体" w:cs="宋体"/>
          <w:bCs/>
          <w:color w:val="000000"/>
          <w:sz w:val="44"/>
          <w:szCs w:val="44"/>
        </w:rPr>
      </w:pPr>
      <w:r>
        <w:rPr>
          <w:rFonts w:hint="eastAsia" w:ascii="宋体" w:hAnsi="宋体" w:eastAsia="宋体" w:cs="宋体"/>
          <w:bCs/>
          <w:color w:val="000000"/>
          <w:sz w:val="44"/>
          <w:szCs w:val="44"/>
        </w:rPr>
        <w:t>投 标 函</w:t>
      </w:r>
    </w:p>
    <w:p>
      <w:pPr>
        <w:snapToGrid w:val="0"/>
        <w:spacing w:before="120" w:beforeLines="50" w:after="50" w:line="320" w:lineRule="exact"/>
        <w:jc w:val="center"/>
        <w:rPr>
          <w:rFonts w:hint="eastAsia" w:ascii="宋体" w:hAnsi="宋体"/>
          <w:b/>
          <w:color w:val="000000"/>
          <w:sz w:val="32"/>
          <w:szCs w:val="32"/>
        </w:rPr>
      </w:pPr>
    </w:p>
    <w:p>
      <w:pPr>
        <w:spacing w:line="360" w:lineRule="auto"/>
        <w:contextualSpacing/>
        <w:rPr>
          <w:rFonts w:hint="eastAsia" w:ascii="宋体" w:hAnsi="宋体"/>
          <w:color w:val="000000"/>
          <w:sz w:val="24"/>
        </w:rPr>
      </w:pPr>
      <w:r>
        <w:rPr>
          <w:rFonts w:hint="eastAsia" w:ascii="宋体" w:hAnsi="宋体"/>
          <w:color w:val="000000"/>
          <w:sz w:val="24"/>
        </w:rPr>
        <w:t>致：</w:t>
      </w:r>
      <w:r>
        <w:rPr>
          <w:rFonts w:hint="eastAsia" w:ascii="宋体" w:hAnsi="宋体"/>
          <w:color w:val="000000"/>
          <w:sz w:val="24"/>
          <w:u w:val="single"/>
        </w:rPr>
        <w:t>采购人名称</w:t>
      </w:r>
      <w:r>
        <w:rPr>
          <w:rFonts w:hint="eastAsia" w:ascii="宋体" w:hAnsi="宋体"/>
          <w:color w:val="000000"/>
          <w:sz w:val="24"/>
        </w:rPr>
        <w:t>：</w:t>
      </w:r>
    </w:p>
    <w:p>
      <w:pPr>
        <w:spacing w:line="360" w:lineRule="auto"/>
        <w:ind w:firstLine="480"/>
        <w:contextualSpacing/>
        <w:rPr>
          <w:rFonts w:hint="eastAsia" w:ascii="宋体" w:hAnsi="宋体"/>
          <w:color w:val="000000"/>
          <w:sz w:val="24"/>
        </w:rPr>
      </w:pPr>
      <w:r>
        <w:rPr>
          <w:rFonts w:hint="eastAsia" w:ascii="宋体" w:hAnsi="宋体"/>
          <w:color w:val="000000"/>
          <w:sz w:val="24"/>
        </w:rPr>
        <w:t>根据贵方</w:t>
      </w:r>
      <w:r>
        <w:rPr>
          <w:rFonts w:hint="eastAsia" w:ascii="宋体" w:hAnsi="宋体"/>
          <w:color w:val="000000"/>
          <w:sz w:val="24"/>
          <w:u w:val="single"/>
        </w:rPr>
        <w:t xml:space="preserve"> 项目名称</w:t>
      </w:r>
      <w:r>
        <w:rPr>
          <w:rFonts w:hint="eastAsia" w:ascii="宋体" w:hAnsi="宋体"/>
          <w:color w:val="000000"/>
          <w:sz w:val="24"/>
        </w:rPr>
        <w:t>（项目编号：</w:t>
      </w:r>
      <w:r>
        <w:rPr>
          <w:rFonts w:hint="eastAsia" w:ascii="宋体" w:hAnsi="宋体"/>
          <w:color w:val="000000"/>
          <w:sz w:val="24"/>
          <w:u w:val="single"/>
        </w:rPr>
        <w:t xml:space="preserve">        </w:t>
      </w:r>
      <w:r>
        <w:rPr>
          <w:rFonts w:hint="eastAsia" w:ascii="宋体" w:hAnsi="宋体"/>
          <w:color w:val="000000"/>
          <w:sz w:val="24"/>
        </w:rPr>
        <w:t>）的招标公告，签字代表______</w:t>
      </w:r>
      <w:r>
        <w:rPr>
          <w:rFonts w:hint="eastAsia" w:ascii="宋体" w:hAnsi="宋体"/>
          <w:color w:val="000000"/>
          <w:sz w:val="24"/>
          <w:u w:val="single"/>
        </w:rPr>
        <w:t xml:space="preserve">     </w:t>
      </w:r>
      <w:r>
        <w:rPr>
          <w:rFonts w:hint="eastAsia" w:ascii="宋体" w:hAnsi="宋体"/>
          <w:color w:val="000000"/>
          <w:sz w:val="24"/>
        </w:rPr>
        <w:t>（姓名）经正式授权并代表投标人</w:t>
      </w:r>
      <w:r>
        <w:rPr>
          <w:rFonts w:hint="eastAsia" w:ascii="宋体" w:hAnsi="宋体"/>
          <w:color w:val="000000"/>
          <w:sz w:val="24"/>
          <w:u w:val="single"/>
        </w:rPr>
        <w:t xml:space="preserve">                 </w:t>
      </w:r>
      <w:r>
        <w:rPr>
          <w:rFonts w:hint="eastAsia" w:ascii="宋体" w:hAnsi="宋体"/>
          <w:color w:val="000000"/>
          <w:sz w:val="24"/>
        </w:rPr>
        <w:t>（投标人名称）提交投标文件。</w:t>
      </w:r>
    </w:p>
    <w:p>
      <w:pPr>
        <w:spacing w:line="360" w:lineRule="auto"/>
        <w:ind w:firstLine="480" w:firstLineChars="200"/>
        <w:contextualSpacing/>
        <w:rPr>
          <w:rFonts w:hint="eastAsia" w:ascii="宋体" w:hAnsi="宋体"/>
          <w:color w:val="000000"/>
          <w:sz w:val="24"/>
        </w:rPr>
      </w:pPr>
      <w:r>
        <w:rPr>
          <w:rFonts w:hint="eastAsia" w:ascii="宋体" w:hAnsi="宋体"/>
          <w:color w:val="000000"/>
          <w:sz w:val="24"/>
        </w:rPr>
        <w:t>据此函，我方宣布同意如下：</w:t>
      </w:r>
    </w:p>
    <w:p>
      <w:pPr>
        <w:spacing w:line="360" w:lineRule="auto"/>
        <w:ind w:firstLine="480" w:firstLineChars="200"/>
        <w:contextualSpacing/>
        <w:rPr>
          <w:rFonts w:hint="eastAsia" w:ascii="宋体" w:hAnsi="宋体"/>
          <w:color w:val="000000"/>
          <w:sz w:val="24"/>
        </w:rPr>
      </w:pPr>
      <w:r>
        <w:rPr>
          <w:rFonts w:hint="eastAsia" w:ascii="宋体" w:hAnsi="宋体"/>
          <w:color w:val="000000"/>
          <w:sz w:val="24"/>
        </w:rPr>
        <w:t>1.我方已详细审查全部“招标文件”，包括修改文件（如有的话）以及全部参考资料和有关附件，已经了解我方对于招标文件、采购过程、采购结果有依法进行询问、质疑、投诉的权利及相关渠道和要求。</w:t>
      </w:r>
    </w:p>
    <w:p>
      <w:pPr>
        <w:spacing w:line="360" w:lineRule="auto"/>
        <w:ind w:firstLine="480" w:firstLineChars="200"/>
        <w:contextualSpacing/>
        <w:rPr>
          <w:rFonts w:hint="eastAsia" w:ascii="宋体" w:hAnsi="宋体"/>
          <w:color w:val="000000"/>
          <w:sz w:val="24"/>
        </w:rPr>
      </w:pPr>
      <w:r>
        <w:rPr>
          <w:rFonts w:hint="eastAsia" w:ascii="宋体" w:hAnsi="宋体"/>
          <w:color w:val="000000"/>
          <w:sz w:val="24"/>
        </w:rPr>
        <w:t>2.我方在投标之前已经完全理解并接受招标文件的各项规定和要求，对招标文件的合理性、合法性不再有异议。</w:t>
      </w:r>
    </w:p>
    <w:p>
      <w:pPr>
        <w:spacing w:line="360" w:lineRule="auto"/>
        <w:ind w:firstLine="480" w:firstLineChars="200"/>
        <w:contextualSpacing/>
        <w:rPr>
          <w:rFonts w:hint="eastAsia" w:ascii="宋体" w:hAnsi="宋体"/>
          <w:color w:val="000000"/>
          <w:sz w:val="24"/>
        </w:rPr>
      </w:pPr>
      <w:r>
        <w:rPr>
          <w:rFonts w:hint="eastAsia" w:ascii="宋体" w:hAnsi="宋体"/>
          <w:color w:val="000000"/>
          <w:sz w:val="24"/>
        </w:rPr>
        <w:t>3.本投标有效期自投标截止之日起</w:t>
      </w:r>
      <w:r>
        <w:rPr>
          <w:rFonts w:ascii="宋体" w:hAnsi="宋体"/>
          <w:color w:val="000000"/>
          <w:sz w:val="24"/>
          <w:u w:val="single"/>
        </w:rPr>
        <w:t xml:space="preserve">    </w:t>
      </w:r>
      <w:r>
        <w:rPr>
          <w:rFonts w:hint="eastAsia" w:ascii="宋体" w:hAnsi="宋体"/>
          <w:color w:val="000000"/>
          <w:sz w:val="24"/>
        </w:rPr>
        <w:t>日。</w:t>
      </w:r>
    </w:p>
    <w:p>
      <w:pPr>
        <w:spacing w:line="360" w:lineRule="auto"/>
        <w:ind w:firstLine="480" w:firstLineChars="200"/>
        <w:contextualSpacing/>
        <w:rPr>
          <w:rFonts w:hint="eastAsia" w:ascii="宋体" w:hAnsi="宋体"/>
          <w:color w:val="000000"/>
          <w:sz w:val="24"/>
        </w:rPr>
      </w:pPr>
      <w:r>
        <w:rPr>
          <w:rFonts w:hint="eastAsia" w:ascii="宋体" w:hAnsi="宋体"/>
          <w:color w:val="000000"/>
          <w:sz w:val="24"/>
        </w:rPr>
        <w:t>4.如中标，本投标文件至本项目合同履行完毕止均保持有效，我方将按“招标文件”及政府采购法律、法规的规定履行合同责任和义务。</w:t>
      </w:r>
    </w:p>
    <w:p>
      <w:pPr>
        <w:spacing w:line="360" w:lineRule="auto"/>
        <w:ind w:firstLine="480" w:firstLineChars="200"/>
        <w:contextualSpacing/>
        <w:rPr>
          <w:rFonts w:hint="eastAsia" w:ascii="宋体" w:hAnsi="宋体"/>
          <w:color w:val="000000"/>
          <w:sz w:val="24"/>
        </w:rPr>
      </w:pPr>
      <w:r>
        <w:rPr>
          <w:rFonts w:hint="eastAsia" w:ascii="宋体" w:hAnsi="宋体"/>
          <w:color w:val="000000"/>
          <w:sz w:val="24"/>
        </w:rPr>
        <w:t>5.我方同意按照贵方要求提供与投标有关的一切数据或者资料。</w:t>
      </w:r>
    </w:p>
    <w:p>
      <w:pPr>
        <w:spacing w:line="360" w:lineRule="auto"/>
        <w:ind w:firstLine="480" w:firstLineChars="200"/>
        <w:contextualSpacing/>
        <w:rPr>
          <w:rFonts w:hint="eastAsia" w:ascii="宋体" w:hAnsi="宋体"/>
          <w:color w:val="000000"/>
          <w:sz w:val="24"/>
        </w:rPr>
      </w:pPr>
      <w:r>
        <w:rPr>
          <w:rFonts w:hint="eastAsia" w:ascii="宋体" w:hAnsi="宋体"/>
          <w:color w:val="000000"/>
          <w:sz w:val="24"/>
        </w:rPr>
        <w:t>6.我方向贵方提交的所有投标文件、资料都是准确的和真实的。</w:t>
      </w:r>
    </w:p>
    <w:p>
      <w:pPr>
        <w:spacing w:line="360" w:lineRule="auto"/>
        <w:ind w:firstLine="480" w:firstLineChars="200"/>
        <w:contextualSpacing/>
        <w:rPr>
          <w:rFonts w:hint="eastAsia" w:ascii="宋体" w:hAnsi="宋体"/>
          <w:color w:val="000000"/>
          <w:sz w:val="24"/>
        </w:rPr>
      </w:pPr>
      <w:r>
        <w:rPr>
          <w:rFonts w:hint="eastAsia" w:ascii="宋体" w:hAnsi="宋体"/>
          <w:color w:val="000000"/>
          <w:sz w:val="24"/>
        </w:rPr>
        <w:t>7.以上事项如有虚假或者隐瞒，我方愿意承担一切后果，并不再寻求任何旨在减轻或者免除法律责任的辩解。</w:t>
      </w:r>
    </w:p>
    <w:p>
      <w:pPr>
        <w:spacing w:line="360" w:lineRule="auto"/>
        <w:ind w:firstLine="480" w:firstLineChars="200"/>
        <w:contextualSpacing/>
        <w:rPr>
          <w:rFonts w:hint="eastAsia" w:ascii="宋体" w:hAnsi="宋体"/>
          <w:color w:val="000000"/>
          <w:sz w:val="24"/>
        </w:rPr>
      </w:pPr>
      <w:r>
        <w:rPr>
          <w:rFonts w:hint="eastAsia" w:ascii="宋体" w:hAnsi="宋体"/>
          <w:color w:val="000000"/>
          <w:sz w:val="24"/>
        </w:rPr>
        <w:t>8.根据</w:t>
      </w:r>
      <w:r>
        <w:rPr>
          <w:rFonts w:ascii="宋体" w:hAnsi="宋体"/>
          <w:color w:val="000000"/>
          <w:sz w:val="24"/>
        </w:rPr>
        <w:t>《中华人民共和国政府采购法实施条例》第五十条要求对政府采购合同进行公告</w:t>
      </w:r>
      <w:r>
        <w:rPr>
          <w:rFonts w:hint="eastAsia" w:ascii="宋体" w:hAnsi="宋体"/>
          <w:color w:val="000000"/>
          <w:sz w:val="24"/>
        </w:rPr>
        <w:t>，</w:t>
      </w:r>
      <w:r>
        <w:rPr>
          <w:rFonts w:ascii="宋体" w:hAnsi="宋体"/>
          <w:color w:val="000000"/>
          <w:sz w:val="24"/>
        </w:rPr>
        <w:t>但政府采购合同中涉及国家秘密、商业秘密的内容除外。</w:t>
      </w:r>
      <w:r>
        <w:rPr>
          <w:rFonts w:hint="eastAsia" w:ascii="宋体" w:hAnsi="宋体"/>
          <w:color w:val="000000"/>
          <w:sz w:val="24"/>
        </w:rPr>
        <w:t>我方就对本次投标文件进行注明如下：（两项内容中必须选择一项）</w:t>
      </w:r>
    </w:p>
    <w:p>
      <w:pPr>
        <w:spacing w:line="360" w:lineRule="auto"/>
        <w:ind w:firstLine="480" w:firstLineChars="200"/>
        <w:contextualSpacing/>
        <w:rPr>
          <w:rFonts w:hint="eastAsia" w:ascii="宋体" w:hAnsi="宋体"/>
          <w:color w:val="000000"/>
          <w:sz w:val="24"/>
        </w:rPr>
      </w:pPr>
      <w:r>
        <w:rPr>
          <w:rFonts w:hint="eastAsia" w:ascii="宋体" w:hAnsi="宋体"/>
          <w:color w:val="000000"/>
          <w:sz w:val="24"/>
        </w:rPr>
        <w:t>□我方本次投标文件</w:t>
      </w:r>
      <w:r>
        <w:rPr>
          <w:rFonts w:ascii="宋体" w:hAnsi="宋体" w:cs="宋体"/>
          <w:color w:val="000000"/>
          <w:kern w:val="0"/>
          <w:sz w:val="24"/>
        </w:rPr>
        <w:t>内容中</w:t>
      </w:r>
      <w:r>
        <w:rPr>
          <w:rFonts w:hint="eastAsia" w:ascii="宋体" w:hAnsi="宋体"/>
          <w:color w:val="000000"/>
          <w:sz w:val="24"/>
        </w:rPr>
        <w:t>未</w:t>
      </w:r>
      <w:r>
        <w:rPr>
          <w:rFonts w:ascii="宋体" w:hAnsi="宋体" w:cs="宋体"/>
          <w:color w:val="000000"/>
          <w:kern w:val="0"/>
          <w:sz w:val="24"/>
        </w:rPr>
        <w:t>涉及商业秘密</w:t>
      </w:r>
      <w:r>
        <w:rPr>
          <w:rFonts w:hint="eastAsia" w:ascii="宋体" w:hAnsi="宋体" w:cs="宋体"/>
          <w:color w:val="000000"/>
          <w:kern w:val="0"/>
          <w:sz w:val="24"/>
        </w:rPr>
        <w:t>；</w:t>
      </w:r>
    </w:p>
    <w:p>
      <w:pPr>
        <w:spacing w:line="360" w:lineRule="auto"/>
        <w:ind w:firstLine="480" w:firstLineChars="200"/>
        <w:contextualSpacing/>
        <w:rPr>
          <w:rFonts w:hint="eastAsia" w:ascii="宋体" w:hAnsi="宋体"/>
          <w:color w:val="000000"/>
          <w:sz w:val="24"/>
        </w:rPr>
      </w:pPr>
      <w:r>
        <w:rPr>
          <w:rFonts w:hint="eastAsia" w:ascii="宋体" w:hAnsi="宋体"/>
          <w:color w:val="000000"/>
          <w:sz w:val="24"/>
        </w:rPr>
        <w:t>□我方本次投标文件</w:t>
      </w:r>
      <w:r>
        <w:rPr>
          <w:rFonts w:ascii="宋体" w:hAnsi="宋体" w:cs="宋体"/>
          <w:color w:val="000000"/>
          <w:kern w:val="0"/>
          <w:sz w:val="24"/>
        </w:rPr>
        <w:t>涉及商业秘密</w:t>
      </w:r>
      <w:r>
        <w:rPr>
          <w:rFonts w:hint="eastAsia" w:ascii="宋体" w:hAnsi="宋体" w:cs="宋体"/>
          <w:color w:val="000000"/>
          <w:kern w:val="0"/>
          <w:sz w:val="24"/>
        </w:rPr>
        <w:t>的</w:t>
      </w:r>
      <w:r>
        <w:rPr>
          <w:rFonts w:ascii="宋体" w:hAnsi="宋体" w:cs="宋体"/>
          <w:color w:val="000000"/>
          <w:kern w:val="0"/>
          <w:sz w:val="24"/>
        </w:rPr>
        <w:t>内容</w:t>
      </w:r>
      <w:r>
        <w:rPr>
          <w:rFonts w:hint="eastAsia" w:ascii="宋体" w:hAnsi="宋体" w:cs="宋体"/>
          <w:color w:val="000000"/>
          <w:kern w:val="0"/>
          <w:sz w:val="24"/>
        </w:rPr>
        <w:t>有：</w:t>
      </w:r>
      <w:r>
        <w:rPr>
          <w:rFonts w:hint="eastAsia" w:ascii="宋体" w:hAnsi="宋体" w:cs="宋体"/>
          <w:color w:val="000000"/>
          <w:kern w:val="0"/>
          <w:sz w:val="24"/>
          <w:u w:val="single"/>
        </w:rPr>
        <w:t xml:space="preserve">                         </w:t>
      </w:r>
      <w:r>
        <w:rPr>
          <w:rFonts w:hint="eastAsia" w:ascii="宋体" w:hAnsi="宋体" w:cs="宋体"/>
          <w:color w:val="000000"/>
          <w:kern w:val="0"/>
          <w:sz w:val="24"/>
        </w:rPr>
        <w:t>；</w:t>
      </w:r>
    </w:p>
    <w:p>
      <w:pPr>
        <w:spacing w:line="360" w:lineRule="auto"/>
        <w:ind w:firstLine="480" w:firstLineChars="200"/>
        <w:contextualSpacing/>
        <w:rPr>
          <w:rFonts w:hint="eastAsia" w:ascii="宋体" w:hAnsi="宋体"/>
          <w:color w:val="000000"/>
          <w:sz w:val="24"/>
        </w:rPr>
      </w:pPr>
      <w:r>
        <w:rPr>
          <w:rFonts w:hint="eastAsia" w:ascii="宋体" w:hAnsi="宋体"/>
          <w:color w:val="000000"/>
          <w:sz w:val="24"/>
        </w:rPr>
        <w:t>9.与本投标有关的一切正式往来信函请寄：</w:t>
      </w:r>
    </w:p>
    <w:p>
      <w:pPr>
        <w:spacing w:line="360" w:lineRule="auto"/>
        <w:ind w:firstLine="480" w:firstLineChars="200"/>
        <w:contextualSpacing/>
        <w:rPr>
          <w:rFonts w:hint="eastAsia" w:ascii="宋体" w:hAnsi="宋体"/>
          <w:color w:val="000000"/>
          <w:sz w:val="24"/>
          <w:u w:val="single"/>
        </w:rPr>
      </w:pPr>
      <w:r>
        <w:rPr>
          <w:rFonts w:hint="eastAsia" w:ascii="宋体" w:hAnsi="宋体"/>
          <w:color w:val="000000"/>
          <w:sz w:val="24"/>
        </w:rPr>
        <w:t>地址：</w:t>
      </w:r>
      <w:r>
        <w:rPr>
          <w:rFonts w:hint="eastAsia" w:ascii="宋体" w:hAnsi="宋体"/>
          <w:color w:val="000000"/>
          <w:sz w:val="24"/>
          <w:u w:val="single"/>
        </w:rPr>
        <w:t xml:space="preserve">          </w:t>
      </w:r>
      <w:r>
        <w:rPr>
          <w:rFonts w:hint="eastAsia" w:ascii="宋体" w:hAnsi="宋体"/>
          <w:color w:val="000000"/>
          <w:sz w:val="24"/>
        </w:rPr>
        <w:t>邮编：</w:t>
      </w:r>
      <w:r>
        <w:rPr>
          <w:rFonts w:hint="eastAsia" w:ascii="宋体" w:hAnsi="宋体"/>
          <w:color w:val="000000"/>
          <w:sz w:val="24"/>
          <w:u w:val="single"/>
        </w:rPr>
        <w:t xml:space="preserve">            </w:t>
      </w:r>
    </w:p>
    <w:p>
      <w:pPr>
        <w:spacing w:line="360" w:lineRule="auto"/>
        <w:ind w:firstLine="480" w:firstLineChars="200"/>
        <w:contextualSpacing/>
        <w:rPr>
          <w:rFonts w:hint="eastAsia" w:ascii="宋体" w:hAnsi="宋体"/>
          <w:color w:val="000000"/>
          <w:sz w:val="24"/>
        </w:rPr>
      </w:pPr>
      <w:r>
        <w:rPr>
          <w:rFonts w:hint="eastAsia" w:ascii="宋体" w:hAnsi="宋体"/>
          <w:color w:val="000000"/>
          <w:sz w:val="24"/>
        </w:rPr>
        <w:t>电话：</w:t>
      </w:r>
      <w:r>
        <w:rPr>
          <w:rFonts w:hint="eastAsia" w:ascii="宋体" w:hAnsi="宋体"/>
          <w:color w:val="000000"/>
          <w:sz w:val="24"/>
          <w:u w:val="single"/>
        </w:rPr>
        <w:t xml:space="preserve">        </w:t>
      </w:r>
      <w:r>
        <w:rPr>
          <w:rFonts w:hint="eastAsia" w:ascii="宋体" w:hAnsi="宋体"/>
          <w:color w:val="000000"/>
          <w:sz w:val="24"/>
        </w:rPr>
        <w:t>传真：</w:t>
      </w:r>
      <w:r>
        <w:rPr>
          <w:rFonts w:hint="eastAsia" w:ascii="宋体" w:hAnsi="宋体"/>
          <w:color w:val="000000"/>
          <w:sz w:val="24"/>
          <w:u w:val="single"/>
        </w:rPr>
        <w:t xml:space="preserve">         </w:t>
      </w:r>
      <w:r>
        <w:rPr>
          <w:rFonts w:hint="eastAsia" w:ascii="宋体" w:hAnsi="宋体"/>
          <w:color w:val="000000"/>
          <w:sz w:val="24"/>
        </w:rPr>
        <w:t xml:space="preserve"> 邮箱：</w:t>
      </w:r>
      <w:r>
        <w:rPr>
          <w:rFonts w:hint="eastAsia" w:ascii="宋体" w:hAnsi="宋体"/>
          <w:color w:val="000000"/>
          <w:sz w:val="24"/>
          <w:u w:val="single"/>
        </w:rPr>
        <w:t xml:space="preserve"> </w:t>
      </w:r>
      <w:r>
        <w:rPr>
          <w:rFonts w:ascii="宋体" w:hAnsi="宋体"/>
          <w:color w:val="000000"/>
          <w:sz w:val="24"/>
          <w:u w:val="single"/>
        </w:rPr>
        <w:t xml:space="preserve">        </w:t>
      </w:r>
    </w:p>
    <w:p>
      <w:pPr>
        <w:spacing w:line="360" w:lineRule="auto"/>
        <w:ind w:firstLine="480" w:firstLineChars="200"/>
        <w:contextualSpacing/>
        <w:rPr>
          <w:rFonts w:hint="eastAsia" w:ascii="宋体" w:hAnsi="宋体"/>
          <w:color w:val="000000"/>
          <w:sz w:val="24"/>
        </w:rPr>
      </w:pPr>
      <w:r>
        <w:rPr>
          <w:rFonts w:hint="eastAsia" w:ascii="宋体" w:hAnsi="宋体"/>
          <w:color w:val="000000"/>
          <w:sz w:val="24"/>
        </w:rPr>
        <w:t>投标人名称:</w:t>
      </w:r>
      <w:r>
        <w:rPr>
          <w:rFonts w:hint="eastAsia" w:ascii="宋体" w:hAnsi="宋体"/>
          <w:color w:val="000000"/>
          <w:sz w:val="24"/>
          <w:u w:val="single"/>
        </w:rPr>
        <w:t xml:space="preserve">                </w:t>
      </w:r>
    </w:p>
    <w:p>
      <w:pPr>
        <w:spacing w:line="360" w:lineRule="auto"/>
        <w:ind w:firstLine="480" w:firstLineChars="200"/>
        <w:contextualSpacing/>
        <w:jc w:val="left"/>
        <w:rPr>
          <w:rFonts w:hint="eastAsia" w:ascii="宋体" w:hAnsi="宋体"/>
          <w:color w:val="000000"/>
          <w:sz w:val="24"/>
        </w:rPr>
      </w:pPr>
      <w:r>
        <w:rPr>
          <w:rFonts w:hint="eastAsia" w:ascii="宋体" w:hAnsi="宋体"/>
          <w:color w:val="000000"/>
          <w:sz w:val="24"/>
        </w:rPr>
        <w:t>开户银行：</w:t>
      </w:r>
      <w:r>
        <w:rPr>
          <w:rFonts w:hint="eastAsia" w:ascii="宋体" w:hAnsi="宋体"/>
          <w:color w:val="000000"/>
          <w:sz w:val="24"/>
          <w:u w:val="single"/>
        </w:rPr>
        <w:t xml:space="preserve">                      </w:t>
      </w:r>
      <w:r>
        <w:rPr>
          <w:rFonts w:hint="eastAsia" w:ascii="宋体" w:hAnsi="宋体"/>
          <w:color w:val="000000"/>
          <w:sz w:val="24"/>
        </w:rPr>
        <w:t xml:space="preserve">   银行帐号：</w:t>
      </w:r>
      <w:r>
        <w:rPr>
          <w:rFonts w:hint="eastAsia" w:ascii="宋体" w:hAnsi="宋体"/>
          <w:color w:val="000000"/>
          <w:sz w:val="24"/>
          <w:u w:val="single"/>
        </w:rPr>
        <w:t xml:space="preserve">                    </w:t>
      </w:r>
      <w:r>
        <w:rPr>
          <w:rFonts w:hint="eastAsia" w:ascii="宋体" w:hAnsi="宋体"/>
          <w:color w:val="000000"/>
          <w:sz w:val="24"/>
        </w:rPr>
        <w:t xml:space="preserve"> </w:t>
      </w:r>
    </w:p>
    <w:p>
      <w:pPr>
        <w:spacing w:line="360" w:lineRule="auto"/>
        <w:ind w:firstLine="480" w:firstLineChars="200"/>
        <w:contextualSpacing/>
        <w:jc w:val="left"/>
        <w:rPr>
          <w:rFonts w:hint="eastAsia" w:ascii="宋体" w:hAnsi="宋体"/>
          <w:color w:val="000000"/>
          <w:sz w:val="24"/>
        </w:rPr>
      </w:pPr>
      <w:r>
        <w:rPr>
          <w:rFonts w:hint="eastAsia" w:ascii="宋体" w:hAnsi="宋体"/>
          <w:color w:val="000000"/>
          <w:sz w:val="24"/>
        </w:rPr>
        <w:t xml:space="preserve">法定代表人或者委托代理人签字/电子签名:___________ </w:t>
      </w:r>
    </w:p>
    <w:p>
      <w:pPr>
        <w:pStyle w:val="15"/>
        <w:spacing w:line="360" w:lineRule="auto"/>
        <w:contextualSpacing/>
        <w:jc w:val="center"/>
        <w:rPr>
          <w:rFonts w:hint="eastAsia" w:hAnsi="宋体"/>
          <w:color w:val="000000"/>
          <w:sz w:val="24"/>
          <w:lang w:eastAsia="zh-CN"/>
        </w:rPr>
      </w:pPr>
      <w:r>
        <w:rPr>
          <w:rFonts w:hint="eastAsia" w:hAnsi="宋体"/>
          <w:color w:val="000000"/>
          <w:sz w:val="24"/>
        </w:rPr>
        <w:t xml:space="preserve"> </w:t>
      </w:r>
      <w:r>
        <w:rPr>
          <w:rFonts w:hAnsi="宋体"/>
          <w:color w:val="000000"/>
          <w:sz w:val="24"/>
        </w:rPr>
        <w:t xml:space="preserve">                                   </w:t>
      </w:r>
    </w:p>
    <w:p>
      <w:pPr>
        <w:pStyle w:val="15"/>
        <w:spacing w:line="360" w:lineRule="auto"/>
        <w:contextualSpacing/>
        <w:jc w:val="center"/>
        <w:rPr>
          <w:rFonts w:hint="eastAsia" w:hAnsi="宋体"/>
          <w:color w:val="000000"/>
          <w:sz w:val="24"/>
          <w:lang w:eastAsia="zh-CN"/>
        </w:rPr>
      </w:pPr>
    </w:p>
    <w:p>
      <w:pPr>
        <w:pStyle w:val="15"/>
        <w:spacing w:line="360" w:lineRule="auto"/>
        <w:contextualSpacing/>
        <w:jc w:val="center"/>
        <w:rPr>
          <w:rFonts w:hint="eastAsia" w:hAnsi="宋体"/>
          <w:color w:val="000000"/>
          <w:sz w:val="24"/>
          <w:szCs w:val="24"/>
          <w:u w:val="single"/>
        </w:rPr>
      </w:pPr>
      <w:r>
        <w:rPr>
          <w:rFonts w:hint="eastAsia" w:hAnsi="宋体"/>
          <w:color w:val="000000"/>
          <w:sz w:val="24"/>
        </w:rPr>
        <w:t>投标人名称（电子签章）：</w:t>
      </w:r>
    </w:p>
    <w:p>
      <w:pPr>
        <w:pStyle w:val="15"/>
        <w:spacing w:line="360" w:lineRule="auto"/>
        <w:contextualSpacing/>
        <w:rPr>
          <w:rFonts w:hint="eastAsia" w:hAnsi="宋体"/>
          <w:color w:val="000000"/>
          <w:sz w:val="24"/>
        </w:rPr>
      </w:pPr>
      <w:r>
        <w:rPr>
          <w:rFonts w:hint="eastAsia" w:hAnsi="宋体"/>
          <w:color w:val="000000"/>
          <w:sz w:val="24"/>
          <w:szCs w:val="24"/>
        </w:rPr>
        <w:t xml:space="preserve">                                                </w:t>
      </w:r>
      <w:r>
        <w:rPr>
          <w:rFonts w:hint="eastAsia" w:hAnsi="宋体"/>
          <w:color w:val="000000"/>
          <w:sz w:val="24"/>
          <w:szCs w:val="24"/>
          <w:u w:val="single"/>
        </w:rPr>
        <w:t xml:space="preserve">      </w:t>
      </w:r>
      <w:r>
        <w:rPr>
          <w:rFonts w:hint="eastAsia" w:hAnsi="宋体"/>
          <w:color w:val="000000"/>
          <w:sz w:val="24"/>
          <w:szCs w:val="24"/>
        </w:rPr>
        <w:t>年</w:t>
      </w:r>
      <w:r>
        <w:rPr>
          <w:rFonts w:hint="eastAsia" w:hAnsi="宋体"/>
          <w:color w:val="000000"/>
          <w:sz w:val="24"/>
          <w:szCs w:val="24"/>
          <w:u w:val="single"/>
        </w:rPr>
        <w:t xml:space="preserve">    </w:t>
      </w:r>
      <w:r>
        <w:rPr>
          <w:rFonts w:hint="eastAsia" w:hAnsi="宋体"/>
          <w:color w:val="000000"/>
          <w:sz w:val="24"/>
          <w:szCs w:val="24"/>
        </w:rPr>
        <w:t>月</w:t>
      </w:r>
      <w:r>
        <w:rPr>
          <w:rFonts w:hint="eastAsia" w:hAnsi="宋体"/>
          <w:color w:val="000000"/>
          <w:sz w:val="24"/>
          <w:szCs w:val="24"/>
          <w:u w:val="single"/>
        </w:rPr>
        <w:t xml:space="preserve">     </w:t>
      </w:r>
      <w:r>
        <w:rPr>
          <w:rFonts w:hint="eastAsia" w:hAnsi="宋体"/>
          <w:color w:val="000000"/>
          <w:sz w:val="24"/>
          <w:szCs w:val="24"/>
        </w:rPr>
        <w:t>日</w:t>
      </w:r>
    </w:p>
    <w:p>
      <w:pPr>
        <w:snapToGrid w:val="0"/>
        <w:spacing w:before="120" w:beforeLines="50" w:after="50"/>
        <w:jc w:val="left"/>
        <w:rPr>
          <w:rFonts w:hint="eastAsia" w:ascii="宋体" w:hAnsi="宋体"/>
          <w:b/>
          <w:color w:val="000000"/>
          <w:sz w:val="24"/>
          <w:szCs w:val="20"/>
        </w:rPr>
      </w:pPr>
      <w:r>
        <w:rPr>
          <w:rFonts w:hAnsi="宋体"/>
          <w:color w:val="000000"/>
          <w:u w:val="single"/>
        </w:rPr>
        <w:br w:type="page"/>
      </w:r>
      <w:r>
        <w:rPr>
          <w:rFonts w:hint="eastAsia" w:ascii="宋体" w:hAnsi="宋体"/>
          <w:b/>
          <w:color w:val="000000"/>
          <w:sz w:val="24"/>
        </w:rPr>
        <w:t>4. 开标一览表（货物类格式）</w:t>
      </w:r>
    </w:p>
    <w:p>
      <w:pPr>
        <w:snapToGrid w:val="0"/>
        <w:spacing w:before="50" w:after="50"/>
        <w:jc w:val="center"/>
        <w:rPr>
          <w:rFonts w:hint="eastAsia" w:ascii="宋体" w:hAnsi="宋体"/>
          <w:b/>
          <w:color w:val="000000"/>
          <w:sz w:val="30"/>
        </w:rPr>
      </w:pPr>
      <w:r>
        <w:rPr>
          <w:rFonts w:hint="eastAsia" w:ascii="宋体" w:hAnsi="宋体"/>
          <w:b/>
          <w:color w:val="000000"/>
          <w:sz w:val="30"/>
        </w:rPr>
        <w:t>开标一览表</w:t>
      </w:r>
    </w:p>
    <w:p>
      <w:pPr>
        <w:snapToGrid w:val="0"/>
        <w:spacing w:before="50" w:after="50"/>
        <w:jc w:val="center"/>
        <w:rPr>
          <w:rFonts w:hint="eastAsia" w:ascii="宋体" w:hAnsi="宋体"/>
          <w:b/>
          <w:color w:val="000000"/>
          <w:sz w:val="30"/>
          <w:szCs w:val="20"/>
        </w:rPr>
      </w:pPr>
    </w:p>
    <w:p>
      <w:pPr>
        <w:snapToGrid w:val="0"/>
        <w:spacing w:before="50" w:after="50" w:line="360" w:lineRule="auto"/>
        <w:rPr>
          <w:rFonts w:hint="eastAsia" w:ascii="宋体" w:hAnsi="宋体"/>
          <w:color w:val="000000"/>
          <w:sz w:val="24"/>
          <w:u w:val="single"/>
        </w:rPr>
      </w:pPr>
      <w:r>
        <w:rPr>
          <w:rFonts w:hint="eastAsia" w:ascii="宋体" w:hAnsi="宋体"/>
          <w:color w:val="000000"/>
          <w:sz w:val="24"/>
        </w:rPr>
        <w:t>项目名称：</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项目编号：</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 xml:space="preserve">         分标：</w:t>
      </w:r>
      <w:r>
        <w:rPr>
          <w:rFonts w:hint="eastAsia" w:ascii="宋体" w:hAnsi="宋体"/>
          <w:color w:val="000000"/>
          <w:sz w:val="24"/>
          <w:u w:val="single"/>
        </w:rPr>
        <w:t xml:space="preserve">           </w:t>
      </w:r>
    </w:p>
    <w:p>
      <w:pPr>
        <w:snapToGrid w:val="0"/>
        <w:spacing w:before="50" w:after="50" w:line="360" w:lineRule="auto"/>
        <w:rPr>
          <w:rFonts w:hint="eastAsia" w:ascii="宋体" w:hAnsi="宋体"/>
          <w:color w:val="000000"/>
          <w:sz w:val="24"/>
        </w:rPr>
      </w:pPr>
      <w:r>
        <w:rPr>
          <w:rFonts w:hint="eastAsia" w:ascii="宋体" w:hAnsi="宋体"/>
          <w:color w:val="000000"/>
          <w:sz w:val="24"/>
        </w:rPr>
        <w:t>投标人名称：</w:t>
      </w:r>
      <w:r>
        <w:rPr>
          <w:rFonts w:hint="eastAsia" w:ascii="宋体" w:hAnsi="宋体"/>
          <w:color w:val="000000"/>
          <w:sz w:val="24"/>
          <w:u w:val="single"/>
        </w:rPr>
        <w:t xml:space="preserve">                     </w:t>
      </w:r>
      <w:r>
        <w:rPr>
          <w:rFonts w:hint="eastAsia" w:ascii="宋体" w:hAnsi="宋体"/>
          <w:color w:val="000000"/>
          <w:sz w:val="24"/>
        </w:rPr>
        <w:t xml:space="preserve">                       单位：元</w:t>
      </w:r>
    </w:p>
    <w:p>
      <w:pPr>
        <w:snapToGrid w:val="0"/>
        <w:spacing w:before="50" w:after="50" w:line="360" w:lineRule="exact"/>
        <w:rPr>
          <w:rFonts w:ascii="宋体" w:hAnsi="宋体"/>
          <w:color w:val="auto"/>
          <w:szCs w:val="21"/>
          <w:highlight w:val="none"/>
          <w:u w:val="single"/>
        </w:rPr>
      </w:pPr>
      <w:r>
        <w:rPr>
          <w:rFonts w:hint="eastAsia" w:ascii="宋体" w:hAnsi="宋体"/>
          <w:color w:val="auto"/>
          <w:szCs w:val="21"/>
          <w:highlight w:val="none"/>
        </w:rPr>
        <w:t>招标编号：</w:t>
      </w:r>
    </w:p>
    <w:p>
      <w:pPr>
        <w:snapToGrid w:val="0"/>
        <w:spacing w:before="50" w:after="50" w:line="360" w:lineRule="exact"/>
        <w:rPr>
          <w:rFonts w:ascii="宋体" w:hAnsi="宋体"/>
          <w:color w:val="auto"/>
          <w:szCs w:val="21"/>
          <w:highlight w:val="none"/>
        </w:rPr>
      </w:pPr>
      <w:r>
        <w:rPr>
          <w:rFonts w:hint="eastAsia" w:ascii="宋体" w:hAnsi="宋体"/>
          <w:color w:val="auto"/>
          <w:szCs w:val="21"/>
          <w:highlight w:val="none"/>
        </w:rPr>
        <w:t>项目名称：</w:t>
      </w:r>
    </w:p>
    <w:p>
      <w:pPr>
        <w:snapToGrid w:val="0"/>
        <w:spacing w:before="50" w:after="50" w:line="360" w:lineRule="exact"/>
        <w:rPr>
          <w:rFonts w:ascii="宋体" w:hAnsi="宋体"/>
          <w:color w:val="auto"/>
          <w:szCs w:val="21"/>
          <w:highlight w:val="none"/>
        </w:rPr>
      </w:pPr>
      <w:r>
        <w:rPr>
          <w:rFonts w:hint="eastAsia" w:ascii="宋体" w:hAnsi="宋体"/>
          <w:color w:val="auto"/>
          <w:szCs w:val="21"/>
          <w:highlight w:val="none"/>
        </w:rPr>
        <w:t>分标：</w:t>
      </w:r>
      <w:r>
        <w:rPr>
          <w:rFonts w:hint="eastAsia" w:ascii="宋体" w:hAnsi="宋体"/>
          <w:color w:val="auto"/>
          <w:szCs w:val="21"/>
          <w:highlight w:val="none"/>
          <w:u w:val="single"/>
        </w:rPr>
        <w:t xml:space="preserve"> （如有）</w:t>
      </w:r>
      <w:r>
        <w:rPr>
          <w:rFonts w:hint="eastAsia" w:ascii="宋体" w:hAnsi="宋体"/>
          <w:color w:val="auto"/>
          <w:szCs w:val="21"/>
          <w:highlight w:val="none"/>
        </w:rPr>
        <w:t xml:space="preserve">                                                            单位：元</w:t>
      </w:r>
    </w:p>
    <w:tbl>
      <w:tblPr>
        <w:tblStyle w:val="24"/>
        <w:tblW w:w="9999"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1620"/>
        <w:gridCol w:w="2093"/>
        <w:gridCol w:w="1134"/>
        <w:gridCol w:w="1701"/>
        <w:gridCol w:w="1559"/>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18"/>
              </w:tabs>
              <w:snapToGrid w:val="0"/>
              <w:spacing w:before="50" w:beforeAutospacing="0" w:after="50" w:afterAutospacing="0" w:line="360" w:lineRule="exact"/>
              <w:ind w:left="0" w:right="0"/>
              <w:jc w:val="center"/>
              <w:rPr>
                <w:rFonts w:hint="default" w:ascii="宋体" w:hAnsi="宋体"/>
                <w:color w:val="auto"/>
                <w:spacing w:val="20"/>
                <w:szCs w:val="21"/>
                <w:highlight w:val="none"/>
              </w:rPr>
            </w:pPr>
            <w:r>
              <w:rPr>
                <w:rFonts w:hint="eastAsia" w:ascii="宋体" w:hAnsi="宋体"/>
                <w:color w:val="auto"/>
                <w:szCs w:val="21"/>
                <w:highlight w:val="none"/>
              </w:rPr>
              <w:t>序号</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18"/>
              </w:tabs>
              <w:snapToGrid w:val="0"/>
              <w:spacing w:before="50" w:beforeAutospacing="0" w:after="50" w:afterAutospacing="0" w:line="360" w:lineRule="exact"/>
              <w:ind w:left="0" w:right="0"/>
              <w:jc w:val="center"/>
              <w:rPr>
                <w:rFonts w:hint="default" w:ascii="宋体" w:hAnsi="宋体"/>
                <w:color w:val="auto"/>
                <w:spacing w:val="20"/>
                <w:szCs w:val="21"/>
                <w:highlight w:val="none"/>
              </w:rPr>
            </w:pPr>
            <w:r>
              <w:rPr>
                <w:rFonts w:hint="eastAsia" w:ascii="宋体" w:hAnsi="宋体"/>
                <w:color w:val="auto"/>
                <w:szCs w:val="21"/>
                <w:highlight w:val="none"/>
              </w:rPr>
              <w:t>货物名称</w:t>
            </w:r>
          </w:p>
        </w:tc>
        <w:tc>
          <w:tcPr>
            <w:tcW w:w="2093" w:type="dxa"/>
            <w:tcBorders>
              <w:top w:val="single" w:color="auto" w:sz="4" w:space="0"/>
              <w:left w:val="single" w:color="auto" w:sz="4" w:space="0"/>
              <w:bottom w:val="single" w:color="auto" w:sz="4" w:space="0"/>
              <w:right w:val="single" w:color="auto" w:sz="4" w:space="0"/>
            </w:tcBorders>
            <w:vAlign w:val="center"/>
          </w:tcPr>
          <w:p>
            <w:pPr>
              <w:pStyle w:val="36"/>
              <w:keepNext w:val="0"/>
              <w:keepLines w:val="0"/>
              <w:suppressLineNumbers w:val="0"/>
              <w:spacing w:beforeAutospacing="0" w:afterAutospacing="0"/>
              <w:ind w:left="0" w:right="0"/>
              <w:rPr>
                <w:rFonts w:hint="default"/>
                <w:color w:val="auto"/>
                <w:highlight w:val="none"/>
              </w:rPr>
            </w:pPr>
            <w:r>
              <w:rPr>
                <w:rFonts w:hint="eastAsia" w:ascii="宋体" w:hAnsi="宋体" w:eastAsia="宋体" w:cs="Times New Roman"/>
                <w:b w:val="0"/>
                <w:color w:val="auto"/>
                <w:kern w:val="2"/>
                <w:sz w:val="21"/>
                <w:szCs w:val="21"/>
                <w:highlight w:val="none"/>
                <w:lang w:val="en-US" w:eastAsia="zh-CN" w:bidi="ar-SA"/>
              </w:rPr>
              <w:t>品牌及厂家</w:t>
            </w:r>
          </w:p>
        </w:tc>
        <w:tc>
          <w:tcPr>
            <w:tcW w:w="1134"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50" w:beforeAutospacing="0" w:after="50" w:afterAutospacing="0" w:line="360" w:lineRule="exact"/>
              <w:ind w:left="0" w:right="0"/>
              <w:jc w:val="center"/>
              <w:rPr>
                <w:rFonts w:hint="default" w:ascii="宋体" w:hAnsi="宋体"/>
                <w:color w:val="auto"/>
                <w:szCs w:val="21"/>
                <w:highlight w:val="none"/>
              </w:rPr>
            </w:pPr>
            <w:r>
              <w:rPr>
                <w:rFonts w:hint="eastAsia" w:ascii="宋体" w:hAnsi="宋体"/>
                <w:color w:val="auto"/>
                <w:szCs w:val="21"/>
                <w:highlight w:val="none"/>
              </w:rPr>
              <w:t>产地</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18"/>
              </w:tabs>
              <w:snapToGrid w:val="0"/>
              <w:spacing w:before="50" w:beforeAutospacing="0" w:after="50" w:afterAutospacing="0" w:line="360" w:lineRule="exact"/>
              <w:ind w:left="0" w:right="0"/>
              <w:jc w:val="center"/>
              <w:rPr>
                <w:rFonts w:hint="default" w:ascii="宋体" w:hAnsi="宋体"/>
                <w:color w:val="auto"/>
                <w:spacing w:val="20"/>
                <w:szCs w:val="21"/>
                <w:highlight w:val="none"/>
              </w:rPr>
            </w:pPr>
            <w:r>
              <w:rPr>
                <w:rFonts w:hint="eastAsia" w:ascii="宋体" w:hAnsi="宋体"/>
                <w:color w:val="auto"/>
                <w:szCs w:val="21"/>
                <w:highlight w:val="none"/>
              </w:rPr>
              <w:t>规格型号</w:t>
            </w:r>
          </w:p>
        </w:tc>
        <w:tc>
          <w:tcPr>
            <w:tcW w:w="1559"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50" w:beforeAutospacing="0" w:after="50" w:afterAutospacing="0" w:line="360" w:lineRule="exact"/>
              <w:ind w:left="0" w:right="0"/>
              <w:jc w:val="center"/>
              <w:rPr>
                <w:rFonts w:hint="default" w:ascii="宋体" w:hAnsi="宋体"/>
                <w:color w:val="auto"/>
                <w:szCs w:val="21"/>
                <w:highlight w:val="none"/>
              </w:rPr>
            </w:pPr>
            <w:r>
              <w:rPr>
                <w:rFonts w:hint="eastAsia" w:ascii="宋体" w:hAnsi="宋体"/>
                <w:color w:val="auto"/>
                <w:szCs w:val="21"/>
                <w:highlight w:val="none"/>
              </w:rPr>
              <w:t>预算单价（元）</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18"/>
              </w:tabs>
              <w:snapToGrid w:val="0"/>
              <w:spacing w:before="50" w:beforeAutospacing="0" w:after="50" w:afterAutospacing="0" w:line="360" w:lineRule="exact"/>
              <w:ind w:left="0" w:right="0"/>
              <w:jc w:val="center"/>
              <w:rPr>
                <w:rFonts w:hint="default" w:ascii="宋体" w:hAnsi="宋体"/>
                <w:color w:val="auto"/>
                <w:spacing w:val="20"/>
                <w:szCs w:val="21"/>
                <w:highlight w:val="none"/>
              </w:rPr>
            </w:pPr>
            <w:r>
              <w:rPr>
                <w:rFonts w:hint="eastAsia" w:ascii="宋体" w:hAnsi="宋体"/>
                <w:color w:val="auto"/>
                <w:szCs w:val="21"/>
                <w:highlight w:val="none"/>
              </w:rPr>
              <w:t>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50" w:beforeAutospacing="0" w:after="50" w:afterAutospacing="0" w:line="360" w:lineRule="exact"/>
              <w:ind w:left="0" w:right="0"/>
              <w:jc w:val="center"/>
              <w:rPr>
                <w:rFonts w:hint="default" w:ascii="宋体" w:hAnsi="宋体"/>
                <w:color w:val="auto"/>
                <w:spacing w:val="20"/>
                <w:szCs w:val="21"/>
                <w:highlight w:val="none"/>
              </w:rPr>
            </w:pPr>
          </w:p>
        </w:tc>
        <w:tc>
          <w:tcPr>
            <w:tcW w:w="162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50" w:beforeAutospacing="0" w:after="50" w:afterAutospacing="0" w:line="360" w:lineRule="exact"/>
              <w:ind w:left="0" w:right="0"/>
              <w:jc w:val="center"/>
              <w:rPr>
                <w:rFonts w:hint="default" w:ascii="宋体" w:hAnsi="宋体"/>
                <w:color w:val="auto"/>
                <w:spacing w:val="20"/>
                <w:szCs w:val="21"/>
                <w:highlight w:val="none"/>
              </w:rPr>
            </w:pPr>
          </w:p>
        </w:tc>
        <w:tc>
          <w:tcPr>
            <w:tcW w:w="2093"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50" w:beforeAutospacing="0" w:after="50" w:afterAutospacing="0" w:line="360" w:lineRule="exact"/>
              <w:ind w:left="0" w:right="0"/>
              <w:jc w:val="center"/>
              <w:rPr>
                <w:rFonts w:hint="default" w:ascii="宋体" w:hAnsi="宋体"/>
                <w:color w:val="auto"/>
                <w:spacing w:val="20"/>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50" w:beforeAutospacing="0" w:after="50" w:afterAutospacing="0" w:line="360" w:lineRule="exact"/>
              <w:ind w:left="0" w:right="0"/>
              <w:jc w:val="center"/>
              <w:rPr>
                <w:rFonts w:hint="default" w:ascii="宋体" w:hAnsi="宋体"/>
                <w:color w:val="auto"/>
                <w:spacing w:val="20"/>
                <w:szCs w:val="21"/>
                <w:highlight w:val="none"/>
              </w:rPr>
            </w:pPr>
          </w:p>
        </w:tc>
        <w:tc>
          <w:tcPr>
            <w:tcW w:w="1701"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50" w:beforeAutospacing="0" w:after="50" w:afterAutospacing="0" w:line="360" w:lineRule="exact"/>
              <w:ind w:left="0" w:right="0"/>
              <w:jc w:val="center"/>
              <w:rPr>
                <w:rFonts w:hint="default" w:ascii="宋体" w:hAnsi="宋体"/>
                <w:color w:val="auto"/>
                <w:spacing w:val="20"/>
                <w:szCs w:val="21"/>
                <w:highlight w:val="none"/>
              </w:rPr>
            </w:pPr>
          </w:p>
        </w:tc>
        <w:tc>
          <w:tcPr>
            <w:tcW w:w="1559"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50" w:beforeAutospacing="0" w:after="50" w:afterAutospacing="0" w:line="360" w:lineRule="exact"/>
              <w:ind w:left="0" w:right="0"/>
              <w:jc w:val="center"/>
              <w:rPr>
                <w:rFonts w:hint="default" w:ascii="宋体" w:hAnsi="宋体"/>
                <w:color w:val="auto"/>
                <w:spacing w:val="20"/>
                <w:szCs w:val="21"/>
                <w:highlight w:val="none"/>
              </w:rPr>
            </w:pPr>
          </w:p>
        </w:tc>
        <w:tc>
          <w:tcPr>
            <w:tcW w:w="992"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50" w:beforeAutospacing="0" w:after="50" w:afterAutospacing="0" w:line="360" w:lineRule="exact"/>
              <w:ind w:left="0" w:right="0"/>
              <w:jc w:val="center"/>
              <w:rPr>
                <w:rFonts w:hint="default" w:ascii="宋体" w:hAns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50" w:beforeAutospacing="0" w:after="50" w:afterAutospacing="0" w:line="360" w:lineRule="exact"/>
              <w:ind w:left="0" w:right="0"/>
              <w:jc w:val="center"/>
              <w:rPr>
                <w:rFonts w:hint="default" w:ascii="宋体" w:hAnsi="宋体"/>
                <w:color w:val="auto"/>
                <w:spacing w:val="20"/>
                <w:szCs w:val="21"/>
                <w:highlight w:val="none"/>
              </w:rPr>
            </w:pPr>
          </w:p>
        </w:tc>
        <w:tc>
          <w:tcPr>
            <w:tcW w:w="162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50" w:beforeAutospacing="0" w:after="50" w:afterAutospacing="0" w:line="360" w:lineRule="exact"/>
              <w:ind w:left="0" w:right="0"/>
              <w:jc w:val="center"/>
              <w:rPr>
                <w:rFonts w:hint="default" w:ascii="宋体" w:hAnsi="宋体"/>
                <w:color w:val="auto"/>
                <w:spacing w:val="20"/>
                <w:szCs w:val="21"/>
                <w:highlight w:val="none"/>
              </w:rPr>
            </w:pPr>
          </w:p>
        </w:tc>
        <w:tc>
          <w:tcPr>
            <w:tcW w:w="2093"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50" w:beforeAutospacing="0" w:after="50" w:afterAutospacing="0" w:line="360" w:lineRule="exact"/>
              <w:ind w:left="0" w:right="0"/>
              <w:jc w:val="center"/>
              <w:rPr>
                <w:rFonts w:hint="default" w:ascii="宋体" w:hAnsi="宋体"/>
                <w:color w:val="auto"/>
                <w:spacing w:val="20"/>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50" w:beforeAutospacing="0" w:after="50" w:afterAutospacing="0" w:line="360" w:lineRule="exact"/>
              <w:ind w:left="0" w:right="0"/>
              <w:jc w:val="center"/>
              <w:rPr>
                <w:rFonts w:hint="default" w:ascii="宋体" w:hAnsi="宋体"/>
                <w:color w:val="auto"/>
                <w:spacing w:val="20"/>
                <w:szCs w:val="21"/>
                <w:highlight w:val="none"/>
              </w:rPr>
            </w:pPr>
          </w:p>
        </w:tc>
        <w:tc>
          <w:tcPr>
            <w:tcW w:w="1701"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50" w:beforeAutospacing="0" w:after="50" w:afterAutospacing="0" w:line="360" w:lineRule="exact"/>
              <w:ind w:left="0" w:right="0"/>
              <w:jc w:val="center"/>
              <w:rPr>
                <w:rFonts w:hint="default" w:ascii="宋体" w:hAnsi="宋体"/>
                <w:color w:val="auto"/>
                <w:spacing w:val="20"/>
                <w:szCs w:val="21"/>
                <w:highlight w:val="none"/>
              </w:rPr>
            </w:pPr>
          </w:p>
        </w:tc>
        <w:tc>
          <w:tcPr>
            <w:tcW w:w="1559"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50" w:beforeAutospacing="0" w:after="50" w:afterAutospacing="0" w:line="360" w:lineRule="exact"/>
              <w:ind w:left="0" w:right="0"/>
              <w:jc w:val="center"/>
              <w:rPr>
                <w:rFonts w:hint="default" w:ascii="宋体" w:hAnsi="宋体"/>
                <w:color w:val="auto"/>
                <w:spacing w:val="20"/>
                <w:szCs w:val="21"/>
                <w:highlight w:val="none"/>
              </w:rPr>
            </w:pPr>
          </w:p>
        </w:tc>
        <w:tc>
          <w:tcPr>
            <w:tcW w:w="992"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50" w:beforeAutospacing="0" w:after="50" w:afterAutospacing="0" w:line="360" w:lineRule="exact"/>
              <w:ind w:left="0" w:right="0"/>
              <w:jc w:val="center"/>
              <w:rPr>
                <w:rFonts w:hint="default" w:ascii="宋体" w:hAns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50" w:beforeAutospacing="0" w:after="50" w:afterAutospacing="0" w:line="360" w:lineRule="exact"/>
              <w:ind w:left="0" w:right="0"/>
              <w:jc w:val="center"/>
              <w:rPr>
                <w:rFonts w:hint="default" w:ascii="宋体" w:hAnsi="宋体"/>
                <w:color w:val="auto"/>
                <w:spacing w:val="20"/>
                <w:szCs w:val="21"/>
                <w:highlight w:val="none"/>
              </w:rPr>
            </w:pPr>
          </w:p>
        </w:tc>
        <w:tc>
          <w:tcPr>
            <w:tcW w:w="162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50" w:beforeAutospacing="0" w:after="50" w:afterAutospacing="0" w:line="360" w:lineRule="exact"/>
              <w:ind w:left="0" w:right="0"/>
              <w:jc w:val="center"/>
              <w:rPr>
                <w:rFonts w:hint="default" w:ascii="宋体" w:hAnsi="宋体"/>
                <w:color w:val="auto"/>
                <w:spacing w:val="20"/>
                <w:szCs w:val="21"/>
                <w:highlight w:val="none"/>
              </w:rPr>
            </w:pPr>
          </w:p>
        </w:tc>
        <w:tc>
          <w:tcPr>
            <w:tcW w:w="2093"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50" w:beforeAutospacing="0" w:after="50" w:afterAutospacing="0" w:line="360" w:lineRule="exact"/>
              <w:ind w:left="0" w:right="0"/>
              <w:jc w:val="center"/>
              <w:rPr>
                <w:rFonts w:hint="default" w:ascii="宋体" w:hAnsi="宋体"/>
                <w:color w:val="auto"/>
                <w:spacing w:val="20"/>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50" w:beforeAutospacing="0" w:after="50" w:afterAutospacing="0" w:line="360" w:lineRule="exact"/>
              <w:ind w:left="0" w:right="0"/>
              <w:jc w:val="center"/>
              <w:rPr>
                <w:rFonts w:hint="default" w:ascii="宋体" w:hAnsi="宋体"/>
                <w:color w:val="auto"/>
                <w:spacing w:val="20"/>
                <w:szCs w:val="21"/>
                <w:highlight w:val="none"/>
              </w:rPr>
            </w:pPr>
          </w:p>
        </w:tc>
        <w:tc>
          <w:tcPr>
            <w:tcW w:w="1701"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50" w:beforeAutospacing="0" w:after="50" w:afterAutospacing="0" w:line="360" w:lineRule="exact"/>
              <w:ind w:left="0" w:right="0"/>
              <w:jc w:val="center"/>
              <w:rPr>
                <w:rFonts w:hint="default" w:ascii="宋体" w:hAnsi="宋体"/>
                <w:color w:val="auto"/>
                <w:spacing w:val="20"/>
                <w:szCs w:val="21"/>
                <w:highlight w:val="none"/>
              </w:rPr>
            </w:pPr>
          </w:p>
        </w:tc>
        <w:tc>
          <w:tcPr>
            <w:tcW w:w="1559"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50" w:beforeAutospacing="0" w:after="50" w:afterAutospacing="0" w:line="360" w:lineRule="exact"/>
              <w:ind w:left="0" w:right="0"/>
              <w:jc w:val="center"/>
              <w:rPr>
                <w:rFonts w:hint="default" w:ascii="宋体" w:hAnsi="宋体"/>
                <w:color w:val="auto"/>
                <w:spacing w:val="20"/>
                <w:szCs w:val="21"/>
                <w:highlight w:val="none"/>
              </w:rPr>
            </w:pPr>
          </w:p>
        </w:tc>
        <w:tc>
          <w:tcPr>
            <w:tcW w:w="992"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50" w:beforeAutospacing="0" w:after="50" w:afterAutospacing="0" w:line="360" w:lineRule="exact"/>
              <w:ind w:left="0" w:right="0"/>
              <w:jc w:val="center"/>
              <w:rPr>
                <w:rFonts w:hint="default" w:ascii="宋体" w:hAns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50" w:beforeAutospacing="0" w:after="50" w:afterAutospacing="0" w:line="360" w:lineRule="exact"/>
              <w:ind w:left="0" w:right="0"/>
              <w:jc w:val="center"/>
              <w:rPr>
                <w:rFonts w:hint="default" w:ascii="宋体" w:hAnsi="宋体"/>
                <w:color w:val="auto"/>
                <w:spacing w:val="20"/>
                <w:szCs w:val="21"/>
                <w:highlight w:val="none"/>
              </w:rPr>
            </w:pPr>
          </w:p>
        </w:tc>
        <w:tc>
          <w:tcPr>
            <w:tcW w:w="162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50" w:beforeAutospacing="0" w:after="50" w:afterAutospacing="0" w:line="360" w:lineRule="exact"/>
              <w:ind w:left="0" w:right="0"/>
              <w:jc w:val="center"/>
              <w:rPr>
                <w:rFonts w:hint="default" w:ascii="宋体" w:hAnsi="宋体"/>
                <w:color w:val="auto"/>
                <w:spacing w:val="20"/>
                <w:szCs w:val="21"/>
                <w:highlight w:val="none"/>
              </w:rPr>
            </w:pPr>
          </w:p>
        </w:tc>
        <w:tc>
          <w:tcPr>
            <w:tcW w:w="2093"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50" w:beforeAutospacing="0" w:after="50" w:afterAutospacing="0" w:line="360" w:lineRule="exact"/>
              <w:ind w:left="0" w:right="0"/>
              <w:jc w:val="center"/>
              <w:rPr>
                <w:rFonts w:hint="default" w:ascii="宋体" w:hAnsi="宋体"/>
                <w:color w:val="auto"/>
                <w:spacing w:val="20"/>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50" w:beforeAutospacing="0" w:after="50" w:afterAutospacing="0" w:line="360" w:lineRule="exact"/>
              <w:ind w:left="0" w:right="0"/>
              <w:jc w:val="center"/>
              <w:rPr>
                <w:rFonts w:hint="default" w:ascii="宋体" w:hAnsi="宋体"/>
                <w:color w:val="auto"/>
                <w:spacing w:val="20"/>
                <w:szCs w:val="21"/>
                <w:highlight w:val="none"/>
              </w:rPr>
            </w:pPr>
          </w:p>
        </w:tc>
        <w:tc>
          <w:tcPr>
            <w:tcW w:w="1701"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50" w:beforeAutospacing="0" w:after="50" w:afterAutospacing="0" w:line="360" w:lineRule="exact"/>
              <w:ind w:left="0" w:right="0"/>
              <w:jc w:val="center"/>
              <w:rPr>
                <w:rFonts w:hint="default" w:ascii="宋体" w:hAnsi="宋体"/>
                <w:color w:val="auto"/>
                <w:spacing w:val="20"/>
                <w:szCs w:val="21"/>
                <w:highlight w:val="none"/>
              </w:rPr>
            </w:pPr>
          </w:p>
        </w:tc>
        <w:tc>
          <w:tcPr>
            <w:tcW w:w="1559"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50" w:beforeAutospacing="0" w:after="50" w:afterAutospacing="0" w:line="360" w:lineRule="exact"/>
              <w:ind w:left="0" w:right="0"/>
              <w:jc w:val="center"/>
              <w:rPr>
                <w:rFonts w:hint="default" w:ascii="宋体" w:hAnsi="宋体"/>
                <w:color w:val="auto"/>
                <w:spacing w:val="20"/>
                <w:szCs w:val="21"/>
                <w:highlight w:val="none"/>
              </w:rPr>
            </w:pPr>
          </w:p>
        </w:tc>
        <w:tc>
          <w:tcPr>
            <w:tcW w:w="992"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50" w:beforeAutospacing="0" w:after="50" w:afterAutospacing="0" w:line="360" w:lineRule="exact"/>
              <w:ind w:left="0" w:right="0"/>
              <w:jc w:val="center"/>
              <w:rPr>
                <w:rFonts w:hint="default" w:ascii="宋体" w:hAns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1" w:hRule="atLeast"/>
        </w:trPr>
        <w:tc>
          <w:tcPr>
            <w:tcW w:w="90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50" w:beforeAutospacing="0" w:after="50" w:afterAutospacing="0" w:line="360" w:lineRule="exact"/>
              <w:ind w:left="0" w:right="0"/>
              <w:jc w:val="center"/>
              <w:rPr>
                <w:rFonts w:hint="default" w:ascii="宋体" w:hAnsi="宋体"/>
                <w:color w:val="auto"/>
                <w:spacing w:val="20"/>
                <w:szCs w:val="21"/>
                <w:highlight w:val="none"/>
              </w:rPr>
            </w:pPr>
          </w:p>
        </w:tc>
        <w:tc>
          <w:tcPr>
            <w:tcW w:w="162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50" w:beforeAutospacing="0" w:after="50" w:afterAutospacing="0" w:line="360" w:lineRule="exact"/>
              <w:ind w:left="0" w:right="0"/>
              <w:jc w:val="center"/>
              <w:rPr>
                <w:rFonts w:hint="default" w:ascii="宋体" w:hAnsi="宋体"/>
                <w:color w:val="auto"/>
                <w:spacing w:val="20"/>
                <w:szCs w:val="21"/>
                <w:highlight w:val="none"/>
              </w:rPr>
            </w:pPr>
            <w:r>
              <w:rPr>
                <w:rFonts w:hint="eastAsia" w:ascii="宋体" w:hAnsi="宋体"/>
                <w:color w:val="auto"/>
                <w:spacing w:val="20"/>
                <w:szCs w:val="21"/>
                <w:highlight w:val="none"/>
              </w:rPr>
              <w:t>……</w:t>
            </w:r>
          </w:p>
        </w:tc>
        <w:tc>
          <w:tcPr>
            <w:tcW w:w="2093"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50" w:beforeAutospacing="0" w:after="50" w:afterAutospacing="0" w:line="360" w:lineRule="exact"/>
              <w:ind w:left="0" w:right="0"/>
              <w:jc w:val="center"/>
              <w:rPr>
                <w:rFonts w:hint="default" w:ascii="宋体" w:hAnsi="宋体"/>
                <w:color w:val="auto"/>
                <w:spacing w:val="20"/>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50" w:beforeAutospacing="0" w:after="50" w:afterAutospacing="0" w:line="360" w:lineRule="exact"/>
              <w:ind w:left="0" w:right="0"/>
              <w:jc w:val="center"/>
              <w:rPr>
                <w:rFonts w:hint="default" w:ascii="宋体" w:hAnsi="宋体"/>
                <w:color w:val="auto"/>
                <w:spacing w:val="20"/>
                <w:szCs w:val="21"/>
                <w:highlight w:val="none"/>
              </w:rPr>
            </w:pPr>
          </w:p>
        </w:tc>
        <w:tc>
          <w:tcPr>
            <w:tcW w:w="1701"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50" w:beforeAutospacing="0" w:after="50" w:afterAutospacing="0" w:line="360" w:lineRule="exact"/>
              <w:ind w:left="0" w:right="0"/>
              <w:jc w:val="center"/>
              <w:rPr>
                <w:rFonts w:hint="default" w:ascii="宋体" w:hAnsi="宋体"/>
                <w:color w:val="auto"/>
                <w:spacing w:val="20"/>
                <w:szCs w:val="21"/>
                <w:highlight w:val="none"/>
              </w:rPr>
            </w:pPr>
          </w:p>
        </w:tc>
        <w:tc>
          <w:tcPr>
            <w:tcW w:w="1559"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50" w:beforeAutospacing="0" w:after="50" w:afterAutospacing="0" w:line="360" w:lineRule="exact"/>
              <w:ind w:left="0" w:right="0"/>
              <w:jc w:val="center"/>
              <w:rPr>
                <w:rFonts w:hint="default" w:ascii="宋体" w:hAnsi="宋体"/>
                <w:color w:val="auto"/>
                <w:spacing w:val="20"/>
                <w:szCs w:val="21"/>
                <w:highlight w:val="none"/>
              </w:rPr>
            </w:pPr>
          </w:p>
        </w:tc>
        <w:tc>
          <w:tcPr>
            <w:tcW w:w="992"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50" w:beforeAutospacing="0" w:after="50" w:afterAutospacing="0" w:line="360" w:lineRule="exact"/>
              <w:ind w:left="0" w:right="0"/>
              <w:jc w:val="center"/>
              <w:rPr>
                <w:rFonts w:hint="default" w:ascii="宋体" w:hAns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1" w:hRule="atLeast"/>
        </w:trPr>
        <w:tc>
          <w:tcPr>
            <w:tcW w:w="2520"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50" w:beforeAutospacing="0" w:after="50" w:afterAutospacing="0" w:line="360" w:lineRule="exact"/>
              <w:ind w:left="0" w:right="0"/>
              <w:jc w:val="center"/>
              <w:rPr>
                <w:rFonts w:hint="default" w:ascii="宋体" w:hAnsi="宋体"/>
                <w:color w:val="auto"/>
                <w:spacing w:val="20"/>
                <w:szCs w:val="21"/>
                <w:highlight w:val="none"/>
              </w:rPr>
            </w:pPr>
            <w:r>
              <w:rPr>
                <w:rFonts w:hint="eastAsia" w:ascii="宋体" w:hAnsi="宋体"/>
                <w:color w:val="auto"/>
                <w:spacing w:val="20"/>
                <w:szCs w:val="21"/>
                <w:highlight w:val="none"/>
              </w:rPr>
              <w:t>折让率</w:t>
            </w:r>
          </w:p>
        </w:tc>
        <w:tc>
          <w:tcPr>
            <w:tcW w:w="7479" w:type="dxa"/>
            <w:gridSpan w:val="5"/>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50" w:beforeAutospacing="0" w:after="50" w:afterAutospacing="0" w:line="360" w:lineRule="exact"/>
              <w:ind w:left="0" w:right="0"/>
              <w:jc w:val="center"/>
              <w:rPr>
                <w:rFonts w:hint="default" w:ascii="宋体" w:hAns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1" w:hRule="atLeast"/>
        </w:trPr>
        <w:tc>
          <w:tcPr>
            <w:tcW w:w="2520"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50" w:beforeAutospacing="0" w:after="50" w:afterAutospacing="0" w:line="360" w:lineRule="exact"/>
              <w:ind w:left="0" w:right="0"/>
              <w:jc w:val="center"/>
              <w:rPr>
                <w:rFonts w:hint="default" w:ascii="宋体" w:hAnsi="宋体"/>
                <w:color w:val="auto"/>
                <w:spacing w:val="20"/>
                <w:szCs w:val="21"/>
                <w:highlight w:val="none"/>
              </w:rPr>
            </w:pPr>
            <w:r>
              <w:rPr>
                <w:rFonts w:hint="eastAsia" w:ascii="宋体" w:hAnsi="宋体"/>
                <w:color w:val="auto"/>
                <w:spacing w:val="20"/>
                <w:szCs w:val="21"/>
                <w:highlight w:val="none"/>
              </w:rPr>
              <w:t>交付使用时间</w:t>
            </w:r>
          </w:p>
        </w:tc>
        <w:tc>
          <w:tcPr>
            <w:tcW w:w="7479" w:type="dxa"/>
            <w:gridSpan w:val="5"/>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50" w:beforeAutospacing="0" w:after="50" w:afterAutospacing="0" w:line="360" w:lineRule="exact"/>
              <w:ind w:left="0" w:right="0"/>
              <w:jc w:val="center"/>
              <w:rPr>
                <w:rFonts w:hint="default" w:ascii="宋体" w:hAns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1" w:hRule="atLeast"/>
        </w:trPr>
        <w:tc>
          <w:tcPr>
            <w:tcW w:w="9999" w:type="dxa"/>
            <w:gridSpan w:val="7"/>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50" w:beforeAutospacing="0" w:after="50" w:afterAutospacing="0" w:line="360" w:lineRule="exact"/>
              <w:ind w:left="0" w:right="0"/>
              <w:rPr>
                <w:rFonts w:hint="default" w:ascii="宋体" w:hAnsi="宋体"/>
                <w:b/>
                <w:color w:val="auto"/>
                <w:spacing w:val="20"/>
                <w:szCs w:val="21"/>
                <w:highlight w:val="none"/>
              </w:rPr>
            </w:pPr>
            <w:r>
              <w:rPr>
                <w:rFonts w:hint="eastAsia" w:ascii="宋体" w:hAnsi="宋体"/>
                <w:b/>
                <w:color w:val="auto"/>
                <w:spacing w:val="20"/>
                <w:szCs w:val="21"/>
                <w:highlight w:val="none"/>
              </w:rPr>
              <w:t>备注：</w:t>
            </w:r>
            <w:r>
              <w:rPr>
                <w:rFonts w:hint="eastAsia" w:hAnsi="宋体"/>
                <w:b/>
                <w:color w:val="auto"/>
                <w:highlight w:val="none"/>
              </w:rPr>
              <w:t>（例如：九折的折让率为10%；八折的折让率为20%）</w:t>
            </w:r>
          </w:p>
        </w:tc>
      </w:tr>
    </w:tbl>
    <w:p>
      <w:pPr>
        <w:snapToGrid w:val="0"/>
        <w:spacing w:before="50" w:after="50" w:line="360" w:lineRule="exact"/>
        <w:jc w:val="left"/>
        <w:rPr>
          <w:rFonts w:ascii="宋体" w:hAnsi="宋体"/>
          <w:color w:val="auto"/>
          <w:szCs w:val="21"/>
          <w:highlight w:val="none"/>
        </w:rPr>
      </w:pPr>
      <w:r>
        <w:rPr>
          <w:rFonts w:hint="eastAsia" w:ascii="宋体" w:hAnsi="宋体"/>
          <w:color w:val="auto"/>
          <w:szCs w:val="21"/>
          <w:highlight w:val="none"/>
        </w:rPr>
        <w:t>注: 1、报价一经涂改，应在涂改处加盖单位公章或者由授权委托人签字或盖章，否则其投标作无效标处理。</w:t>
      </w:r>
    </w:p>
    <w:p>
      <w:pPr>
        <w:snapToGrid w:val="0"/>
        <w:spacing w:before="50" w:after="50" w:line="360" w:lineRule="exact"/>
        <w:ind w:firstLine="420" w:firstLineChars="200"/>
        <w:jc w:val="left"/>
        <w:rPr>
          <w:rFonts w:ascii="宋体" w:hAnsi="宋体"/>
          <w:color w:val="auto"/>
          <w:szCs w:val="21"/>
          <w:highlight w:val="none"/>
        </w:rPr>
      </w:pPr>
      <w:r>
        <w:rPr>
          <w:rFonts w:hint="eastAsia" w:ascii="宋体" w:hAnsi="宋体"/>
          <w:color w:val="auto"/>
          <w:szCs w:val="21"/>
          <w:highlight w:val="none"/>
        </w:rPr>
        <w:t>2、如有多分标，按分标分别提供开标一览表，否则投标无效。</w:t>
      </w:r>
    </w:p>
    <w:p>
      <w:pPr>
        <w:snapToGrid w:val="0"/>
        <w:spacing w:before="50" w:after="50" w:line="360" w:lineRule="exact"/>
        <w:ind w:firstLine="420" w:firstLineChars="200"/>
        <w:jc w:val="left"/>
        <w:rPr>
          <w:rFonts w:ascii="宋体" w:hAnsi="宋体"/>
          <w:color w:val="auto"/>
          <w:szCs w:val="21"/>
          <w:highlight w:val="none"/>
        </w:rPr>
      </w:pPr>
      <w:r>
        <w:rPr>
          <w:rFonts w:hint="eastAsia" w:ascii="宋体" w:hAnsi="宋体"/>
          <w:color w:val="auto"/>
          <w:szCs w:val="21"/>
          <w:highlight w:val="none"/>
        </w:rPr>
        <w:t>3、投标费用包括项目实施所需的人工费、服务费、运输费、安装调试费、购买及制作标书费、税费及其他一切费用。</w:t>
      </w:r>
    </w:p>
    <w:p>
      <w:pPr>
        <w:snapToGrid w:val="0"/>
        <w:spacing w:before="50" w:after="50" w:line="360" w:lineRule="exact"/>
        <w:ind w:firstLine="420" w:firstLineChars="200"/>
        <w:jc w:val="left"/>
        <w:rPr>
          <w:rFonts w:ascii="宋体" w:hAnsi="宋体"/>
          <w:color w:val="auto"/>
          <w:szCs w:val="21"/>
          <w:highlight w:val="none"/>
        </w:rPr>
      </w:pPr>
      <w:r>
        <w:rPr>
          <w:rFonts w:hint="eastAsia" w:ascii="宋体" w:hAnsi="宋体"/>
          <w:color w:val="auto"/>
          <w:szCs w:val="21"/>
          <w:highlight w:val="none"/>
        </w:rPr>
        <w:t>4、以上报价应与“投标报价明细表”中的“投标总价”相一致。</w:t>
      </w:r>
    </w:p>
    <w:p>
      <w:pPr>
        <w:snapToGrid w:val="0"/>
        <w:spacing w:before="50" w:after="50" w:line="360" w:lineRule="exact"/>
        <w:ind w:firstLine="420" w:firstLineChars="200"/>
        <w:rPr>
          <w:rFonts w:ascii="宋体" w:hAnsi="宋体"/>
          <w:color w:val="auto"/>
          <w:szCs w:val="21"/>
          <w:highlight w:val="none"/>
        </w:rPr>
      </w:pPr>
      <w:r>
        <w:rPr>
          <w:rFonts w:hint="eastAsia" w:ascii="宋体" w:hAnsi="宋体"/>
          <w:color w:val="auto"/>
          <w:szCs w:val="21"/>
          <w:highlight w:val="none"/>
        </w:rPr>
        <w:t>5、此表请单独信封放入投标文件袋，信封封面请注明招标编号、标项、投标人名称及“开标一览表”字样。</w:t>
      </w:r>
    </w:p>
    <w:p>
      <w:pPr>
        <w:snapToGrid w:val="0"/>
        <w:spacing w:before="50" w:after="50" w:line="360" w:lineRule="exact"/>
        <w:ind w:left="-2" w:leftChars="-1" w:right="13" w:rightChars="6" w:firstLine="420" w:firstLineChars="200"/>
        <w:rPr>
          <w:rFonts w:ascii="宋体" w:hAnsi="宋体"/>
          <w:color w:val="auto"/>
          <w:szCs w:val="21"/>
          <w:highlight w:val="none"/>
        </w:rPr>
      </w:pPr>
      <w:r>
        <w:rPr>
          <w:rFonts w:hint="eastAsia" w:ascii="宋体" w:hAnsi="宋体"/>
          <w:color w:val="auto"/>
          <w:szCs w:val="21"/>
          <w:highlight w:val="none"/>
        </w:rPr>
        <w:t>6、开标一览表内容与投标报价明细表内容不一致的，以开标一览表为准。</w:t>
      </w:r>
    </w:p>
    <w:p>
      <w:pPr>
        <w:snapToGrid w:val="0"/>
        <w:spacing w:before="50" w:after="50" w:line="360" w:lineRule="exact"/>
        <w:ind w:left="-2" w:leftChars="-1" w:right="-817" w:rightChars="-389"/>
        <w:rPr>
          <w:rFonts w:ascii="宋体" w:hAnsi="宋体"/>
          <w:color w:val="auto"/>
          <w:szCs w:val="21"/>
          <w:highlight w:val="none"/>
        </w:rPr>
      </w:pPr>
    </w:p>
    <w:p>
      <w:pPr>
        <w:snapToGrid w:val="0"/>
        <w:spacing w:line="360" w:lineRule="auto"/>
        <w:jc w:val="left"/>
        <w:rPr>
          <w:rFonts w:hint="eastAsia" w:ascii="宋体" w:hAnsi="宋体"/>
          <w:color w:val="000000"/>
          <w:sz w:val="24"/>
        </w:rPr>
      </w:pPr>
    </w:p>
    <w:p>
      <w:pPr>
        <w:snapToGrid w:val="0"/>
        <w:spacing w:line="360" w:lineRule="auto"/>
        <w:jc w:val="left"/>
        <w:rPr>
          <w:rFonts w:hint="eastAsia" w:ascii="宋体" w:hAnsi="宋体"/>
          <w:color w:val="000000"/>
          <w:sz w:val="24"/>
        </w:rPr>
      </w:pPr>
    </w:p>
    <w:p>
      <w:pPr>
        <w:snapToGrid w:val="0"/>
        <w:spacing w:line="360" w:lineRule="auto"/>
        <w:jc w:val="left"/>
        <w:rPr>
          <w:rFonts w:hint="eastAsia" w:ascii="宋体" w:hAnsi="宋体"/>
          <w:color w:val="000000"/>
          <w:sz w:val="24"/>
        </w:rPr>
      </w:pPr>
    </w:p>
    <w:p>
      <w:pPr>
        <w:snapToGrid w:val="0"/>
        <w:spacing w:line="360" w:lineRule="auto"/>
        <w:jc w:val="left"/>
        <w:rPr>
          <w:rFonts w:hint="eastAsia" w:ascii="宋体" w:hAnsi="宋体"/>
          <w:color w:val="000000"/>
          <w:sz w:val="24"/>
        </w:rPr>
      </w:pPr>
    </w:p>
    <w:p>
      <w:pPr>
        <w:snapToGrid w:val="0"/>
        <w:spacing w:line="360" w:lineRule="auto"/>
        <w:jc w:val="left"/>
        <w:rPr>
          <w:rFonts w:hint="eastAsia" w:ascii="宋体" w:hAnsi="宋体"/>
          <w:color w:val="000000"/>
          <w:sz w:val="24"/>
        </w:rPr>
      </w:pPr>
    </w:p>
    <w:p>
      <w:pPr>
        <w:snapToGrid w:val="0"/>
        <w:spacing w:line="360" w:lineRule="auto"/>
        <w:jc w:val="left"/>
        <w:rPr>
          <w:rFonts w:hint="eastAsia" w:ascii="宋体" w:hAnsi="宋体"/>
          <w:color w:val="000000"/>
          <w:sz w:val="24"/>
        </w:rPr>
      </w:pPr>
      <w:r>
        <w:rPr>
          <w:rFonts w:hint="eastAsia" w:ascii="宋体" w:hAnsi="宋体"/>
          <w:color w:val="000000"/>
          <w:sz w:val="24"/>
        </w:rPr>
        <w:t xml:space="preserve">注: </w:t>
      </w:r>
    </w:p>
    <w:p>
      <w:pPr>
        <w:snapToGrid w:val="0"/>
        <w:spacing w:line="360" w:lineRule="auto"/>
        <w:ind w:firstLine="480" w:firstLineChars="200"/>
        <w:jc w:val="left"/>
        <w:rPr>
          <w:rFonts w:hint="eastAsia" w:ascii="宋体" w:hAnsi="宋体"/>
          <w:color w:val="000000"/>
          <w:sz w:val="24"/>
        </w:rPr>
      </w:pPr>
      <w:r>
        <w:rPr>
          <w:rFonts w:hint="eastAsia" w:ascii="宋体" w:hAnsi="宋体"/>
          <w:color w:val="000000"/>
          <w:sz w:val="24"/>
        </w:rPr>
        <w:t>1.投标人的开标一览表必须加盖投标人电子签章并由</w:t>
      </w:r>
      <w:r>
        <w:rPr>
          <w:rFonts w:ascii="宋体" w:hAnsi="宋体"/>
          <w:color w:val="000000"/>
          <w:sz w:val="24"/>
        </w:rPr>
        <w:t>法定代表人或者委托代理人</w:t>
      </w:r>
      <w:r>
        <w:rPr>
          <w:rFonts w:hint="eastAsia" w:ascii="宋体" w:hAnsi="宋体"/>
          <w:color w:val="000000"/>
          <w:sz w:val="24"/>
        </w:rPr>
        <w:t>签字或者电子签名，</w:t>
      </w:r>
      <w:r>
        <w:rPr>
          <w:rFonts w:hint="eastAsia" w:ascii="宋体" w:hAnsi="宋体"/>
          <w:b/>
          <w:color w:val="000000"/>
          <w:sz w:val="24"/>
        </w:rPr>
        <w:t>否则其投标作无效标处理</w:t>
      </w:r>
      <w:r>
        <w:rPr>
          <w:rFonts w:hint="eastAsia" w:ascii="宋体" w:hAnsi="宋体"/>
          <w:color w:val="000000"/>
          <w:sz w:val="24"/>
        </w:rPr>
        <w:t>。</w:t>
      </w:r>
    </w:p>
    <w:p>
      <w:pPr>
        <w:snapToGrid w:val="0"/>
        <w:spacing w:line="360" w:lineRule="auto"/>
        <w:ind w:firstLine="480" w:firstLineChars="200"/>
        <w:jc w:val="left"/>
        <w:rPr>
          <w:rFonts w:hint="eastAsia" w:ascii="宋体" w:hAnsi="宋体"/>
          <w:b/>
          <w:color w:val="000000"/>
          <w:sz w:val="24"/>
        </w:rPr>
      </w:pPr>
      <w:r>
        <w:rPr>
          <w:rFonts w:hint="eastAsia" w:ascii="宋体" w:hAnsi="宋体"/>
          <w:bCs/>
          <w:color w:val="000000"/>
          <w:sz w:val="24"/>
        </w:rPr>
        <w:t>2.</w:t>
      </w:r>
      <w:r>
        <w:rPr>
          <w:rFonts w:hint="eastAsia" w:ascii="宋体" w:hAnsi="宋体"/>
          <w:color w:val="000000"/>
          <w:sz w:val="24"/>
        </w:rPr>
        <w:t>报价一经涂改，应在涂改处加盖投标人公章或者由法定代表人或者委托代理人签字（或者电子签名）或者盖章</w:t>
      </w:r>
      <w:r>
        <w:rPr>
          <w:rFonts w:hint="eastAsia" w:ascii="宋体" w:hAnsi="宋体"/>
          <w:b/>
          <w:color w:val="000000"/>
          <w:sz w:val="24"/>
        </w:rPr>
        <w:t>，否则其投标作无效标处理。</w:t>
      </w:r>
    </w:p>
    <w:p>
      <w:pPr>
        <w:snapToGrid w:val="0"/>
        <w:spacing w:line="360" w:lineRule="auto"/>
        <w:ind w:firstLine="480" w:firstLineChars="200"/>
        <w:jc w:val="left"/>
        <w:rPr>
          <w:rFonts w:hint="eastAsia" w:ascii="宋体" w:hAnsi="宋体"/>
          <w:color w:val="000000"/>
          <w:sz w:val="24"/>
        </w:rPr>
      </w:pPr>
      <w:r>
        <w:rPr>
          <w:rFonts w:hint="eastAsia" w:ascii="宋体" w:hAnsi="宋体"/>
          <w:color w:val="000000"/>
          <w:sz w:val="24"/>
        </w:rPr>
        <w:t>3.招标文件中列明采购专用耗材的，应按招标文件规定的耗材量或者按耗材的常规试用量提供报价。</w:t>
      </w:r>
    </w:p>
    <w:p>
      <w:pPr>
        <w:snapToGrid w:val="0"/>
        <w:spacing w:line="360" w:lineRule="auto"/>
        <w:ind w:firstLine="480" w:firstLineChars="200"/>
        <w:jc w:val="left"/>
        <w:rPr>
          <w:rFonts w:hint="eastAsia" w:ascii="宋体" w:hAnsi="宋体"/>
          <w:color w:val="000000"/>
          <w:sz w:val="24"/>
        </w:rPr>
      </w:pPr>
      <w:r>
        <w:rPr>
          <w:rFonts w:hint="eastAsia" w:ascii="宋体" w:hAnsi="宋体"/>
          <w:color w:val="000000"/>
          <w:sz w:val="24"/>
        </w:rPr>
        <w:t>4.如为联合体投标，“投标人名称”处必须列明联合体各方名称，并标注联合体牵头人名称，</w:t>
      </w:r>
      <w:r>
        <w:rPr>
          <w:rFonts w:hint="eastAsia" w:ascii="宋体" w:hAnsi="宋体"/>
          <w:b/>
          <w:color w:val="000000"/>
          <w:sz w:val="24"/>
        </w:rPr>
        <w:t>否则其投标作无效标处理。</w:t>
      </w:r>
    </w:p>
    <w:p>
      <w:pPr>
        <w:snapToGrid w:val="0"/>
        <w:spacing w:line="360" w:lineRule="auto"/>
        <w:ind w:firstLine="456" w:firstLineChars="200"/>
        <w:jc w:val="left"/>
        <w:rPr>
          <w:rFonts w:hint="eastAsia" w:ascii="宋体" w:hAnsi="宋体"/>
          <w:color w:val="000000"/>
          <w:spacing w:val="-6"/>
          <w:sz w:val="24"/>
        </w:rPr>
      </w:pPr>
      <w:r>
        <w:rPr>
          <w:rFonts w:hint="eastAsia" w:ascii="宋体" w:hAnsi="宋体"/>
          <w:color w:val="000000"/>
          <w:spacing w:val="-6"/>
          <w:sz w:val="24"/>
        </w:rPr>
        <w:t>5.如为联合体投标，盖章处须加盖联合体牵头人电子签章，</w:t>
      </w:r>
      <w:r>
        <w:rPr>
          <w:rFonts w:hint="eastAsia" w:ascii="宋体" w:hAnsi="宋体"/>
          <w:b/>
          <w:color w:val="000000"/>
          <w:spacing w:val="-6"/>
          <w:sz w:val="24"/>
        </w:rPr>
        <w:t>否则其投标作无效标处理。</w:t>
      </w:r>
    </w:p>
    <w:p>
      <w:pPr>
        <w:snapToGrid w:val="0"/>
        <w:spacing w:line="360" w:lineRule="auto"/>
        <w:ind w:firstLine="480" w:firstLineChars="200"/>
        <w:rPr>
          <w:rFonts w:hint="eastAsia" w:ascii="宋体" w:hAnsi="宋体"/>
          <w:b/>
          <w:color w:val="000000"/>
          <w:sz w:val="24"/>
        </w:rPr>
      </w:pPr>
      <w:r>
        <w:rPr>
          <w:rFonts w:hint="eastAsia" w:ascii="宋体" w:hAnsi="宋体"/>
          <w:color w:val="000000"/>
          <w:sz w:val="24"/>
        </w:rPr>
        <w:t>6.如有多分标，按分标分别提供开标一览表，</w:t>
      </w:r>
      <w:r>
        <w:rPr>
          <w:rFonts w:hint="eastAsia" w:ascii="宋体" w:hAnsi="宋体"/>
          <w:b/>
          <w:color w:val="000000"/>
          <w:sz w:val="24"/>
        </w:rPr>
        <w:t>否则投标无效。</w:t>
      </w:r>
    </w:p>
    <w:p>
      <w:pPr>
        <w:pStyle w:val="2"/>
        <w:rPr>
          <w:rFonts w:hint="eastAsia"/>
          <w:color w:val="000000"/>
        </w:rPr>
      </w:pPr>
    </w:p>
    <w:p>
      <w:pPr>
        <w:snapToGrid w:val="0"/>
        <w:spacing w:line="360" w:lineRule="auto"/>
        <w:ind w:left="-2" w:leftChars="-1" w:right="-817" w:rightChars="-389"/>
        <w:rPr>
          <w:rFonts w:hint="eastAsia" w:ascii="宋体" w:hAnsi="宋体"/>
          <w:color w:val="000000"/>
          <w:sz w:val="24"/>
        </w:rPr>
      </w:pPr>
      <w:r>
        <w:rPr>
          <w:rFonts w:hint="eastAsia" w:ascii="宋体" w:hAnsi="宋体"/>
          <w:color w:val="000000"/>
          <w:sz w:val="24"/>
        </w:rPr>
        <w:t xml:space="preserve">                                  法定代表人或者委托代理人（签字/电子签名）： </w:t>
      </w:r>
    </w:p>
    <w:p>
      <w:pPr>
        <w:snapToGrid w:val="0"/>
        <w:spacing w:line="360" w:lineRule="auto"/>
        <w:ind w:left="-3" w:leftChars="-15" w:right="-817" w:rightChars="-389" w:hanging="28" w:hangingChars="12"/>
        <w:rPr>
          <w:rFonts w:hint="eastAsia" w:ascii="宋体" w:hAnsi="宋体"/>
          <w:color w:val="000000"/>
          <w:sz w:val="24"/>
        </w:rPr>
      </w:pPr>
      <w:r>
        <w:rPr>
          <w:rFonts w:hint="eastAsia" w:ascii="宋体" w:hAnsi="宋体"/>
          <w:color w:val="000000"/>
          <w:sz w:val="24"/>
        </w:rPr>
        <w:t xml:space="preserve">                                  投标人名称（电子签章）：</w:t>
      </w:r>
    </w:p>
    <w:p>
      <w:pPr>
        <w:snapToGrid w:val="0"/>
        <w:spacing w:line="360" w:lineRule="auto"/>
        <w:ind w:left="-3" w:leftChars="-15" w:right="-817" w:rightChars="-389" w:hanging="28" w:hangingChars="12"/>
        <w:rPr>
          <w:rFonts w:hint="eastAsia" w:ascii="宋体" w:hAnsi="宋体"/>
          <w:color w:val="000000"/>
          <w:szCs w:val="21"/>
        </w:rPr>
      </w:pPr>
      <w:r>
        <w:rPr>
          <w:rFonts w:hint="eastAsia" w:ascii="宋体" w:hAnsi="宋体"/>
          <w:color w:val="000000"/>
          <w:sz w:val="24"/>
        </w:rPr>
        <w:t xml:space="preserve">                                  日期：    年   月   日</w:t>
      </w:r>
    </w:p>
    <w:p>
      <w:pPr>
        <w:rPr>
          <w:rFonts w:hint="eastAsia"/>
          <w:b/>
          <w:color w:val="000000"/>
          <w:sz w:val="28"/>
          <w:szCs w:val="28"/>
        </w:rPr>
      </w:pPr>
      <w:r>
        <w:rPr>
          <w:rFonts w:ascii="宋体" w:hAnsi="宋体"/>
          <w:b/>
          <w:bCs/>
          <w:color w:val="000000"/>
          <w:sz w:val="24"/>
        </w:rPr>
        <w:br w:type="page"/>
      </w:r>
      <w:bookmarkStart w:id="149" w:name="_Toc19686837"/>
      <w:r>
        <w:rPr>
          <w:rFonts w:hint="eastAsia"/>
          <w:b/>
          <w:color w:val="000000"/>
          <w:sz w:val="28"/>
          <w:szCs w:val="28"/>
        </w:rPr>
        <w:t>二、资格证明文件格式</w:t>
      </w:r>
      <w:bookmarkEnd w:id="147"/>
      <w:bookmarkEnd w:id="148"/>
      <w:bookmarkEnd w:id="149"/>
    </w:p>
    <w:p>
      <w:pPr>
        <w:numPr>
          <w:ilvl w:val="2"/>
          <w:numId w:val="32"/>
        </w:numPr>
        <w:snapToGrid w:val="0"/>
        <w:spacing w:before="120" w:beforeLines="50" w:after="50" w:line="360" w:lineRule="auto"/>
        <w:ind w:left="0" w:firstLine="0"/>
        <w:jc w:val="left"/>
        <w:rPr>
          <w:rFonts w:hint="eastAsia" w:ascii="宋体" w:hAnsi="宋体"/>
          <w:b/>
          <w:color w:val="000000"/>
          <w:sz w:val="24"/>
        </w:rPr>
      </w:pPr>
      <w:r>
        <w:rPr>
          <w:rFonts w:hint="eastAsia" w:ascii="宋体" w:hAnsi="宋体"/>
          <w:b/>
          <w:color w:val="000000"/>
          <w:sz w:val="24"/>
        </w:rPr>
        <w:t xml:space="preserve">资格证明文件封面格式： </w:t>
      </w:r>
    </w:p>
    <w:p>
      <w:pPr>
        <w:snapToGrid w:val="0"/>
        <w:spacing w:before="120" w:beforeLines="50" w:after="50"/>
        <w:jc w:val="center"/>
        <w:rPr>
          <w:rFonts w:hint="eastAsia" w:ascii="宋体" w:hAnsi="宋体" w:eastAsia="方正小标宋简体"/>
          <w:bCs/>
          <w:color w:val="000000"/>
          <w:sz w:val="48"/>
          <w:szCs w:val="48"/>
        </w:rPr>
      </w:pPr>
    </w:p>
    <w:p>
      <w:pPr>
        <w:snapToGrid w:val="0"/>
        <w:spacing w:before="120" w:beforeLines="50" w:after="50"/>
        <w:jc w:val="center"/>
        <w:rPr>
          <w:rFonts w:hint="eastAsia" w:ascii="宋体" w:hAnsi="宋体" w:eastAsia="方正小标宋简体"/>
          <w:bCs/>
          <w:color w:val="000000"/>
          <w:sz w:val="48"/>
          <w:szCs w:val="48"/>
        </w:rPr>
      </w:pPr>
      <w:r>
        <w:rPr>
          <w:rFonts w:hint="eastAsia" w:ascii="宋体" w:hAnsi="宋体" w:eastAsia="方正小标宋简体"/>
          <w:bCs/>
          <w:color w:val="000000"/>
          <w:sz w:val="48"/>
          <w:szCs w:val="48"/>
        </w:rPr>
        <w:t>电子投标文件</w:t>
      </w:r>
    </w:p>
    <w:p>
      <w:pPr>
        <w:pStyle w:val="2"/>
        <w:rPr>
          <w:rFonts w:hint="eastAsia"/>
          <w:color w:val="000000"/>
        </w:rPr>
      </w:pPr>
    </w:p>
    <w:p>
      <w:pPr>
        <w:snapToGrid w:val="0"/>
        <w:spacing w:before="120" w:beforeLines="50" w:after="50"/>
        <w:jc w:val="center"/>
        <w:rPr>
          <w:rFonts w:hint="eastAsia" w:ascii="宋体" w:hAnsi="宋体"/>
          <w:b/>
          <w:color w:val="000000"/>
          <w:sz w:val="24"/>
          <w:szCs w:val="20"/>
        </w:rPr>
      </w:pPr>
      <w:r>
        <w:rPr>
          <w:rFonts w:hint="eastAsia" w:ascii="宋体" w:hAnsi="宋体"/>
          <w:b/>
          <w:color w:val="000000"/>
          <w:sz w:val="32"/>
          <w:szCs w:val="32"/>
        </w:rPr>
        <w:t>资格证明文件</w:t>
      </w:r>
    </w:p>
    <w:p>
      <w:pPr>
        <w:snapToGrid w:val="0"/>
        <w:spacing w:before="120" w:beforeLines="50" w:after="50"/>
        <w:rPr>
          <w:rFonts w:ascii="宋体" w:hAnsi="宋体"/>
          <w:bCs/>
          <w:color w:val="000000"/>
          <w:sz w:val="24"/>
          <w:szCs w:val="20"/>
        </w:rPr>
      </w:pPr>
    </w:p>
    <w:p>
      <w:pPr>
        <w:snapToGrid w:val="0"/>
        <w:spacing w:before="120" w:beforeLines="50" w:after="50"/>
        <w:rPr>
          <w:rFonts w:ascii="宋体" w:hAnsi="宋体"/>
          <w:bCs/>
          <w:color w:val="000000"/>
          <w:sz w:val="24"/>
          <w:szCs w:val="20"/>
        </w:rPr>
      </w:pPr>
    </w:p>
    <w:p>
      <w:pPr>
        <w:snapToGrid w:val="0"/>
        <w:spacing w:before="120" w:beforeLines="50" w:after="50"/>
        <w:rPr>
          <w:rFonts w:ascii="宋体" w:hAnsi="宋体"/>
          <w:bCs/>
          <w:color w:val="000000"/>
          <w:sz w:val="24"/>
          <w:szCs w:val="20"/>
        </w:rPr>
      </w:pPr>
    </w:p>
    <w:p>
      <w:pPr>
        <w:snapToGrid w:val="0"/>
        <w:spacing w:before="120" w:beforeLines="50" w:after="50"/>
        <w:rPr>
          <w:rFonts w:ascii="宋体" w:hAnsi="宋体"/>
          <w:bCs/>
          <w:color w:val="000000"/>
          <w:sz w:val="24"/>
          <w:szCs w:val="20"/>
        </w:rPr>
      </w:pPr>
    </w:p>
    <w:p>
      <w:pPr>
        <w:snapToGrid w:val="0"/>
        <w:spacing w:before="120" w:beforeLines="50" w:after="50"/>
        <w:rPr>
          <w:rFonts w:ascii="宋体" w:hAnsi="宋体"/>
          <w:bCs/>
          <w:color w:val="000000"/>
          <w:sz w:val="24"/>
          <w:szCs w:val="20"/>
        </w:rPr>
      </w:pPr>
    </w:p>
    <w:p>
      <w:pPr>
        <w:snapToGrid w:val="0"/>
        <w:spacing w:before="120" w:beforeLines="50" w:after="50"/>
        <w:rPr>
          <w:rFonts w:ascii="宋体" w:hAnsi="宋体"/>
          <w:bCs/>
          <w:color w:val="000000"/>
          <w:sz w:val="24"/>
          <w:szCs w:val="20"/>
        </w:rPr>
      </w:pPr>
    </w:p>
    <w:p>
      <w:pPr>
        <w:snapToGrid w:val="0"/>
        <w:spacing w:before="120" w:beforeLines="50" w:after="50"/>
        <w:rPr>
          <w:rFonts w:hint="eastAsia" w:ascii="宋体" w:hAnsi="宋体"/>
          <w:bCs/>
          <w:color w:val="000000"/>
          <w:sz w:val="24"/>
          <w:szCs w:val="20"/>
        </w:rPr>
      </w:pPr>
    </w:p>
    <w:p>
      <w:pPr>
        <w:snapToGrid w:val="0"/>
        <w:spacing w:before="120" w:beforeLines="50" w:after="50"/>
        <w:ind w:firstLine="540" w:firstLineChars="225"/>
        <w:rPr>
          <w:rFonts w:hint="eastAsia" w:ascii="宋体" w:hAnsi="宋体"/>
          <w:bCs/>
          <w:color w:val="000000"/>
          <w:sz w:val="24"/>
        </w:rPr>
      </w:pPr>
      <w:r>
        <w:rPr>
          <w:rFonts w:hint="eastAsia" w:ascii="宋体" w:hAnsi="宋体"/>
          <w:bCs/>
          <w:color w:val="000000"/>
          <w:sz w:val="24"/>
        </w:rPr>
        <w:t>项目名称：</w:t>
      </w:r>
    </w:p>
    <w:p>
      <w:pPr>
        <w:snapToGrid w:val="0"/>
        <w:spacing w:before="120" w:beforeLines="50" w:after="50"/>
        <w:ind w:firstLine="540" w:firstLineChars="225"/>
        <w:rPr>
          <w:rFonts w:hint="eastAsia" w:ascii="宋体" w:hAnsi="宋体"/>
          <w:bCs/>
          <w:color w:val="000000"/>
          <w:sz w:val="24"/>
          <w:szCs w:val="20"/>
        </w:rPr>
      </w:pPr>
    </w:p>
    <w:p>
      <w:pPr>
        <w:snapToGrid w:val="0"/>
        <w:spacing w:before="120" w:beforeLines="50" w:after="50"/>
        <w:ind w:firstLine="540" w:firstLineChars="225"/>
        <w:rPr>
          <w:rFonts w:hint="eastAsia" w:ascii="宋体" w:hAnsi="宋体"/>
          <w:bCs/>
          <w:color w:val="000000"/>
          <w:sz w:val="24"/>
        </w:rPr>
      </w:pPr>
      <w:r>
        <w:rPr>
          <w:rFonts w:hint="eastAsia" w:ascii="宋体" w:hAnsi="宋体"/>
          <w:bCs/>
          <w:color w:val="000000"/>
          <w:sz w:val="24"/>
        </w:rPr>
        <w:t>项目编号：</w:t>
      </w:r>
    </w:p>
    <w:p>
      <w:pPr>
        <w:snapToGrid w:val="0"/>
        <w:spacing w:before="120" w:beforeLines="50" w:after="50"/>
        <w:ind w:firstLine="540" w:firstLineChars="225"/>
        <w:rPr>
          <w:rFonts w:hint="eastAsia" w:ascii="宋体" w:hAnsi="宋体"/>
          <w:bCs/>
          <w:color w:val="000000"/>
          <w:sz w:val="24"/>
          <w:szCs w:val="20"/>
        </w:rPr>
      </w:pPr>
      <w:r>
        <w:rPr>
          <w:rFonts w:hint="eastAsia" w:ascii="宋体" w:hAnsi="宋体"/>
          <w:bCs/>
          <w:color w:val="000000"/>
          <w:sz w:val="24"/>
        </w:rPr>
        <w:t xml:space="preserve"> </w:t>
      </w:r>
    </w:p>
    <w:p>
      <w:pPr>
        <w:snapToGrid w:val="0"/>
        <w:spacing w:before="120" w:beforeLines="50" w:after="50"/>
        <w:ind w:firstLine="540" w:firstLineChars="225"/>
        <w:rPr>
          <w:rFonts w:hint="eastAsia" w:ascii="宋体" w:hAnsi="宋体"/>
          <w:bCs/>
          <w:color w:val="000000"/>
          <w:sz w:val="24"/>
        </w:rPr>
      </w:pPr>
      <w:r>
        <w:rPr>
          <w:rFonts w:hint="eastAsia" w:ascii="宋体" w:hAnsi="宋体"/>
          <w:bCs/>
          <w:color w:val="000000"/>
          <w:sz w:val="24"/>
        </w:rPr>
        <w:t>所投分标：</w:t>
      </w:r>
    </w:p>
    <w:p>
      <w:pPr>
        <w:pStyle w:val="10"/>
        <w:snapToGrid w:val="0"/>
        <w:spacing w:before="50" w:after="50"/>
        <w:ind w:firstLine="540" w:firstLineChars="225"/>
        <w:rPr>
          <w:rFonts w:hint="eastAsia" w:ascii="宋体" w:hAnsi="宋体"/>
          <w:bCs/>
          <w:color w:val="000000"/>
          <w:sz w:val="24"/>
          <w:szCs w:val="24"/>
        </w:rPr>
      </w:pPr>
    </w:p>
    <w:p>
      <w:pPr>
        <w:pStyle w:val="10"/>
        <w:snapToGrid w:val="0"/>
        <w:spacing w:before="50" w:after="50"/>
        <w:ind w:firstLine="540" w:firstLineChars="225"/>
        <w:rPr>
          <w:rFonts w:hint="eastAsia" w:ascii="宋体" w:hAnsi="宋体"/>
          <w:bCs/>
          <w:color w:val="000000"/>
          <w:sz w:val="24"/>
          <w:szCs w:val="24"/>
        </w:rPr>
      </w:pPr>
      <w:r>
        <w:rPr>
          <w:rFonts w:hint="eastAsia" w:ascii="宋体" w:hAnsi="宋体"/>
          <w:bCs/>
          <w:color w:val="000000"/>
          <w:sz w:val="24"/>
          <w:szCs w:val="24"/>
        </w:rPr>
        <w:t>投标人名称：</w:t>
      </w:r>
    </w:p>
    <w:p>
      <w:pPr>
        <w:pStyle w:val="10"/>
        <w:snapToGrid w:val="0"/>
        <w:spacing w:before="50" w:after="50"/>
        <w:ind w:firstLine="540" w:firstLineChars="225"/>
        <w:rPr>
          <w:rFonts w:hint="eastAsia" w:ascii="宋体" w:hAnsi="宋体"/>
          <w:bCs/>
          <w:color w:val="000000"/>
          <w:sz w:val="24"/>
          <w:szCs w:val="24"/>
        </w:rPr>
      </w:pPr>
    </w:p>
    <w:p>
      <w:pPr>
        <w:pStyle w:val="10"/>
        <w:snapToGrid w:val="0"/>
        <w:spacing w:before="50" w:after="50"/>
        <w:ind w:firstLine="960" w:firstLineChars="400"/>
        <w:rPr>
          <w:rFonts w:hint="eastAsia" w:ascii="宋体" w:hAnsi="宋体"/>
          <w:bCs/>
          <w:color w:val="000000"/>
          <w:sz w:val="24"/>
          <w:szCs w:val="24"/>
        </w:rPr>
      </w:pPr>
    </w:p>
    <w:p>
      <w:pPr>
        <w:snapToGrid w:val="0"/>
        <w:spacing w:before="120" w:beforeLines="50" w:after="50"/>
        <w:ind w:firstLine="645"/>
        <w:jc w:val="center"/>
        <w:rPr>
          <w:rFonts w:ascii="宋体" w:hAnsi="宋体"/>
          <w:color w:val="000000"/>
          <w:sz w:val="24"/>
        </w:rPr>
      </w:pPr>
      <w:r>
        <w:rPr>
          <w:rFonts w:hint="eastAsia" w:ascii="宋体" w:hAnsi="宋体"/>
          <w:color w:val="000000"/>
          <w:sz w:val="24"/>
        </w:rPr>
        <w:t>年  月  日</w:t>
      </w:r>
    </w:p>
    <w:p>
      <w:pPr>
        <w:snapToGrid w:val="0"/>
        <w:spacing w:before="120" w:beforeLines="50" w:after="50"/>
        <w:rPr>
          <w:rFonts w:ascii="宋体" w:hAnsi="宋体"/>
          <w:color w:val="000000"/>
          <w:sz w:val="24"/>
          <w:szCs w:val="20"/>
        </w:rPr>
      </w:pPr>
      <w:r>
        <w:rPr>
          <w:rFonts w:ascii="宋体" w:hAnsi="宋体"/>
          <w:color w:val="000000"/>
          <w:sz w:val="24"/>
          <w:szCs w:val="20"/>
        </w:rPr>
        <w:t xml:space="preserve"> </w:t>
      </w:r>
    </w:p>
    <w:p>
      <w:pPr>
        <w:snapToGrid w:val="0"/>
        <w:spacing w:before="120" w:beforeLines="50" w:after="50"/>
        <w:rPr>
          <w:rFonts w:hint="eastAsia" w:ascii="宋体" w:hAnsi="宋体"/>
          <w:color w:val="000000"/>
          <w:sz w:val="24"/>
          <w:szCs w:val="20"/>
        </w:rPr>
      </w:pPr>
    </w:p>
    <w:p>
      <w:pPr>
        <w:numPr>
          <w:ilvl w:val="2"/>
          <w:numId w:val="32"/>
        </w:numPr>
        <w:snapToGrid w:val="0"/>
        <w:spacing w:before="120" w:beforeLines="50" w:after="50" w:line="360" w:lineRule="auto"/>
        <w:ind w:left="0" w:firstLine="0"/>
        <w:jc w:val="left"/>
        <w:rPr>
          <w:rFonts w:hint="eastAsia" w:ascii="宋体" w:hAnsi="宋体"/>
          <w:color w:val="000000"/>
          <w:sz w:val="24"/>
          <w:szCs w:val="20"/>
        </w:rPr>
      </w:pPr>
      <w:r>
        <w:rPr>
          <w:rFonts w:ascii="宋体" w:hAnsi="宋体"/>
          <w:b/>
          <w:bCs/>
          <w:color w:val="000000"/>
          <w:sz w:val="24"/>
        </w:rPr>
        <w:br w:type="page"/>
      </w:r>
      <w:r>
        <w:rPr>
          <w:rFonts w:hint="eastAsia" w:ascii="宋体" w:hAnsi="宋体"/>
          <w:b/>
          <w:bCs/>
          <w:color w:val="000000"/>
          <w:sz w:val="24"/>
        </w:rPr>
        <w:t>资格证明文件目录</w:t>
      </w:r>
    </w:p>
    <w:p>
      <w:pPr>
        <w:snapToGrid w:val="0"/>
        <w:spacing w:line="360" w:lineRule="auto"/>
        <w:ind w:firstLine="420" w:firstLineChars="200"/>
        <w:jc w:val="left"/>
        <w:rPr>
          <w:rFonts w:hint="eastAsia" w:ascii="宋体" w:hAnsi="宋体"/>
          <w:color w:val="000000"/>
          <w:szCs w:val="21"/>
        </w:rPr>
      </w:pPr>
      <w:r>
        <w:rPr>
          <w:rFonts w:hint="eastAsia" w:ascii="宋体" w:hAnsi="宋体"/>
          <w:color w:val="000000"/>
          <w:szCs w:val="21"/>
        </w:rPr>
        <w:t>根据招标文件规定及投标人提供的材料自行编写目录。</w:t>
      </w:r>
    </w:p>
    <w:p>
      <w:pPr>
        <w:snapToGrid w:val="0"/>
        <w:spacing w:before="50" w:after="120" w:afterLines="50"/>
        <w:jc w:val="left"/>
        <w:rPr>
          <w:rFonts w:hint="eastAsia" w:ascii="宋体" w:hAnsi="宋体"/>
          <w:color w:val="000000"/>
          <w:sz w:val="24"/>
        </w:rPr>
      </w:pPr>
    </w:p>
    <w:p>
      <w:pPr>
        <w:snapToGrid w:val="0"/>
        <w:spacing w:before="50" w:after="120" w:afterLines="50"/>
        <w:jc w:val="left"/>
        <w:rPr>
          <w:rFonts w:hint="eastAsia" w:ascii="宋体" w:hAnsi="宋体"/>
          <w:color w:val="000000"/>
          <w:sz w:val="24"/>
        </w:rPr>
      </w:pPr>
    </w:p>
    <w:p>
      <w:pPr>
        <w:numPr>
          <w:ilvl w:val="2"/>
          <w:numId w:val="32"/>
        </w:numPr>
        <w:snapToGrid w:val="0"/>
        <w:spacing w:before="120" w:beforeLines="50" w:after="50"/>
        <w:ind w:left="0" w:firstLine="0"/>
        <w:jc w:val="left"/>
        <w:rPr>
          <w:rFonts w:hint="eastAsia" w:ascii="宋体" w:hAnsi="宋体"/>
          <w:b/>
          <w:color w:val="000000"/>
          <w:sz w:val="24"/>
        </w:rPr>
      </w:pPr>
      <w:r>
        <w:rPr>
          <w:rFonts w:ascii="宋体" w:hAnsi="宋体"/>
          <w:b/>
          <w:color w:val="000000"/>
          <w:sz w:val="24"/>
        </w:rPr>
        <w:br w:type="page"/>
      </w:r>
      <w:r>
        <w:rPr>
          <w:rFonts w:hint="eastAsia" w:ascii="宋体" w:hAnsi="宋体"/>
          <w:b/>
          <w:color w:val="000000"/>
          <w:sz w:val="28"/>
          <w:szCs w:val="28"/>
        </w:rPr>
        <w:t>投标人直接控股、管理关系信息表</w:t>
      </w:r>
    </w:p>
    <w:p>
      <w:pPr>
        <w:snapToGrid w:val="0"/>
        <w:spacing w:before="50" w:after="120" w:afterLines="50"/>
        <w:jc w:val="center"/>
        <w:rPr>
          <w:rFonts w:hint="eastAsia" w:ascii="宋体" w:hAnsi="宋体"/>
          <w:b/>
          <w:color w:val="000000"/>
          <w:sz w:val="28"/>
          <w:szCs w:val="28"/>
        </w:rPr>
      </w:pPr>
    </w:p>
    <w:p>
      <w:pPr>
        <w:snapToGrid w:val="0"/>
        <w:spacing w:before="50" w:after="120" w:afterLines="50" w:line="360" w:lineRule="auto"/>
        <w:jc w:val="center"/>
        <w:rPr>
          <w:rFonts w:hint="eastAsia" w:ascii="宋体" w:hAnsi="宋体"/>
          <w:b/>
          <w:color w:val="000000"/>
          <w:sz w:val="32"/>
          <w:szCs w:val="32"/>
        </w:rPr>
      </w:pPr>
      <w:r>
        <w:rPr>
          <w:rFonts w:hint="eastAsia" w:ascii="宋体" w:hAnsi="宋体"/>
          <w:b/>
          <w:color w:val="000000"/>
          <w:sz w:val="32"/>
          <w:szCs w:val="32"/>
        </w:rPr>
        <w:t>投标人直接控股股东信息表</w:t>
      </w:r>
    </w:p>
    <w:tbl>
      <w:tblPr>
        <w:tblStyle w:val="24"/>
        <w:tblW w:w="9476" w:type="dxa"/>
        <w:tblInd w:w="0" w:type="dxa"/>
        <w:shd w:val="clear" w:color="auto" w:fill="FBFBFB"/>
        <w:tblLayout w:type="fixed"/>
        <w:tblCellMar>
          <w:top w:w="0" w:type="dxa"/>
          <w:left w:w="0" w:type="dxa"/>
          <w:bottom w:w="0" w:type="dxa"/>
          <w:right w:w="0" w:type="dxa"/>
        </w:tblCellMar>
      </w:tblPr>
      <w:tblGrid>
        <w:gridCol w:w="828"/>
        <w:gridCol w:w="2269"/>
        <w:gridCol w:w="1239"/>
        <w:gridCol w:w="4006"/>
        <w:gridCol w:w="1134"/>
      </w:tblGrid>
      <w:tr>
        <w:tblPrEx>
          <w:shd w:val="clear" w:color="auto" w:fill="FBFBFB"/>
          <w:tblLayout w:type="fixed"/>
          <w:tblCellMar>
            <w:top w:w="0" w:type="dxa"/>
            <w:left w:w="0" w:type="dxa"/>
            <w:bottom w:w="0" w:type="dxa"/>
            <w:right w:w="0" w:type="dxa"/>
          </w:tblCellMar>
        </w:tblPrEx>
        <w:trPr>
          <w:tblHeader/>
        </w:trPr>
        <w:tc>
          <w:tcPr>
            <w:tcW w:w="828"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2269"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000000"/>
                <w:kern w:val="0"/>
                <w:sz w:val="24"/>
              </w:rPr>
            </w:pPr>
            <w:r>
              <w:rPr>
                <w:rFonts w:hint="eastAsia" w:ascii="宋体" w:hAnsi="宋体" w:cs="宋体"/>
                <w:b/>
                <w:bCs/>
                <w:color w:val="000000"/>
                <w:kern w:val="0"/>
                <w:sz w:val="24"/>
              </w:rPr>
              <w:t>直接控股股东名称</w:t>
            </w:r>
          </w:p>
        </w:tc>
        <w:tc>
          <w:tcPr>
            <w:tcW w:w="1239"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000000"/>
                <w:kern w:val="0"/>
                <w:sz w:val="24"/>
              </w:rPr>
            </w:pPr>
            <w:r>
              <w:rPr>
                <w:rFonts w:hint="eastAsia" w:ascii="宋体" w:hAnsi="宋体" w:cs="宋体"/>
                <w:b/>
                <w:bCs/>
                <w:color w:val="000000"/>
                <w:kern w:val="0"/>
                <w:sz w:val="24"/>
              </w:rPr>
              <w:t>出资比例</w:t>
            </w:r>
          </w:p>
        </w:tc>
        <w:tc>
          <w:tcPr>
            <w:tcW w:w="4006"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000000"/>
                <w:kern w:val="0"/>
                <w:sz w:val="24"/>
              </w:rPr>
            </w:pPr>
            <w:r>
              <w:rPr>
                <w:rFonts w:hint="eastAsia" w:ascii="宋体" w:hAnsi="宋体" w:cs="宋体"/>
                <w:b/>
                <w:bCs/>
                <w:color w:val="000000"/>
                <w:kern w:val="0"/>
                <w:sz w:val="24"/>
              </w:rPr>
              <w:t>身份证号码或者统一社会信用代码</w:t>
            </w:r>
          </w:p>
        </w:tc>
        <w:tc>
          <w:tcPr>
            <w:tcW w:w="1134"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000000"/>
                <w:kern w:val="0"/>
                <w:sz w:val="24"/>
              </w:rPr>
            </w:pPr>
            <w:r>
              <w:rPr>
                <w:rFonts w:hint="eastAsia" w:ascii="宋体" w:hAnsi="宋体" w:cs="宋体"/>
                <w:b/>
                <w:bCs/>
                <w:color w:val="000000"/>
                <w:kern w:val="0"/>
                <w:sz w:val="24"/>
              </w:rPr>
              <w:t>备注</w:t>
            </w:r>
          </w:p>
        </w:tc>
      </w:tr>
      <w:tr>
        <w:tblPrEx>
          <w:shd w:val="clear" w:color="auto" w:fill="FBFBFB"/>
          <w:tblLayout w:type="fixed"/>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r>
              <w:rPr>
                <w:rFonts w:hint="eastAsia" w:ascii="宋体" w:hAnsi="宋体" w:cs="宋体"/>
                <w:color w:val="000000"/>
                <w:kern w:val="0"/>
                <w:sz w:val="24"/>
              </w:rPr>
              <w:t>1</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4006"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113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r>
      <w:tr>
        <w:tblPrEx>
          <w:shd w:val="clear" w:color="auto" w:fill="FBFBFB"/>
          <w:tblLayout w:type="fixed"/>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r>
              <w:rPr>
                <w:rFonts w:hint="eastAsia" w:ascii="宋体" w:hAnsi="宋体" w:cs="宋体"/>
                <w:color w:val="000000"/>
                <w:kern w:val="0"/>
                <w:sz w:val="24"/>
              </w:rPr>
              <w:t>2</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4006"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113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r>
      <w:tr>
        <w:tblPrEx>
          <w:shd w:val="clear" w:color="auto" w:fill="FBFBFB"/>
          <w:tblLayout w:type="fixed"/>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r>
              <w:rPr>
                <w:rFonts w:hint="eastAsia" w:ascii="宋体" w:hAnsi="宋体" w:cs="宋体"/>
                <w:color w:val="000000"/>
                <w:kern w:val="0"/>
                <w:sz w:val="24"/>
              </w:rPr>
              <w:t>3</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4006"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113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r>
      <w:tr>
        <w:tblPrEx>
          <w:tblLayout w:type="fixed"/>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r>
              <w:rPr>
                <w:rFonts w:hint="eastAsia" w:ascii="宋体" w:hAnsi="宋体" w:cs="宋体"/>
                <w:color w:val="000000"/>
                <w:kern w:val="0"/>
                <w:sz w:val="24"/>
              </w:rPr>
              <w:t>……</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4006"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113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r>
    </w:tbl>
    <w:p>
      <w:pPr>
        <w:snapToGrid w:val="0"/>
        <w:spacing w:line="360" w:lineRule="auto"/>
        <w:jc w:val="left"/>
        <w:rPr>
          <w:rFonts w:hint="eastAsia" w:ascii="宋体" w:hAnsi="宋体"/>
          <w:color w:val="000000"/>
          <w:sz w:val="24"/>
        </w:rPr>
      </w:pPr>
      <w:r>
        <w:rPr>
          <w:rFonts w:hint="eastAsia" w:ascii="宋体" w:hAnsi="宋体"/>
          <w:color w:val="000000"/>
          <w:sz w:val="24"/>
        </w:rPr>
        <w:t>注：</w:t>
      </w:r>
    </w:p>
    <w:p>
      <w:pPr>
        <w:snapToGrid w:val="0"/>
        <w:spacing w:line="360" w:lineRule="auto"/>
        <w:jc w:val="left"/>
        <w:rPr>
          <w:rFonts w:hint="eastAsia" w:ascii="宋体" w:hAnsi="宋体"/>
          <w:color w:val="000000"/>
          <w:sz w:val="24"/>
        </w:rPr>
      </w:pPr>
      <w:r>
        <w:rPr>
          <w:rFonts w:hint="eastAsia" w:ascii="宋体" w:hAnsi="宋体"/>
          <w:color w:val="000000"/>
          <w:sz w:val="24"/>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napToGrid w:val="0"/>
        <w:spacing w:line="360" w:lineRule="auto"/>
        <w:jc w:val="left"/>
        <w:rPr>
          <w:rFonts w:hint="eastAsia" w:ascii="宋体" w:hAnsi="宋体"/>
          <w:color w:val="000000"/>
          <w:sz w:val="24"/>
        </w:rPr>
      </w:pPr>
      <w:r>
        <w:rPr>
          <w:rFonts w:hint="eastAsia" w:ascii="宋体" w:hAnsi="宋体"/>
          <w:color w:val="000000"/>
          <w:sz w:val="24"/>
        </w:rPr>
        <w:t>2.本表所指的控股关系仅限于直接控股关系，不包括间接的控股关系。公司实际控制人与公司之间的关系不属于本表所指的直接控股关系。</w:t>
      </w:r>
    </w:p>
    <w:p>
      <w:pPr>
        <w:snapToGrid w:val="0"/>
        <w:spacing w:line="360" w:lineRule="auto"/>
        <w:jc w:val="left"/>
        <w:rPr>
          <w:rFonts w:hint="eastAsia" w:ascii="宋体" w:hAnsi="宋体"/>
          <w:color w:val="000000"/>
          <w:sz w:val="24"/>
        </w:rPr>
      </w:pPr>
      <w:r>
        <w:rPr>
          <w:rFonts w:hint="eastAsia" w:ascii="宋体" w:hAnsi="宋体"/>
          <w:color w:val="000000"/>
          <w:sz w:val="24"/>
        </w:rPr>
        <w:t>3.供应商不存在直接控股股东的，则在“</w:t>
      </w:r>
      <w:r>
        <w:rPr>
          <w:rFonts w:hint="eastAsia" w:ascii="宋体" w:hAnsi="宋体" w:cs="宋体"/>
          <w:b/>
          <w:bCs/>
          <w:color w:val="000000"/>
          <w:kern w:val="0"/>
          <w:sz w:val="24"/>
        </w:rPr>
        <w:t>直接控股股东名称</w:t>
      </w:r>
      <w:r>
        <w:rPr>
          <w:rFonts w:hint="eastAsia" w:ascii="宋体" w:hAnsi="宋体"/>
          <w:color w:val="000000"/>
          <w:sz w:val="24"/>
        </w:rPr>
        <w:t>”中填“无”。</w:t>
      </w:r>
    </w:p>
    <w:p>
      <w:pPr>
        <w:snapToGrid w:val="0"/>
        <w:spacing w:line="360" w:lineRule="auto"/>
        <w:jc w:val="left"/>
        <w:rPr>
          <w:rFonts w:hint="eastAsia" w:ascii="宋体" w:hAnsi="宋体"/>
          <w:color w:val="000000"/>
          <w:sz w:val="24"/>
        </w:rPr>
      </w:pPr>
    </w:p>
    <w:p>
      <w:pPr>
        <w:snapToGrid w:val="0"/>
        <w:spacing w:line="360" w:lineRule="auto"/>
        <w:jc w:val="left"/>
        <w:rPr>
          <w:rFonts w:hint="eastAsia" w:ascii="宋体" w:hAnsi="宋体"/>
          <w:color w:val="000000"/>
          <w:sz w:val="24"/>
        </w:rPr>
      </w:pPr>
    </w:p>
    <w:p>
      <w:pPr>
        <w:snapToGrid w:val="0"/>
        <w:spacing w:line="360" w:lineRule="auto"/>
        <w:jc w:val="left"/>
        <w:rPr>
          <w:rFonts w:hint="eastAsia" w:ascii="宋体" w:hAnsi="宋体"/>
          <w:color w:val="000000"/>
          <w:sz w:val="24"/>
        </w:rPr>
      </w:pPr>
    </w:p>
    <w:p>
      <w:pPr>
        <w:snapToGrid w:val="0"/>
        <w:spacing w:line="360" w:lineRule="auto"/>
        <w:ind w:left="-2" w:leftChars="-1" w:right="-817" w:rightChars="-389"/>
        <w:rPr>
          <w:rFonts w:hint="eastAsia" w:ascii="宋体" w:hAnsi="宋体"/>
          <w:color w:val="000000"/>
          <w:sz w:val="24"/>
        </w:rPr>
      </w:pPr>
      <w:r>
        <w:rPr>
          <w:rFonts w:hint="eastAsia" w:ascii="宋体" w:hAnsi="宋体"/>
          <w:color w:val="000000"/>
          <w:sz w:val="24"/>
        </w:rPr>
        <w:t xml:space="preserve">                                    法定代表人或者委托代理人（签字/电子签名）： </w:t>
      </w:r>
    </w:p>
    <w:p>
      <w:pPr>
        <w:snapToGrid w:val="0"/>
        <w:spacing w:line="360" w:lineRule="auto"/>
        <w:ind w:left="-3" w:leftChars="-15" w:right="-817" w:rightChars="-389" w:hanging="28" w:hangingChars="12"/>
        <w:rPr>
          <w:rFonts w:hint="eastAsia" w:ascii="宋体" w:hAnsi="宋体"/>
          <w:color w:val="000000"/>
          <w:sz w:val="24"/>
        </w:rPr>
      </w:pPr>
      <w:r>
        <w:rPr>
          <w:rFonts w:hint="eastAsia" w:ascii="宋体" w:hAnsi="宋体"/>
          <w:color w:val="000000"/>
          <w:sz w:val="24"/>
        </w:rPr>
        <w:t xml:space="preserve">                                    投标人名称（电子签章）：</w:t>
      </w:r>
    </w:p>
    <w:p>
      <w:pPr>
        <w:snapToGrid w:val="0"/>
        <w:spacing w:line="360" w:lineRule="auto"/>
        <w:jc w:val="left"/>
        <w:rPr>
          <w:rFonts w:hint="eastAsia" w:ascii="宋体" w:hAnsi="宋体"/>
          <w:color w:val="000000"/>
          <w:szCs w:val="21"/>
        </w:rPr>
      </w:pPr>
      <w:r>
        <w:rPr>
          <w:rFonts w:hint="eastAsia" w:ascii="宋体" w:hAnsi="宋体"/>
          <w:color w:val="000000"/>
          <w:sz w:val="24"/>
        </w:rPr>
        <w:t xml:space="preserve">                                    日期：    年   月   日</w:t>
      </w:r>
    </w:p>
    <w:p>
      <w:pPr>
        <w:snapToGrid w:val="0"/>
        <w:jc w:val="center"/>
        <w:rPr>
          <w:rFonts w:hint="eastAsia" w:ascii="宋体" w:hAnsi="宋体"/>
          <w:b/>
          <w:color w:val="000000"/>
          <w:sz w:val="28"/>
          <w:szCs w:val="28"/>
        </w:rPr>
      </w:pPr>
    </w:p>
    <w:p>
      <w:pPr>
        <w:snapToGrid w:val="0"/>
        <w:spacing w:line="360" w:lineRule="auto"/>
        <w:jc w:val="center"/>
        <w:rPr>
          <w:rFonts w:hint="eastAsia" w:ascii="宋体" w:hAnsi="宋体"/>
          <w:color w:val="000000"/>
          <w:sz w:val="32"/>
          <w:szCs w:val="32"/>
        </w:rPr>
      </w:pPr>
      <w:r>
        <w:rPr>
          <w:rFonts w:ascii="宋体" w:hAnsi="宋体"/>
          <w:b/>
          <w:color w:val="000000"/>
          <w:sz w:val="32"/>
          <w:szCs w:val="32"/>
        </w:rPr>
        <w:br w:type="page"/>
      </w:r>
      <w:r>
        <w:rPr>
          <w:rFonts w:hint="eastAsia" w:ascii="宋体" w:hAnsi="宋体"/>
          <w:b/>
          <w:color w:val="000000"/>
          <w:sz w:val="32"/>
          <w:szCs w:val="32"/>
        </w:rPr>
        <w:t>投标人直接管理关系信息表</w:t>
      </w:r>
    </w:p>
    <w:tbl>
      <w:tblPr>
        <w:tblStyle w:val="24"/>
        <w:tblW w:w="9652" w:type="dxa"/>
        <w:tblInd w:w="0" w:type="dxa"/>
        <w:shd w:val="clear" w:color="auto" w:fill="FBFBFB"/>
        <w:tblLayout w:type="fixed"/>
        <w:tblCellMar>
          <w:top w:w="0" w:type="dxa"/>
          <w:left w:w="0" w:type="dxa"/>
          <w:bottom w:w="0" w:type="dxa"/>
          <w:right w:w="0" w:type="dxa"/>
        </w:tblCellMar>
      </w:tblPr>
      <w:tblGrid>
        <w:gridCol w:w="1005"/>
        <w:gridCol w:w="2659"/>
        <w:gridCol w:w="3924"/>
        <w:gridCol w:w="2064"/>
      </w:tblGrid>
      <w:tr>
        <w:tblPrEx>
          <w:shd w:val="clear" w:color="auto" w:fill="FBFBFB"/>
          <w:tblLayout w:type="fixed"/>
          <w:tblCellMar>
            <w:top w:w="0" w:type="dxa"/>
            <w:left w:w="0" w:type="dxa"/>
            <w:bottom w:w="0" w:type="dxa"/>
            <w:right w:w="0" w:type="dxa"/>
          </w:tblCellMar>
        </w:tblPrEx>
        <w:trPr>
          <w:tblHeader/>
        </w:trPr>
        <w:tc>
          <w:tcPr>
            <w:tcW w:w="1005"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2659"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000000"/>
                <w:kern w:val="0"/>
                <w:sz w:val="24"/>
              </w:rPr>
            </w:pPr>
            <w:r>
              <w:rPr>
                <w:rFonts w:hint="eastAsia" w:ascii="宋体" w:hAnsi="宋体" w:cs="宋体"/>
                <w:b/>
                <w:bCs/>
                <w:color w:val="000000"/>
                <w:kern w:val="0"/>
                <w:sz w:val="24"/>
              </w:rPr>
              <w:t>直接管理关系单位名称</w:t>
            </w:r>
          </w:p>
        </w:tc>
        <w:tc>
          <w:tcPr>
            <w:tcW w:w="3924"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000000"/>
                <w:kern w:val="0"/>
                <w:sz w:val="24"/>
              </w:rPr>
            </w:pPr>
            <w:r>
              <w:rPr>
                <w:rFonts w:hint="eastAsia" w:ascii="宋体" w:hAnsi="宋体" w:cs="宋体"/>
                <w:b/>
                <w:bCs/>
                <w:color w:val="000000"/>
                <w:kern w:val="0"/>
                <w:sz w:val="24"/>
              </w:rPr>
              <w:t>统一社会信用代码</w:t>
            </w:r>
          </w:p>
        </w:tc>
        <w:tc>
          <w:tcPr>
            <w:tcW w:w="2064"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000000"/>
                <w:kern w:val="0"/>
                <w:sz w:val="24"/>
              </w:rPr>
            </w:pPr>
            <w:r>
              <w:rPr>
                <w:rFonts w:hint="eastAsia" w:ascii="宋体" w:hAnsi="宋体" w:cs="宋体"/>
                <w:b/>
                <w:bCs/>
                <w:color w:val="000000"/>
                <w:kern w:val="0"/>
                <w:sz w:val="24"/>
              </w:rPr>
              <w:t>备注</w:t>
            </w:r>
          </w:p>
        </w:tc>
      </w:tr>
      <w:tr>
        <w:tblPrEx>
          <w:tblLayout w:type="fixed"/>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r>
              <w:rPr>
                <w:rFonts w:hint="eastAsia" w:ascii="宋体" w:hAnsi="宋体" w:cs="宋体"/>
                <w:color w:val="000000"/>
                <w:kern w:val="0"/>
                <w:sz w:val="24"/>
              </w:rPr>
              <w:t>1</w:t>
            </w:r>
          </w:p>
        </w:tc>
        <w:tc>
          <w:tcPr>
            <w:tcW w:w="265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392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206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r>
      <w:tr>
        <w:tblPrEx>
          <w:tblLayout w:type="fixed"/>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r>
              <w:rPr>
                <w:rFonts w:hint="eastAsia" w:ascii="宋体" w:hAnsi="宋体" w:cs="宋体"/>
                <w:color w:val="000000"/>
                <w:kern w:val="0"/>
                <w:sz w:val="24"/>
              </w:rPr>
              <w:t>2</w:t>
            </w:r>
          </w:p>
        </w:tc>
        <w:tc>
          <w:tcPr>
            <w:tcW w:w="265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392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206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r>
      <w:tr>
        <w:tblPrEx>
          <w:tblLayout w:type="fixed"/>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r>
              <w:rPr>
                <w:rFonts w:hint="eastAsia" w:ascii="宋体" w:hAnsi="宋体" w:cs="宋体"/>
                <w:color w:val="000000"/>
                <w:kern w:val="0"/>
                <w:sz w:val="24"/>
              </w:rPr>
              <w:t>3</w:t>
            </w:r>
          </w:p>
        </w:tc>
        <w:tc>
          <w:tcPr>
            <w:tcW w:w="265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392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206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r>
      <w:tr>
        <w:tblPrEx>
          <w:tblLayout w:type="fixed"/>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r>
              <w:rPr>
                <w:rFonts w:hint="eastAsia" w:ascii="宋体" w:hAnsi="宋体" w:cs="宋体"/>
                <w:color w:val="000000"/>
                <w:kern w:val="0"/>
                <w:sz w:val="24"/>
              </w:rPr>
              <w:t>……</w:t>
            </w:r>
          </w:p>
        </w:tc>
        <w:tc>
          <w:tcPr>
            <w:tcW w:w="265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392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206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r>
    </w:tbl>
    <w:p>
      <w:pPr>
        <w:snapToGrid w:val="0"/>
        <w:spacing w:line="360" w:lineRule="auto"/>
        <w:jc w:val="left"/>
        <w:rPr>
          <w:rFonts w:hint="eastAsia" w:ascii="宋体" w:hAnsi="宋体"/>
          <w:color w:val="000000"/>
          <w:sz w:val="24"/>
        </w:rPr>
      </w:pPr>
      <w:r>
        <w:rPr>
          <w:rFonts w:hint="eastAsia" w:ascii="宋体" w:hAnsi="宋体"/>
          <w:color w:val="000000"/>
          <w:sz w:val="24"/>
        </w:rPr>
        <w:t>注：</w:t>
      </w:r>
    </w:p>
    <w:p>
      <w:pPr>
        <w:snapToGrid w:val="0"/>
        <w:spacing w:line="360" w:lineRule="auto"/>
        <w:ind w:firstLine="480" w:firstLineChars="200"/>
        <w:jc w:val="left"/>
        <w:rPr>
          <w:rFonts w:hint="eastAsia" w:ascii="宋体" w:hAnsi="宋体"/>
          <w:color w:val="000000"/>
          <w:sz w:val="24"/>
        </w:rPr>
      </w:pPr>
      <w:r>
        <w:rPr>
          <w:rFonts w:hint="eastAsia" w:ascii="宋体" w:hAnsi="宋体"/>
          <w:color w:val="000000"/>
          <w:sz w:val="24"/>
        </w:rPr>
        <w:t>1.管理关系：是指不具有出资持股关系的其他单位之间存在的管理与被管理关系，如一些上下级关系的事业单位和团体组织。</w:t>
      </w:r>
    </w:p>
    <w:p>
      <w:pPr>
        <w:snapToGrid w:val="0"/>
        <w:spacing w:line="360" w:lineRule="auto"/>
        <w:ind w:firstLine="480" w:firstLineChars="200"/>
        <w:jc w:val="left"/>
        <w:rPr>
          <w:rFonts w:hint="eastAsia" w:ascii="宋体" w:hAnsi="宋体"/>
          <w:color w:val="000000"/>
          <w:sz w:val="24"/>
        </w:rPr>
      </w:pPr>
      <w:r>
        <w:rPr>
          <w:rFonts w:hint="eastAsia" w:ascii="宋体" w:hAnsi="宋体"/>
          <w:color w:val="000000"/>
          <w:sz w:val="24"/>
        </w:rPr>
        <w:t>2.</w:t>
      </w:r>
      <w:r>
        <w:rPr>
          <w:rFonts w:hint="eastAsia" w:ascii="宋体" w:hAnsi="宋体"/>
          <w:color w:val="000000"/>
          <w:spacing w:val="-6"/>
          <w:sz w:val="24"/>
        </w:rPr>
        <w:t>本表所指的管理关系仅限于直接管理关系，不包括间接的管理关系。</w:t>
      </w:r>
    </w:p>
    <w:p>
      <w:pPr>
        <w:snapToGrid w:val="0"/>
        <w:spacing w:line="360" w:lineRule="auto"/>
        <w:ind w:firstLine="480" w:firstLineChars="200"/>
        <w:jc w:val="left"/>
        <w:rPr>
          <w:rFonts w:hint="eastAsia" w:ascii="宋体" w:hAnsi="宋体"/>
          <w:color w:val="000000"/>
          <w:sz w:val="24"/>
        </w:rPr>
      </w:pPr>
      <w:r>
        <w:rPr>
          <w:rFonts w:hint="eastAsia" w:ascii="宋体" w:hAnsi="宋体"/>
          <w:color w:val="000000"/>
          <w:sz w:val="24"/>
        </w:rPr>
        <w:t>3.供应商不存在直接管理关系的，则在“</w:t>
      </w:r>
      <w:r>
        <w:rPr>
          <w:rFonts w:hint="eastAsia" w:ascii="宋体" w:hAnsi="宋体" w:cs="宋体"/>
          <w:b/>
          <w:bCs/>
          <w:color w:val="000000"/>
          <w:kern w:val="0"/>
          <w:sz w:val="24"/>
        </w:rPr>
        <w:t>直接管理关系单位名称</w:t>
      </w:r>
      <w:r>
        <w:rPr>
          <w:rFonts w:hint="eastAsia" w:ascii="宋体" w:hAnsi="宋体"/>
          <w:color w:val="000000"/>
          <w:sz w:val="24"/>
        </w:rPr>
        <w:t>”中填“无”。</w:t>
      </w:r>
    </w:p>
    <w:p>
      <w:pPr>
        <w:snapToGrid w:val="0"/>
        <w:spacing w:line="360" w:lineRule="auto"/>
        <w:jc w:val="left"/>
        <w:rPr>
          <w:rFonts w:hint="eastAsia" w:ascii="宋体" w:hAnsi="宋体"/>
          <w:color w:val="000000"/>
          <w:sz w:val="24"/>
        </w:rPr>
      </w:pPr>
    </w:p>
    <w:p>
      <w:pPr>
        <w:snapToGrid w:val="0"/>
        <w:spacing w:line="360" w:lineRule="auto"/>
        <w:jc w:val="left"/>
        <w:rPr>
          <w:rFonts w:hint="eastAsia" w:ascii="宋体" w:hAnsi="宋体"/>
          <w:color w:val="000000"/>
          <w:sz w:val="24"/>
        </w:rPr>
      </w:pPr>
    </w:p>
    <w:p>
      <w:pPr>
        <w:snapToGrid w:val="0"/>
        <w:spacing w:line="360" w:lineRule="auto"/>
        <w:jc w:val="left"/>
        <w:rPr>
          <w:rFonts w:hint="eastAsia" w:ascii="宋体" w:hAnsi="宋体"/>
          <w:color w:val="000000"/>
          <w:sz w:val="24"/>
        </w:rPr>
      </w:pPr>
    </w:p>
    <w:p>
      <w:pPr>
        <w:snapToGrid w:val="0"/>
        <w:spacing w:line="360" w:lineRule="auto"/>
        <w:jc w:val="left"/>
        <w:rPr>
          <w:rFonts w:hint="eastAsia"/>
          <w:color w:val="000000"/>
          <w:sz w:val="24"/>
        </w:rPr>
      </w:pPr>
    </w:p>
    <w:p>
      <w:pPr>
        <w:snapToGrid w:val="0"/>
        <w:spacing w:line="360" w:lineRule="auto"/>
        <w:ind w:left="-2" w:leftChars="-1" w:right="-817" w:rightChars="-389"/>
        <w:rPr>
          <w:rFonts w:hint="eastAsia" w:ascii="宋体" w:hAnsi="宋体"/>
          <w:color w:val="000000"/>
          <w:sz w:val="24"/>
        </w:rPr>
      </w:pPr>
      <w:r>
        <w:rPr>
          <w:rFonts w:hint="eastAsia" w:ascii="宋体" w:hAnsi="宋体"/>
          <w:color w:val="000000"/>
          <w:sz w:val="24"/>
        </w:rPr>
        <w:t xml:space="preserve">                                  法定代表人或者委托代理人（签字/电子签名）： </w:t>
      </w:r>
    </w:p>
    <w:p>
      <w:pPr>
        <w:snapToGrid w:val="0"/>
        <w:spacing w:line="360" w:lineRule="auto"/>
        <w:ind w:left="-3" w:leftChars="-15" w:right="-817" w:rightChars="-389" w:hanging="28" w:hangingChars="12"/>
        <w:rPr>
          <w:rFonts w:hint="eastAsia" w:ascii="宋体" w:hAnsi="宋体"/>
          <w:color w:val="000000"/>
          <w:sz w:val="24"/>
        </w:rPr>
      </w:pPr>
      <w:r>
        <w:rPr>
          <w:rFonts w:hint="eastAsia" w:ascii="宋体" w:hAnsi="宋体"/>
          <w:color w:val="000000"/>
          <w:sz w:val="24"/>
        </w:rPr>
        <w:t xml:space="preserve">                                  投标人名称（电子签章）：</w:t>
      </w:r>
    </w:p>
    <w:p>
      <w:pPr>
        <w:snapToGrid w:val="0"/>
        <w:spacing w:line="360" w:lineRule="auto"/>
        <w:ind w:right="480" w:firstLine="240" w:firstLineChars="100"/>
        <w:jc w:val="left"/>
        <w:rPr>
          <w:rFonts w:hint="eastAsia" w:ascii="宋体" w:hAnsi="宋体"/>
          <w:color w:val="000000"/>
          <w:szCs w:val="21"/>
        </w:rPr>
      </w:pPr>
      <w:r>
        <w:rPr>
          <w:rFonts w:hint="eastAsia" w:ascii="宋体" w:hAnsi="宋体"/>
          <w:color w:val="000000"/>
          <w:sz w:val="24"/>
        </w:rPr>
        <w:t xml:space="preserve">                                日期：    年   月   日</w:t>
      </w:r>
    </w:p>
    <w:p>
      <w:pPr>
        <w:snapToGrid w:val="0"/>
        <w:spacing w:before="120" w:beforeLines="50" w:after="50"/>
        <w:jc w:val="left"/>
        <w:rPr>
          <w:rFonts w:hint="eastAsia" w:ascii="宋体" w:hAnsi="宋体"/>
          <w:b/>
          <w:color w:val="000000"/>
          <w:sz w:val="24"/>
          <w:szCs w:val="20"/>
        </w:rPr>
      </w:pPr>
    </w:p>
    <w:p>
      <w:pPr>
        <w:numPr>
          <w:ilvl w:val="2"/>
          <w:numId w:val="32"/>
        </w:numPr>
        <w:snapToGrid w:val="0"/>
        <w:spacing w:before="120" w:beforeLines="50" w:after="50"/>
        <w:ind w:left="0" w:firstLine="0"/>
        <w:jc w:val="left"/>
        <w:rPr>
          <w:rFonts w:hint="eastAsia" w:ascii="宋体" w:hAnsi="宋体"/>
          <w:b/>
          <w:color w:val="000000"/>
          <w:sz w:val="24"/>
          <w:szCs w:val="20"/>
        </w:rPr>
      </w:pPr>
      <w:r>
        <w:rPr>
          <w:rFonts w:ascii="宋体" w:hAnsi="宋体"/>
          <w:b/>
          <w:color w:val="000000"/>
          <w:sz w:val="24"/>
        </w:rPr>
        <w:br w:type="page"/>
      </w:r>
      <w:r>
        <w:rPr>
          <w:rFonts w:hint="eastAsia" w:ascii="宋体" w:hAnsi="宋体"/>
          <w:b/>
          <w:color w:val="000000"/>
          <w:sz w:val="24"/>
        </w:rPr>
        <w:t>投标声明</w:t>
      </w:r>
    </w:p>
    <w:p>
      <w:pPr>
        <w:snapToGrid w:val="0"/>
        <w:spacing w:before="50" w:after="120" w:afterLines="50"/>
        <w:jc w:val="left"/>
        <w:rPr>
          <w:rFonts w:hint="eastAsia" w:ascii="宋体" w:hAnsi="宋体"/>
          <w:color w:val="000000"/>
        </w:rPr>
      </w:pPr>
    </w:p>
    <w:p>
      <w:pPr>
        <w:snapToGrid w:val="0"/>
        <w:spacing w:before="50" w:after="120" w:afterLines="50"/>
        <w:jc w:val="center"/>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投标声明</w:t>
      </w:r>
    </w:p>
    <w:p>
      <w:pPr>
        <w:spacing w:line="400" w:lineRule="exact"/>
        <w:contextualSpacing/>
        <w:jc w:val="left"/>
        <w:rPr>
          <w:rFonts w:hint="eastAsia"/>
          <w:color w:val="000000"/>
          <w:sz w:val="24"/>
        </w:rPr>
      </w:pPr>
      <w:r>
        <w:rPr>
          <w:rFonts w:hint="eastAsia"/>
          <w:color w:val="000000"/>
          <w:sz w:val="24"/>
        </w:rPr>
        <w:t>（采购人名称）：</w:t>
      </w:r>
    </w:p>
    <w:p>
      <w:pPr>
        <w:spacing w:line="400" w:lineRule="exact"/>
        <w:ind w:firstLine="523" w:firstLineChars="218"/>
        <w:contextualSpacing/>
        <w:jc w:val="left"/>
        <w:rPr>
          <w:rFonts w:hint="eastAsia" w:ascii="宋体" w:hAnsi="宋体"/>
          <w:color w:val="000000"/>
          <w:sz w:val="24"/>
        </w:rPr>
      </w:pPr>
      <w:r>
        <w:rPr>
          <w:rFonts w:hint="eastAsia" w:ascii="宋体" w:hAnsi="宋体"/>
          <w:color w:val="000000"/>
          <w:sz w:val="24"/>
        </w:rPr>
        <w:t>我方参加贵单位组织</w:t>
      </w:r>
      <w:r>
        <w:rPr>
          <w:rFonts w:hint="eastAsia" w:ascii="宋体" w:hAnsi="宋体"/>
          <w:color w:val="000000"/>
          <w:sz w:val="24"/>
          <w:u w:val="single"/>
        </w:rPr>
        <w:t xml:space="preserve">             </w:t>
      </w:r>
      <w:r>
        <w:rPr>
          <w:rFonts w:hint="eastAsia" w:ascii="宋体" w:hAnsi="宋体"/>
          <w:color w:val="000000"/>
          <w:sz w:val="24"/>
        </w:rPr>
        <w:t>项目（项目编号：</w:t>
      </w:r>
      <w:r>
        <w:rPr>
          <w:rFonts w:hint="eastAsia" w:ascii="宋体" w:hAnsi="宋体"/>
          <w:color w:val="000000"/>
          <w:sz w:val="24"/>
          <w:u w:val="single"/>
        </w:rPr>
        <w:t xml:space="preserve">       </w:t>
      </w:r>
      <w:r>
        <w:rPr>
          <w:rFonts w:hint="eastAsia" w:ascii="宋体" w:hAnsi="宋体"/>
          <w:color w:val="000000"/>
          <w:sz w:val="24"/>
        </w:rPr>
        <w:t>）的政府采购活动。我方在此郑重声明：</w:t>
      </w:r>
    </w:p>
    <w:p>
      <w:pPr>
        <w:spacing w:line="400" w:lineRule="exact"/>
        <w:ind w:firstLine="480" w:firstLineChars="200"/>
        <w:contextualSpacing/>
        <w:jc w:val="left"/>
        <w:rPr>
          <w:rFonts w:hint="eastAsia" w:ascii="宋体" w:hAnsi="宋体"/>
          <w:color w:val="000000"/>
          <w:sz w:val="24"/>
        </w:rPr>
      </w:pPr>
      <w:r>
        <w:rPr>
          <w:rFonts w:hint="eastAsia" w:ascii="宋体" w:hAnsi="宋体"/>
          <w:color w:val="000000"/>
          <w:sz w:val="24"/>
        </w:rPr>
        <w:t>1.我方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pacing w:line="400" w:lineRule="exact"/>
        <w:ind w:firstLine="480" w:firstLineChars="200"/>
        <w:contextualSpacing/>
        <w:jc w:val="left"/>
        <w:rPr>
          <w:rFonts w:hint="eastAsia" w:ascii="宋体" w:hAnsi="宋体"/>
          <w:color w:val="000000"/>
          <w:sz w:val="24"/>
        </w:rPr>
      </w:pPr>
      <w:r>
        <w:rPr>
          <w:rFonts w:hint="eastAsia" w:ascii="宋体" w:hAnsi="宋体"/>
          <w:color w:val="000000"/>
          <w:sz w:val="24"/>
        </w:rPr>
        <w:t>2.我方不是为本次采购项目提供整体设计、规范编制或者项目管理、监理、检测等服务的供应商。</w:t>
      </w:r>
    </w:p>
    <w:p>
      <w:pPr>
        <w:spacing w:line="400" w:lineRule="exact"/>
        <w:ind w:firstLine="480" w:firstLineChars="200"/>
        <w:contextualSpacing/>
        <w:jc w:val="left"/>
        <w:rPr>
          <w:rFonts w:hint="eastAsia" w:ascii="宋体" w:hAnsi="宋体"/>
          <w:color w:val="000000"/>
          <w:sz w:val="24"/>
        </w:rPr>
      </w:pPr>
      <w:r>
        <w:rPr>
          <w:rFonts w:hint="eastAsia" w:ascii="宋体" w:hAnsi="宋体"/>
          <w:color w:val="000000"/>
          <w:sz w:val="24"/>
        </w:rPr>
        <w:t>3. 我方承诺符合《中华人民共和国政府采购法》第二十二条规定：</w:t>
      </w:r>
    </w:p>
    <w:p>
      <w:pPr>
        <w:spacing w:line="400" w:lineRule="exact"/>
        <w:ind w:firstLine="480" w:firstLineChars="200"/>
        <w:contextualSpacing/>
        <w:jc w:val="left"/>
        <w:rPr>
          <w:rFonts w:ascii="宋体" w:hAnsi="宋体"/>
          <w:color w:val="000000"/>
          <w:sz w:val="24"/>
        </w:rPr>
      </w:pPr>
      <w:r>
        <w:rPr>
          <w:rFonts w:hint="eastAsia" w:ascii="宋体" w:hAnsi="宋体"/>
          <w:color w:val="000000"/>
          <w:sz w:val="24"/>
        </w:rPr>
        <w:t>（一）具有独立承担民事责任的能力；</w:t>
      </w:r>
    </w:p>
    <w:p>
      <w:pPr>
        <w:spacing w:line="400" w:lineRule="exact"/>
        <w:ind w:firstLine="480" w:firstLineChars="200"/>
        <w:contextualSpacing/>
        <w:jc w:val="left"/>
        <w:rPr>
          <w:rFonts w:ascii="宋体" w:hAnsi="宋体"/>
          <w:color w:val="000000"/>
          <w:sz w:val="24"/>
        </w:rPr>
      </w:pPr>
      <w:r>
        <w:rPr>
          <w:rFonts w:hint="eastAsia" w:ascii="宋体" w:hAnsi="宋体"/>
          <w:color w:val="000000"/>
          <w:sz w:val="24"/>
        </w:rPr>
        <w:t>（二）具有良好的商业信誉和健全的财务会计制度；</w:t>
      </w:r>
    </w:p>
    <w:p>
      <w:pPr>
        <w:spacing w:line="400" w:lineRule="exact"/>
        <w:ind w:firstLine="480" w:firstLineChars="200"/>
        <w:contextualSpacing/>
        <w:jc w:val="left"/>
        <w:rPr>
          <w:rFonts w:ascii="宋体" w:hAnsi="宋体"/>
          <w:color w:val="000000"/>
          <w:sz w:val="24"/>
        </w:rPr>
      </w:pPr>
      <w:r>
        <w:rPr>
          <w:rFonts w:hint="eastAsia" w:ascii="宋体" w:hAnsi="宋体"/>
          <w:color w:val="000000"/>
          <w:sz w:val="24"/>
        </w:rPr>
        <w:t>（三）具有履行合同所必需的设备和专业技术能力；</w:t>
      </w:r>
    </w:p>
    <w:p>
      <w:pPr>
        <w:spacing w:line="400" w:lineRule="exact"/>
        <w:ind w:firstLine="480" w:firstLineChars="200"/>
        <w:contextualSpacing/>
        <w:jc w:val="left"/>
        <w:rPr>
          <w:rFonts w:ascii="宋体" w:hAnsi="宋体"/>
          <w:color w:val="000000"/>
          <w:sz w:val="24"/>
        </w:rPr>
      </w:pPr>
      <w:r>
        <w:rPr>
          <w:rFonts w:hint="eastAsia" w:ascii="宋体" w:hAnsi="宋体"/>
          <w:color w:val="000000"/>
          <w:sz w:val="24"/>
        </w:rPr>
        <w:t>（四）有依法缴纳税收和社会保障资金的良好记录；</w:t>
      </w:r>
    </w:p>
    <w:p>
      <w:pPr>
        <w:spacing w:line="400" w:lineRule="exact"/>
        <w:ind w:firstLine="480" w:firstLineChars="200"/>
        <w:contextualSpacing/>
        <w:jc w:val="left"/>
        <w:rPr>
          <w:rFonts w:ascii="宋体" w:hAnsi="宋体"/>
          <w:color w:val="000000"/>
          <w:sz w:val="24"/>
        </w:rPr>
      </w:pPr>
      <w:r>
        <w:rPr>
          <w:rFonts w:hint="eastAsia" w:ascii="宋体" w:hAnsi="宋体"/>
          <w:color w:val="000000"/>
          <w:sz w:val="24"/>
        </w:rPr>
        <w:t>（五）参加政府采购活动前三年内，在经营活动中没有重大违法记录；</w:t>
      </w:r>
    </w:p>
    <w:p>
      <w:pPr>
        <w:spacing w:line="400" w:lineRule="exact"/>
        <w:ind w:firstLine="480" w:firstLineChars="200"/>
        <w:contextualSpacing/>
        <w:jc w:val="left"/>
        <w:rPr>
          <w:rFonts w:hint="eastAsia" w:ascii="宋体" w:hAnsi="宋体"/>
          <w:color w:val="000000"/>
          <w:sz w:val="24"/>
        </w:rPr>
      </w:pPr>
      <w:r>
        <w:rPr>
          <w:rFonts w:hint="eastAsia" w:ascii="宋体" w:hAnsi="宋体"/>
          <w:color w:val="000000"/>
          <w:sz w:val="24"/>
        </w:rPr>
        <w:t>（六）法律、行政法规规定的其他条件。</w:t>
      </w:r>
    </w:p>
    <w:p>
      <w:pPr>
        <w:spacing w:line="400" w:lineRule="exact"/>
        <w:ind w:firstLine="480" w:firstLineChars="200"/>
        <w:contextualSpacing/>
        <w:jc w:val="left"/>
        <w:rPr>
          <w:rFonts w:hint="eastAsia" w:ascii="宋体" w:hAnsi="宋体"/>
          <w:color w:val="000000"/>
          <w:sz w:val="24"/>
        </w:rPr>
      </w:pPr>
      <w:r>
        <w:rPr>
          <w:rFonts w:hint="eastAsia" w:ascii="宋体" w:hAnsi="宋体"/>
          <w:color w:val="000000"/>
          <w:sz w:val="24"/>
        </w:rPr>
        <w:t>4.以上事项如有虚假或者隐瞒，我方愿意承担一切后果，并不再寻求任何旨在减轻或者免除法律责任的辩解。</w:t>
      </w:r>
    </w:p>
    <w:p>
      <w:pPr>
        <w:spacing w:line="400" w:lineRule="exact"/>
        <w:contextualSpacing/>
        <w:jc w:val="left"/>
        <w:rPr>
          <w:rFonts w:ascii="宋体" w:hAnsi="宋体"/>
          <w:color w:val="000000"/>
          <w:sz w:val="24"/>
        </w:rPr>
      </w:pPr>
      <w:r>
        <w:rPr>
          <w:rFonts w:hint="eastAsia" w:ascii="宋体" w:hAnsi="宋体"/>
          <w:color w:val="000000"/>
          <w:sz w:val="24"/>
        </w:rPr>
        <w:t xml:space="preserve">    特此承诺。</w:t>
      </w:r>
    </w:p>
    <w:p>
      <w:pPr>
        <w:spacing w:line="400" w:lineRule="exact"/>
        <w:contextualSpacing/>
        <w:jc w:val="left"/>
        <w:rPr>
          <w:rFonts w:hint="eastAsia" w:ascii="宋体" w:hAnsi="宋体"/>
          <w:color w:val="000000"/>
          <w:sz w:val="24"/>
        </w:rPr>
      </w:pPr>
      <w:r>
        <w:rPr>
          <w:rFonts w:hint="eastAsia" w:ascii="宋体" w:hAnsi="宋体"/>
          <w:b/>
          <w:color w:val="000000"/>
          <w:sz w:val="24"/>
        </w:rPr>
        <w:t xml:space="preserve">    </w:t>
      </w:r>
      <w:r>
        <w:rPr>
          <w:rFonts w:hint="eastAsia" w:ascii="宋体" w:hAnsi="宋体"/>
          <w:color w:val="000000"/>
          <w:sz w:val="24"/>
        </w:rPr>
        <w:t xml:space="preserve">                     法定代表人（签字或者盖章或者电子签名）：</w:t>
      </w:r>
      <w:r>
        <w:rPr>
          <w:rFonts w:hint="eastAsia" w:ascii="宋体" w:hAnsi="宋体"/>
          <w:color w:val="000000"/>
          <w:sz w:val="24"/>
          <w:u w:val="single"/>
        </w:rPr>
        <w:t xml:space="preserve">             </w:t>
      </w:r>
    </w:p>
    <w:p>
      <w:pPr>
        <w:spacing w:line="400" w:lineRule="exact"/>
        <w:contextualSpacing/>
        <w:jc w:val="left"/>
        <w:rPr>
          <w:rFonts w:hint="eastAsia" w:ascii="宋体" w:hAnsi="宋体"/>
          <w:color w:val="000000"/>
          <w:sz w:val="24"/>
        </w:rPr>
      </w:pPr>
      <w:r>
        <w:rPr>
          <w:rFonts w:hint="eastAsia" w:ascii="宋体" w:hAnsi="宋体"/>
          <w:color w:val="000000"/>
          <w:sz w:val="24"/>
        </w:rPr>
        <w:t xml:space="preserve">                                         投标人名称（电子签章）：</w:t>
      </w:r>
      <w:r>
        <w:rPr>
          <w:rFonts w:hint="eastAsia" w:ascii="宋体" w:hAnsi="宋体"/>
          <w:color w:val="000000"/>
          <w:sz w:val="24"/>
          <w:u w:val="single"/>
        </w:rPr>
        <w:t xml:space="preserve">                 </w:t>
      </w:r>
    </w:p>
    <w:p>
      <w:pPr>
        <w:spacing w:line="400" w:lineRule="exact"/>
        <w:contextualSpacing/>
        <w:jc w:val="left"/>
        <w:rPr>
          <w:rFonts w:hint="eastAsia" w:ascii="宋体" w:hAnsi="宋体"/>
          <w:color w:val="000000"/>
        </w:rPr>
      </w:pPr>
      <w:r>
        <w:rPr>
          <w:rFonts w:hint="eastAsia" w:ascii="宋体" w:hAnsi="宋体"/>
          <w:color w:val="000000"/>
          <w:sz w:val="24"/>
        </w:rPr>
        <w:t xml:space="preserve">                                                  年    月    日</w:t>
      </w:r>
    </w:p>
    <w:p>
      <w:pPr>
        <w:spacing w:line="440" w:lineRule="exact"/>
        <w:contextualSpacing/>
        <w:rPr>
          <w:rFonts w:hint="eastAsia" w:ascii="宋体" w:hAnsi="宋体"/>
          <w:b/>
          <w:color w:val="000000"/>
          <w:sz w:val="24"/>
        </w:rPr>
      </w:pPr>
      <w:bookmarkStart w:id="150" w:name="_Toc19686838"/>
      <w:r>
        <w:rPr>
          <w:rFonts w:hint="eastAsia" w:ascii="宋体" w:hAnsi="宋体"/>
          <w:b/>
          <w:color w:val="000000"/>
          <w:sz w:val="24"/>
        </w:rPr>
        <w:t>注：1.如为联合体投标，盖章处须加盖联合体牵头人电子签章并由联合体各方法定代表人分别签字或者电子签名，否则投标无效。</w:t>
      </w:r>
    </w:p>
    <w:p>
      <w:pPr>
        <w:spacing w:line="440" w:lineRule="exact"/>
        <w:contextualSpacing/>
        <w:jc w:val="left"/>
        <w:rPr>
          <w:rFonts w:ascii="宋体" w:hAnsi="宋体"/>
          <w:b/>
          <w:color w:val="000000"/>
          <w:sz w:val="24"/>
        </w:rPr>
      </w:pPr>
      <w:r>
        <w:rPr>
          <w:rFonts w:hint="eastAsia" w:ascii="宋体" w:hAnsi="宋体"/>
          <w:b/>
          <w:color w:val="000000"/>
          <w:sz w:val="24"/>
        </w:rPr>
        <w:t>2</w:t>
      </w:r>
      <w:r>
        <w:rPr>
          <w:rFonts w:hint="eastAsia" w:ascii="宋体" w:hAnsi="宋体" w:cs="仿宋_GB2312"/>
          <w:color w:val="000000"/>
          <w:sz w:val="24"/>
        </w:rPr>
        <w:t>.法定代表人必须在授权委托书上亲笔签字或者盖章</w:t>
      </w:r>
      <w:r>
        <w:rPr>
          <w:rFonts w:hint="eastAsia" w:ascii="宋体" w:hAnsi="宋体"/>
          <w:color w:val="000000"/>
          <w:sz w:val="24"/>
        </w:rPr>
        <w:t>或者电子签名</w:t>
      </w:r>
      <w:r>
        <w:rPr>
          <w:rFonts w:hint="eastAsia" w:ascii="宋体" w:hAnsi="宋体" w:cs="仿宋_GB2312"/>
          <w:color w:val="000000"/>
          <w:sz w:val="24"/>
        </w:rPr>
        <w:t>，</w:t>
      </w:r>
      <w:r>
        <w:rPr>
          <w:rFonts w:hint="eastAsia" w:ascii="宋体" w:hAnsi="宋体" w:cs="仿宋_GB2312"/>
          <w:b/>
          <w:bCs/>
          <w:color w:val="000000"/>
          <w:sz w:val="24"/>
        </w:rPr>
        <w:t>否则按无效投标处理</w:t>
      </w:r>
      <w:r>
        <w:rPr>
          <w:rFonts w:hint="eastAsia" w:ascii="宋体" w:hAnsi="宋体" w:cs="仿宋_GB2312"/>
          <w:color w:val="000000"/>
          <w:sz w:val="24"/>
        </w:rPr>
        <w:t>；</w:t>
      </w:r>
    </w:p>
    <w:p>
      <w:pPr>
        <w:rPr>
          <w:rFonts w:hint="eastAsia"/>
          <w:b/>
          <w:color w:val="000000"/>
          <w:sz w:val="28"/>
          <w:szCs w:val="28"/>
        </w:rPr>
      </w:pPr>
      <w:r>
        <w:rPr>
          <w:b/>
          <w:color w:val="000000"/>
          <w:sz w:val="28"/>
          <w:szCs w:val="28"/>
        </w:rPr>
        <w:br w:type="page"/>
      </w:r>
      <w:r>
        <w:rPr>
          <w:rFonts w:hint="eastAsia"/>
          <w:b/>
          <w:color w:val="000000"/>
          <w:sz w:val="28"/>
          <w:szCs w:val="28"/>
        </w:rPr>
        <w:t>三、商务文件格式</w:t>
      </w:r>
      <w:bookmarkEnd w:id="150"/>
    </w:p>
    <w:p>
      <w:pPr>
        <w:snapToGrid w:val="0"/>
        <w:spacing w:before="120" w:beforeLines="50" w:after="50" w:line="360" w:lineRule="auto"/>
        <w:jc w:val="left"/>
        <w:rPr>
          <w:rFonts w:hint="eastAsia" w:ascii="宋体" w:hAnsi="宋体"/>
          <w:b/>
          <w:color w:val="000000"/>
          <w:sz w:val="24"/>
        </w:rPr>
      </w:pPr>
      <w:r>
        <w:rPr>
          <w:rFonts w:hint="eastAsia" w:ascii="宋体" w:hAnsi="宋体"/>
          <w:b/>
          <w:color w:val="000000"/>
          <w:sz w:val="24"/>
        </w:rPr>
        <w:t xml:space="preserve">1.商务文件封面格式： </w:t>
      </w:r>
    </w:p>
    <w:p>
      <w:pPr>
        <w:snapToGrid w:val="0"/>
        <w:spacing w:before="120" w:beforeLines="50" w:after="50"/>
        <w:jc w:val="center"/>
        <w:rPr>
          <w:rFonts w:hint="eastAsia" w:ascii="宋体" w:hAnsi="宋体" w:eastAsia="方正小标宋简体"/>
          <w:bCs/>
          <w:color w:val="000000"/>
          <w:sz w:val="48"/>
          <w:szCs w:val="48"/>
        </w:rPr>
      </w:pPr>
    </w:p>
    <w:p>
      <w:pPr>
        <w:snapToGrid w:val="0"/>
        <w:spacing w:before="120" w:beforeLines="50" w:after="50"/>
        <w:jc w:val="center"/>
        <w:rPr>
          <w:rFonts w:hint="eastAsia" w:ascii="宋体" w:hAnsi="宋体"/>
          <w:color w:val="000000"/>
          <w:sz w:val="24"/>
        </w:rPr>
      </w:pPr>
      <w:r>
        <w:rPr>
          <w:rFonts w:hint="eastAsia" w:ascii="宋体" w:hAnsi="宋体" w:eastAsia="方正小标宋简体"/>
          <w:bCs/>
          <w:color w:val="000000"/>
          <w:sz w:val="48"/>
          <w:szCs w:val="48"/>
        </w:rPr>
        <w:t>电子投标文件</w:t>
      </w:r>
    </w:p>
    <w:p>
      <w:pPr>
        <w:snapToGrid w:val="0"/>
        <w:spacing w:before="120" w:beforeLines="50" w:after="50"/>
        <w:jc w:val="center"/>
        <w:rPr>
          <w:rFonts w:hint="eastAsia" w:ascii="方正小标宋简体" w:hAnsi="方正小标宋简体" w:eastAsia="方正小标宋简体" w:cs="方正小标宋简体"/>
          <w:bCs/>
          <w:color w:val="000000"/>
          <w:sz w:val="44"/>
          <w:szCs w:val="44"/>
        </w:rPr>
      </w:pPr>
    </w:p>
    <w:p>
      <w:pPr>
        <w:snapToGrid w:val="0"/>
        <w:spacing w:before="120" w:beforeLines="50" w:after="50"/>
        <w:jc w:val="center"/>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商  务  文  件</w:t>
      </w:r>
    </w:p>
    <w:p>
      <w:pPr>
        <w:snapToGrid w:val="0"/>
        <w:spacing w:before="120" w:beforeLines="50" w:after="50"/>
        <w:rPr>
          <w:rFonts w:hint="eastAsia" w:ascii="宋体" w:hAnsi="宋体"/>
          <w:bCs/>
          <w:color w:val="000000"/>
          <w:sz w:val="24"/>
          <w:szCs w:val="20"/>
        </w:rPr>
      </w:pPr>
    </w:p>
    <w:p>
      <w:pPr>
        <w:snapToGrid w:val="0"/>
        <w:spacing w:before="120" w:beforeLines="50" w:after="50"/>
        <w:ind w:firstLine="540" w:firstLineChars="225"/>
        <w:rPr>
          <w:rFonts w:hint="eastAsia" w:ascii="宋体" w:hAnsi="宋体"/>
          <w:bCs/>
          <w:color w:val="000000"/>
          <w:sz w:val="24"/>
        </w:rPr>
      </w:pPr>
      <w:r>
        <w:rPr>
          <w:rFonts w:hint="eastAsia" w:ascii="宋体" w:hAnsi="宋体"/>
          <w:bCs/>
          <w:color w:val="000000"/>
          <w:sz w:val="24"/>
        </w:rPr>
        <w:t>项目名称：</w:t>
      </w:r>
    </w:p>
    <w:p>
      <w:pPr>
        <w:snapToGrid w:val="0"/>
        <w:spacing w:before="120" w:beforeLines="50" w:after="50"/>
        <w:ind w:firstLine="540" w:firstLineChars="225"/>
        <w:rPr>
          <w:rFonts w:hint="eastAsia" w:ascii="宋体" w:hAnsi="宋体"/>
          <w:bCs/>
          <w:color w:val="000000"/>
          <w:sz w:val="24"/>
          <w:szCs w:val="20"/>
        </w:rPr>
      </w:pPr>
    </w:p>
    <w:p>
      <w:pPr>
        <w:snapToGrid w:val="0"/>
        <w:spacing w:before="120" w:beforeLines="50" w:after="50"/>
        <w:ind w:firstLine="540" w:firstLineChars="225"/>
        <w:rPr>
          <w:rFonts w:hint="eastAsia" w:ascii="宋体" w:hAnsi="宋体"/>
          <w:bCs/>
          <w:color w:val="000000"/>
          <w:sz w:val="24"/>
        </w:rPr>
      </w:pPr>
      <w:r>
        <w:rPr>
          <w:rFonts w:hint="eastAsia" w:ascii="宋体" w:hAnsi="宋体"/>
          <w:bCs/>
          <w:color w:val="000000"/>
          <w:sz w:val="24"/>
        </w:rPr>
        <w:t>项目编号：</w:t>
      </w:r>
    </w:p>
    <w:p>
      <w:pPr>
        <w:snapToGrid w:val="0"/>
        <w:spacing w:before="120" w:beforeLines="50" w:after="50"/>
        <w:ind w:firstLine="540" w:firstLineChars="225"/>
        <w:rPr>
          <w:rFonts w:hint="eastAsia" w:ascii="宋体" w:hAnsi="宋体"/>
          <w:bCs/>
          <w:color w:val="000000"/>
          <w:sz w:val="24"/>
          <w:szCs w:val="20"/>
        </w:rPr>
      </w:pPr>
      <w:r>
        <w:rPr>
          <w:rFonts w:hint="eastAsia" w:ascii="宋体" w:hAnsi="宋体"/>
          <w:bCs/>
          <w:color w:val="000000"/>
          <w:sz w:val="24"/>
        </w:rPr>
        <w:t xml:space="preserve"> </w:t>
      </w:r>
    </w:p>
    <w:p>
      <w:pPr>
        <w:snapToGrid w:val="0"/>
        <w:spacing w:before="120" w:beforeLines="50" w:after="50"/>
        <w:ind w:firstLine="540" w:firstLineChars="225"/>
        <w:rPr>
          <w:rFonts w:hint="eastAsia" w:ascii="宋体" w:hAnsi="宋体"/>
          <w:bCs/>
          <w:color w:val="000000"/>
          <w:sz w:val="24"/>
        </w:rPr>
      </w:pPr>
      <w:r>
        <w:rPr>
          <w:rFonts w:hint="eastAsia" w:ascii="宋体" w:hAnsi="宋体"/>
          <w:bCs/>
          <w:color w:val="000000"/>
          <w:sz w:val="24"/>
        </w:rPr>
        <w:t>所投分标：</w:t>
      </w:r>
    </w:p>
    <w:p>
      <w:pPr>
        <w:snapToGrid w:val="0"/>
        <w:spacing w:before="120" w:beforeLines="50" w:after="50"/>
        <w:ind w:firstLine="540" w:firstLineChars="225"/>
        <w:rPr>
          <w:rFonts w:hint="eastAsia" w:ascii="宋体" w:hAnsi="宋体"/>
          <w:bCs/>
          <w:color w:val="000000"/>
          <w:sz w:val="24"/>
          <w:szCs w:val="20"/>
        </w:rPr>
      </w:pPr>
    </w:p>
    <w:p>
      <w:pPr>
        <w:pStyle w:val="10"/>
        <w:snapToGrid w:val="0"/>
        <w:spacing w:before="50" w:after="50"/>
        <w:ind w:firstLine="540" w:firstLineChars="225"/>
        <w:rPr>
          <w:rFonts w:hint="eastAsia" w:ascii="宋体" w:hAnsi="宋体"/>
          <w:bCs/>
          <w:color w:val="000000"/>
          <w:sz w:val="24"/>
          <w:szCs w:val="24"/>
        </w:rPr>
      </w:pPr>
      <w:r>
        <w:rPr>
          <w:rFonts w:hint="eastAsia" w:ascii="宋体" w:hAnsi="宋体"/>
          <w:bCs/>
          <w:color w:val="000000"/>
          <w:sz w:val="24"/>
          <w:szCs w:val="24"/>
        </w:rPr>
        <w:t>投标人名称：</w:t>
      </w:r>
    </w:p>
    <w:p>
      <w:pPr>
        <w:pStyle w:val="10"/>
        <w:snapToGrid w:val="0"/>
        <w:spacing w:before="50" w:after="50"/>
        <w:ind w:firstLine="540" w:firstLineChars="225"/>
        <w:rPr>
          <w:rFonts w:hint="eastAsia" w:ascii="宋体" w:hAnsi="宋体"/>
          <w:bCs/>
          <w:color w:val="000000"/>
          <w:sz w:val="24"/>
          <w:szCs w:val="24"/>
        </w:rPr>
      </w:pPr>
    </w:p>
    <w:p>
      <w:pPr>
        <w:pStyle w:val="10"/>
        <w:snapToGrid w:val="0"/>
        <w:spacing w:before="50" w:after="50"/>
        <w:ind w:firstLine="540" w:firstLineChars="225"/>
        <w:rPr>
          <w:rFonts w:hint="eastAsia" w:ascii="宋体" w:hAnsi="宋体"/>
          <w:bCs/>
          <w:color w:val="000000"/>
          <w:sz w:val="24"/>
          <w:szCs w:val="24"/>
        </w:rPr>
      </w:pPr>
      <w:r>
        <w:rPr>
          <w:rFonts w:hint="eastAsia" w:ascii="宋体" w:hAnsi="宋体"/>
          <w:bCs/>
          <w:color w:val="000000"/>
          <w:sz w:val="24"/>
          <w:szCs w:val="24"/>
        </w:rPr>
        <w:t>投标人地址：</w:t>
      </w:r>
    </w:p>
    <w:p>
      <w:pPr>
        <w:pStyle w:val="10"/>
        <w:snapToGrid w:val="0"/>
        <w:spacing w:before="50" w:after="50"/>
        <w:ind w:firstLine="960" w:firstLineChars="400"/>
        <w:rPr>
          <w:rFonts w:hint="eastAsia" w:ascii="宋体" w:hAnsi="宋体"/>
          <w:bCs/>
          <w:color w:val="000000"/>
          <w:sz w:val="24"/>
          <w:szCs w:val="24"/>
        </w:rPr>
      </w:pPr>
    </w:p>
    <w:p>
      <w:pPr>
        <w:snapToGrid w:val="0"/>
        <w:spacing w:before="120" w:beforeLines="50" w:after="50"/>
        <w:ind w:firstLine="645"/>
        <w:rPr>
          <w:rFonts w:ascii="宋体" w:hAnsi="宋体"/>
          <w:color w:val="000000"/>
          <w:sz w:val="24"/>
        </w:rPr>
      </w:pPr>
      <w:r>
        <w:rPr>
          <w:rFonts w:hint="eastAsia" w:ascii="宋体" w:hAnsi="宋体"/>
          <w:color w:val="000000"/>
          <w:sz w:val="24"/>
        </w:rPr>
        <w:t xml:space="preserve">                        年  月  日</w:t>
      </w:r>
    </w:p>
    <w:p>
      <w:pPr>
        <w:snapToGrid w:val="0"/>
        <w:spacing w:before="120" w:beforeLines="50" w:after="50"/>
        <w:rPr>
          <w:rFonts w:ascii="宋体" w:hAnsi="宋体"/>
          <w:color w:val="000000"/>
          <w:sz w:val="24"/>
          <w:szCs w:val="20"/>
        </w:rPr>
      </w:pPr>
      <w:r>
        <w:rPr>
          <w:rFonts w:ascii="宋体" w:hAnsi="宋体"/>
          <w:color w:val="000000"/>
          <w:sz w:val="24"/>
          <w:szCs w:val="20"/>
        </w:rPr>
        <w:t xml:space="preserve"> </w:t>
      </w:r>
    </w:p>
    <w:p>
      <w:pPr>
        <w:snapToGrid w:val="0"/>
        <w:spacing w:line="360" w:lineRule="auto"/>
        <w:jc w:val="left"/>
        <w:rPr>
          <w:rFonts w:hint="eastAsia" w:ascii="宋体" w:hAnsi="宋体"/>
          <w:b/>
          <w:color w:val="000000"/>
          <w:sz w:val="24"/>
        </w:rPr>
      </w:pPr>
      <w:r>
        <w:rPr>
          <w:rFonts w:ascii="宋体" w:hAnsi="宋体"/>
          <w:color w:val="000000"/>
          <w:sz w:val="24"/>
          <w:szCs w:val="20"/>
        </w:rPr>
        <w:br w:type="page"/>
      </w:r>
      <w:r>
        <w:rPr>
          <w:rFonts w:hint="eastAsia" w:ascii="宋体" w:hAnsi="宋体"/>
          <w:b/>
          <w:color w:val="000000"/>
          <w:sz w:val="24"/>
        </w:rPr>
        <w:t>2.商务文件目录</w:t>
      </w:r>
    </w:p>
    <w:p>
      <w:pPr>
        <w:snapToGrid w:val="0"/>
        <w:spacing w:before="50" w:after="120" w:afterLines="50" w:line="360" w:lineRule="auto"/>
        <w:ind w:firstLine="560" w:firstLineChars="200"/>
        <w:jc w:val="left"/>
        <w:rPr>
          <w:rFonts w:ascii="微软雅黑" w:hAnsi="微软雅黑" w:eastAsia="微软雅黑"/>
          <w:b/>
          <w:bCs/>
          <w:color w:val="000000"/>
          <w:sz w:val="32"/>
          <w:szCs w:val="32"/>
        </w:rPr>
      </w:pPr>
      <w:r>
        <w:rPr>
          <w:rFonts w:hint="eastAsia" w:ascii="宋体" w:hAnsi="宋体"/>
          <w:color w:val="000000"/>
          <w:sz w:val="28"/>
          <w:szCs w:val="28"/>
        </w:rPr>
        <w:t>根据招标文件规定及投标人提供的材料自行编写目录。</w:t>
      </w:r>
    </w:p>
    <w:p>
      <w:pPr>
        <w:snapToGrid w:val="0"/>
        <w:spacing w:before="50" w:after="120" w:afterLines="50"/>
        <w:jc w:val="left"/>
        <w:rPr>
          <w:rFonts w:hint="eastAsia" w:ascii="宋体" w:hAnsi="宋体"/>
          <w:color w:val="000000"/>
        </w:rPr>
      </w:pPr>
    </w:p>
    <w:p>
      <w:pPr>
        <w:snapToGrid w:val="0"/>
        <w:spacing w:before="120" w:beforeLines="50" w:after="50"/>
        <w:jc w:val="left"/>
        <w:rPr>
          <w:rFonts w:hint="eastAsia" w:ascii="宋体" w:hAnsi="宋体"/>
          <w:b/>
          <w:color w:val="000000"/>
          <w:sz w:val="24"/>
        </w:rPr>
      </w:pPr>
      <w:r>
        <w:rPr>
          <w:rFonts w:ascii="宋体" w:hAnsi="宋体"/>
          <w:b/>
          <w:color w:val="000000"/>
          <w:sz w:val="24"/>
        </w:rPr>
        <w:br w:type="page"/>
      </w:r>
      <w:r>
        <w:rPr>
          <w:rFonts w:hint="eastAsia" w:ascii="宋体" w:hAnsi="宋体"/>
          <w:b/>
          <w:color w:val="000000"/>
          <w:sz w:val="24"/>
        </w:rPr>
        <w:t>3.投标人参加本项目无围标串标行为的承诺</w:t>
      </w:r>
    </w:p>
    <w:p>
      <w:pPr>
        <w:snapToGrid w:val="0"/>
        <w:spacing w:before="120" w:beforeLines="50" w:after="50"/>
        <w:jc w:val="left"/>
        <w:rPr>
          <w:rFonts w:hint="eastAsia" w:ascii="宋体" w:hAnsi="宋体"/>
          <w:b/>
          <w:color w:val="000000"/>
          <w:sz w:val="24"/>
        </w:rPr>
      </w:pPr>
    </w:p>
    <w:p>
      <w:pPr>
        <w:spacing w:line="360" w:lineRule="auto"/>
        <w:ind w:left="420"/>
        <w:contextualSpacing/>
        <w:jc w:val="center"/>
        <w:rPr>
          <w:rFonts w:ascii="宋体" w:hAnsi="宋体"/>
          <w:b/>
          <w:color w:val="000000"/>
          <w:sz w:val="24"/>
        </w:rPr>
      </w:pPr>
      <w:r>
        <w:rPr>
          <w:rFonts w:hint="eastAsia" w:ascii="方正小标宋简体" w:hAnsi="方正小标宋简体" w:eastAsia="方正小标宋简体" w:cs="方正小标宋简体"/>
          <w:bCs/>
          <w:color w:val="000000"/>
          <w:spacing w:val="-11"/>
          <w:sz w:val="44"/>
          <w:szCs w:val="44"/>
        </w:rPr>
        <w:t>投标人参加本项目无围标串标行为的承诺函</w:t>
      </w:r>
    </w:p>
    <w:p>
      <w:pPr>
        <w:spacing w:line="440" w:lineRule="exact"/>
        <w:contextualSpacing/>
        <w:jc w:val="left"/>
        <w:rPr>
          <w:rFonts w:hint="eastAsia" w:ascii="宋体" w:hAnsi="宋体"/>
          <w:b/>
          <w:color w:val="000000"/>
          <w:sz w:val="24"/>
        </w:rPr>
      </w:pPr>
      <w:r>
        <w:rPr>
          <w:rFonts w:hint="eastAsia" w:ascii="宋体" w:hAnsi="宋体"/>
          <w:b/>
          <w:color w:val="000000"/>
          <w:sz w:val="24"/>
        </w:rPr>
        <w:t>一、我方承诺无下列相互串通投标的情形：</w:t>
      </w:r>
    </w:p>
    <w:p>
      <w:pPr>
        <w:spacing w:line="440" w:lineRule="exact"/>
        <w:ind w:firstLine="470" w:firstLineChars="196"/>
        <w:contextualSpacing/>
        <w:jc w:val="left"/>
        <w:rPr>
          <w:rFonts w:hint="eastAsia" w:ascii="宋体" w:hAnsi="宋体"/>
          <w:color w:val="000000"/>
          <w:sz w:val="24"/>
        </w:rPr>
      </w:pPr>
      <w:r>
        <w:rPr>
          <w:rFonts w:hint="eastAsia" w:ascii="宋体" w:hAnsi="宋体"/>
          <w:color w:val="000000"/>
          <w:sz w:val="24"/>
        </w:rPr>
        <w:t>1.不同投标人的投标文件由同一单位或者个人编制；</w:t>
      </w:r>
    </w:p>
    <w:p>
      <w:pPr>
        <w:spacing w:line="440" w:lineRule="exact"/>
        <w:ind w:firstLine="470" w:firstLineChars="196"/>
        <w:contextualSpacing/>
        <w:jc w:val="left"/>
        <w:rPr>
          <w:rFonts w:hint="eastAsia" w:ascii="宋体" w:hAnsi="宋体"/>
          <w:color w:val="000000"/>
          <w:sz w:val="24"/>
        </w:rPr>
      </w:pPr>
      <w:r>
        <w:rPr>
          <w:rFonts w:hint="eastAsia" w:ascii="宋体" w:hAnsi="宋体"/>
          <w:color w:val="000000"/>
          <w:sz w:val="24"/>
        </w:rPr>
        <w:t>2.不同投标人委托同一单位或者个人办理投标事宜；</w:t>
      </w:r>
    </w:p>
    <w:p>
      <w:pPr>
        <w:spacing w:line="440" w:lineRule="exact"/>
        <w:ind w:firstLine="470" w:firstLineChars="196"/>
        <w:contextualSpacing/>
        <w:jc w:val="left"/>
        <w:rPr>
          <w:rFonts w:hint="eastAsia" w:ascii="宋体" w:hAnsi="宋体"/>
          <w:color w:val="000000"/>
          <w:sz w:val="24"/>
        </w:rPr>
      </w:pPr>
      <w:r>
        <w:rPr>
          <w:rFonts w:hint="eastAsia" w:ascii="宋体" w:hAnsi="宋体"/>
          <w:color w:val="000000"/>
          <w:sz w:val="24"/>
        </w:rPr>
        <w:t>3.不同的投标人的投标文件载明的项目管理员为同一个人；</w:t>
      </w:r>
    </w:p>
    <w:p>
      <w:pPr>
        <w:spacing w:line="440" w:lineRule="exact"/>
        <w:ind w:firstLine="470" w:firstLineChars="196"/>
        <w:contextualSpacing/>
        <w:jc w:val="left"/>
        <w:rPr>
          <w:rFonts w:hint="eastAsia" w:ascii="宋体" w:hAnsi="宋体"/>
          <w:color w:val="000000"/>
          <w:sz w:val="24"/>
        </w:rPr>
      </w:pPr>
      <w:r>
        <w:rPr>
          <w:rFonts w:hint="eastAsia" w:ascii="宋体" w:hAnsi="宋体"/>
          <w:color w:val="000000"/>
          <w:sz w:val="24"/>
        </w:rPr>
        <w:t>4.不同投标人的投标文件异常一致或者投标报价呈规律性差异；</w:t>
      </w:r>
    </w:p>
    <w:p>
      <w:pPr>
        <w:spacing w:line="440" w:lineRule="exact"/>
        <w:ind w:firstLine="470" w:firstLineChars="196"/>
        <w:contextualSpacing/>
        <w:jc w:val="left"/>
        <w:rPr>
          <w:rFonts w:hint="eastAsia" w:ascii="宋体" w:hAnsi="宋体"/>
          <w:color w:val="000000"/>
          <w:sz w:val="24"/>
        </w:rPr>
      </w:pPr>
      <w:r>
        <w:rPr>
          <w:rFonts w:hint="eastAsia" w:ascii="宋体" w:hAnsi="宋体"/>
          <w:color w:val="000000"/>
          <w:sz w:val="24"/>
        </w:rPr>
        <w:t>5.不同投标人的投标文件相互混装；</w:t>
      </w:r>
    </w:p>
    <w:p>
      <w:pPr>
        <w:spacing w:line="440" w:lineRule="exact"/>
        <w:ind w:firstLine="470" w:firstLineChars="196"/>
        <w:contextualSpacing/>
        <w:jc w:val="left"/>
        <w:rPr>
          <w:rFonts w:hint="eastAsia" w:ascii="宋体" w:hAnsi="宋体"/>
          <w:color w:val="000000"/>
          <w:sz w:val="24"/>
        </w:rPr>
      </w:pPr>
      <w:r>
        <w:rPr>
          <w:rFonts w:hint="eastAsia" w:ascii="宋体" w:hAnsi="宋体"/>
          <w:color w:val="000000"/>
          <w:sz w:val="24"/>
        </w:rPr>
        <w:t>6.不同投标人的投标保证金从同一单位或者个人账户转出。</w:t>
      </w:r>
    </w:p>
    <w:p>
      <w:pPr>
        <w:spacing w:line="440" w:lineRule="exact"/>
        <w:contextualSpacing/>
        <w:jc w:val="left"/>
        <w:rPr>
          <w:rFonts w:hint="eastAsia" w:ascii="宋体" w:hAnsi="宋体"/>
          <w:color w:val="000000"/>
          <w:sz w:val="24"/>
        </w:rPr>
      </w:pPr>
      <w:r>
        <w:rPr>
          <w:rFonts w:hint="eastAsia" w:ascii="宋体" w:hAnsi="宋体"/>
          <w:b/>
          <w:color w:val="000000"/>
          <w:sz w:val="24"/>
        </w:rPr>
        <w:t>二、我方承诺无下列恶意串通的情形：</w:t>
      </w:r>
    </w:p>
    <w:p>
      <w:pPr>
        <w:spacing w:line="440" w:lineRule="exact"/>
        <w:ind w:firstLine="470" w:firstLineChars="196"/>
        <w:contextualSpacing/>
        <w:jc w:val="left"/>
        <w:rPr>
          <w:rFonts w:hint="eastAsia" w:ascii="宋体" w:hAnsi="宋体"/>
          <w:color w:val="000000"/>
          <w:sz w:val="24"/>
        </w:rPr>
      </w:pPr>
      <w:r>
        <w:rPr>
          <w:rFonts w:hint="eastAsia" w:ascii="宋体" w:hAnsi="宋体"/>
          <w:color w:val="000000"/>
          <w:sz w:val="24"/>
        </w:rPr>
        <w:t>1.投标人直接或者间接从采购人或者采购代理机构处获得其他投标人的相关信息并修改其投标文件或者响应文件；</w:t>
      </w:r>
    </w:p>
    <w:p>
      <w:pPr>
        <w:spacing w:line="440" w:lineRule="exact"/>
        <w:ind w:firstLine="470" w:firstLineChars="196"/>
        <w:contextualSpacing/>
        <w:jc w:val="left"/>
        <w:rPr>
          <w:rFonts w:hint="eastAsia" w:ascii="宋体" w:hAnsi="宋体"/>
          <w:color w:val="000000"/>
          <w:sz w:val="24"/>
        </w:rPr>
      </w:pPr>
      <w:r>
        <w:rPr>
          <w:rFonts w:hint="eastAsia" w:ascii="宋体" w:hAnsi="宋体"/>
          <w:color w:val="000000"/>
          <w:sz w:val="24"/>
        </w:rPr>
        <w:t>2.投标人按照采购人或者采购代理机构的授意撤换、修改投标文件或者响应文件；</w:t>
      </w:r>
    </w:p>
    <w:p>
      <w:pPr>
        <w:spacing w:line="440" w:lineRule="exact"/>
        <w:ind w:firstLine="470" w:firstLineChars="196"/>
        <w:contextualSpacing/>
        <w:jc w:val="left"/>
        <w:rPr>
          <w:rFonts w:hint="eastAsia" w:ascii="宋体" w:hAnsi="宋体"/>
          <w:color w:val="000000"/>
          <w:sz w:val="24"/>
        </w:rPr>
      </w:pPr>
      <w:r>
        <w:rPr>
          <w:rFonts w:hint="eastAsia" w:ascii="宋体" w:hAnsi="宋体"/>
          <w:color w:val="000000"/>
          <w:sz w:val="24"/>
        </w:rPr>
        <w:t>3.投标人之间协商报价、技术方案等投标文件或者响应文件的实质性内容；</w:t>
      </w:r>
    </w:p>
    <w:p>
      <w:pPr>
        <w:spacing w:line="440" w:lineRule="exact"/>
        <w:ind w:firstLine="470" w:firstLineChars="196"/>
        <w:contextualSpacing/>
        <w:jc w:val="left"/>
        <w:rPr>
          <w:rFonts w:hint="eastAsia" w:ascii="宋体" w:hAnsi="宋体"/>
          <w:color w:val="000000"/>
          <w:sz w:val="24"/>
        </w:rPr>
      </w:pPr>
      <w:r>
        <w:rPr>
          <w:rFonts w:hint="eastAsia" w:ascii="宋体" w:hAnsi="宋体"/>
          <w:color w:val="000000"/>
          <w:sz w:val="24"/>
        </w:rPr>
        <w:t>4.属于同一集团、协会、商会等组织成员的投标人按照该组织要求协同参加政府采购活动；</w:t>
      </w:r>
    </w:p>
    <w:p>
      <w:pPr>
        <w:spacing w:line="440" w:lineRule="exact"/>
        <w:ind w:firstLine="470" w:firstLineChars="196"/>
        <w:contextualSpacing/>
        <w:jc w:val="left"/>
        <w:rPr>
          <w:rFonts w:hint="eastAsia" w:ascii="宋体" w:hAnsi="宋体"/>
          <w:color w:val="000000"/>
          <w:sz w:val="24"/>
        </w:rPr>
      </w:pPr>
      <w:r>
        <w:rPr>
          <w:rFonts w:hint="eastAsia" w:ascii="宋体" w:hAnsi="宋体"/>
          <w:color w:val="000000"/>
          <w:sz w:val="24"/>
        </w:rPr>
        <w:t>5.投标人之间事先约定一致抬高或者压低投标报价，或者在招标项目中事先约定轮流以高价位或者低价位中标，或者事先约定由某一特定投标人中标，然后再参加投标；</w:t>
      </w:r>
    </w:p>
    <w:p>
      <w:pPr>
        <w:spacing w:line="440" w:lineRule="exact"/>
        <w:ind w:firstLine="470" w:firstLineChars="196"/>
        <w:contextualSpacing/>
        <w:jc w:val="left"/>
        <w:rPr>
          <w:rFonts w:hint="eastAsia" w:ascii="宋体" w:hAnsi="宋体"/>
          <w:color w:val="000000"/>
          <w:sz w:val="24"/>
        </w:rPr>
      </w:pPr>
      <w:r>
        <w:rPr>
          <w:rFonts w:hint="eastAsia" w:ascii="宋体" w:hAnsi="宋体"/>
          <w:color w:val="000000"/>
          <w:sz w:val="24"/>
        </w:rPr>
        <w:t>6.投标人之间商定部分投标人放弃参加政府采购活动或者放弃中标；</w:t>
      </w:r>
    </w:p>
    <w:p>
      <w:pPr>
        <w:spacing w:line="440" w:lineRule="exact"/>
        <w:ind w:firstLine="470" w:firstLineChars="196"/>
        <w:contextualSpacing/>
        <w:jc w:val="left"/>
        <w:rPr>
          <w:rFonts w:hint="eastAsia" w:ascii="宋体" w:hAnsi="宋体"/>
          <w:color w:val="000000"/>
          <w:sz w:val="24"/>
        </w:rPr>
      </w:pPr>
      <w:r>
        <w:rPr>
          <w:rFonts w:hint="eastAsia" w:ascii="宋体" w:hAnsi="宋体"/>
          <w:color w:val="000000"/>
          <w:sz w:val="24"/>
        </w:rPr>
        <w:t>7.投标人与采购人或者采购代理机构之间、投标人相互之间，为谋求特定投标人中标或者排斥其他投标人的其他串通行为。</w:t>
      </w:r>
    </w:p>
    <w:p>
      <w:pPr>
        <w:spacing w:line="440" w:lineRule="exact"/>
        <w:ind w:firstLine="472" w:firstLineChars="196"/>
        <w:contextualSpacing/>
        <w:jc w:val="left"/>
        <w:rPr>
          <w:rFonts w:hint="eastAsia" w:ascii="宋体" w:hAnsi="宋体"/>
          <w:b/>
          <w:color w:val="000000"/>
          <w:sz w:val="24"/>
        </w:rPr>
      </w:pPr>
      <w:r>
        <w:rPr>
          <w:rFonts w:hint="eastAsia" w:ascii="宋体" w:hAnsi="宋体"/>
          <w:b/>
          <w:color w:val="000000"/>
          <w:sz w:val="24"/>
        </w:rPr>
        <w:t>以上情形一经核查属实，我方愿意承担一切后果，并不再寻求任何旨在减轻或者免除法律责任的辩解。</w:t>
      </w:r>
    </w:p>
    <w:p>
      <w:pPr>
        <w:pStyle w:val="15"/>
        <w:spacing w:line="440" w:lineRule="exact"/>
        <w:ind w:firstLine="6840" w:firstLineChars="2850"/>
        <w:contextualSpacing/>
        <w:rPr>
          <w:rFonts w:hint="eastAsia" w:hAnsi="宋体"/>
          <w:color w:val="000000"/>
          <w:sz w:val="24"/>
          <w:szCs w:val="24"/>
        </w:rPr>
      </w:pPr>
    </w:p>
    <w:p>
      <w:pPr>
        <w:pStyle w:val="15"/>
        <w:spacing w:line="440" w:lineRule="exact"/>
        <w:contextualSpacing/>
        <w:jc w:val="center"/>
        <w:rPr>
          <w:rFonts w:hint="eastAsia" w:hAnsi="宋体"/>
          <w:color w:val="000000"/>
          <w:sz w:val="24"/>
          <w:szCs w:val="24"/>
        </w:rPr>
      </w:pPr>
      <w:r>
        <w:rPr>
          <w:rFonts w:hint="eastAsia" w:hAnsi="宋体"/>
          <w:color w:val="000000"/>
          <w:sz w:val="24"/>
          <w:szCs w:val="24"/>
        </w:rPr>
        <w:t xml:space="preserve"> </w:t>
      </w:r>
      <w:r>
        <w:rPr>
          <w:rFonts w:hAnsi="宋体"/>
          <w:color w:val="000000"/>
          <w:sz w:val="24"/>
          <w:szCs w:val="24"/>
        </w:rPr>
        <w:t xml:space="preserve">                                   </w:t>
      </w:r>
      <w:r>
        <w:rPr>
          <w:rFonts w:hint="eastAsia" w:hAnsi="宋体"/>
          <w:color w:val="000000"/>
          <w:sz w:val="24"/>
          <w:szCs w:val="24"/>
        </w:rPr>
        <w:t>投标人名称（电子签章）</w:t>
      </w:r>
    </w:p>
    <w:p>
      <w:pPr>
        <w:pStyle w:val="15"/>
        <w:spacing w:line="440" w:lineRule="exact"/>
        <w:contextualSpacing/>
        <w:rPr>
          <w:rFonts w:hint="eastAsia" w:hAnsi="宋体"/>
          <w:color w:val="000000"/>
          <w:sz w:val="24"/>
        </w:rPr>
      </w:pPr>
      <w:r>
        <w:rPr>
          <w:rFonts w:hint="eastAsia" w:hAnsi="宋体"/>
          <w:color w:val="000000"/>
          <w:sz w:val="24"/>
        </w:rPr>
        <w:t xml:space="preserve">                                                </w:t>
      </w:r>
      <w:r>
        <w:rPr>
          <w:rFonts w:hint="eastAsia" w:hAnsi="宋体"/>
          <w:color w:val="000000"/>
          <w:sz w:val="24"/>
          <w:u w:val="single"/>
        </w:rPr>
        <w:t xml:space="preserve">      </w:t>
      </w:r>
      <w:r>
        <w:rPr>
          <w:rFonts w:hint="eastAsia" w:hAnsi="宋体"/>
          <w:color w:val="000000"/>
          <w:sz w:val="24"/>
        </w:rPr>
        <w:t>年</w:t>
      </w:r>
      <w:r>
        <w:rPr>
          <w:rFonts w:hint="eastAsia" w:hAnsi="宋体"/>
          <w:color w:val="000000"/>
          <w:sz w:val="24"/>
          <w:u w:val="single"/>
        </w:rPr>
        <w:t xml:space="preserve">    </w:t>
      </w:r>
      <w:r>
        <w:rPr>
          <w:rFonts w:hint="eastAsia" w:hAnsi="宋体"/>
          <w:color w:val="000000"/>
          <w:sz w:val="24"/>
        </w:rPr>
        <w:t>月</w:t>
      </w:r>
      <w:r>
        <w:rPr>
          <w:rFonts w:hint="eastAsia" w:hAnsi="宋体"/>
          <w:color w:val="000000"/>
          <w:sz w:val="24"/>
          <w:u w:val="single"/>
        </w:rPr>
        <w:t xml:space="preserve">     </w:t>
      </w:r>
      <w:r>
        <w:rPr>
          <w:rFonts w:hint="eastAsia" w:hAnsi="宋体"/>
          <w:color w:val="000000"/>
          <w:sz w:val="24"/>
        </w:rPr>
        <w:t>日</w:t>
      </w:r>
    </w:p>
    <w:p>
      <w:pPr>
        <w:snapToGrid w:val="0"/>
        <w:spacing w:before="120" w:beforeLines="50" w:after="50"/>
        <w:jc w:val="left"/>
        <w:rPr>
          <w:rFonts w:hint="eastAsia" w:ascii="宋体" w:hAnsi="宋体"/>
          <w:b/>
          <w:color w:val="000000"/>
          <w:sz w:val="24"/>
        </w:rPr>
      </w:pPr>
    </w:p>
    <w:p>
      <w:pPr>
        <w:snapToGrid w:val="0"/>
        <w:spacing w:before="120" w:beforeLines="50" w:after="50"/>
        <w:jc w:val="left"/>
        <w:rPr>
          <w:rFonts w:hint="eastAsia" w:ascii="宋体" w:hAnsi="宋体"/>
          <w:b/>
          <w:color w:val="000000"/>
          <w:sz w:val="24"/>
        </w:rPr>
      </w:pPr>
    </w:p>
    <w:p>
      <w:pPr>
        <w:snapToGrid w:val="0"/>
        <w:spacing w:before="120" w:beforeLines="50" w:after="50"/>
        <w:jc w:val="left"/>
        <w:rPr>
          <w:rFonts w:hint="eastAsia" w:ascii="宋体" w:hAnsi="宋体"/>
          <w:b/>
          <w:color w:val="000000"/>
          <w:sz w:val="24"/>
        </w:rPr>
      </w:pPr>
    </w:p>
    <w:p>
      <w:pPr>
        <w:snapToGrid w:val="0"/>
        <w:spacing w:before="120" w:beforeLines="50" w:after="50"/>
        <w:jc w:val="left"/>
        <w:rPr>
          <w:rFonts w:hint="eastAsia" w:ascii="宋体" w:hAnsi="宋体"/>
          <w:b/>
          <w:color w:val="000000"/>
          <w:sz w:val="24"/>
          <w:szCs w:val="20"/>
        </w:rPr>
      </w:pPr>
      <w:r>
        <w:rPr>
          <w:rFonts w:hint="eastAsia" w:ascii="宋体" w:hAnsi="宋体"/>
          <w:b/>
          <w:color w:val="000000"/>
          <w:sz w:val="24"/>
        </w:rPr>
        <w:t>4.法定代表人身份证明</w:t>
      </w:r>
    </w:p>
    <w:p>
      <w:pPr>
        <w:spacing w:before="240" w:beforeLines="100" w:after="120" w:afterLines="50"/>
        <w:ind w:left="540"/>
        <w:jc w:val="center"/>
        <w:rPr>
          <w:rFonts w:hint="eastAsia" w:ascii="宋体" w:hAnsi="Courier New"/>
          <w:b/>
          <w:color w:val="000000"/>
          <w:sz w:val="32"/>
          <w:szCs w:val="32"/>
        </w:rPr>
      </w:pPr>
    </w:p>
    <w:p>
      <w:pPr>
        <w:spacing w:before="240" w:beforeLines="100" w:after="120" w:afterLines="50"/>
        <w:ind w:left="540"/>
        <w:jc w:val="center"/>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法定代表人身份证明</w:t>
      </w:r>
    </w:p>
    <w:p>
      <w:pPr>
        <w:spacing w:line="500" w:lineRule="exact"/>
        <w:ind w:left="540"/>
        <w:rPr>
          <w:rFonts w:hint="eastAsia" w:ascii="宋体" w:hAnsi="宋体"/>
          <w:color w:val="000000"/>
          <w:sz w:val="24"/>
        </w:rPr>
      </w:pPr>
      <w:r>
        <w:rPr>
          <w:rFonts w:hint="eastAsia" w:ascii="宋体" w:hAnsi="宋体"/>
          <w:color w:val="000000"/>
          <w:sz w:val="24"/>
        </w:rPr>
        <w:t>投 标 人：</w:t>
      </w:r>
      <w:r>
        <w:rPr>
          <w:rFonts w:hint="eastAsia" w:ascii="宋体" w:hAnsi="宋体"/>
          <w:color w:val="000000"/>
          <w:sz w:val="24"/>
          <w:u w:val="single"/>
        </w:rPr>
        <w:t xml:space="preserve">                                                        </w:t>
      </w:r>
    </w:p>
    <w:p>
      <w:pPr>
        <w:spacing w:line="500" w:lineRule="exact"/>
        <w:ind w:left="540"/>
        <w:rPr>
          <w:rFonts w:hint="eastAsia" w:ascii="宋体" w:hAnsi="宋体"/>
          <w:color w:val="000000"/>
          <w:sz w:val="24"/>
        </w:rPr>
      </w:pPr>
      <w:r>
        <w:rPr>
          <w:rFonts w:hint="eastAsia" w:ascii="宋体" w:hAnsi="宋体"/>
          <w:color w:val="000000"/>
          <w:sz w:val="24"/>
        </w:rPr>
        <w:t>地    址：</w:t>
      </w:r>
      <w:r>
        <w:rPr>
          <w:rFonts w:hint="eastAsia" w:ascii="宋体" w:hAnsi="宋体"/>
          <w:color w:val="000000"/>
          <w:sz w:val="24"/>
          <w:u w:val="single"/>
        </w:rPr>
        <w:t xml:space="preserve">                                                        </w:t>
      </w:r>
    </w:p>
    <w:p>
      <w:pPr>
        <w:spacing w:line="500" w:lineRule="exact"/>
        <w:ind w:left="540"/>
        <w:rPr>
          <w:rFonts w:hint="eastAsia" w:ascii="宋体" w:hAnsi="宋体"/>
          <w:color w:val="000000"/>
          <w:sz w:val="24"/>
        </w:rPr>
      </w:pPr>
      <w:r>
        <w:rPr>
          <w:rFonts w:hint="eastAsia" w:ascii="宋体" w:hAnsi="宋体"/>
          <w:color w:val="000000"/>
          <w:sz w:val="24"/>
        </w:rPr>
        <w:t>姓    名：</w:t>
      </w:r>
      <w:r>
        <w:rPr>
          <w:rFonts w:hint="eastAsia" w:ascii="宋体" w:hAnsi="宋体"/>
          <w:color w:val="000000"/>
          <w:sz w:val="24"/>
          <w:u w:val="single"/>
        </w:rPr>
        <w:t xml:space="preserve">                          </w:t>
      </w:r>
      <w:r>
        <w:rPr>
          <w:rFonts w:hint="eastAsia" w:ascii="宋体" w:hAnsi="宋体"/>
          <w:color w:val="000000"/>
          <w:sz w:val="24"/>
        </w:rPr>
        <w:t>性      别：</w:t>
      </w:r>
      <w:r>
        <w:rPr>
          <w:rFonts w:hint="eastAsia" w:ascii="宋体" w:hAnsi="宋体"/>
          <w:color w:val="000000"/>
          <w:sz w:val="24"/>
          <w:u w:val="single"/>
        </w:rPr>
        <w:t xml:space="preserve">                </w:t>
      </w:r>
    </w:p>
    <w:p>
      <w:pPr>
        <w:spacing w:line="500" w:lineRule="exact"/>
        <w:ind w:left="540"/>
        <w:rPr>
          <w:rFonts w:hint="eastAsia" w:ascii="宋体" w:hAnsi="宋体"/>
          <w:color w:val="000000"/>
          <w:sz w:val="24"/>
          <w:u w:val="single"/>
        </w:rPr>
      </w:pPr>
      <w:r>
        <w:rPr>
          <w:rFonts w:hint="eastAsia" w:ascii="宋体" w:hAnsi="宋体"/>
          <w:color w:val="000000"/>
          <w:sz w:val="24"/>
        </w:rPr>
        <w:t>年    龄：</w:t>
      </w:r>
      <w:r>
        <w:rPr>
          <w:rFonts w:hint="eastAsia" w:ascii="宋体" w:hAnsi="宋体"/>
          <w:color w:val="000000"/>
          <w:sz w:val="24"/>
          <w:u w:val="single"/>
        </w:rPr>
        <w:t xml:space="preserve">                          </w:t>
      </w:r>
      <w:r>
        <w:rPr>
          <w:rFonts w:hint="eastAsia" w:ascii="宋体" w:hAnsi="宋体"/>
          <w:color w:val="000000"/>
          <w:sz w:val="24"/>
        </w:rPr>
        <w:t>职      务：</w:t>
      </w:r>
      <w:r>
        <w:rPr>
          <w:rFonts w:hint="eastAsia" w:ascii="宋体" w:hAnsi="宋体"/>
          <w:color w:val="000000"/>
          <w:sz w:val="24"/>
          <w:u w:val="single"/>
        </w:rPr>
        <w:t xml:space="preserve">                </w:t>
      </w:r>
    </w:p>
    <w:p>
      <w:pPr>
        <w:spacing w:line="500" w:lineRule="exact"/>
        <w:ind w:left="540"/>
        <w:rPr>
          <w:rFonts w:hint="eastAsia" w:ascii="宋体" w:hAnsi="宋体"/>
          <w:color w:val="000000"/>
          <w:sz w:val="24"/>
        </w:rPr>
      </w:pPr>
      <w:r>
        <w:rPr>
          <w:rFonts w:hint="eastAsia" w:ascii="宋体" w:hAnsi="宋体"/>
          <w:color w:val="000000"/>
          <w:sz w:val="24"/>
        </w:rPr>
        <w:t>身份证</w:t>
      </w:r>
      <w:r>
        <w:rPr>
          <w:rFonts w:hint="eastAsia"/>
          <w:color w:val="000000"/>
          <w:sz w:val="24"/>
        </w:rPr>
        <w:t>号码：</w:t>
      </w:r>
      <w:r>
        <w:rPr>
          <w:rFonts w:hint="eastAsia"/>
          <w:color w:val="000000"/>
          <w:sz w:val="24"/>
          <w:u w:val="single"/>
        </w:rPr>
        <w:t xml:space="preserve">                                 </w:t>
      </w:r>
    </w:p>
    <w:p>
      <w:pPr>
        <w:spacing w:line="500" w:lineRule="exact"/>
        <w:ind w:left="540"/>
        <w:rPr>
          <w:rFonts w:hint="eastAsia" w:ascii="宋体" w:hAnsi="宋体"/>
          <w:color w:val="000000"/>
          <w:sz w:val="24"/>
        </w:rPr>
      </w:pPr>
      <w:r>
        <w:rPr>
          <w:rFonts w:hint="eastAsia" w:ascii="宋体" w:hAnsi="宋体"/>
          <w:color w:val="000000"/>
          <w:sz w:val="24"/>
        </w:rPr>
        <w:t>系</w:t>
      </w:r>
      <w:r>
        <w:rPr>
          <w:rFonts w:hint="eastAsia" w:ascii="宋体" w:hAnsi="宋体"/>
          <w:color w:val="000000"/>
          <w:sz w:val="24"/>
          <w:u w:val="single"/>
        </w:rPr>
        <w:t xml:space="preserve">            （投标人名称）              </w:t>
      </w:r>
      <w:r>
        <w:rPr>
          <w:rFonts w:hint="eastAsia" w:ascii="宋体" w:hAnsi="宋体"/>
          <w:color w:val="000000"/>
          <w:sz w:val="24"/>
        </w:rPr>
        <w:t>的法定代表人。</w:t>
      </w:r>
    </w:p>
    <w:p>
      <w:pPr>
        <w:spacing w:line="500" w:lineRule="exact"/>
        <w:ind w:left="540"/>
        <w:rPr>
          <w:rFonts w:hint="eastAsia" w:ascii="宋体" w:hAnsi="宋体"/>
          <w:color w:val="000000"/>
          <w:sz w:val="24"/>
        </w:rPr>
      </w:pPr>
      <w:r>
        <w:rPr>
          <w:rFonts w:hint="eastAsia" w:ascii="宋体" w:hAnsi="宋体"/>
          <w:color w:val="000000"/>
          <w:sz w:val="24"/>
        </w:rPr>
        <w:t>特此证明。</w:t>
      </w:r>
    </w:p>
    <w:p>
      <w:pPr>
        <w:spacing w:line="500" w:lineRule="exact"/>
        <w:ind w:left="540"/>
        <w:rPr>
          <w:rFonts w:hint="eastAsia" w:ascii="宋体" w:hAnsi="宋体"/>
          <w:color w:val="000000"/>
          <w:sz w:val="24"/>
        </w:rPr>
      </w:pPr>
    </w:p>
    <w:p>
      <w:pPr>
        <w:spacing w:line="500" w:lineRule="exact"/>
        <w:ind w:left="540"/>
        <w:rPr>
          <w:rFonts w:hint="eastAsia" w:ascii="宋体" w:hAnsi="宋体"/>
          <w:color w:val="000000"/>
          <w:sz w:val="24"/>
        </w:rPr>
      </w:pPr>
    </w:p>
    <w:p>
      <w:pPr>
        <w:spacing w:line="500" w:lineRule="exact"/>
        <w:ind w:left="540"/>
        <w:rPr>
          <w:rFonts w:hint="eastAsia" w:ascii="宋体" w:hAnsi="宋体"/>
          <w:color w:val="000000"/>
          <w:sz w:val="24"/>
        </w:rPr>
      </w:pPr>
      <w:r>
        <w:rPr>
          <w:rFonts w:hint="eastAsia" w:ascii="宋体" w:hAnsi="宋体"/>
          <w:color w:val="000000"/>
          <w:sz w:val="24"/>
        </w:rPr>
        <w:t>附件：法定代表人有效身份证正反面复印件</w:t>
      </w:r>
    </w:p>
    <w:p>
      <w:pPr>
        <w:spacing w:line="500" w:lineRule="exact"/>
        <w:ind w:left="540"/>
        <w:rPr>
          <w:rFonts w:hint="eastAsia" w:ascii="宋体" w:hAnsi="宋体"/>
          <w:color w:val="000000"/>
          <w:sz w:val="24"/>
        </w:rPr>
      </w:pPr>
    </w:p>
    <w:p>
      <w:pPr>
        <w:spacing w:line="500" w:lineRule="exact"/>
        <w:ind w:left="540"/>
        <w:jc w:val="right"/>
        <w:rPr>
          <w:rFonts w:hint="eastAsia" w:ascii="宋体" w:hAnsi="宋体"/>
          <w:color w:val="000000"/>
          <w:sz w:val="24"/>
        </w:rPr>
      </w:pPr>
      <w:r>
        <w:rPr>
          <w:rFonts w:hint="eastAsia" w:ascii="宋体" w:hAnsi="宋体"/>
          <w:color w:val="000000"/>
          <w:sz w:val="24"/>
        </w:rPr>
        <w:t>投标人名称（电子签章）</w:t>
      </w:r>
    </w:p>
    <w:p>
      <w:pPr>
        <w:spacing w:line="500" w:lineRule="exact"/>
        <w:ind w:left="540"/>
        <w:jc w:val="right"/>
        <w:rPr>
          <w:rFonts w:hint="eastAsia" w:ascii="宋体" w:hAnsi="宋体"/>
          <w:color w:val="000000"/>
          <w:sz w:val="24"/>
        </w:rPr>
      </w:pPr>
    </w:p>
    <w:p>
      <w:pPr>
        <w:snapToGrid w:val="0"/>
        <w:spacing w:before="120" w:beforeLines="50" w:after="50"/>
        <w:ind w:left="540"/>
        <w:jc w:val="right"/>
        <w:rPr>
          <w:rFonts w:hint="eastAsia"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snapToGrid w:val="0"/>
        <w:spacing w:before="120" w:beforeLines="50" w:after="50"/>
        <w:jc w:val="center"/>
        <w:rPr>
          <w:rFonts w:hint="eastAsia" w:ascii="宋体" w:hAnsi="宋体"/>
          <w:b/>
          <w:color w:val="000000"/>
          <w:sz w:val="24"/>
        </w:rPr>
      </w:pPr>
    </w:p>
    <w:p>
      <w:pPr>
        <w:snapToGrid w:val="0"/>
        <w:spacing w:before="120" w:beforeLines="50" w:after="50"/>
        <w:jc w:val="left"/>
        <w:rPr>
          <w:rFonts w:hint="eastAsia" w:ascii="宋体" w:hAnsi="宋体"/>
          <w:b/>
          <w:color w:val="000000"/>
          <w:sz w:val="24"/>
          <w:szCs w:val="20"/>
        </w:rPr>
      </w:pPr>
      <w:r>
        <w:rPr>
          <w:rFonts w:hint="eastAsia" w:ascii="宋体" w:hAnsi="宋体"/>
          <w:color w:val="000000"/>
          <w:sz w:val="24"/>
        </w:rPr>
        <w:t>注：自然人投标的无需提供</w:t>
      </w:r>
    </w:p>
    <w:p>
      <w:pPr>
        <w:snapToGrid w:val="0"/>
        <w:spacing w:before="120" w:beforeLines="50" w:after="50"/>
        <w:jc w:val="left"/>
        <w:rPr>
          <w:rFonts w:hint="eastAsia" w:ascii="宋体" w:hAnsi="宋体"/>
          <w:b/>
          <w:color w:val="000000"/>
          <w:sz w:val="24"/>
          <w:szCs w:val="20"/>
        </w:rPr>
      </w:pPr>
      <w:r>
        <w:rPr>
          <w:rFonts w:ascii="宋体" w:hAnsi="宋体"/>
          <w:b/>
          <w:color w:val="000000"/>
          <w:sz w:val="24"/>
        </w:rPr>
        <w:br w:type="page"/>
      </w:r>
      <w:r>
        <w:rPr>
          <w:rFonts w:hint="eastAsia" w:ascii="宋体" w:hAnsi="宋体"/>
          <w:b/>
          <w:color w:val="000000"/>
          <w:sz w:val="24"/>
        </w:rPr>
        <w:t>5.授权委托书格式</w:t>
      </w:r>
    </w:p>
    <w:p>
      <w:pPr>
        <w:snapToGrid w:val="0"/>
        <w:spacing w:before="120" w:beforeLines="50" w:after="50"/>
        <w:jc w:val="center"/>
        <w:rPr>
          <w:rFonts w:hint="eastAsia" w:ascii="宋体" w:hAnsi="宋体"/>
          <w:b/>
          <w:color w:val="000000"/>
          <w:sz w:val="44"/>
          <w:szCs w:val="44"/>
        </w:rPr>
      </w:pPr>
    </w:p>
    <w:p>
      <w:pPr>
        <w:spacing w:line="360" w:lineRule="auto"/>
        <w:contextualSpacing/>
        <w:jc w:val="center"/>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授权委托书</w:t>
      </w:r>
    </w:p>
    <w:p>
      <w:pPr>
        <w:spacing w:line="360" w:lineRule="auto"/>
        <w:contextualSpacing/>
        <w:jc w:val="center"/>
        <w:rPr>
          <w:rFonts w:hint="eastAsia" w:ascii="方正小标宋简体" w:hAnsi="方正小标宋简体" w:eastAsia="方正小标宋简体" w:cs="方正小标宋简体"/>
          <w:bCs/>
          <w:color w:val="000000"/>
          <w:sz w:val="32"/>
          <w:szCs w:val="32"/>
        </w:rPr>
      </w:pPr>
      <w:r>
        <w:rPr>
          <w:rFonts w:hint="eastAsia" w:ascii="方正小标宋简体" w:hAnsi="方正小标宋简体" w:eastAsia="方正小标宋简体" w:cs="方正小标宋简体"/>
          <w:bCs/>
          <w:color w:val="000000"/>
          <w:sz w:val="32"/>
          <w:szCs w:val="32"/>
        </w:rPr>
        <w:t>（非联合体投标格式）</w:t>
      </w:r>
    </w:p>
    <w:p>
      <w:pPr>
        <w:spacing w:line="360" w:lineRule="auto"/>
        <w:contextualSpacing/>
        <w:jc w:val="center"/>
        <w:rPr>
          <w:rFonts w:hint="eastAsia"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sz w:val="32"/>
          <w:szCs w:val="32"/>
        </w:rPr>
        <w:t>（如有委托时）</w:t>
      </w:r>
    </w:p>
    <w:p>
      <w:pPr>
        <w:spacing w:line="440" w:lineRule="exact"/>
        <w:contextualSpacing/>
        <w:jc w:val="center"/>
        <w:rPr>
          <w:rFonts w:hint="eastAsia" w:ascii="宋体" w:hAnsi="宋体"/>
          <w:b/>
          <w:color w:val="000000"/>
          <w:sz w:val="24"/>
        </w:rPr>
      </w:pPr>
    </w:p>
    <w:p>
      <w:pPr>
        <w:spacing w:line="440" w:lineRule="exact"/>
        <w:contextualSpacing/>
        <w:rPr>
          <w:rFonts w:hint="eastAsia" w:ascii="宋体" w:hAnsi="宋体"/>
          <w:b/>
          <w:bCs/>
          <w:color w:val="000000"/>
          <w:sz w:val="24"/>
        </w:rPr>
      </w:pPr>
      <w:r>
        <w:rPr>
          <w:rFonts w:hint="eastAsia" w:ascii="宋体" w:hAnsi="宋体"/>
          <w:bCs/>
          <w:color w:val="000000"/>
          <w:sz w:val="24"/>
        </w:rPr>
        <w:t>致：</w:t>
      </w:r>
      <w:r>
        <w:rPr>
          <w:rFonts w:hint="eastAsia" w:ascii="宋体" w:hAnsi="宋体"/>
          <w:color w:val="000000"/>
          <w:sz w:val="24"/>
          <w:u w:val="single"/>
        </w:rPr>
        <w:t>采购人名称</w:t>
      </w:r>
      <w:r>
        <w:rPr>
          <w:rFonts w:hint="eastAsia" w:ascii="宋体" w:hAnsi="宋体"/>
          <w:color w:val="000000"/>
          <w:sz w:val="24"/>
        </w:rPr>
        <w:t>：</w:t>
      </w:r>
    </w:p>
    <w:p>
      <w:pPr>
        <w:spacing w:line="440" w:lineRule="exact"/>
        <w:ind w:firstLine="566" w:firstLineChars="236"/>
        <w:contextualSpacing/>
        <w:rPr>
          <w:rFonts w:hint="eastAsia" w:ascii="宋体" w:hAnsi="宋体"/>
          <w:color w:val="000000"/>
          <w:sz w:val="24"/>
        </w:rPr>
      </w:pPr>
      <w:r>
        <w:rPr>
          <w:rFonts w:hint="eastAsia" w:ascii="宋体" w:hAnsi="宋体"/>
          <w:color w:val="000000"/>
          <w:sz w:val="24"/>
        </w:rPr>
        <w:t>我</w:t>
      </w:r>
      <w:r>
        <w:rPr>
          <w:rFonts w:hint="eastAsia" w:ascii="宋体" w:hAnsi="宋体"/>
          <w:color w:val="000000"/>
          <w:sz w:val="24"/>
          <w:u w:val="single"/>
        </w:rPr>
        <w:t xml:space="preserve">       </w:t>
      </w:r>
      <w:r>
        <w:rPr>
          <w:rFonts w:hint="eastAsia" w:ascii="宋体" w:hAnsi="宋体"/>
          <w:color w:val="000000"/>
          <w:sz w:val="24"/>
        </w:rPr>
        <w:t>（姓名）系</w:t>
      </w:r>
      <w:r>
        <w:rPr>
          <w:rFonts w:hint="eastAsia" w:ascii="宋体" w:hAnsi="宋体"/>
          <w:color w:val="000000"/>
          <w:sz w:val="24"/>
          <w:u w:val="single"/>
        </w:rPr>
        <w:t xml:space="preserve">      </w:t>
      </w:r>
      <w:r>
        <w:rPr>
          <w:rFonts w:hint="eastAsia" w:ascii="宋体" w:hAnsi="宋体"/>
          <w:color w:val="000000"/>
          <w:sz w:val="24"/>
        </w:rPr>
        <w:t>（投标人名称）的法定代表人，现授权委托</w:t>
      </w:r>
      <w:r>
        <w:rPr>
          <w:rFonts w:hint="eastAsia" w:ascii="宋体" w:hAnsi="宋体"/>
          <w:color w:val="000000"/>
          <w:sz w:val="24"/>
          <w:u w:val="single"/>
        </w:rPr>
        <w:t xml:space="preserve">              （姓名）</w:t>
      </w:r>
      <w:r>
        <w:rPr>
          <w:rFonts w:hint="eastAsia" w:ascii="宋体" w:hAnsi="宋体"/>
          <w:color w:val="000000"/>
          <w:sz w:val="24"/>
        </w:rPr>
        <w:t>以我方的名义参加</w:t>
      </w:r>
      <w:r>
        <w:rPr>
          <w:rFonts w:hint="eastAsia" w:ascii="宋体" w:hAnsi="宋体"/>
          <w:color w:val="000000"/>
          <w:sz w:val="24"/>
          <w:u w:val="single"/>
        </w:rPr>
        <w:t xml:space="preserve">              </w:t>
      </w:r>
      <w:r>
        <w:rPr>
          <w:rFonts w:hint="eastAsia" w:ascii="宋体" w:hAnsi="宋体"/>
          <w:color w:val="000000"/>
          <w:sz w:val="24"/>
        </w:rPr>
        <w:t>项目的投标活动，并代表我方全权办理针对上述项目的所有采购程序和环节的具体事务和签署相关文件。</w:t>
      </w:r>
    </w:p>
    <w:p>
      <w:pPr>
        <w:spacing w:line="440" w:lineRule="exact"/>
        <w:contextualSpacing/>
        <w:rPr>
          <w:rFonts w:hint="eastAsia" w:ascii="宋体" w:hAnsi="宋体"/>
          <w:color w:val="000000"/>
          <w:sz w:val="24"/>
        </w:rPr>
      </w:pPr>
      <w:r>
        <w:rPr>
          <w:rFonts w:hint="eastAsia" w:ascii="宋体" w:hAnsi="宋体"/>
          <w:color w:val="000000"/>
          <w:sz w:val="24"/>
        </w:rPr>
        <w:t xml:space="preserve">    我方对委托代理人的签字或者电子签名事项负全部责任。</w:t>
      </w:r>
    </w:p>
    <w:p>
      <w:pPr>
        <w:spacing w:line="440" w:lineRule="exact"/>
        <w:ind w:firstLine="480"/>
        <w:contextualSpacing/>
        <w:rPr>
          <w:rFonts w:hint="eastAsia" w:ascii="宋体" w:hAnsi="宋体"/>
          <w:color w:val="000000"/>
          <w:sz w:val="24"/>
        </w:rPr>
      </w:pPr>
      <w:r>
        <w:rPr>
          <w:rFonts w:hint="eastAsia" w:ascii="宋体" w:hAnsi="宋体"/>
          <w:color w:val="000000"/>
          <w:sz w:val="24"/>
          <w:u w:val="single"/>
        </w:rPr>
        <w:t>本授权书自签署之日起生效，在撤销授权的书面通知以前，本授权书一直有效。委托代理人在授权书有效期内签署的所有文件不因授权的撤销而失效。</w:t>
      </w:r>
    </w:p>
    <w:p>
      <w:pPr>
        <w:spacing w:line="440" w:lineRule="exact"/>
        <w:ind w:firstLine="480"/>
        <w:contextualSpacing/>
        <w:rPr>
          <w:rFonts w:hint="eastAsia" w:ascii="宋体" w:hAnsi="宋体"/>
          <w:color w:val="000000"/>
          <w:sz w:val="24"/>
        </w:rPr>
      </w:pPr>
      <w:r>
        <w:rPr>
          <w:rFonts w:hint="eastAsia" w:ascii="宋体" w:hAnsi="宋体"/>
          <w:color w:val="000000"/>
          <w:sz w:val="24"/>
        </w:rPr>
        <w:t>委托代理人无转委托权，特此委托。</w:t>
      </w:r>
    </w:p>
    <w:p>
      <w:pPr>
        <w:spacing w:line="440" w:lineRule="exact"/>
        <w:ind w:firstLine="480"/>
        <w:contextualSpacing/>
        <w:rPr>
          <w:rFonts w:hint="eastAsia" w:ascii="宋体" w:hAnsi="宋体"/>
          <w:color w:val="000000"/>
          <w:sz w:val="24"/>
        </w:rPr>
      </w:pPr>
      <w:r>
        <w:rPr>
          <w:rFonts w:hint="eastAsia" w:ascii="宋体" w:hAnsi="宋体"/>
          <w:color w:val="000000"/>
          <w:sz w:val="24"/>
        </w:rPr>
        <w:t>附：法定代表人身份证明及委托代理人有效身份证正反面复印件</w:t>
      </w:r>
    </w:p>
    <w:p>
      <w:pPr>
        <w:spacing w:line="440" w:lineRule="exact"/>
        <w:contextualSpacing/>
        <w:rPr>
          <w:rFonts w:hint="eastAsia" w:ascii="宋体" w:hAnsi="宋体"/>
          <w:color w:val="000000"/>
          <w:sz w:val="24"/>
        </w:rPr>
      </w:pPr>
    </w:p>
    <w:p>
      <w:pPr>
        <w:spacing w:line="440" w:lineRule="exact"/>
        <w:contextualSpacing/>
        <w:rPr>
          <w:rFonts w:hint="eastAsia" w:ascii="宋体" w:hAnsi="宋体"/>
          <w:color w:val="000000"/>
          <w:sz w:val="24"/>
        </w:rPr>
      </w:pPr>
      <w:r>
        <w:rPr>
          <w:rFonts w:hint="eastAsia" w:ascii="宋体" w:hAnsi="宋体"/>
          <w:color w:val="000000"/>
          <w:sz w:val="24"/>
        </w:rPr>
        <w:t>委托代理人（签字/电子签名）：</w:t>
      </w:r>
      <w:r>
        <w:rPr>
          <w:rFonts w:hint="eastAsia" w:ascii="宋体" w:hAnsi="宋体"/>
          <w:color w:val="000000"/>
          <w:sz w:val="24"/>
          <w:u w:val="single"/>
        </w:rPr>
        <w:t xml:space="preserve">               </w:t>
      </w:r>
      <w:r>
        <w:rPr>
          <w:rFonts w:hint="eastAsia" w:ascii="宋体" w:hAnsi="宋体"/>
          <w:color w:val="000000"/>
          <w:sz w:val="24"/>
        </w:rPr>
        <w:t xml:space="preserve">            </w:t>
      </w:r>
    </w:p>
    <w:p>
      <w:pPr>
        <w:spacing w:line="440" w:lineRule="exact"/>
        <w:contextualSpacing/>
        <w:rPr>
          <w:rFonts w:hint="eastAsia" w:ascii="宋体" w:hAnsi="宋体"/>
          <w:color w:val="000000"/>
          <w:sz w:val="24"/>
          <w:u w:val="single"/>
        </w:rPr>
      </w:pPr>
      <w:r>
        <w:rPr>
          <w:rFonts w:hint="eastAsia" w:ascii="宋体" w:hAnsi="宋体"/>
          <w:color w:val="000000"/>
          <w:sz w:val="24"/>
        </w:rPr>
        <w:t>委托代理人身份证号码：</w:t>
      </w:r>
      <w:r>
        <w:rPr>
          <w:rFonts w:hint="eastAsia" w:ascii="宋体" w:hAnsi="宋体"/>
          <w:color w:val="000000"/>
          <w:sz w:val="24"/>
          <w:u w:val="single"/>
        </w:rPr>
        <w:t xml:space="preserve">                             </w:t>
      </w:r>
    </w:p>
    <w:p>
      <w:pPr>
        <w:spacing w:line="440" w:lineRule="exact"/>
        <w:contextualSpacing/>
        <w:rPr>
          <w:rFonts w:hint="eastAsia" w:ascii="宋体" w:hAnsi="宋体"/>
          <w:color w:val="000000"/>
          <w:sz w:val="24"/>
          <w:u w:val="single"/>
        </w:rPr>
      </w:pPr>
      <w:r>
        <w:rPr>
          <w:rFonts w:hint="eastAsia" w:ascii="宋体" w:hAnsi="宋体"/>
          <w:color w:val="000000"/>
          <w:sz w:val="24"/>
        </w:rPr>
        <w:t>法定代表人（签字或者盖章或者电子签名）：</w:t>
      </w:r>
      <w:r>
        <w:rPr>
          <w:rFonts w:hint="eastAsia" w:ascii="宋体" w:hAnsi="宋体"/>
          <w:color w:val="000000"/>
          <w:sz w:val="24"/>
          <w:u w:val="single"/>
        </w:rPr>
        <w:t xml:space="preserve">              </w:t>
      </w:r>
    </w:p>
    <w:p>
      <w:pPr>
        <w:spacing w:line="440" w:lineRule="exact"/>
        <w:contextualSpacing/>
        <w:rPr>
          <w:rFonts w:hint="eastAsia" w:ascii="宋体" w:hAnsi="宋体"/>
          <w:color w:val="000000"/>
          <w:sz w:val="24"/>
        </w:rPr>
      </w:pPr>
      <w:r>
        <w:rPr>
          <w:rFonts w:hint="eastAsia" w:ascii="宋体" w:hAnsi="宋体"/>
          <w:color w:val="000000"/>
          <w:sz w:val="24"/>
        </w:rPr>
        <w:t xml:space="preserve"> </w:t>
      </w:r>
    </w:p>
    <w:p>
      <w:pPr>
        <w:spacing w:line="440" w:lineRule="exact"/>
        <w:contextualSpacing/>
        <w:jc w:val="center"/>
        <w:rPr>
          <w:rFonts w:hint="eastAsia" w:ascii="宋体" w:hAnsi="宋体"/>
          <w:color w:val="000000"/>
          <w:sz w:val="24"/>
        </w:rPr>
      </w:pPr>
      <w:r>
        <w:rPr>
          <w:rFonts w:hint="eastAsia" w:ascii="宋体" w:hAnsi="宋体"/>
          <w:color w:val="000000"/>
          <w:sz w:val="24"/>
        </w:rPr>
        <w:t xml:space="preserve">                                                投标人名称（电子签章）：</w:t>
      </w:r>
    </w:p>
    <w:p>
      <w:pPr>
        <w:spacing w:line="440" w:lineRule="exact"/>
        <w:contextualSpacing/>
        <w:jc w:val="center"/>
        <w:rPr>
          <w:rFonts w:hint="eastAsia" w:ascii="宋体" w:hAnsi="宋体"/>
          <w:color w:val="000000"/>
          <w:sz w:val="24"/>
        </w:rPr>
      </w:pPr>
      <w:r>
        <w:rPr>
          <w:rFonts w:hint="eastAsia" w:ascii="宋体" w:hAnsi="宋体"/>
          <w:color w:val="000000"/>
          <w:sz w:val="24"/>
        </w:rPr>
        <w:t xml:space="preserve">                                              年    月    日</w:t>
      </w:r>
    </w:p>
    <w:p>
      <w:pPr>
        <w:spacing w:line="440" w:lineRule="exact"/>
        <w:contextualSpacing/>
        <w:rPr>
          <w:rFonts w:hint="eastAsia" w:ascii="宋体" w:hAnsi="宋体" w:cs="仿宋_GB2312"/>
          <w:color w:val="000000"/>
          <w:sz w:val="24"/>
        </w:rPr>
      </w:pPr>
      <w:r>
        <w:rPr>
          <w:rFonts w:hint="eastAsia" w:ascii="宋体" w:hAnsi="宋体" w:cs="仿宋_GB2312"/>
          <w:color w:val="000000"/>
          <w:sz w:val="24"/>
        </w:rPr>
        <w:t>注：1.</w:t>
      </w:r>
      <w:bookmarkStart w:id="151" w:name="_Hlk65851555"/>
      <w:bookmarkStart w:id="152" w:name="_Hlk65851620"/>
      <w:r>
        <w:rPr>
          <w:rFonts w:hint="eastAsia" w:ascii="宋体" w:hAnsi="宋体" w:cs="仿宋_GB2312"/>
          <w:color w:val="000000"/>
          <w:sz w:val="24"/>
        </w:rPr>
        <w:t>法定代表人必须在授权委托书上亲笔签字或者盖章</w:t>
      </w:r>
      <w:r>
        <w:rPr>
          <w:rFonts w:hint="eastAsia" w:ascii="宋体" w:hAnsi="宋体"/>
          <w:color w:val="000000"/>
          <w:sz w:val="24"/>
        </w:rPr>
        <w:t>或者电子签名</w:t>
      </w:r>
      <w:r>
        <w:rPr>
          <w:rFonts w:hint="eastAsia" w:ascii="宋体" w:hAnsi="宋体" w:cs="仿宋_GB2312"/>
          <w:color w:val="000000"/>
          <w:sz w:val="24"/>
        </w:rPr>
        <w:t>，</w:t>
      </w:r>
      <w:bookmarkEnd w:id="151"/>
      <w:r>
        <w:rPr>
          <w:rFonts w:hint="eastAsia" w:ascii="宋体" w:hAnsi="宋体" w:cs="仿宋_GB2312"/>
          <w:color w:val="000000"/>
          <w:sz w:val="24"/>
        </w:rPr>
        <w:t>委托代理人必须在授权委托书上亲笔签字</w:t>
      </w:r>
      <w:r>
        <w:rPr>
          <w:rFonts w:hint="eastAsia" w:ascii="宋体" w:hAnsi="宋体"/>
          <w:color w:val="000000"/>
          <w:sz w:val="24"/>
        </w:rPr>
        <w:t>或者电子签名</w:t>
      </w:r>
      <w:r>
        <w:rPr>
          <w:rFonts w:hint="eastAsia" w:ascii="宋体" w:hAnsi="宋体" w:cs="仿宋_GB2312"/>
          <w:color w:val="000000"/>
          <w:sz w:val="24"/>
        </w:rPr>
        <w:t>，</w:t>
      </w:r>
      <w:r>
        <w:rPr>
          <w:rFonts w:hint="eastAsia" w:ascii="宋体" w:hAnsi="宋体" w:cs="仿宋_GB2312"/>
          <w:b/>
          <w:bCs/>
          <w:color w:val="000000"/>
          <w:sz w:val="24"/>
        </w:rPr>
        <w:t>否则按无效投标处理</w:t>
      </w:r>
      <w:r>
        <w:rPr>
          <w:rFonts w:hint="eastAsia" w:ascii="宋体" w:hAnsi="宋体" w:cs="仿宋_GB2312"/>
          <w:color w:val="000000"/>
          <w:sz w:val="24"/>
        </w:rPr>
        <w:t>；</w:t>
      </w:r>
      <w:bookmarkEnd w:id="152"/>
    </w:p>
    <w:p>
      <w:pPr>
        <w:spacing w:line="440" w:lineRule="exact"/>
        <w:ind w:firstLine="480" w:firstLineChars="200"/>
        <w:contextualSpacing/>
        <w:jc w:val="left"/>
        <w:rPr>
          <w:rFonts w:hint="eastAsia" w:ascii="宋体" w:hAnsi="宋体"/>
          <w:color w:val="000000"/>
          <w:sz w:val="24"/>
        </w:rPr>
      </w:pPr>
      <w:r>
        <w:rPr>
          <w:rFonts w:hint="eastAsia" w:ascii="宋体" w:hAnsi="宋体" w:cs="仿宋_GB2312"/>
          <w:color w:val="000000"/>
          <w:sz w:val="24"/>
        </w:rPr>
        <w:t>2.法人、其他组织投标时“我方”是指“我单位”，自然人投标时“我方”是指“本人”。</w:t>
      </w:r>
    </w:p>
    <w:p>
      <w:pPr>
        <w:snapToGrid w:val="0"/>
        <w:spacing w:before="120" w:beforeLines="50" w:after="50"/>
        <w:ind w:firstLine="566" w:firstLineChars="236"/>
        <w:jc w:val="center"/>
        <w:rPr>
          <w:rFonts w:hint="eastAsia" w:ascii="方正小标宋简体" w:hAnsi="方正小标宋简体" w:eastAsia="方正小标宋简体" w:cs="方正小标宋简体"/>
          <w:color w:val="000000"/>
          <w:sz w:val="44"/>
          <w:szCs w:val="44"/>
        </w:rPr>
      </w:pPr>
      <w:r>
        <w:rPr>
          <w:rFonts w:ascii="宋体" w:hAnsi="宋体"/>
          <w:color w:val="000000"/>
          <w:sz w:val="24"/>
        </w:rPr>
        <w:br w:type="page"/>
      </w:r>
      <w:r>
        <w:rPr>
          <w:rFonts w:hint="eastAsia" w:ascii="方正小标宋简体" w:hAnsi="方正小标宋简体" w:eastAsia="方正小标宋简体" w:cs="方正小标宋简体"/>
          <w:color w:val="000000"/>
          <w:sz w:val="44"/>
          <w:szCs w:val="44"/>
        </w:rPr>
        <w:t>授权委托书</w:t>
      </w:r>
    </w:p>
    <w:p>
      <w:pPr>
        <w:snapToGrid w:val="0"/>
        <w:spacing w:before="120" w:beforeLines="50" w:after="50"/>
        <w:ind w:firstLine="755" w:firstLineChars="236"/>
        <w:jc w:val="center"/>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（联合体投标格式）</w:t>
      </w:r>
    </w:p>
    <w:p>
      <w:pPr>
        <w:snapToGrid w:val="0"/>
        <w:spacing w:before="120" w:beforeLines="50" w:after="50"/>
        <w:ind w:firstLine="755" w:firstLineChars="236"/>
        <w:jc w:val="center"/>
        <w:rPr>
          <w:rFonts w:hint="eastAsia"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sz w:val="32"/>
          <w:szCs w:val="32"/>
        </w:rPr>
        <w:t>（如有委托时）</w:t>
      </w:r>
    </w:p>
    <w:p>
      <w:pPr>
        <w:spacing w:line="440" w:lineRule="exact"/>
        <w:contextualSpacing/>
        <w:jc w:val="left"/>
        <w:rPr>
          <w:rFonts w:hint="eastAsia" w:ascii="宋体" w:hAnsi="宋体"/>
          <w:color w:val="000000"/>
          <w:sz w:val="24"/>
        </w:rPr>
      </w:pPr>
      <w:r>
        <w:rPr>
          <w:rFonts w:hint="eastAsia" w:ascii="宋体" w:hAnsi="宋体"/>
          <w:bCs/>
          <w:color w:val="000000"/>
          <w:sz w:val="24"/>
        </w:rPr>
        <w:t>致：</w:t>
      </w:r>
      <w:r>
        <w:rPr>
          <w:rFonts w:hint="eastAsia" w:ascii="宋体" w:hAnsi="宋体"/>
          <w:color w:val="000000"/>
          <w:sz w:val="24"/>
          <w:u w:val="single"/>
        </w:rPr>
        <w:t>采购人名称</w:t>
      </w:r>
      <w:r>
        <w:rPr>
          <w:rFonts w:hint="eastAsia" w:ascii="宋体" w:hAnsi="宋体"/>
          <w:color w:val="000000"/>
          <w:sz w:val="24"/>
        </w:rPr>
        <w:t>：</w:t>
      </w:r>
    </w:p>
    <w:p>
      <w:pPr>
        <w:spacing w:line="440" w:lineRule="exact"/>
        <w:ind w:firstLine="566" w:firstLineChars="236"/>
        <w:contextualSpacing/>
        <w:rPr>
          <w:rFonts w:hint="eastAsia" w:ascii="宋体" w:hAnsi="宋体"/>
          <w:color w:val="000000"/>
          <w:sz w:val="24"/>
        </w:rPr>
      </w:pPr>
      <w:r>
        <w:rPr>
          <w:rFonts w:hint="eastAsia" w:ascii="宋体" w:hAnsi="宋体"/>
          <w:color w:val="000000"/>
          <w:sz w:val="24"/>
        </w:rPr>
        <w:t xml:space="preserve">根据 </w:t>
      </w:r>
      <w:r>
        <w:rPr>
          <w:rFonts w:hint="eastAsia" w:ascii="宋体" w:hAnsi="宋体"/>
          <w:color w:val="000000"/>
          <w:sz w:val="24"/>
          <w:u w:val="single"/>
        </w:rPr>
        <w:t xml:space="preserve"> （牵头人名称）</w:t>
      </w:r>
      <w:r>
        <w:rPr>
          <w:rFonts w:hint="eastAsia" w:ascii="宋体" w:hAnsi="宋体"/>
          <w:color w:val="000000"/>
          <w:sz w:val="24"/>
        </w:rPr>
        <w:t>与</w:t>
      </w:r>
      <w:r>
        <w:rPr>
          <w:rFonts w:hint="eastAsia" w:ascii="宋体" w:hAnsi="宋体"/>
          <w:color w:val="000000"/>
          <w:sz w:val="24"/>
          <w:u w:val="single"/>
        </w:rPr>
        <w:t>（联合体其他成员名称）</w:t>
      </w:r>
      <w:r>
        <w:rPr>
          <w:rFonts w:hint="eastAsia" w:ascii="宋体" w:hAnsi="宋体"/>
          <w:color w:val="000000"/>
          <w:sz w:val="24"/>
        </w:rPr>
        <w:t>签订的《联合体投标协议书》的内容，</w:t>
      </w:r>
      <w:r>
        <w:rPr>
          <w:rFonts w:hint="eastAsia" w:ascii="宋体" w:hAnsi="宋体"/>
          <w:color w:val="000000"/>
          <w:sz w:val="24"/>
          <w:u w:val="single"/>
        </w:rPr>
        <w:t>（牵头人名称）</w:t>
      </w:r>
      <w:r>
        <w:rPr>
          <w:rFonts w:hint="eastAsia" w:ascii="宋体" w:hAnsi="宋体"/>
          <w:color w:val="000000"/>
          <w:sz w:val="24"/>
        </w:rPr>
        <w:t>的法定代表人</w:t>
      </w:r>
      <w:r>
        <w:rPr>
          <w:rFonts w:hint="eastAsia" w:ascii="宋体" w:hAnsi="宋体"/>
          <w:color w:val="000000"/>
          <w:sz w:val="24"/>
          <w:u w:val="single"/>
        </w:rPr>
        <w:t>（姓名）</w:t>
      </w:r>
      <w:r>
        <w:rPr>
          <w:rFonts w:hint="eastAsia" w:ascii="宋体" w:hAnsi="宋体"/>
          <w:color w:val="000000"/>
          <w:sz w:val="24"/>
        </w:rPr>
        <w:t>现授权委托</w:t>
      </w:r>
      <w:r>
        <w:rPr>
          <w:rFonts w:hint="eastAsia" w:ascii="宋体" w:hAnsi="宋体"/>
          <w:color w:val="000000"/>
          <w:sz w:val="24"/>
          <w:u w:val="single"/>
        </w:rPr>
        <w:t xml:space="preserve">              （姓名）</w:t>
      </w:r>
      <w:r>
        <w:rPr>
          <w:rFonts w:hint="eastAsia" w:ascii="宋体" w:hAnsi="宋体"/>
          <w:color w:val="000000"/>
          <w:sz w:val="24"/>
        </w:rPr>
        <w:t>以我方的名义参加</w:t>
      </w:r>
      <w:r>
        <w:rPr>
          <w:rFonts w:hint="eastAsia" w:ascii="宋体" w:hAnsi="宋体"/>
          <w:color w:val="000000"/>
          <w:sz w:val="24"/>
          <w:u w:val="single"/>
        </w:rPr>
        <w:t xml:space="preserve">              </w:t>
      </w:r>
      <w:r>
        <w:rPr>
          <w:rFonts w:hint="eastAsia" w:ascii="宋体" w:hAnsi="宋体"/>
          <w:color w:val="000000"/>
          <w:sz w:val="24"/>
        </w:rPr>
        <w:t>项目的投标活动，并代表我方全权办理针对上述项目的所有采购程序和环节的具体事务和签署相关文件。</w:t>
      </w:r>
    </w:p>
    <w:p>
      <w:pPr>
        <w:spacing w:line="440" w:lineRule="exact"/>
        <w:ind w:firstLine="566" w:firstLineChars="236"/>
        <w:contextualSpacing/>
        <w:rPr>
          <w:rFonts w:hint="eastAsia" w:ascii="宋体" w:hAnsi="宋体"/>
          <w:color w:val="000000"/>
          <w:sz w:val="24"/>
        </w:rPr>
      </w:pPr>
      <w:r>
        <w:rPr>
          <w:rFonts w:hint="eastAsia" w:ascii="宋体" w:hAnsi="宋体"/>
          <w:color w:val="000000"/>
          <w:sz w:val="24"/>
        </w:rPr>
        <w:t>我方对委托代理人的签字或者电子签名事项负全部责任。</w:t>
      </w:r>
    </w:p>
    <w:p>
      <w:pPr>
        <w:spacing w:line="440" w:lineRule="exact"/>
        <w:ind w:firstLine="566" w:firstLineChars="236"/>
        <w:contextualSpacing/>
        <w:rPr>
          <w:rFonts w:hint="eastAsia" w:ascii="宋体" w:hAnsi="宋体"/>
          <w:color w:val="000000"/>
          <w:sz w:val="24"/>
        </w:rPr>
      </w:pPr>
      <w:r>
        <w:rPr>
          <w:rFonts w:hint="eastAsia" w:ascii="宋体" w:hAnsi="宋体"/>
          <w:color w:val="000000"/>
          <w:sz w:val="24"/>
        </w:rPr>
        <w:t>本授权书自签署之日起生效，在撤销授权的书面通知以前，本授权书一直有效。委托代理人在授权书有效期内签署的所有文件不因授权的撤销而失效。</w:t>
      </w:r>
    </w:p>
    <w:p>
      <w:pPr>
        <w:spacing w:line="440" w:lineRule="exact"/>
        <w:ind w:firstLine="566" w:firstLineChars="236"/>
        <w:contextualSpacing/>
        <w:rPr>
          <w:rFonts w:hint="eastAsia" w:ascii="宋体" w:hAnsi="宋体"/>
          <w:color w:val="000000"/>
          <w:sz w:val="24"/>
        </w:rPr>
      </w:pPr>
      <w:r>
        <w:rPr>
          <w:rFonts w:hint="eastAsia" w:ascii="宋体" w:hAnsi="宋体"/>
          <w:color w:val="000000"/>
          <w:sz w:val="24"/>
        </w:rPr>
        <w:t>委托代理人无转委托权，特此委托。</w:t>
      </w:r>
    </w:p>
    <w:p>
      <w:pPr>
        <w:spacing w:line="440" w:lineRule="exact"/>
        <w:ind w:firstLine="566" w:firstLineChars="236"/>
        <w:contextualSpacing/>
        <w:rPr>
          <w:rFonts w:ascii="宋体" w:hAnsi="宋体"/>
          <w:color w:val="000000"/>
          <w:sz w:val="24"/>
        </w:rPr>
      </w:pPr>
      <w:r>
        <w:rPr>
          <w:rFonts w:hint="eastAsia" w:ascii="宋体" w:hAnsi="宋体"/>
          <w:color w:val="000000"/>
          <w:sz w:val="24"/>
        </w:rPr>
        <w:t>附：牵头人法定代表人身份证明及委托代理人有效身份证正反面复印件</w:t>
      </w:r>
    </w:p>
    <w:p>
      <w:pPr>
        <w:spacing w:line="440" w:lineRule="exact"/>
        <w:ind w:firstLine="566" w:firstLineChars="236"/>
        <w:contextualSpacing/>
        <w:rPr>
          <w:rFonts w:hint="eastAsia" w:ascii="宋体" w:hAnsi="宋体"/>
          <w:color w:val="000000"/>
          <w:sz w:val="24"/>
        </w:rPr>
      </w:pPr>
    </w:p>
    <w:p>
      <w:pPr>
        <w:spacing w:line="440" w:lineRule="exact"/>
        <w:ind w:firstLine="566" w:firstLineChars="236"/>
        <w:contextualSpacing/>
        <w:rPr>
          <w:rFonts w:hint="eastAsia" w:ascii="宋体" w:hAnsi="宋体"/>
          <w:color w:val="000000"/>
          <w:sz w:val="24"/>
        </w:rPr>
      </w:pPr>
      <w:r>
        <w:rPr>
          <w:rFonts w:hint="eastAsia" w:ascii="宋体" w:hAnsi="宋体"/>
          <w:color w:val="000000"/>
          <w:sz w:val="24"/>
        </w:rPr>
        <w:t>牵头人法定代表人（签字或者盖章或者电子签名）：</w:t>
      </w:r>
    </w:p>
    <w:p>
      <w:pPr>
        <w:spacing w:line="440" w:lineRule="exact"/>
        <w:ind w:firstLine="566" w:firstLineChars="236"/>
        <w:contextualSpacing/>
        <w:rPr>
          <w:rFonts w:hint="eastAsia" w:ascii="宋体" w:hAnsi="宋体"/>
          <w:color w:val="000000"/>
          <w:sz w:val="24"/>
        </w:rPr>
      </w:pPr>
      <w:r>
        <w:rPr>
          <w:rFonts w:hint="eastAsia" w:ascii="宋体" w:hAnsi="宋体"/>
          <w:color w:val="000000"/>
          <w:sz w:val="24"/>
        </w:rPr>
        <w:t>牵头人（电子签章）：</w:t>
      </w:r>
    </w:p>
    <w:p>
      <w:pPr>
        <w:spacing w:line="440" w:lineRule="exact"/>
        <w:ind w:firstLine="566" w:firstLineChars="236"/>
        <w:contextualSpacing/>
        <w:rPr>
          <w:rFonts w:hint="eastAsia" w:ascii="宋体" w:hAnsi="宋体"/>
          <w:color w:val="000000"/>
          <w:sz w:val="24"/>
        </w:rPr>
      </w:pPr>
      <w:r>
        <w:rPr>
          <w:rFonts w:hint="eastAsia" w:ascii="宋体" w:hAnsi="宋体"/>
          <w:color w:val="000000"/>
          <w:sz w:val="24"/>
        </w:rPr>
        <w:t>日期：    年   月   日</w:t>
      </w:r>
    </w:p>
    <w:p>
      <w:pPr>
        <w:spacing w:line="440" w:lineRule="exact"/>
        <w:ind w:firstLine="566" w:firstLineChars="236"/>
        <w:contextualSpacing/>
        <w:rPr>
          <w:rFonts w:hint="eastAsia" w:ascii="宋体" w:hAnsi="宋体"/>
          <w:color w:val="000000"/>
          <w:sz w:val="24"/>
        </w:rPr>
      </w:pPr>
    </w:p>
    <w:p>
      <w:pPr>
        <w:spacing w:line="440" w:lineRule="exact"/>
        <w:ind w:firstLine="566" w:firstLineChars="236"/>
        <w:contextualSpacing/>
        <w:rPr>
          <w:rFonts w:hint="eastAsia" w:ascii="宋体" w:hAnsi="宋体"/>
          <w:color w:val="000000"/>
          <w:sz w:val="24"/>
        </w:rPr>
      </w:pPr>
      <w:r>
        <w:rPr>
          <w:rFonts w:hint="eastAsia" w:ascii="宋体" w:hAnsi="宋体"/>
          <w:color w:val="000000"/>
          <w:sz w:val="24"/>
        </w:rPr>
        <w:t>被授权人（签字/电子签名）：</w:t>
      </w:r>
    </w:p>
    <w:p>
      <w:pPr>
        <w:spacing w:line="440" w:lineRule="exact"/>
        <w:ind w:firstLine="566" w:firstLineChars="236"/>
        <w:contextualSpacing/>
        <w:rPr>
          <w:rFonts w:hint="eastAsia" w:ascii="宋体" w:hAnsi="宋体" w:cs="仿宋_GB2312"/>
          <w:color w:val="000000"/>
          <w:sz w:val="32"/>
          <w:szCs w:val="32"/>
        </w:rPr>
      </w:pPr>
      <w:r>
        <w:rPr>
          <w:rFonts w:hint="eastAsia" w:ascii="宋体" w:hAnsi="宋体"/>
          <w:color w:val="000000"/>
          <w:sz w:val="24"/>
        </w:rPr>
        <w:t>日期：    年   月   日</w:t>
      </w:r>
    </w:p>
    <w:p>
      <w:pPr>
        <w:spacing w:line="440" w:lineRule="exact"/>
        <w:contextualSpacing/>
        <w:rPr>
          <w:rFonts w:hint="eastAsia" w:ascii="宋体" w:hAnsi="宋体" w:cs="仿宋_GB2312"/>
          <w:color w:val="000000"/>
          <w:sz w:val="24"/>
        </w:rPr>
      </w:pPr>
      <w:r>
        <w:rPr>
          <w:rFonts w:hint="eastAsia" w:ascii="宋体" w:hAnsi="宋体" w:cs="仿宋_GB2312"/>
          <w:color w:val="000000"/>
          <w:sz w:val="24"/>
        </w:rPr>
        <w:t>注：1. 法定代表人必须在授权委托书上亲笔签字或者盖章</w:t>
      </w:r>
      <w:r>
        <w:rPr>
          <w:rFonts w:hint="eastAsia" w:ascii="宋体" w:hAnsi="宋体"/>
          <w:color w:val="000000"/>
          <w:sz w:val="24"/>
        </w:rPr>
        <w:t>或者电子签名</w:t>
      </w:r>
      <w:r>
        <w:rPr>
          <w:rFonts w:hint="eastAsia" w:ascii="宋体" w:hAnsi="宋体" w:cs="仿宋_GB2312"/>
          <w:color w:val="000000"/>
          <w:sz w:val="24"/>
        </w:rPr>
        <w:t>，委托代理人必须在授权委托书上亲笔签字或者电子签名，</w:t>
      </w:r>
      <w:r>
        <w:rPr>
          <w:rFonts w:hint="eastAsia" w:ascii="宋体" w:hAnsi="宋体" w:cs="仿宋_GB2312"/>
          <w:b/>
          <w:bCs/>
          <w:color w:val="000000"/>
          <w:sz w:val="24"/>
        </w:rPr>
        <w:t>否则按无效投标处理</w:t>
      </w:r>
      <w:r>
        <w:rPr>
          <w:rFonts w:hint="eastAsia" w:ascii="宋体" w:hAnsi="宋体" w:cs="仿宋_GB2312"/>
          <w:color w:val="000000"/>
          <w:sz w:val="24"/>
        </w:rPr>
        <w:t>；</w:t>
      </w:r>
    </w:p>
    <w:p>
      <w:pPr>
        <w:spacing w:line="440" w:lineRule="exact"/>
        <w:ind w:firstLine="480" w:firstLineChars="200"/>
        <w:contextualSpacing/>
        <w:jc w:val="left"/>
        <w:rPr>
          <w:rFonts w:ascii="宋体" w:hAnsi="宋体" w:cs="仿宋_GB2312"/>
          <w:color w:val="000000"/>
          <w:sz w:val="24"/>
        </w:rPr>
      </w:pPr>
      <w:r>
        <w:rPr>
          <w:rFonts w:hint="eastAsia" w:ascii="宋体" w:hAnsi="宋体" w:cs="仿宋_GB2312"/>
          <w:color w:val="000000"/>
          <w:sz w:val="24"/>
        </w:rPr>
        <w:t>2.本授权委托书应由联合体牵头人的法定代表人按上述规定</w:t>
      </w:r>
      <w:r>
        <w:rPr>
          <w:rFonts w:hint="eastAsia" w:ascii="宋体" w:hAnsi="宋体"/>
          <w:color w:val="000000"/>
          <w:sz w:val="24"/>
        </w:rPr>
        <w:t>签字或者盖章或者电子签名</w:t>
      </w:r>
      <w:r>
        <w:rPr>
          <w:rFonts w:hint="eastAsia" w:ascii="宋体" w:hAnsi="宋体" w:cs="仿宋_GB2312"/>
          <w:color w:val="000000"/>
          <w:sz w:val="24"/>
        </w:rPr>
        <w:t>。</w:t>
      </w:r>
    </w:p>
    <w:p>
      <w:pPr>
        <w:spacing w:line="440" w:lineRule="exact"/>
        <w:ind w:firstLine="480" w:firstLineChars="200"/>
        <w:contextualSpacing/>
        <w:jc w:val="left"/>
        <w:rPr>
          <w:rFonts w:hint="eastAsia" w:ascii="宋体" w:hAnsi="宋体"/>
          <w:color w:val="000000"/>
          <w:sz w:val="24"/>
        </w:rPr>
      </w:pPr>
      <w:r>
        <w:rPr>
          <w:rFonts w:hint="eastAsia" w:ascii="宋体" w:hAnsi="宋体" w:cs="仿宋_GB2312"/>
          <w:color w:val="000000"/>
          <w:sz w:val="24"/>
        </w:rPr>
        <w:t>3</w:t>
      </w:r>
      <w:r>
        <w:rPr>
          <w:rFonts w:ascii="宋体" w:hAnsi="宋体" w:cs="仿宋_GB2312"/>
          <w:color w:val="000000"/>
          <w:sz w:val="24"/>
        </w:rPr>
        <w:t>.</w:t>
      </w:r>
      <w:r>
        <w:rPr>
          <w:rFonts w:hint="eastAsia" w:ascii="宋体" w:hAnsi="宋体" w:cs="仿宋_GB2312"/>
          <w:color w:val="000000"/>
          <w:sz w:val="24"/>
        </w:rPr>
        <w:t>法人、其他组织投标时“我方”是指“我单位”，自然人投标时“我方”是指“本人”。</w:t>
      </w:r>
    </w:p>
    <w:p>
      <w:pPr>
        <w:snapToGrid w:val="0"/>
        <w:spacing w:before="50" w:after="120" w:afterLines="50"/>
        <w:ind w:firstLine="480" w:firstLineChars="200"/>
        <w:jc w:val="left"/>
        <w:rPr>
          <w:rFonts w:hint="eastAsia" w:ascii="宋体" w:hAnsi="宋体"/>
          <w:color w:val="000000"/>
          <w:sz w:val="24"/>
        </w:rPr>
        <w:sectPr>
          <w:footerReference r:id="rId7" w:type="first"/>
          <w:headerReference r:id="rId4" w:type="default"/>
          <w:footerReference r:id="rId5" w:type="default"/>
          <w:footerReference r:id="rId6" w:type="even"/>
          <w:pgSz w:w="11906" w:h="16838"/>
          <w:pgMar w:top="1440" w:right="1440" w:bottom="1440" w:left="1440" w:header="851" w:footer="992" w:gutter="0"/>
          <w:cols w:space="0" w:num="1"/>
          <w:titlePg/>
          <w:rtlGutter w:val="0"/>
          <w:docGrid w:linePitch="312" w:charSpace="0"/>
        </w:sectPr>
      </w:pPr>
    </w:p>
    <w:p>
      <w:pPr>
        <w:rPr>
          <w:rFonts w:hint="eastAsia" w:ascii="宋体" w:hAnsi="宋体"/>
          <w:color w:val="000000"/>
          <w:sz w:val="24"/>
        </w:rPr>
      </w:pPr>
    </w:p>
    <w:p>
      <w:pPr>
        <w:rPr>
          <w:rFonts w:hint="eastAsia" w:ascii="宋体" w:hAnsi="宋体"/>
          <w:b/>
          <w:color w:val="000000"/>
          <w:sz w:val="24"/>
          <w:szCs w:val="20"/>
        </w:rPr>
      </w:pPr>
      <w:r>
        <w:rPr>
          <w:rFonts w:hint="eastAsia" w:ascii="宋体" w:hAnsi="宋体"/>
          <w:b/>
          <w:color w:val="000000"/>
          <w:sz w:val="24"/>
        </w:rPr>
        <w:t>6.商务要求偏离表格式（注：按项目需求表具体项目修改）</w:t>
      </w:r>
    </w:p>
    <w:p>
      <w:pPr>
        <w:snapToGrid w:val="0"/>
        <w:spacing w:before="50"/>
        <w:jc w:val="left"/>
        <w:rPr>
          <w:rFonts w:hint="eastAsia" w:ascii="宋体" w:hAnsi="宋体"/>
          <w:color w:val="000000"/>
          <w:sz w:val="24"/>
        </w:rPr>
      </w:pPr>
    </w:p>
    <w:p>
      <w:pPr>
        <w:pStyle w:val="15"/>
        <w:rPr>
          <w:rFonts w:hint="eastAsia" w:hAnsi="宋体"/>
          <w:color w:val="000000"/>
          <w:sz w:val="24"/>
          <w:szCs w:val="24"/>
        </w:rPr>
      </w:pPr>
      <w:r>
        <w:rPr>
          <w:rFonts w:hint="eastAsia" w:hAnsi="宋体"/>
          <w:color w:val="000000"/>
          <w:sz w:val="24"/>
          <w:szCs w:val="24"/>
        </w:rPr>
        <w:t>所投分标：</w:t>
      </w:r>
      <w:r>
        <w:rPr>
          <w:rFonts w:hint="eastAsia" w:hAnsi="宋体"/>
          <w:color w:val="000000"/>
          <w:sz w:val="24"/>
          <w:szCs w:val="24"/>
          <w:u w:val="single"/>
        </w:rPr>
        <w:t xml:space="preserve">     </w:t>
      </w:r>
      <w:r>
        <w:rPr>
          <w:rFonts w:hint="eastAsia" w:hAnsi="宋体"/>
          <w:color w:val="000000"/>
          <w:sz w:val="24"/>
          <w:szCs w:val="24"/>
        </w:rPr>
        <w:t>分标</w:t>
      </w:r>
    </w:p>
    <w:p>
      <w:pPr>
        <w:snapToGrid w:val="0"/>
        <w:spacing w:before="50"/>
        <w:jc w:val="left"/>
        <w:rPr>
          <w:rFonts w:hint="eastAsia" w:ascii="宋体" w:hAnsi="宋体"/>
          <w:color w:val="000000"/>
          <w:sz w:val="24"/>
          <w:u w:val="single"/>
        </w:rPr>
      </w:pPr>
    </w:p>
    <w:tbl>
      <w:tblPr>
        <w:tblStyle w:val="24"/>
        <w:tblW w:w="8641" w:type="dxa"/>
        <w:tblInd w:w="-1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488"/>
        <w:gridCol w:w="2126"/>
        <w:gridCol w:w="1701"/>
        <w:gridCol w:w="13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3488"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jc w:val="center"/>
              <w:rPr>
                <w:rFonts w:hint="eastAsia" w:ascii="宋体" w:hAnsi="宋体"/>
                <w:color w:val="000000"/>
                <w:sz w:val="24"/>
              </w:rPr>
            </w:pPr>
            <w:r>
              <w:rPr>
                <w:rFonts w:hint="eastAsia" w:ascii="宋体" w:hAnsi="宋体"/>
                <w:color w:val="000000"/>
                <w:sz w:val="24"/>
              </w:rPr>
              <w:t>项目</w:t>
            </w:r>
          </w:p>
        </w:tc>
        <w:tc>
          <w:tcPr>
            <w:tcW w:w="2126"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jc w:val="center"/>
              <w:rPr>
                <w:rFonts w:hint="eastAsia" w:ascii="宋体" w:hAnsi="宋体"/>
                <w:color w:val="000000"/>
                <w:sz w:val="24"/>
              </w:rPr>
            </w:pPr>
            <w:r>
              <w:rPr>
                <w:rFonts w:hint="eastAsia" w:ascii="宋体" w:hAnsi="宋体"/>
                <w:color w:val="000000"/>
                <w:sz w:val="24"/>
              </w:rPr>
              <w:t>招标文件商务要求</w:t>
            </w:r>
          </w:p>
        </w:tc>
        <w:tc>
          <w:tcPr>
            <w:tcW w:w="1701"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jc w:val="center"/>
              <w:rPr>
                <w:rFonts w:hint="eastAsia" w:ascii="宋体" w:hAnsi="宋体"/>
                <w:color w:val="000000"/>
                <w:sz w:val="24"/>
              </w:rPr>
            </w:pPr>
            <w:r>
              <w:rPr>
                <w:rFonts w:hint="eastAsia" w:ascii="宋体" w:hAnsi="宋体"/>
                <w:color w:val="000000"/>
                <w:sz w:val="24"/>
              </w:rPr>
              <w:t>投标人的承诺</w:t>
            </w:r>
          </w:p>
        </w:tc>
        <w:tc>
          <w:tcPr>
            <w:tcW w:w="1326"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jc w:val="center"/>
              <w:rPr>
                <w:rFonts w:hint="eastAsia" w:ascii="宋体" w:hAnsi="宋体"/>
                <w:color w:val="000000"/>
                <w:sz w:val="24"/>
              </w:rPr>
            </w:pPr>
            <w:r>
              <w:rPr>
                <w:rFonts w:hint="eastAsia" w:ascii="宋体" w:hAnsi="宋体"/>
                <w:color w:val="000000"/>
                <w:sz w:val="24"/>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9" w:hRule="atLeast"/>
        </w:trPr>
        <w:tc>
          <w:tcPr>
            <w:tcW w:w="348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szCs w:val="21"/>
              </w:rPr>
            </w:pPr>
          </w:p>
        </w:tc>
        <w:tc>
          <w:tcPr>
            <w:tcW w:w="2126"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jc w:val="center"/>
              <w:rPr>
                <w:rFonts w:hint="eastAsia"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jc w:val="center"/>
              <w:rPr>
                <w:rFonts w:hint="eastAsia" w:ascii="宋体" w:hAnsi="宋体"/>
                <w:color w:val="000000"/>
                <w:sz w:val="24"/>
              </w:rPr>
            </w:pPr>
          </w:p>
        </w:tc>
        <w:tc>
          <w:tcPr>
            <w:tcW w:w="1326"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8" w:hRule="atLeast"/>
        </w:trPr>
        <w:tc>
          <w:tcPr>
            <w:tcW w:w="34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Cs w:val="21"/>
              </w:rPr>
            </w:pPr>
          </w:p>
        </w:tc>
        <w:tc>
          <w:tcPr>
            <w:tcW w:w="2126"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rPr>
                <w:rFonts w:hint="eastAsia" w:ascii="宋体" w:hAnsi="宋体"/>
                <w:color w:val="000000"/>
                <w:sz w:val="24"/>
                <w:u w:val="single"/>
              </w:rPr>
            </w:pPr>
          </w:p>
        </w:tc>
        <w:tc>
          <w:tcPr>
            <w:tcW w:w="1701"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ind w:left="43"/>
              <w:jc w:val="center"/>
              <w:rPr>
                <w:rFonts w:hint="eastAsia" w:ascii="宋体" w:hAnsi="宋体"/>
                <w:color w:val="000000"/>
                <w:sz w:val="24"/>
              </w:rPr>
            </w:pPr>
          </w:p>
        </w:tc>
        <w:tc>
          <w:tcPr>
            <w:tcW w:w="1326"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ind w:left="43"/>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8" w:hRule="atLeast"/>
        </w:trPr>
        <w:tc>
          <w:tcPr>
            <w:tcW w:w="348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szCs w:val="21"/>
              </w:rPr>
            </w:pPr>
          </w:p>
        </w:tc>
        <w:tc>
          <w:tcPr>
            <w:tcW w:w="2126"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rPr>
                <w:rFonts w:hint="eastAsia" w:ascii="宋体" w:hAnsi="宋体"/>
                <w:color w:val="000000"/>
                <w:sz w:val="24"/>
                <w:u w:val="single"/>
              </w:rPr>
            </w:pPr>
          </w:p>
        </w:tc>
        <w:tc>
          <w:tcPr>
            <w:tcW w:w="1701"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ind w:left="43"/>
              <w:jc w:val="center"/>
              <w:rPr>
                <w:rFonts w:hint="eastAsia" w:ascii="宋体" w:hAnsi="宋体"/>
                <w:color w:val="000000"/>
                <w:sz w:val="24"/>
              </w:rPr>
            </w:pPr>
          </w:p>
        </w:tc>
        <w:tc>
          <w:tcPr>
            <w:tcW w:w="1326"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ind w:left="43"/>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8" w:hRule="atLeast"/>
        </w:trPr>
        <w:tc>
          <w:tcPr>
            <w:tcW w:w="348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szCs w:val="21"/>
              </w:rPr>
            </w:pPr>
          </w:p>
        </w:tc>
        <w:tc>
          <w:tcPr>
            <w:tcW w:w="2126"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rPr>
                <w:rFonts w:hint="eastAsia" w:ascii="宋体" w:hAnsi="宋体"/>
                <w:color w:val="000000"/>
                <w:sz w:val="24"/>
                <w:u w:val="single"/>
              </w:rPr>
            </w:pPr>
          </w:p>
        </w:tc>
        <w:tc>
          <w:tcPr>
            <w:tcW w:w="1701"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ind w:left="43"/>
              <w:jc w:val="center"/>
              <w:rPr>
                <w:rFonts w:hint="eastAsia" w:ascii="宋体" w:hAnsi="宋体"/>
                <w:color w:val="000000"/>
                <w:sz w:val="24"/>
              </w:rPr>
            </w:pPr>
          </w:p>
        </w:tc>
        <w:tc>
          <w:tcPr>
            <w:tcW w:w="1326"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ind w:left="43"/>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48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szCs w:val="21"/>
              </w:rPr>
            </w:pPr>
          </w:p>
        </w:tc>
        <w:tc>
          <w:tcPr>
            <w:tcW w:w="2126"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jc w:val="center"/>
              <w:rPr>
                <w:rFonts w:hint="eastAsia"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jc w:val="center"/>
              <w:rPr>
                <w:rFonts w:hint="eastAsia" w:ascii="宋体" w:hAnsi="宋体"/>
                <w:color w:val="000000"/>
                <w:sz w:val="24"/>
              </w:rPr>
            </w:pPr>
          </w:p>
        </w:tc>
        <w:tc>
          <w:tcPr>
            <w:tcW w:w="1326" w:type="dxa"/>
            <w:tcBorders>
              <w:top w:val="single" w:color="auto" w:sz="4" w:space="0"/>
              <w:left w:val="single" w:color="auto" w:sz="4" w:space="0"/>
              <w:bottom w:val="single" w:color="auto" w:sz="4" w:space="0"/>
              <w:right w:val="single" w:color="auto" w:sz="4" w:space="0"/>
            </w:tcBorders>
            <w:vAlign w:val="top"/>
          </w:tcPr>
          <w:p>
            <w:pPr>
              <w:snapToGrid w:val="0"/>
              <w:spacing w:before="120" w:beforeLines="50"/>
              <w:jc w:val="center"/>
              <w:rPr>
                <w:rFonts w:hint="eastAsia" w:ascii="宋体" w:hAnsi="宋体"/>
                <w:color w:val="000000"/>
                <w:sz w:val="24"/>
              </w:rPr>
            </w:pPr>
          </w:p>
        </w:tc>
      </w:tr>
    </w:tbl>
    <w:p>
      <w:pPr>
        <w:pStyle w:val="14"/>
        <w:rPr>
          <w:rFonts w:hint="eastAsia" w:ascii="宋体" w:hAnsi="宋体"/>
          <w:color w:val="000000"/>
        </w:rPr>
      </w:pPr>
      <w:r>
        <w:rPr>
          <w:rFonts w:hint="eastAsia" w:ascii="宋体" w:hAnsi="宋体"/>
          <w:color w:val="000000"/>
        </w:rPr>
        <w:t>注：</w:t>
      </w:r>
    </w:p>
    <w:p>
      <w:pPr>
        <w:pStyle w:val="4"/>
        <w:spacing w:line="520" w:lineRule="exact"/>
        <w:ind w:firstLine="0" w:firstLineChars="0"/>
        <w:rPr>
          <w:rFonts w:hint="eastAsia" w:hAnsi="仿宋_GB2312" w:cs="仿宋_GB2312"/>
          <w:color w:val="000000"/>
          <w:szCs w:val="32"/>
        </w:rPr>
      </w:pPr>
      <w:r>
        <w:rPr>
          <w:rFonts w:hint="eastAsia" w:ascii="宋体" w:hAnsi="宋体" w:eastAsia="宋体"/>
          <w:color w:val="000000"/>
          <w:sz w:val="24"/>
          <w:szCs w:val="24"/>
        </w:rPr>
        <w:t>1.</w:t>
      </w:r>
      <w:r>
        <w:rPr>
          <w:rFonts w:hint="eastAsia"/>
          <w:color w:val="000000"/>
        </w:rPr>
        <w:t xml:space="preserve"> </w:t>
      </w:r>
      <w:r>
        <w:rPr>
          <w:rFonts w:hint="eastAsia" w:ascii="宋体" w:hAnsi="宋体" w:eastAsia="宋体"/>
          <w:color w:val="000000"/>
          <w:sz w:val="24"/>
          <w:szCs w:val="24"/>
        </w:rPr>
        <w:t>说明：应对照招标文件“第二章 采购需求”中的商务要求逐条作明确的投标响应，并作出偏离说明。</w:t>
      </w:r>
    </w:p>
    <w:p>
      <w:pPr>
        <w:pStyle w:val="14"/>
        <w:rPr>
          <w:rFonts w:ascii="宋体" w:hAnsi="宋体"/>
          <w:b w:val="0"/>
          <w:bCs w:val="0"/>
          <w:color w:val="000000"/>
        </w:rPr>
      </w:pPr>
      <w:r>
        <w:rPr>
          <w:rFonts w:ascii="宋体" w:hAnsi="宋体"/>
          <w:b w:val="0"/>
          <w:bCs w:val="0"/>
          <w:color w:val="000000"/>
        </w:rPr>
        <w:t>2.</w:t>
      </w:r>
      <w:r>
        <w:rPr>
          <w:rFonts w:hint="eastAsia" w:ascii="宋体" w:hAnsi="宋体"/>
          <w:b w:val="0"/>
          <w:bCs w:val="0"/>
          <w:color w:val="000000"/>
        </w:rPr>
        <w:t>投标人应根据自身的承诺，对照招标文件要求在“偏离说明”中注明“</w:t>
      </w:r>
      <w:r>
        <w:rPr>
          <w:rFonts w:hint="eastAsia" w:ascii="宋体" w:hAnsi="宋体"/>
          <w:color w:val="000000"/>
        </w:rPr>
        <w:t>正偏离</w:t>
      </w:r>
      <w:r>
        <w:rPr>
          <w:rFonts w:hint="eastAsia" w:ascii="宋体" w:hAnsi="宋体"/>
          <w:b w:val="0"/>
          <w:bCs w:val="0"/>
          <w:color w:val="000000"/>
        </w:rPr>
        <w:t>”、“</w:t>
      </w:r>
      <w:r>
        <w:rPr>
          <w:rFonts w:hint="eastAsia" w:ascii="宋体" w:hAnsi="宋体"/>
          <w:color w:val="000000"/>
        </w:rPr>
        <w:t>负偏离</w:t>
      </w:r>
      <w:r>
        <w:rPr>
          <w:rFonts w:hint="eastAsia" w:ascii="宋体" w:hAnsi="宋体"/>
          <w:b w:val="0"/>
          <w:bCs w:val="0"/>
          <w:color w:val="000000"/>
        </w:rPr>
        <w:t>”或者“</w:t>
      </w:r>
      <w:r>
        <w:rPr>
          <w:rFonts w:hint="eastAsia" w:ascii="宋体" w:hAnsi="宋体"/>
          <w:color w:val="000000"/>
        </w:rPr>
        <w:t>无偏离</w:t>
      </w:r>
      <w:r>
        <w:rPr>
          <w:rFonts w:hint="eastAsia" w:ascii="宋体" w:hAnsi="宋体"/>
          <w:b w:val="0"/>
          <w:bCs w:val="0"/>
          <w:color w:val="000000"/>
        </w:rPr>
        <w:t>”。既不属于“</w:t>
      </w:r>
      <w:r>
        <w:rPr>
          <w:rFonts w:hint="eastAsia" w:ascii="宋体" w:hAnsi="宋体"/>
          <w:color w:val="000000"/>
        </w:rPr>
        <w:t>正偏离</w:t>
      </w:r>
      <w:r>
        <w:rPr>
          <w:rFonts w:hint="eastAsia" w:ascii="宋体" w:hAnsi="宋体"/>
          <w:b w:val="0"/>
          <w:bCs w:val="0"/>
          <w:color w:val="000000"/>
        </w:rPr>
        <w:t>”也不属于“</w:t>
      </w:r>
      <w:r>
        <w:rPr>
          <w:rFonts w:hint="eastAsia" w:ascii="宋体" w:hAnsi="宋体"/>
          <w:color w:val="000000"/>
        </w:rPr>
        <w:t>负偏离</w:t>
      </w:r>
      <w:r>
        <w:rPr>
          <w:rFonts w:hint="eastAsia" w:ascii="宋体" w:hAnsi="宋体"/>
          <w:b w:val="0"/>
          <w:bCs w:val="0"/>
          <w:color w:val="000000"/>
        </w:rPr>
        <w:t>”即为“</w:t>
      </w:r>
      <w:r>
        <w:rPr>
          <w:rFonts w:hint="eastAsia" w:ascii="宋体" w:hAnsi="宋体"/>
          <w:color w:val="000000"/>
        </w:rPr>
        <w:t>无偏离</w:t>
      </w:r>
      <w:r>
        <w:rPr>
          <w:rFonts w:hint="eastAsia" w:ascii="宋体" w:hAnsi="宋体"/>
          <w:b w:val="0"/>
          <w:bCs w:val="0"/>
          <w:color w:val="000000"/>
        </w:rPr>
        <w:t>”。</w:t>
      </w:r>
    </w:p>
    <w:p>
      <w:pPr>
        <w:snapToGrid w:val="0"/>
        <w:spacing w:before="50" w:after="50"/>
        <w:rPr>
          <w:rFonts w:ascii="宋体" w:hAnsi="宋体"/>
          <w:color w:val="000000"/>
          <w:sz w:val="24"/>
        </w:rPr>
      </w:pPr>
    </w:p>
    <w:p>
      <w:pPr>
        <w:snapToGrid w:val="0"/>
        <w:spacing w:before="50" w:after="50"/>
        <w:rPr>
          <w:rFonts w:hint="eastAsia" w:ascii="宋体" w:hAnsi="宋体"/>
          <w:color w:val="000000"/>
          <w:spacing w:val="20"/>
          <w:sz w:val="24"/>
          <w:u w:val="single"/>
        </w:rPr>
      </w:pPr>
      <w:r>
        <w:rPr>
          <w:rFonts w:hint="eastAsia" w:ascii="宋体" w:hAnsi="宋体"/>
          <w:color w:val="000000"/>
          <w:sz w:val="24"/>
        </w:rPr>
        <w:t>法定代表人或者委托代理人</w:t>
      </w:r>
      <w:r>
        <w:rPr>
          <w:rFonts w:hint="eastAsia" w:ascii="宋体" w:hAnsi="宋体"/>
          <w:color w:val="000000"/>
          <w:spacing w:val="20"/>
          <w:sz w:val="24"/>
        </w:rPr>
        <w:t>（签字/电子签名）：</w:t>
      </w:r>
      <w:r>
        <w:rPr>
          <w:rFonts w:hint="eastAsia" w:ascii="宋体" w:hAnsi="宋体"/>
          <w:color w:val="000000"/>
          <w:spacing w:val="20"/>
          <w:sz w:val="24"/>
          <w:u w:val="single"/>
        </w:rPr>
        <w:t xml:space="preserve">        </w:t>
      </w:r>
    </w:p>
    <w:p>
      <w:pPr>
        <w:snapToGrid w:val="0"/>
        <w:spacing w:before="120" w:beforeLines="50"/>
        <w:rPr>
          <w:rFonts w:hint="eastAsia" w:ascii="宋体" w:hAnsi="宋体"/>
          <w:color w:val="000000"/>
          <w:spacing w:val="20"/>
          <w:sz w:val="24"/>
        </w:rPr>
      </w:pPr>
      <w:r>
        <w:rPr>
          <w:rFonts w:hint="eastAsia" w:ascii="宋体" w:hAnsi="宋体"/>
          <w:color w:val="000000"/>
          <w:spacing w:val="20"/>
          <w:sz w:val="24"/>
        </w:rPr>
        <w:t>投标人名称（电子签章）：</w:t>
      </w:r>
      <w:r>
        <w:rPr>
          <w:rFonts w:hint="eastAsia" w:ascii="宋体" w:hAnsi="宋体"/>
          <w:color w:val="000000"/>
          <w:spacing w:val="20"/>
          <w:sz w:val="24"/>
          <w:u w:val="single"/>
        </w:rPr>
        <w:t xml:space="preserve">            </w:t>
      </w:r>
      <w:r>
        <w:rPr>
          <w:rFonts w:hint="eastAsia" w:ascii="宋体" w:hAnsi="宋体"/>
          <w:color w:val="000000"/>
          <w:spacing w:val="20"/>
          <w:sz w:val="24"/>
        </w:rPr>
        <w:t xml:space="preserve">   </w:t>
      </w:r>
    </w:p>
    <w:p>
      <w:pPr>
        <w:snapToGrid w:val="0"/>
        <w:spacing w:before="120" w:beforeLines="50"/>
        <w:rPr>
          <w:rFonts w:hint="eastAsia" w:ascii="宋体" w:hAnsi="宋体"/>
          <w:color w:val="000000"/>
          <w:sz w:val="24"/>
          <w:szCs w:val="20"/>
        </w:rPr>
      </w:pPr>
      <w:r>
        <w:rPr>
          <w:rFonts w:hint="eastAsia" w:ascii="宋体" w:hAnsi="宋体"/>
          <w:color w:val="000000"/>
          <w:spacing w:val="20"/>
          <w:sz w:val="24"/>
        </w:rPr>
        <w:t>日  期：</w:t>
      </w:r>
      <w:r>
        <w:rPr>
          <w:rFonts w:hint="eastAsia" w:ascii="宋体" w:hAnsi="宋体"/>
          <w:color w:val="000000"/>
          <w:spacing w:val="20"/>
          <w:sz w:val="24"/>
          <w:u w:val="single"/>
        </w:rPr>
        <w:t xml:space="preserve">         </w:t>
      </w:r>
    </w:p>
    <w:p>
      <w:pPr>
        <w:snapToGrid w:val="0"/>
        <w:spacing w:before="120" w:beforeLines="50"/>
        <w:rPr>
          <w:rFonts w:hint="eastAsia" w:ascii="宋体" w:hAnsi="宋体"/>
          <w:color w:val="000000"/>
          <w:sz w:val="24"/>
          <w:szCs w:val="20"/>
        </w:rPr>
      </w:pPr>
    </w:p>
    <w:p>
      <w:pPr>
        <w:snapToGrid w:val="0"/>
        <w:spacing w:before="120" w:beforeLines="50" w:after="50"/>
        <w:jc w:val="left"/>
        <w:rPr>
          <w:rFonts w:ascii="宋体" w:hAnsi="宋体"/>
          <w:color w:val="000000"/>
          <w:sz w:val="24"/>
          <w:szCs w:val="20"/>
        </w:rPr>
      </w:pPr>
    </w:p>
    <w:p>
      <w:pPr>
        <w:snapToGrid w:val="0"/>
        <w:spacing w:before="120" w:beforeLines="50" w:after="50"/>
        <w:jc w:val="left"/>
        <w:rPr>
          <w:rFonts w:hint="eastAsia" w:ascii="宋体" w:hAnsi="宋体"/>
          <w:b/>
          <w:color w:val="000000"/>
          <w:sz w:val="24"/>
        </w:rPr>
      </w:pPr>
      <w:r>
        <w:rPr>
          <w:rFonts w:ascii="宋体" w:hAnsi="宋体"/>
          <w:color w:val="000000"/>
          <w:sz w:val="24"/>
          <w:szCs w:val="20"/>
        </w:rPr>
        <w:br w:type="page"/>
      </w:r>
      <w:r>
        <w:rPr>
          <w:rFonts w:hint="eastAsia" w:ascii="宋体" w:hAnsi="宋体"/>
          <w:b/>
          <w:color w:val="000000"/>
          <w:sz w:val="24"/>
        </w:rPr>
        <w:t>7.投标人业绩证明材料</w:t>
      </w:r>
    </w:p>
    <w:p>
      <w:pPr>
        <w:pStyle w:val="19"/>
        <w:snapToGrid w:val="0"/>
        <w:ind w:left="480" w:hanging="480"/>
        <w:rPr>
          <w:rFonts w:hint="eastAsia" w:ascii="宋体" w:hAnsi="宋体"/>
          <w:color w:val="000000"/>
          <w:sz w:val="24"/>
        </w:rPr>
      </w:pPr>
    </w:p>
    <w:p>
      <w:pPr>
        <w:pStyle w:val="19"/>
        <w:snapToGrid w:val="0"/>
        <w:ind w:left="480" w:hanging="480"/>
        <w:rPr>
          <w:rFonts w:hint="eastAsia" w:ascii="宋体" w:hAnsi="宋体"/>
          <w:color w:val="000000"/>
          <w:sz w:val="24"/>
        </w:rPr>
      </w:pPr>
      <w:r>
        <w:rPr>
          <w:rFonts w:hint="eastAsia" w:ascii="宋体" w:hAnsi="宋体"/>
          <w:color w:val="000000"/>
          <w:sz w:val="24"/>
        </w:rPr>
        <w:t xml:space="preserve">投标人业绩情况一览表格式： </w:t>
      </w:r>
    </w:p>
    <w:tbl>
      <w:tblPr>
        <w:tblStyle w:val="24"/>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33"/>
        <w:gridCol w:w="1770"/>
        <w:gridCol w:w="1770"/>
        <w:gridCol w:w="28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7" w:hRule="atLeast"/>
        </w:trPr>
        <w:tc>
          <w:tcPr>
            <w:tcW w:w="213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color w:val="000000"/>
                <w:sz w:val="24"/>
              </w:rPr>
            </w:pPr>
            <w:r>
              <w:rPr>
                <w:rFonts w:hint="eastAsia" w:ascii="宋体" w:hAnsi="宋体"/>
                <w:color w:val="000000"/>
                <w:sz w:val="24"/>
              </w:rPr>
              <w:t>采购人名称</w:t>
            </w:r>
          </w:p>
        </w:tc>
        <w:tc>
          <w:tcPr>
            <w:tcW w:w="177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color w:val="000000"/>
                <w:sz w:val="24"/>
              </w:rPr>
            </w:pPr>
            <w:r>
              <w:rPr>
                <w:rFonts w:hint="eastAsia" w:ascii="宋体" w:hAnsi="宋体"/>
                <w:color w:val="000000"/>
                <w:sz w:val="24"/>
              </w:rPr>
              <w:t>项目名称</w:t>
            </w:r>
          </w:p>
        </w:tc>
        <w:tc>
          <w:tcPr>
            <w:tcW w:w="177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color w:val="000000"/>
                <w:sz w:val="24"/>
              </w:rPr>
            </w:pPr>
            <w:r>
              <w:rPr>
                <w:rFonts w:hint="eastAsia" w:ascii="宋体" w:hAnsi="宋体"/>
                <w:color w:val="000000"/>
                <w:sz w:val="24"/>
              </w:rPr>
              <w:t>合同金额</w:t>
            </w:r>
          </w:p>
          <w:p>
            <w:pPr>
              <w:snapToGrid w:val="0"/>
              <w:spacing w:line="240" w:lineRule="exact"/>
              <w:jc w:val="center"/>
              <w:rPr>
                <w:rFonts w:hint="eastAsia" w:ascii="宋体" w:hAnsi="宋体"/>
                <w:color w:val="000000"/>
                <w:sz w:val="24"/>
              </w:rPr>
            </w:pPr>
            <w:r>
              <w:rPr>
                <w:rFonts w:hint="eastAsia" w:ascii="宋体" w:hAnsi="宋体"/>
                <w:color w:val="000000"/>
                <w:sz w:val="24"/>
              </w:rPr>
              <w:t>（万元）</w:t>
            </w:r>
          </w:p>
        </w:tc>
        <w:tc>
          <w:tcPr>
            <w:tcW w:w="285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color w:val="000000"/>
                <w:sz w:val="24"/>
              </w:rPr>
            </w:pPr>
            <w:r>
              <w:rPr>
                <w:rFonts w:hint="eastAsia" w:ascii="宋体" w:hAnsi="宋体"/>
                <w:color w:val="000000"/>
                <w:sz w:val="24"/>
              </w:rPr>
              <w:t>采购人联系人及</w:t>
            </w:r>
          </w:p>
          <w:p>
            <w:pPr>
              <w:snapToGrid w:val="0"/>
              <w:spacing w:line="240" w:lineRule="exact"/>
              <w:jc w:val="center"/>
              <w:rPr>
                <w:rFonts w:hint="eastAsia" w:ascii="宋体" w:hAnsi="宋体"/>
                <w:color w:val="000000"/>
                <w:sz w:val="24"/>
              </w:rPr>
            </w:pPr>
            <w:r>
              <w:rPr>
                <w:rFonts w:hint="eastAsia" w:ascii="宋体" w:hAnsi="宋体"/>
                <w:color w:val="000000"/>
                <w:sz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36" w:hRule="atLeast"/>
        </w:trPr>
        <w:tc>
          <w:tcPr>
            <w:tcW w:w="213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olor w:val="000000"/>
                <w:sz w:val="24"/>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olor w:val="000000"/>
                <w:sz w:val="24"/>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olor w:val="000000"/>
                <w:sz w:val="24"/>
              </w:rPr>
            </w:pPr>
          </w:p>
        </w:tc>
        <w:tc>
          <w:tcPr>
            <w:tcW w:w="285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9" w:hRule="atLeast"/>
        </w:trPr>
        <w:tc>
          <w:tcPr>
            <w:tcW w:w="2133" w:type="dxa"/>
            <w:tcBorders>
              <w:top w:val="single" w:color="auto" w:sz="4" w:space="0"/>
              <w:left w:val="single" w:color="auto" w:sz="4" w:space="0"/>
              <w:bottom w:val="single" w:color="auto" w:sz="4" w:space="0"/>
              <w:right w:val="single" w:color="auto" w:sz="4" w:space="0"/>
            </w:tcBorders>
            <w:vAlign w:val="top"/>
          </w:tcPr>
          <w:p>
            <w:pPr>
              <w:snapToGrid w:val="0"/>
              <w:spacing w:line="240" w:lineRule="exact"/>
              <w:jc w:val="left"/>
              <w:rPr>
                <w:rFonts w:hint="eastAsia" w:ascii="宋体" w:hAnsi="宋体"/>
                <w:color w:val="000000"/>
                <w:sz w:val="24"/>
              </w:rPr>
            </w:pPr>
          </w:p>
        </w:tc>
        <w:tc>
          <w:tcPr>
            <w:tcW w:w="1770" w:type="dxa"/>
            <w:tcBorders>
              <w:top w:val="single" w:color="auto" w:sz="4" w:space="0"/>
              <w:left w:val="single" w:color="auto" w:sz="4" w:space="0"/>
              <w:bottom w:val="single" w:color="auto" w:sz="4" w:space="0"/>
              <w:right w:val="single" w:color="auto" w:sz="4" w:space="0"/>
            </w:tcBorders>
            <w:vAlign w:val="top"/>
          </w:tcPr>
          <w:p>
            <w:pPr>
              <w:snapToGrid w:val="0"/>
              <w:spacing w:line="240" w:lineRule="exact"/>
              <w:jc w:val="left"/>
              <w:rPr>
                <w:rFonts w:hint="eastAsia" w:ascii="宋体" w:hAnsi="宋体"/>
                <w:color w:val="000000"/>
                <w:sz w:val="24"/>
              </w:rPr>
            </w:pPr>
          </w:p>
        </w:tc>
        <w:tc>
          <w:tcPr>
            <w:tcW w:w="1770" w:type="dxa"/>
            <w:tcBorders>
              <w:top w:val="single" w:color="auto" w:sz="4" w:space="0"/>
              <w:left w:val="single" w:color="auto" w:sz="4" w:space="0"/>
              <w:bottom w:val="single" w:color="auto" w:sz="4" w:space="0"/>
              <w:right w:val="single" w:color="auto" w:sz="4" w:space="0"/>
            </w:tcBorders>
            <w:vAlign w:val="top"/>
          </w:tcPr>
          <w:p>
            <w:pPr>
              <w:snapToGrid w:val="0"/>
              <w:spacing w:line="240" w:lineRule="exact"/>
              <w:jc w:val="left"/>
              <w:rPr>
                <w:rFonts w:hint="eastAsia" w:ascii="宋体" w:hAnsi="宋体"/>
                <w:color w:val="000000"/>
                <w:sz w:val="24"/>
              </w:rPr>
            </w:pPr>
          </w:p>
        </w:tc>
        <w:tc>
          <w:tcPr>
            <w:tcW w:w="2855" w:type="dxa"/>
            <w:tcBorders>
              <w:top w:val="single" w:color="auto" w:sz="4" w:space="0"/>
              <w:left w:val="single" w:color="auto" w:sz="4" w:space="0"/>
              <w:bottom w:val="single" w:color="auto" w:sz="4" w:space="0"/>
              <w:right w:val="single" w:color="auto" w:sz="4" w:space="0"/>
            </w:tcBorders>
            <w:vAlign w:val="top"/>
          </w:tcPr>
          <w:p>
            <w:pPr>
              <w:snapToGrid w:val="0"/>
              <w:spacing w:line="240" w:lineRule="exact"/>
              <w:jc w:val="left"/>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133" w:type="dxa"/>
            <w:tcBorders>
              <w:top w:val="single" w:color="auto" w:sz="4" w:space="0"/>
              <w:left w:val="single" w:color="auto" w:sz="4" w:space="0"/>
              <w:bottom w:val="single" w:color="auto" w:sz="4" w:space="0"/>
              <w:right w:val="single" w:color="auto" w:sz="4" w:space="0"/>
            </w:tcBorders>
            <w:vAlign w:val="top"/>
          </w:tcPr>
          <w:p>
            <w:pPr>
              <w:snapToGrid w:val="0"/>
              <w:spacing w:before="50" w:after="120" w:afterLines="50" w:line="400" w:lineRule="exact"/>
              <w:jc w:val="left"/>
              <w:rPr>
                <w:rFonts w:hint="eastAsia" w:ascii="宋体" w:hAnsi="宋体"/>
                <w:color w:val="000000"/>
                <w:sz w:val="24"/>
              </w:rPr>
            </w:pPr>
          </w:p>
        </w:tc>
        <w:tc>
          <w:tcPr>
            <w:tcW w:w="1770" w:type="dxa"/>
            <w:tcBorders>
              <w:top w:val="single" w:color="auto" w:sz="4" w:space="0"/>
              <w:left w:val="single" w:color="auto" w:sz="4" w:space="0"/>
              <w:bottom w:val="single" w:color="auto" w:sz="4" w:space="0"/>
              <w:right w:val="single" w:color="auto" w:sz="4" w:space="0"/>
            </w:tcBorders>
            <w:vAlign w:val="top"/>
          </w:tcPr>
          <w:p>
            <w:pPr>
              <w:snapToGrid w:val="0"/>
              <w:spacing w:before="50" w:after="120" w:afterLines="50" w:line="400" w:lineRule="exact"/>
              <w:jc w:val="left"/>
              <w:rPr>
                <w:rFonts w:hint="eastAsia" w:ascii="宋体" w:hAnsi="宋体"/>
                <w:color w:val="000000"/>
                <w:sz w:val="24"/>
              </w:rPr>
            </w:pPr>
          </w:p>
        </w:tc>
        <w:tc>
          <w:tcPr>
            <w:tcW w:w="1770" w:type="dxa"/>
            <w:tcBorders>
              <w:top w:val="single" w:color="auto" w:sz="4" w:space="0"/>
              <w:left w:val="single" w:color="auto" w:sz="4" w:space="0"/>
              <w:bottom w:val="single" w:color="auto" w:sz="4" w:space="0"/>
              <w:right w:val="single" w:color="auto" w:sz="4" w:space="0"/>
            </w:tcBorders>
            <w:vAlign w:val="top"/>
          </w:tcPr>
          <w:p>
            <w:pPr>
              <w:snapToGrid w:val="0"/>
              <w:spacing w:before="50" w:after="120" w:afterLines="50" w:line="400" w:lineRule="exact"/>
              <w:jc w:val="left"/>
              <w:rPr>
                <w:rFonts w:hint="eastAsia" w:ascii="宋体" w:hAnsi="宋体"/>
                <w:color w:val="000000"/>
                <w:sz w:val="24"/>
              </w:rPr>
            </w:pPr>
          </w:p>
        </w:tc>
        <w:tc>
          <w:tcPr>
            <w:tcW w:w="2855" w:type="dxa"/>
            <w:tcBorders>
              <w:top w:val="single" w:color="auto" w:sz="4" w:space="0"/>
              <w:left w:val="single" w:color="auto" w:sz="4" w:space="0"/>
              <w:bottom w:val="single" w:color="auto" w:sz="4" w:space="0"/>
              <w:right w:val="single" w:color="auto" w:sz="4" w:space="0"/>
            </w:tcBorders>
            <w:vAlign w:val="top"/>
          </w:tcPr>
          <w:p>
            <w:pPr>
              <w:snapToGrid w:val="0"/>
              <w:spacing w:before="50" w:after="120" w:afterLines="50" w:line="400" w:lineRule="exact"/>
              <w:jc w:val="left"/>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0" w:hRule="atLeast"/>
        </w:trPr>
        <w:tc>
          <w:tcPr>
            <w:tcW w:w="2133" w:type="dxa"/>
            <w:tcBorders>
              <w:top w:val="single" w:color="auto" w:sz="4" w:space="0"/>
              <w:left w:val="single" w:color="auto" w:sz="4" w:space="0"/>
              <w:bottom w:val="single" w:color="auto" w:sz="4" w:space="0"/>
              <w:right w:val="single" w:color="auto" w:sz="4" w:space="0"/>
            </w:tcBorders>
            <w:vAlign w:val="top"/>
          </w:tcPr>
          <w:p>
            <w:pPr>
              <w:snapToGrid w:val="0"/>
              <w:spacing w:before="50" w:after="120" w:afterLines="50" w:line="400" w:lineRule="exact"/>
              <w:jc w:val="left"/>
              <w:rPr>
                <w:rFonts w:hint="eastAsia" w:ascii="宋体" w:hAnsi="宋体"/>
                <w:color w:val="000000"/>
                <w:sz w:val="24"/>
              </w:rPr>
            </w:pPr>
          </w:p>
        </w:tc>
        <w:tc>
          <w:tcPr>
            <w:tcW w:w="1770" w:type="dxa"/>
            <w:tcBorders>
              <w:top w:val="single" w:color="auto" w:sz="4" w:space="0"/>
              <w:left w:val="single" w:color="auto" w:sz="4" w:space="0"/>
              <w:bottom w:val="single" w:color="auto" w:sz="4" w:space="0"/>
              <w:right w:val="single" w:color="auto" w:sz="4" w:space="0"/>
            </w:tcBorders>
            <w:vAlign w:val="top"/>
          </w:tcPr>
          <w:p>
            <w:pPr>
              <w:snapToGrid w:val="0"/>
              <w:spacing w:before="50" w:after="120" w:afterLines="50" w:line="400" w:lineRule="exact"/>
              <w:jc w:val="left"/>
              <w:rPr>
                <w:rFonts w:hint="eastAsia" w:ascii="宋体" w:hAnsi="宋体"/>
                <w:color w:val="000000"/>
                <w:sz w:val="24"/>
              </w:rPr>
            </w:pPr>
          </w:p>
        </w:tc>
        <w:tc>
          <w:tcPr>
            <w:tcW w:w="1770" w:type="dxa"/>
            <w:tcBorders>
              <w:top w:val="single" w:color="auto" w:sz="4" w:space="0"/>
              <w:left w:val="single" w:color="auto" w:sz="4" w:space="0"/>
              <w:bottom w:val="single" w:color="auto" w:sz="4" w:space="0"/>
              <w:right w:val="single" w:color="auto" w:sz="4" w:space="0"/>
            </w:tcBorders>
            <w:vAlign w:val="top"/>
          </w:tcPr>
          <w:p>
            <w:pPr>
              <w:snapToGrid w:val="0"/>
              <w:spacing w:before="50" w:after="120" w:afterLines="50" w:line="400" w:lineRule="exact"/>
              <w:jc w:val="left"/>
              <w:rPr>
                <w:rFonts w:hint="eastAsia" w:ascii="宋体" w:hAnsi="宋体"/>
                <w:color w:val="000000"/>
                <w:sz w:val="24"/>
              </w:rPr>
            </w:pPr>
          </w:p>
        </w:tc>
        <w:tc>
          <w:tcPr>
            <w:tcW w:w="2855" w:type="dxa"/>
            <w:tcBorders>
              <w:top w:val="single" w:color="auto" w:sz="4" w:space="0"/>
              <w:left w:val="single" w:color="auto" w:sz="4" w:space="0"/>
              <w:bottom w:val="single" w:color="auto" w:sz="4" w:space="0"/>
              <w:right w:val="single" w:color="auto" w:sz="4" w:space="0"/>
            </w:tcBorders>
            <w:vAlign w:val="top"/>
          </w:tcPr>
          <w:p>
            <w:pPr>
              <w:snapToGrid w:val="0"/>
              <w:spacing w:before="50" w:after="120" w:afterLines="50" w:line="400" w:lineRule="exact"/>
              <w:jc w:val="left"/>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133" w:type="dxa"/>
            <w:tcBorders>
              <w:top w:val="single" w:color="auto" w:sz="4" w:space="0"/>
              <w:left w:val="single" w:color="auto" w:sz="4" w:space="0"/>
              <w:bottom w:val="single" w:color="auto" w:sz="4" w:space="0"/>
              <w:right w:val="single" w:color="auto" w:sz="4" w:space="0"/>
            </w:tcBorders>
            <w:vAlign w:val="top"/>
          </w:tcPr>
          <w:p>
            <w:pPr>
              <w:snapToGrid w:val="0"/>
              <w:spacing w:before="50" w:after="120" w:afterLines="50" w:line="400" w:lineRule="exact"/>
              <w:jc w:val="left"/>
              <w:rPr>
                <w:rFonts w:hint="eastAsia" w:ascii="宋体" w:hAnsi="宋体"/>
                <w:color w:val="000000"/>
                <w:sz w:val="24"/>
              </w:rPr>
            </w:pPr>
          </w:p>
        </w:tc>
        <w:tc>
          <w:tcPr>
            <w:tcW w:w="1770" w:type="dxa"/>
            <w:tcBorders>
              <w:top w:val="single" w:color="auto" w:sz="4" w:space="0"/>
              <w:left w:val="single" w:color="auto" w:sz="4" w:space="0"/>
              <w:bottom w:val="single" w:color="auto" w:sz="4" w:space="0"/>
              <w:right w:val="single" w:color="auto" w:sz="4" w:space="0"/>
            </w:tcBorders>
            <w:vAlign w:val="top"/>
          </w:tcPr>
          <w:p>
            <w:pPr>
              <w:snapToGrid w:val="0"/>
              <w:spacing w:before="50" w:after="120" w:afterLines="50" w:line="400" w:lineRule="exact"/>
              <w:jc w:val="left"/>
              <w:rPr>
                <w:rFonts w:hint="eastAsia" w:ascii="宋体" w:hAnsi="宋体"/>
                <w:color w:val="000000"/>
                <w:sz w:val="24"/>
              </w:rPr>
            </w:pPr>
          </w:p>
        </w:tc>
        <w:tc>
          <w:tcPr>
            <w:tcW w:w="1770" w:type="dxa"/>
            <w:tcBorders>
              <w:top w:val="single" w:color="auto" w:sz="4" w:space="0"/>
              <w:left w:val="single" w:color="auto" w:sz="4" w:space="0"/>
              <w:bottom w:val="single" w:color="auto" w:sz="4" w:space="0"/>
              <w:right w:val="single" w:color="auto" w:sz="4" w:space="0"/>
            </w:tcBorders>
            <w:vAlign w:val="top"/>
          </w:tcPr>
          <w:p>
            <w:pPr>
              <w:snapToGrid w:val="0"/>
              <w:spacing w:before="50" w:after="120" w:afterLines="50" w:line="400" w:lineRule="exact"/>
              <w:jc w:val="left"/>
              <w:rPr>
                <w:rFonts w:hint="eastAsia" w:ascii="宋体" w:hAnsi="宋体"/>
                <w:color w:val="000000"/>
                <w:sz w:val="24"/>
              </w:rPr>
            </w:pPr>
          </w:p>
        </w:tc>
        <w:tc>
          <w:tcPr>
            <w:tcW w:w="2855" w:type="dxa"/>
            <w:tcBorders>
              <w:top w:val="single" w:color="auto" w:sz="4" w:space="0"/>
              <w:left w:val="single" w:color="auto" w:sz="4" w:space="0"/>
              <w:bottom w:val="single" w:color="auto" w:sz="4" w:space="0"/>
              <w:right w:val="single" w:color="auto" w:sz="4" w:space="0"/>
            </w:tcBorders>
            <w:vAlign w:val="top"/>
          </w:tcPr>
          <w:p>
            <w:pPr>
              <w:snapToGrid w:val="0"/>
              <w:spacing w:before="50" w:after="120" w:afterLines="50" w:line="400" w:lineRule="exact"/>
              <w:jc w:val="left"/>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133" w:type="dxa"/>
            <w:tcBorders>
              <w:top w:val="single" w:color="auto" w:sz="4" w:space="0"/>
              <w:left w:val="single" w:color="auto" w:sz="4" w:space="0"/>
              <w:bottom w:val="single" w:color="auto" w:sz="4" w:space="0"/>
              <w:right w:val="single" w:color="auto" w:sz="4" w:space="0"/>
            </w:tcBorders>
            <w:vAlign w:val="top"/>
          </w:tcPr>
          <w:p>
            <w:pPr>
              <w:snapToGrid w:val="0"/>
              <w:spacing w:before="50" w:after="120" w:afterLines="50" w:line="400" w:lineRule="exact"/>
              <w:jc w:val="left"/>
              <w:rPr>
                <w:rFonts w:hint="eastAsia" w:ascii="宋体" w:hAnsi="宋体"/>
                <w:color w:val="000000"/>
                <w:sz w:val="24"/>
              </w:rPr>
            </w:pPr>
          </w:p>
        </w:tc>
        <w:tc>
          <w:tcPr>
            <w:tcW w:w="1770" w:type="dxa"/>
            <w:tcBorders>
              <w:top w:val="single" w:color="auto" w:sz="4" w:space="0"/>
              <w:left w:val="single" w:color="auto" w:sz="4" w:space="0"/>
              <w:bottom w:val="single" w:color="auto" w:sz="4" w:space="0"/>
              <w:right w:val="single" w:color="auto" w:sz="4" w:space="0"/>
            </w:tcBorders>
            <w:vAlign w:val="top"/>
          </w:tcPr>
          <w:p>
            <w:pPr>
              <w:snapToGrid w:val="0"/>
              <w:spacing w:before="50" w:after="120" w:afterLines="50" w:line="400" w:lineRule="exact"/>
              <w:jc w:val="left"/>
              <w:rPr>
                <w:rFonts w:hint="eastAsia" w:ascii="宋体" w:hAnsi="宋体"/>
                <w:color w:val="000000"/>
                <w:sz w:val="24"/>
              </w:rPr>
            </w:pPr>
          </w:p>
        </w:tc>
        <w:tc>
          <w:tcPr>
            <w:tcW w:w="1770" w:type="dxa"/>
            <w:tcBorders>
              <w:top w:val="single" w:color="auto" w:sz="4" w:space="0"/>
              <w:left w:val="single" w:color="auto" w:sz="4" w:space="0"/>
              <w:bottom w:val="single" w:color="auto" w:sz="4" w:space="0"/>
              <w:right w:val="single" w:color="auto" w:sz="4" w:space="0"/>
            </w:tcBorders>
            <w:vAlign w:val="top"/>
          </w:tcPr>
          <w:p>
            <w:pPr>
              <w:snapToGrid w:val="0"/>
              <w:spacing w:before="50" w:after="120" w:afterLines="50" w:line="400" w:lineRule="exact"/>
              <w:jc w:val="left"/>
              <w:rPr>
                <w:rFonts w:hint="eastAsia" w:ascii="宋体" w:hAnsi="宋体"/>
                <w:color w:val="000000"/>
                <w:sz w:val="24"/>
              </w:rPr>
            </w:pPr>
          </w:p>
        </w:tc>
        <w:tc>
          <w:tcPr>
            <w:tcW w:w="2855" w:type="dxa"/>
            <w:tcBorders>
              <w:top w:val="single" w:color="auto" w:sz="4" w:space="0"/>
              <w:left w:val="single" w:color="auto" w:sz="4" w:space="0"/>
              <w:bottom w:val="single" w:color="auto" w:sz="4" w:space="0"/>
              <w:right w:val="single" w:color="auto" w:sz="4" w:space="0"/>
            </w:tcBorders>
            <w:vAlign w:val="top"/>
          </w:tcPr>
          <w:p>
            <w:pPr>
              <w:snapToGrid w:val="0"/>
              <w:spacing w:before="50" w:after="120" w:afterLines="50" w:line="400" w:lineRule="exact"/>
              <w:jc w:val="left"/>
              <w:rPr>
                <w:rFonts w:hint="eastAsia" w:ascii="宋体" w:hAnsi="宋体"/>
                <w:color w:val="000000"/>
                <w:sz w:val="24"/>
              </w:rPr>
            </w:pPr>
          </w:p>
        </w:tc>
      </w:tr>
    </w:tbl>
    <w:p>
      <w:pPr>
        <w:pStyle w:val="12"/>
        <w:spacing w:before="0" w:after="0" w:line="360" w:lineRule="auto"/>
        <w:contextualSpacing/>
        <w:rPr>
          <w:rFonts w:hint="eastAsia" w:ascii="宋体" w:hAnsi="宋体" w:eastAsia="宋体"/>
          <w:color w:val="000000"/>
          <w:sz w:val="24"/>
          <w:szCs w:val="24"/>
        </w:rPr>
      </w:pPr>
    </w:p>
    <w:p>
      <w:pPr>
        <w:pStyle w:val="12"/>
        <w:spacing w:before="0" w:after="0" w:line="360" w:lineRule="auto"/>
        <w:contextualSpacing/>
        <w:rPr>
          <w:rFonts w:hint="eastAsia" w:ascii="宋体" w:hAnsi="宋体" w:eastAsia="宋体"/>
          <w:color w:val="000000"/>
          <w:sz w:val="24"/>
          <w:szCs w:val="24"/>
        </w:rPr>
      </w:pPr>
      <w:r>
        <w:rPr>
          <w:rFonts w:hint="eastAsia" w:ascii="宋体" w:hAnsi="宋体" w:eastAsia="宋体"/>
          <w:color w:val="000000"/>
          <w:sz w:val="24"/>
          <w:szCs w:val="24"/>
        </w:rPr>
        <w:t>注：</w:t>
      </w:r>
      <w:r>
        <w:rPr>
          <w:rFonts w:hint="eastAsia" w:ascii="宋体" w:hAnsi="宋体"/>
          <w:color w:val="000000"/>
          <w:sz w:val="24"/>
        </w:rPr>
        <w:t>投标人根据评标标准具体要求附业绩证明材料。</w:t>
      </w:r>
    </w:p>
    <w:p>
      <w:pPr>
        <w:pStyle w:val="12"/>
        <w:spacing w:before="0" w:after="0" w:line="360" w:lineRule="auto"/>
        <w:contextualSpacing/>
        <w:jc w:val="left"/>
        <w:rPr>
          <w:rFonts w:hint="eastAsia" w:ascii="宋体" w:hAnsi="宋体" w:eastAsia="宋体"/>
          <w:color w:val="000000"/>
          <w:sz w:val="24"/>
          <w:szCs w:val="24"/>
          <w:u w:val="single"/>
        </w:rPr>
      </w:pPr>
      <w:r>
        <w:rPr>
          <w:rFonts w:hint="eastAsia" w:ascii="宋体" w:hAnsi="宋体" w:eastAsia="宋体"/>
          <w:color w:val="000000"/>
          <w:sz w:val="24"/>
          <w:szCs w:val="24"/>
        </w:rPr>
        <w:t>法定代表人或者委托代理人（签字/电子签名）：</w:t>
      </w:r>
      <w:r>
        <w:rPr>
          <w:rFonts w:hint="eastAsia" w:ascii="宋体" w:hAnsi="宋体" w:eastAsia="宋体"/>
          <w:color w:val="000000"/>
          <w:sz w:val="24"/>
          <w:szCs w:val="24"/>
          <w:u w:val="single"/>
        </w:rPr>
        <w:t>　　　　　</w:t>
      </w:r>
    </w:p>
    <w:p>
      <w:pPr>
        <w:spacing w:line="360" w:lineRule="auto"/>
        <w:ind w:right="480"/>
        <w:contextualSpacing/>
        <w:jc w:val="left"/>
        <w:rPr>
          <w:rFonts w:hint="eastAsia" w:ascii="宋体" w:hAnsi="宋体"/>
          <w:color w:val="000000"/>
          <w:sz w:val="24"/>
          <w:szCs w:val="20"/>
        </w:rPr>
      </w:pPr>
      <w:r>
        <w:rPr>
          <w:rFonts w:hint="eastAsia" w:ascii="宋体" w:hAnsi="宋体" w:cs="Arial"/>
          <w:color w:val="000000"/>
          <w:sz w:val="24"/>
        </w:rPr>
        <w:t xml:space="preserve">投标人名称（电子签章）： </w:t>
      </w:r>
      <w:r>
        <w:rPr>
          <w:rFonts w:hint="eastAsia" w:ascii="宋体" w:hAnsi="宋体"/>
          <w:color w:val="000000"/>
          <w:sz w:val="24"/>
          <w:u w:val="single"/>
        </w:rPr>
        <w:t xml:space="preserve">                </w:t>
      </w:r>
      <w:r>
        <w:rPr>
          <w:rFonts w:hint="eastAsia" w:ascii="宋体" w:hAnsi="宋体"/>
          <w:color w:val="000000"/>
          <w:sz w:val="24"/>
        </w:rPr>
        <w:t xml:space="preserve">                                                              年    月    日</w:t>
      </w:r>
    </w:p>
    <w:p>
      <w:pPr>
        <w:snapToGrid w:val="0"/>
        <w:spacing w:before="50"/>
        <w:ind w:firstLine="480" w:firstLineChars="200"/>
        <w:jc w:val="left"/>
        <w:rPr>
          <w:rFonts w:hint="eastAsia" w:ascii="宋体" w:hAnsi="宋体"/>
          <w:color w:val="000000"/>
          <w:sz w:val="24"/>
          <w:szCs w:val="20"/>
        </w:rPr>
      </w:pPr>
    </w:p>
    <w:p>
      <w:pPr>
        <w:snapToGrid w:val="0"/>
        <w:spacing w:before="50"/>
        <w:jc w:val="left"/>
        <w:rPr>
          <w:rFonts w:hint="eastAsia" w:ascii="宋体" w:hAnsi="宋体"/>
          <w:color w:val="000000"/>
          <w:sz w:val="24"/>
        </w:rPr>
      </w:pPr>
    </w:p>
    <w:p>
      <w:pPr>
        <w:snapToGrid w:val="0"/>
        <w:spacing w:before="120" w:beforeLines="50"/>
        <w:rPr>
          <w:rFonts w:ascii="宋体" w:hAnsi="宋体"/>
          <w:color w:val="000000"/>
          <w:sz w:val="24"/>
          <w:szCs w:val="20"/>
        </w:rPr>
        <w:sectPr>
          <w:pgSz w:w="11906" w:h="16838"/>
          <w:pgMar w:top="1440" w:right="1440" w:bottom="1440" w:left="1440" w:header="851" w:footer="992" w:gutter="0"/>
          <w:cols w:space="0" w:num="1"/>
          <w:rtlGutter w:val="0"/>
          <w:docGrid w:linePitch="312" w:charSpace="0"/>
        </w:sectPr>
      </w:pPr>
    </w:p>
    <w:p>
      <w:pPr>
        <w:rPr>
          <w:rFonts w:hint="eastAsia"/>
          <w:b/>
          <w:color w:val="000000"/>
          <w:sz w:val="28"/>
          <w:szCs w:val="28"/>
        </w:rPr>
      </w:pPr>
      <w:r>
        <w:rPr>
          <w:rFonts w:hint="eastAsia"/>
          <w:b/>
          <w:color w:val="000000"/>
          <w:sz w:val="28"/>
          <w:szCs w:val="28"/>
        </w:rPr>
        <w:t>四、技术文件格式</w:t>
      </w:r>
    </w:p>
    <w:p>
      <w:pPr>
        <w:snapToGrid w:val="0"/>
        <w:spacing w:before="120" w:beforeLines="50" w:after="50"/>
        <w:ind w:left="142"/>
        <w:jc w:val="left"/>
        <w:rPr>
          <w:rFonts w:hint="eastAsia" w:ascii="宋体" w:hAnsi="宋体"/>
          <w:b/>
          <w:color w:val="000000"/>
          <w:sz w:val="24"/>
        </w:rPr>
      </w:pPr>
      <w:r>
        <w:rPr>
          <w:rFonts w:hint="eastAsia" w:ascii="宋体" w:hAnsi="宋体"/>
          <w:b/>
          <w:color w:val="000000"/>
          <w:sz w:val="24"/>
        </w:rPr>
        <w:t xml:space="preserve">1. 技术文件封面格式： </w:t>
      </w:r>
    </w:p>
    <w:p>
      <w:pPr>
        <w:snapToGrid w:val="0"/>
        <w:spacing w:before="120" w:beforeLines="50" w:after="50" w:line="360" w:lineRule="auto"/>
        <w:ind w:left="142"/>
        <w:jc w:val="center"/>
        <w:rPr>
          <w:rFonts w:hint="eastAsia" w:ascii="宋体" w:hAnsi="宋体" w:eastAsia="方正小标宋简体"/>
          <w:bCs/>
          <w:color w:val="000000"/>
          <w:sz w:val="48"/>
          <w:szCs w:val="48"/>
        </w:rPr>
      </w:pPr>
      <w:r>
        <w:rPr>
          <w:rFonts w:hint="eastAsia" w:ascii="宋体" w:hAnsi="宋体" w:eastAsia="方正小标宋简体"/>
          <w:bCs/>
          <w:color w:val="000000"/>
          <w:sz w:val="48"/>
          <w:szCs w:val="48"/>
        </w:rPr>
        <w:t>电子投标文件</w:t>
      </w:r>
    </w:p>
    <w:p>
      <w:pPr>
        <w:snapToGrid w:val="0"/>
        <w:spacing w:before="120" w:beforeLines="50" w:after="50"/>
        <w:jc w:val="center"/>
        <w:rPr>
          <w:rFonts w:hint="eastAsia" w:ascii="宋体" w:hAnsi="宋体"/>
          <w:b/>
          <w:bCs/>
          <w:color w:val="000000"/>
          <w:sz w:val="32"/>
          <w:szCs w:val="32"/>
        </w:rPr>
      </w:pPr>
      <w:r>
        <w:rPr>
          <w:rFonts w:hint="eastAsia" w:ascii="宋体" w:hAnsi="宋体"/>
          <w:b/>
          <w:bCs/>
          <w:color w:val="000000"/>
          <w:sz w:val="32"/>
          <w:szCs w:val="32"/>
        </w:rPr>
        <w:t>技术文件</w:t>
      </w:r>
    </w:p>
    <w:p>
      <w:pPr>
        <w:snapToGrid w:val="0"/>
        <w:spacing w:before="120" w:beforeLines="50" w:after="50"/>
        <w:rPr>
          <w:rFonts w:hint="eastAsia" w:ascii="宋体" w:hAnsi="宋体"/>
          <w:bCs/>
          <w:color w:val="000000"/>
          <w:sz w:val="24"/>
          <w:szCs w:val="20"/>
        </w:rPr>
      </w:pPr>
    </w:p>
    <w:p>
      <w:pPr>
        <w:snapToGrid w:val="0"/>
        <w:spacing w:before="120" w:beforeLines="50" w:after="50" w:line="400" w:lineRule="exact"/>
        <w:ind w:firstLine="360" w:firstLineChars="150"/>
        <w:rPr>
          <w:rFonts w:hint="eastAsia" w:ascii="宋体" w:hAnsi="宋体"/>
          <w:bCs/>
          <w:color w:val="000000"/>
          <w:sz w:val="24"/>
          <w:szCs w:val="20"/>
        </w:rPr>
      </w:pPr>
      <w:r>
        <w:rPr>
          <w:rFonts w:hint="eastAsia" w:ascii="宋体" w:hAnsi="宋体"/>
          <w:bCs/>
          <w:color w:val="000000"/>
          <w:sz w:val="24"/>
        </w:rPr>
        <w:t xml:space="preserve">项目名称： </w:t>
      </w:r>
    </w:p>
    <w:p>
      <w:pPr>
        <w:snapToGrid w:val="0"/>
        <w:spacing w:before="120" w:beforeLines="50" w:after="50" w:line="400" w:lineRule="exact"/>
        <w:ind w:firstLine="360" w:firstLineChars="150"/>
        <w:rPr>
          <w:rFonts w:hint="eastAsia" w:ascii="宋体" w:hAnsi="宋体"/>
          <w:bCs/>
          <w:color w:val="000000"/>
          <w:sz w:val="24"/>
        </w:rPr>
      </w:pPr>
      <w:r>
        <w:rPr>
          <w:rFonts w:hint="eastAsia" w:ascii="宋体" w:hAnsi="宋体"/>
          <w:bCs/>
          <w:color w:val="000000"/>
          <w:sz w:val="24"/>
        </w:rPr>
        <w:t xml:space="preserve">项目编号： </w:t>
      </w:r>
    </w:p>
    <w:p>
      <w:pPr>
        <w:snapToGrid w:val="0"/>
        <w:spacing w:before="120" w:beforeLines="50" w:after="50" w:line="400" w:lineRule="exact"/>
        <w:ind w:firstLine="360" w:firstLineChars="150"/>
        <w:rPr>
          <w:rFonts w:hint="eastAsia" w:ascii="宋体" w:hAnsi="宋体"/>
          <w:bCs/>
          <w:color w:val="000000"/>
          <w:sz w:val="24"/>
        </w:rPr>
      </w:pPr>
      <w:r>
        <w:rPr>
          <w:rFonts w:hint="eastAsia" w:ascii="宋体" w:hAnsi="宋体"/>
          <w:bCs/>
          <w:color w:val="000000"/>
          <w:sz w:val="24"/>
        </w:rPr>
        <w:t>所投分标：</w:t>
      </w:r>
    </w:p>
    <w:p>
      <w:pPr>
        <w:snapToGrid w:val="0"/>
        <w:spacing w:before="120" w:beforeLines="50" w:after="50" w:line="400" w:lineRule="exact"/>
        <w:ind w:firstLine="360" w:firstLineChars="150"/>
        <w:rPr>
          <w:rFonts w:hint="eastAsia" w:ascii="宋体" w:hAnsi="宋体"/>
          <w:bCs/>
          <w:color w:val="000000"/>
          <w:sz w:val="24"/>
        </w:rPr>
      </w:pPr>
      <w:r>
        <w:rPr>
          <w:rFonts w:hint="eastAsia" w:ascii="宋体" w:hAnsi="宋体"/>
          <w:bCs/>
          <w:color w:val="000000"/>
          <w:sz w:val="24"/>
        </w:rPr>
        <w:t>投标人名称：</w:t>
      </w:r>
    </w:p>
    <w:p>
      <w:pPr>
        <w:snapToGrid w:val="0"/>
        <w:spacing w:before="120" w:beforeLines="50" w:after="50" w:line="400" w:lineRule="exact"/>
        <w:ind w:firstLine="360" w:firstLineChars="150"/>
        <w:rPr>
          <w:rFonts w:hint="eastAsia" w:ascii="宋体" w:hAnsi="宋体"/>
          <w:bCs/>
          <w:color w:val="000000"/>
          <w:sz w:val="24"/>
        </w:rPr>
      </w:pPr>
      <w:r>
        <w:rPr>
          <w:rFonts w:hint="eastAsia" w:ascii="宋体" w:hAnsi="宋体"/>
          <w:bCs/>
          <w:color w:val="000000"/>
          <w:sz w:val="24"/>
        </w:rPr>
        <w:t>投标人地址：</w:t>
      </w:r>
    </w:p>
    <w:p>
      <w:pPr>
        <w:snapToGrid w:val="0"/>
        <w:spacing w:before="120" w:beforeLines="50" w:after="50"/>
        <w:ind w:firstLine="645"/>
        <w:jc w:val="center"/>
        <w:rPr>
          <w:rFonts w:hint="eastAsia" w:ascii="宋体" w:hAnsi="宋体"/>
          <w:color w:val="000000"/>
          <w:sz w:val="24"/>
        </w:rPr>
      </w:pPr>
      <w:r>
        <w:rPr>
          <w:rFonts w:hint="eastAsia" w:ascii="宋体" w:hAnsi="宋体"/>
          <w:color w:val="000000"/>
          <w:sz w:val="24"/>
        </w:rPr>
        <w:t xml:space="preserve">                        年    月    日</w:t>
      </w:r>
    </w:p>
    <w:p>
      <w:pPr>
        <w:snapToGrid w:val="0"/>
        <w:spacing w:before="120" w:beforeLines="50" w:after="50"/>
        <w:ind w:firstLine="645"/>
        <w:jc w:val="center"/>
        <w:rPr>
          <w:rFonts w:hint="eastAsia" w:ascii="宋体" w:hAnsi="宋体"/>
          <w:color w:val="000000"/>
          <w:sz w:val="24"/>
          <w:szCs w:val="20"/>
        </w:rPr>
      </w:pPr>
    </w:p>
    <w:p>
      <w:pPr>
        <w:snapToGrid w:val="0"/>
        <w:spacing w:before="120" w:beforeLines="50" w:after="50"/>
        <w:ind w:left="142"/>
        <w:jc w:val="left"/>
        <w:rPr>
          <w:rFonts w:hint="eastAsia" w:ascii="宋体" w:hAnsi="宋体"/>
          <w:b/>
          <w:color w:val="000000"/>
          <w:sz w:val="24"/>
        </w:rPr>
      </w:pPr>
      <w:r>
        <w:rPr>
          <w:rFonts w:ascii="宋体" w:hAnsi="宋体"/>
          <w:b/>
          <w:bCs/>
          <w:color w:val="000000"/>
          <w:sz w:val="24"/>
        </w:rPr>
        <w:br w:type="page"/>
      </w:r>
      <w:r>
        <w:rPr>
          <w:rFonts w:hint="eastAsia" w:ascii="宋体" w:hAnsi="宋体"/>
          <w:b/>
          <w:color w:val="000000"/>
          <w:sz w:val="24"/>
        </w:rPr>
        <w:t>2.技术文件目录</w:t>
      </w:r>
    </w:p>
    <w:p>
      <w:pPr>
        <w:snapToGrid w:val="0"/>
        <w:spacing w:before="50" w:after="120" w:afterLines="50" w:line="360" w:lineRule="auto"/>
        <w:ind w:firstLine="560" w:firstLineChars="200"/>
        <w:jc w:val="left"/>
        <w:rPr>
          <w:rFonts w:hint="eastAsia" w:ascii="宋体" w:hAnsi="宋体"/>
          <w:color w:val="000000"/>
          <w:sz w:val="28"/>
          <w:szCs w:val="28"/>
        </w:rPr>
      </w:pPr>
      <w:r>
        <w:rPr>
          <w:rFonts w:hint="eastAsia" w:ascii="宋体" w:hAnsi="宋体"/>
          <w:color w:val="000000"/>
          <w:sz w:val="28"/>
          <w:szCs w:val="28"/>
        </w:rPr>
        <w:t>根据招标文件规定及投标人提供的材料自行编写目录。</w:t>
      </w:r>
    </w:p>
    <w:p>
      <w:pPr>
        <w:spacing w:line="360" w:lineRule="auto"/>
        <w:contextualSpacing/>
        <w:rPr>
          <w:rFonts w:hint="eastAsia" w:ascii="宋体" w:hAnsi="宋体"/>
          <w:color w:val="000000"/>
          <w:sz w:val="24"/>
          <w:szCs w:val="20"/>
        </w:rPr>
      </w:pPr>
      <w:r>
        <w:rPr>
          <w:rFonts w:ascii="宋体" w:hAnsi="宋体"/>
          <w:b/>
          <w:color w:val="000000"/>
          <w:sz w:val="24"/>
        </w:rPr>
        <w:br w:type="page"/>
      </w:r>
    </w:p>
    <w:p>
      <w:pPr>
        <w:snapToGrid w:val="0"/>
        <w:spacing w:before="120" w:beforeLines="50" w:after="50"/>
        <w:ind w:left="142"/>
        <w:jc w:val="left"/>
        <w:rPr>
          <w:rFonts w:hint="eastAsia" w:ascii="宋体" w:hAnsi="宋体"/>
          <w:b/>
          <w:color w:val="000000"/>
          <w:sz w:val="24"/>
        </w:rPr>
      </w:pPr>
      <w:r>
        <w:rPr>
          <w:rFonts w:hint="eastAsia" w:ascii="宋体" w:hAnsi="宋体"/>
          <w:b/>
          <w:color w:val="000000"/>
          <w:sz w:val="24"/>
          <w:lang w:val="en-US" w:eastAsia="zh-CN"/>
        </w:rPr>
        <w:t>3</w:t>
      </w:r>
      <w:r>
        <w:rPr>
          <w:rFonts w:hint="eastAsia" w:ascii="宋体" w:hAnsi="宋体"/>
          <w:b/>
          <w:color w:val="000000"/>
          <w:sz w:val="24"/>
        </w:rPr>
        <w:t>. 技术要求偏离表格式</w:t>
      </w:r>
    </w:p>
    <w:p>
      <w:pPr>
        <w:snapToGrid w:val="0"/>
        <w:spacing w:before="120" w:beforeLines="50" w:after="50"/>
        <w:ind w:left="142"/>
        <w:jc w:val="left"/>
        <w:rPr>
          <w:rFonts w:hint="eastAsia" w:ascii="宋体" w:hAnsi="宋体"/>
          <w:b/>
          <w:color w:val="000000"/>
          <w:sz w:val="24"/>
        </w:rPr>
      </w:pPr>
    </w:p>
    <w:p>
      <w:pPr>
        <w:snapToGrid w:val="0"/>
        <w:spacing w:before="120" w:beforeLines="50" w:after="50"/>
        <w:ind w:left="142"/>
        <w:jc w:val="center"/>
        <w:rPr>
          <w:rFonts w:hint="eastAsia" w:ascii="宋体" w:hAnsi="宋体"/>
          <w:b/>
          <w:color w:val="000000"/>
          <w:sz w:val="32"/>
          <w:szCs w:val="32"/>
        </w:rPr>
      </w:pPr>
      <w:r>
        <w:rPr>
          <w:rFonts w:hint="eastAsia" w:ascii="宋体" w:hAnsi="宋体"/>
          <w:b/>
          <w:color w:val="000000"/>
          <w:sz w:val="32"/>
          <w:szCs w:val="32"/>
        </w:rPr>
        <w:t>技术要求偏离表</w:t>
      </w:r>
    </w:p>
    <w:p>
      <w:pPr>
        <w:pStyle w:val="15"/>
        <w:rPr>
          <w:rFonts w:hint="eastAsia" w:hAnsi="宋体"/>
          <w:color w:val="000000"/>
          <w:sz w:val="24"/>
          <w:szCs w:val="24"/>
        </w:rPr>
      </w:pPr>
      <w:r>
        <w:rPr>
          <w:rFonts w:hint="eastAsia" w:hAnsi="宋体"/>
          <w:color w:val="000000"/>
          <w:sz w:val="24"/>
          <w:szCs w:val="24"/>
        </w:rPr>
        <w:t>所投分标：</w:t>
      </w:r>
      <w:r>
        <w:rPr>
          <w:rFonts w:hint="eastAsia" w:hAnsi="宋体"/>
          <w:color w:val="000000"/>
          <w:sz w:val="24"/>
          <w:szCs w:val="24"/>
          <w:u w:val="single"/>
        </w:rPr>
        <w:t xml:space="preserve">     </w:t>
      </w:r>
      <w:r>
        <w:rPr>
          <w:rFonts w:hint="eastAsia" w:hAnsi="宋体"/>
          <w:color w:val="000000"/>
          <w:sz w:val="24"/>
          <w:szCs w:val="24"/>
        </w:rPr>
        <w:t>分标</w:t>
      </w:r>
    </w:p>
    <w:tbl>
      <w:tblPr>
        <w:tblStyle w:val="24"/>
        <w:tblW w:w="89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143"/>
        <w:gridCol w:w="1834"/>
        <w:gridCol w:w="2181"/>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852" w:type="dxa"/>
            <w:vAlign w:val="center"/>
          </w:tcPr>
          <w:p>
            <w:pPr>
              <w:pStyle w:val="15"/>
              <w:spacing w:line="400" w:lineRule="exact"/>
              <w:jc w:val="center"/>
              <w:rPr>
                <w:rFonts w:hint="eastAsia" w:hAnsi="宋体" w:cs="Courier New"/>
                <w:color w:val="000000"/>
                <w:kern w:val="2"/>
                <w:sz w:val="24"/>
                <w:szCs w:val="24"/>
                <w:lang w:val="en-US" w:eastAsia="zh-CN"/>
              </w:rPr>
            </w:pPr>
            <w:r>
              <w:rPr>
                <w:rFonts w:hint="eastAsia" w:hAnsi="宋体" w:cs="Courier New"/>
                <w:color w:val="000000"/>
                <w:kern w:val="2"/>
                <w:sz w:val="24"/>
                <w:szCs w:val="24"/>
                <w:lang w:val="en-US" w:eastAsia="zh-CN"/>
              </w:rPr>
              <w:t>项号</w:t>
            </w:r>
          </w:p>
        </w:tc>
        <w:tc>
          <w:tcPr>
            <w:tcW w:w="2143" w:type="dxa"/>
            <w:vAlign w:val="center"/>
          </w:tcPr>
          <w:p>
            <w:pPr>
              <w:pStyle w:val="15"/>
              <w:spacing w:line="400" w:lineRule="exact"/>
              <w:jc w:val="center"/>
              <w:rPr>
                <w:rFonts w:hint="eastAsia" w:hAnsi="宋体" w:cs="Courier New"/>
                <w:color w:val="000000"/>
                <w:kern w:val="2"/>
                <w:sz w:val="24"/>
                <w:szCs w:val="24"/>
                <w:lang w:val="en-US" w:eastAsia="zh-CN"/>
              </w:rPr>
            </w:pPr>
            <w:r>
              <w:rPr>
                <w:rFonts w:hint="eastAsia" w:hAnsi="宋体" w:cs="Courier New"/>
                <w:color w:val="000000"/>
                <w:kern w:val="2"/>
                <w:sz w:val="24"/>
                <w:szCs w:val="24"/>
                <w:lang w:val="en-US" w:eastAsia="zh-CN"/>
              </w:rPr>
              <w:t>标的的名称</w:t>
            </w:r>
          </w:p>
        </w:tc>
        <w:tc>
          <w:tcPr>
            <w:tcW w:w="1834" w:type="dxa"/>
            <w:vAlign w:val="center"/>
          </w:tcPr>
          <w:p>
            <w:pPr>
              <w:pStyle w:val="15"/>
              <w:spacing w:line="400" w:lineRule="exact"/>
              <w:jc w:val="center"/>
              <w:rPr>
                <w:rFonts w:hAnsi="宋体" w:cs="Courier New"/>
                <w:color w:val="000000"/>
                <w:kern w:val="2"/>
                <w:sz w:val="24"/>
                <w:szCs w:val="24"/>
                <w:lang w:val="en-US" w:eastAsia="zh-CN"/>
              </w:rPr>
            </w:pPr>
            <w:r>
              <w:rPr>
                <w:rFonts w:hint="eastAsia" w:hAnsi="宋体" w:cs="Courier New"/>
                <w:color w:val="000000"/>
                <w:kern w:val="2"/>
                <w:sz w:val="24"/>
                <w:szCs w:val="24"/>
                <w:lang w:val="en-US" w:eastAsia="zh-CN"/>
              </w:rPr>
              <w:t>技术要求</w:t>
            </w:r>
          </w:p>
        </w:tc>
        <w:tc>
          <w:tcPr>
            <w:tcW w:w="2181" w:type="dxa"/>
            <w:vAlign w:val="center"/>
          </w:tcPr>
          <w:p>
            <w:pPr>
              <w:pStyle w:val="15"/>
              <w:spacing w:line="400" w:lineRule="exact"/>
              <w:jc w:val="center"/>
              <w:rPr>
                <w:rFonts w:hint="eastAsia" w:hAnsi="宋体" w:cs="Courier New"/>
                <w:color w:val="000000"/>
                <w:kern w:val="2"/>
                <w:sz w:val="24"/>
                <w:szCs w:val="24"/>
                <w:lang w:val="en-US" w:eastAsia="zh-CN"/>
              </w:rPr>
            </w:pPr>
            <w:r>
              <w:rPr>
                <w:rFonts w:hint="eastAsia" w:hAnsi="宋体" w:cs="Courier New"/>
                <w:color w:val="000000"/>
                <w:kern w:val="2"/>
                <w:sz w:val="24"/>
                <w:szCs w:val="24"/>
                <w:lang w:val="en-US" w:eastAsia="zh-CN"/>
              </w:rPr>
              <w:t>投标响应</w:t>
            </w:r>
          </w:p>
        </w:tc>
        <w:tc>
          <w:tcPr>
            <w:tcW w:w="1934" w:type="dxa"/>
            <w:vAlign w:val="center"/>
          </w:tcPr>
          <w:p>
            <w:pPr>
              <w:pStyle w:val="15"/>
              <w:spacing w:line="400" w:lineRule="exact"/>
              <w:jc w:val="center"/>
              <w:rPr>
                <w:rFonts w:hint="eastAsia" w:hAnsi="宋体" w:cs="Courier New"/>
                <w:color w:val="000000"/>
                <w:kern w:val="2"/>
                <w:sz w:val="24"/>
                <w:szCs w:val="24"/>
                <w:lang w:val="en-US" w:eastAsia="zh-CN"/>
              </w:rPr>
            </w:pPr>
            <w:r>
              <w:rPr>
                <w:rFonts w:hint="eastAsia" w:hAnsi="宋体" w:cs="Courier New"/>
                <w:color w:val="000000"/>
                <w:kern w:val="2"/>
                <w:sz w:val="24"/>
                <w:szCs w:val="24"/>
                <w:lang w:val="en-US" w:eastAsia="zh-CN"/>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 w:type="dxa"/>
            <w:vAlign w:val="top"/>
          </w:tcPr>
          <w:p>
            <w:pPr>
              <w:pStyle w:val="15"/>
              <w:spacing w:line="600" w:lineRule="exact"/>
              <w:jc w:val="center"/>
              <w:rPr>
                <w:rFonts w:hint="eastAsia" w:hAnsi="宋体" w:cs="Courier New"/>
                <w:color w:val="000000"/>
                <w:kern w:val="2"/>
                <w:sz w:val="24"/>
                <w:szCs w:val="24"/>
                <w:lang w:val="en-US" w:eastAsia="zh-CN"/>
              </w:rPr>
            </w:pPr>
          </w:p>
        </w:tc>
        <w:tc>
          <w:tcPr>
            <w:tcW w:w="2143" w:type="dxa"/>
            <w:vAlign w:val="center"/>
          </w:tcPr>
          <w:p>
            <w:pPr>
              <w:pStyle w:val="15"/>
              <w:spacing w:line="600" w:lineRule="exact"/>
              <w:jc w:val="center"/>
              <w:rPr>
                <w:rFonts w:hint="eastAsia" w:hAnsi="宋体" w:cs="Courier New"/>
                <w:color w:val="000000"/>
                <w:kern w:val="2"/>
                <w:sz w:val="24"/>
                <w:szCs w:val="24"/>
                <w:lang w:val="en-US" w:eastAsia="zh-CN"/>
              </w:rPr>
            </w:pPr>
          </w:p>
        </w:tc>
        <w:tc>
          <w:tcPr>
            <w:tcW w:w="1834" w:type="dxa"/>
            <w:vAlign w:val="center"/>
          </w:tcPr>
          <w:p>
            <w:pPr>
              <w:pStyle w:val="15"/>
              <w:spacing w:line="600" w:lineRule="exact"/>
              <w:jc w:val="center"/>
              <w:rPr>
                <w:rFonts w:hint="eastAsia" w:hAnsi="宋体" w:cs="Courier New"/>
                <w:color w:val="000000"/>
                <w:kern w:val="2"/>
                <w:sz w:val="24"/>
                <w:szCs w:val="24"/>
                <w:lang w:val="en-US" w:eastAsia="zh-CN"/>
              </w:rPr>
            </w:pPr>
          </w:p>
        </w:tc>
        <w:tc>
          <w:tcPr>
            <w:tcW w:w="2181" w:type="dxa"/>
            <w:vAlign w:val="center"/>
          </w:tcPr>
          <w:p>
            <w:pPr>
              <w:pStyle w:val="15"/>
              <w:spacing w:line="600" w:lineRule="exact"/>
              <w:jc w:val="center"/>
              <w:rPr>
                <w:rFonts w:hint="eastAsia" w:hAnsi="宋体" w:cs="Courier New"/>
                <w:color w:val="000000"/>
                <w:kern w:val="2"/>
                <w:sz w:val="24"/>
                <w:szCs w:val="24"/>
                <w:lang w:val="en-US" w:eastAsia="zh-CN"/>
              </w:rPr>
            </w:pPr>
          </w:p>
        </w:tc>
        <w:tc>
          <w:tcPr>
            <w:tcW w:w="1934" w:type="dxa"/>
            <w:vAlign w:val="center"/>
          </w:tcPr>
          <w:p>
            <w:pPr>
              <w:pStyle w:val="15"/>
              <w:spacing w:line="600" w:lineRule="exact"/>
              <w:jc w:val="center"/>
              <w:rPr>
                <w:rFonts w:hint="eastAsia" w:hAnsi="宋体" w:cs="Courier New"/>
                <w:color w:val="000000"/>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 w:type="dxa"/>
            <w:vAlign w:val="top"/>
          </w:tcPr>
          <w:p>
            <w:pPr>
              <w:pStyle w:val="15"/>
              <w:spacing w:line="600" w:lineRule="exact"/>
              <w:rPr>
                <w:rFonts w:hint="eastAsia" w:hAnsi="宋体" w:cs="Courier New"/>
                <w:color w:val="000000"/>
                <w:kern w:val="2"/>
                <w:sz w:val="24"/>
                <w:szCs w:val="24"/>
                <w:lang w:val="en-US" w:eastAsia="zh-CN"/>
              </w:rPr>
            </w:pPr>
          </w:p>
        </w:tc>
        <w:tc>
          <w:tcPr>
            <w:tcW w:w="2143" w:type="dxa"/>
            <w:vAlign w:val="top"/>
          </w:tcPr>
          <w:p>
            <w:pPr>
              <w:pStyle w:val="15"/>
              <w:spacing w:line="600" w:lineRule="exact"/>
              <w:rPr>
                <w:rFonts w:hint="eastAsia" w:hAnsi="宋体" w:cs="Courier New"/>
                <w:color w:val="000000"/>
                <w:kern w:val="2"/>
                <w:sz w:val="24"/>
                <w:szCs w:val="24"/>
                <w:lang w:val="en-US" w:eastAsia="zh-CN"/>
              </w:rPr>
            </w:pPr>
          </w:p>
        </w:tc>
        <w:tc>
          <w:tcPr>
            <w:tcW w:w="1834" w:type="dxa"/>
            <w:vAlign w:val="top"/>
          </w:tcPr>
          <w:p>
            <w:pPr>
              <w:pStyle w:val="15"/>
              <w:spacing w:line="600" w:lineRule="exact"/>
              <w:rPr>
                <w:rFonts w:hint="eastAsia" w:hAnsi="宋体" w:cs="Courier New"/>
                <w:color w:val="000000"/>
                <w:kern w:val="2"/>
                <w:sz w:val="24"/>
                <w:szCs w:val="24"/>
                <w:lang w:val="en-US" w:eastAsia="zh-CN"/>
              </w:rPr>
            </w:pPr>
          </w:p>
        </w:tc>
        <w:tc>
          <w:tcPr>
            <w:tcW w:w="2181" w:type="dxa"/>
            <w:vAlign w:val="top"/>
          </w:tcPr>
          <w:p>
            <w:pPr>
              <w:pStyle w:val="15"/>
              <w:spacing w:line="600" w:lineRule="exact"/>
              <w:rPr>
                <w:rFonts w:hint="eastAsia" w:hAnsi="宋体" w:cs="Courier New"/>
                <w:color w:val="000000"/>
                <w:kern w:val="2"/>
                <w:sz w:val="24"/>
                <w:szCs w:val="24"/>
                <w:lang w:val="en-US" w:eastAsia="zh-CN"/>
              </w:rPr>
            </w:pPr>
          </w:p>
        </w:tc>
        <w:tc>
          <w:tcPr>
            <w:tcW w:w="1934" w:type="dxa"/>
            <w:vAlign w:val="top"/>
          </w:tcPr>
          <w:p>
            <w:pPr>
              <w:pStyle w:val="15"/>
              <w:spacing w:line="600" w:lineRule="exact"/>
              <w:rPr>
                <w:rFonts w:hint="eastAsia" w:hAnsi="宋体" w:cs="Courier New"/>
                <w:color w:val="000000"/>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 w:type="dxa"/>
            <w:vAlign w:val="top"/>
          </w:tcPr>
          <w:p>
            <w:pPr>
              <w:pStyle w:val="15"/>
              <w:spacing w:line="600" w:lineRule="exact"/>
              <w:rPr>
                <w:rFonts w:hint="eastAsia" w:hAnsi="宋体" w:cs="Courier New"/>
                <w:color w:val="000000"/>
                <w:kern w:val="2"/>
                <w:sz w:val="24"/>
                <w:szCs w:val="24"/>
                <w:lang w:val="en-US" w:eastAsia="zh-CN"/>
              </w:rPr>
            </w:pPr>
          </w:p>
        </w:tc>
        <w:tc>
          <w:tcPr>
            <w:tcW w:w="2143" w:type="dxa"/>
            <w:vAlign w:val="top"/>
          </w:tcPr>
          <w:p>
            <w:pPr>
              <w:pStyle w:val="15"/>
              <w:spacing w:line="600" w:lineRule="exact"/>
              <w:rPr>
                <w:rFonts w:hint="eastAsia" w:hAnsi="宋体" w:cs="Courier New"/>
                <w:color w:val="000000"/>
                <w:kern w:val="2"/>
                <w:sz w:val="24"/>
                <w:szCs w:val="24"/>
                <w:lang w:val="en-US" w:eastAsia="zh-CN"/>
              </w:rPr>
            </w:pPr>
          </w:p>
        </w:tc>
        <w:tc>
          <w:tcPr>
            <w:tcW w:w="1834" w:type="dxa"/>
            <w:vAlign w:val="top"/>
          </w:tcPr>
          <w:p>
            <w:pPr>
              <w:pStyle w:val="15"/>
              <w:spacing w:line="600" w:lineRule="exact"/>
              <w:rPr>
                <w:rFonts w:hint="eastAsia" w:hAnsi="宋体" w:cs="Courier New"/>
                <w:color w:val="000000"/>
                <w:kern w:val="2"/>
                <w:sz w:val="24"/>
                <w:szCs w:val="24"/>
                <w:lang w:val="en-US" w:eastAsia="zh-CN"/>
              </w:rPr>
            </w:pPr>
          </w:p>
        </w:tc>
        <w:tc>
          <w:tcPr>
            <w:tcW w:w="2181" w:type="dxa"/>
            <w:vAlign w:val="top"/>
          </w:tcPr>
          <w:p>
            <w:pPr>
              <w:pStyle w:val="15"/>
              <w:spacing w:line="600" w:lineRule="exact"/>
              <w:rPr>
                <w:rFonts w:hint="eastAsia" w:hAnsi="宋体" w:cs="Courier New"/>
                <w:color w:val="000000"/>
                <w:kern w:val="2"/>
                <w:sz w:val="24"/>
                <w:szCs w:val="24"/>
                <w:lang w:val="en-US" w:eastAsia="zh-CN"/>
              </w:rPr>
            </w:pPr>
          </w:p>
        </w:tc>
        <w:tc>
          <w:tcPr>
            <w:tcW w:w="1934" w:type="dxa"/>
            <w:vAlign w:val="top"/>
          </w:tcPr>
          <w:p>
            <w:pPr>
              <w:pStyle w:val="15"/>
              <w:spacing w:line="600" w:lineRule="exact"/>
              <w:rPr>
                <w:rFonts w:hint="eastAsia" w:hAnsi="宋体" w:cs="Courier New"/>
                <w:color w:val="000000"/>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 w:type="dxa"/>
            <w:vAlign w:val="top"/>
          </w:tcPr>
          <w:p>
            <w:pPr>
              <w:pStyle w:val="15"/>
              <w:spacing w:line="600" w:lineRule="exact"/>
              <w:rPr>
                <w:rFonts w:hint="eastAsia" w:hAnsi="宋体" w:cs="Courier New"/>
                <w:color w:val="000000"/>
                <w:kern w:val="2"/>
                <w:sz w:val="24"/>
                <w:szCs w:val="24"/>
                <w:lang w:val="en-US" w:eastAsia="zh-CN"/>
              </w:rPr>
            </w:pPr>
          </w:p>
        </w:tc>
        <w:tc>
          <w:tcPr>
            <w:tcW w:w="2143" w:type="dxa"/>
            <w:vAlign w:val="top"/>
          </w:tcPr>
          <w:p>
            <w:pPr>
              <w:pStyle w:val="15"/>
              <w:spacing w:line="600" w:lineRule="exact"/>
              <w:rPr>
                <w:rFonts w:hint="eastAsia" w:hAnsi="宋体" w:cs="Courier New"/>
                <w:color w:val="000000"/>
                <w:kern w:val="2"/>
                <w:sz w:val="24"/>
                <w:szCs w:val="24"/>
                <w:lang w:val="en-US" w:eastAsia="zh-CN"/>
              </w:rPr>
            </w:pPr>
          </w:p>
        </w:tc>
        <w:tc>
          <w:tcPr>
            <w:tcW w:w="1834" w:type="dxa"/>
            <w:vAlign w:val="top"/>
          </w:tcPr>
          <w:p>
            <w:pPr>
              <w:pStyle w:val="15"/>
              <w:spacing w:line="600" w:lineRule="exact"/>
              <w:rPr>
                <w:rFonts w:hint="eastAsia" w:hAnsi="宋体" w:cs="Courier New"/>
                <w:color w:val="000000"/>
                <w:kern w:val="2"/>
                <w:sz w:val="24"/>
                <w:szCs w:val="24"/>
                <w:lang w:val="en-US" w:eastAsia="zh-CN"/>
              </w:rPr>
            </w:pPr>
          </w:p>
        </w:tc>
        <w:tc>
          <w:tcPr>
            <w:tcW w:w="2181" w:type="dxa"/>
            <w:vAlign w:val="top"/>
          </w:tcPr>
          <w:p>
            <w:pPr>
              <w:pStyle w:val="15"/>
              <w:spacing w:line="600" w:lineRule="exact"/>
              <w:rPr>
                <w:rFonts w:hint="eastAsia" w:hAnsi="宋体" w:cs="Courier New"/>
                <w:color w:val="000000"/>
                <w:kern w:val="2"/>
                <w:sz w:val="24"/>
                <w:szCs w:val="24"/>
                <w:lang w:val="en-US" w:eastAsia="zh-CN"/>
              </w:rPr>
            </w:pPr>
          </w:p>
        </w:tc>
        <w:tc>
          <w:tcPr>
            <w:tcW w:w="1934" w:type="dxa"/>
            <w:vAlign w:val="top"/>
          </w:tcPr>
          <w:p>
            <w:pPr>
              <w:pStyle w:val="15"/>
              <w:spacing w:line="600" w:lineRule="exact"/>
              <w:rPr>
                <w:rFonts w:hint="eastAsia" w:hAnsi="宋体" w:cs="Courier New"/>
                <w:color w:val="000000"/>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 w:type="dxa"/>
            <w:vAlign w:val="top"/>
          </w:tcPr>
          <w:p>
            <w:pPr>
              <w:pStyle w:val="15"/>
              <w:spacing w:line="600" w:lineRule="exact"/>
              <w:rPr>
                <w:rFonts w:hint="eastAsia" w:hAnsi="宋体" w:cs="Courier New"/>
                <w:color w:val="000000"/>
                <w:kern w:val="2"/>
                <w:sz w:val="24"/>
                <w:szCs w:val="24"/>
                <w:lang w:val="en-US" w:eastAsia="zh-CN"/>
              </w:rPr>
            </w:pPr>
          </w:p>
        </w:tc>
        <w:tc>
          <w:tcPr>
            <w:tcW w:w="2143" w:type="dxa"/>
            <w:vAlign w:val="top"/>
          </w:tcPr>
          <w:p>
            <w:pPr>
              <w:pStyle w:val="15"/>
              <w:spacing w:line="600" w:lineRule="exact"/>
              <w:rPr>
                <w:rFonts w:hint="eastAsia" w:hAnsi="宋体" w:cs="Courier New"/>
                <w:color w:val="000000"/>
                <w:kern w:val="2"/>
                <w:sz w:val="24"/>
                <w:szCs w:val="24"/>
                <w:lang w:val="en-US" w:eastAsia="zh-CN"/>
              </w:rPr>
            </w:pPr>
          </w:p>
        </w:tc>
        <w:tc>
          <w:tcPr>
            <w:tcW w:w="1834" w:type="dxa"/>
            <w:vAlign w:val="top"/>
          </w:tcPr>
          <w:p>
            <w:pPr>
              <w:pStyle w:val="15"/>
              <w:spacing w:line="600" w:lineRule="exact"/>
              <w:rPr>
                <w:rFonts w:hint="eastAsia" w:hAnsi="宋体" w:cs="Courier New"/>
                <w:color w:val="000000"/>
                <w:kern w:val="2"/>
                <w:sz w:val="24"/>
                <w:szCs w:val="24"/>
                <w:lang w:val="en-US" w:eastAsia="zh-CN"/>
              </w:rPr>
            </w:pPr>
          </w:p>
        </w:tc>
        <w:tc>
          <w:tcPr>
            <w:tcW w:w="2181" w:type="dxa"/>
            <w:vAlign w:val="top"/>
          </w:tcPr>
          <w:p>
            <w:pPr>
              <w:pStyle w:val="15"/>
              <w:spacing w:line="600" w:lineRule="exact"/>
              <w:rPr>
                <w:rFonts w:hint="eastAsia" w:hAnsi="宋体" w:cs="Courier New"/>
                <w:color w:val="000000"/>
                <w:kern w:val="2"/>
                <w:sz w:val="24"/>
                <w:szCs w:val="24"/>
                <w:lang w:val="en-US" w:eastAsia="zh-CN"/>
              </w:rPr>
            </w:pPr>
          </w:p>
        </w:tc>
        <w:tc>
          <w:tcPr>
            <w:tcW w:w="1934" w:type="dxa"/>
            <w:vAlign w:val="top"/>
          </w:tcPr>
          <w:p>
            <w:pPr>
              <w:pStyle w:val="15"/>
              <w:spacing w:line="600" w:lineRule="exact"/>
              <w:rPr>
                <w:rFonts w:hint="eastAsia" w:hAnsi="宋体" w:cs="Courier New"/>
                <w:color w:val="000000"/>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 w:type="dxa"/>
            <w:vAlign w:val="top"/>
          </w:tcPr>
          <w:p>
            <w:pPr>
              <w:pStyle w:val="15"/>
              <w:spacing w:line="600" w:lineRule="exact"/>
              <w:rPr>
                <w:rFonts w:hint="eastAsia" w:hAnsi="宋体" w:cs="Courier New"/>
                <w:color w:val="000000"/>
                <w:kern w:val="2"/>
                <w:sz w:val="24"/>
                <w:szCs w:val="24"/>
                <w:lang w:val="en-US" w:eastAsia="zh-CN"/>
              </w:rPr>
            </w:pPr>
          </w:p>
        </w:tc>
        <w:tc>
          <w:tcPr>
            <w:tcW w:w="2143" w:type="dxa"/>
            <w:vAlign w:val="top"/>
          </w:tcPr>
          <w:p>
            <w:pPr>
              <w:pStyle w:val="15"/>
              <w:spacing w:line="600" w:lineRule="exact"/>
              <w:rPr>
                <w:rFonts w:hint="eastAsia" w:hAnsi="宋体" w:cs="Courier New"/>
                <w:color w:val="000000"/>
                <w:kern w:val="2"/>
                <w:sz w:val="24"/>
                <w:szCs w:val="24"/>
                <w:lang w:val="en-US" w:eastAsia="zh-CN"/>
              </w:rPr>
            </w:pPr>
          </w:p>
        </w:tc>
        <w:tc>
          <w:tcPr>
            <w:tcW w:w="1834" w:type="dxa"/>
            <w:vAlign w:val="top"/>
          </w:tcPr>
          <w:p>
            <w:pPr>
              <w:pStyle w:val="15"/>
              <w:spacing w:line="600" w:lineRule="exact"/>
              <w:rPr>
                <w:rFonts w:hint="eastAsia" w:hAnsi="宋体" w:cs="Courier New"/>
                <w:color w:val="000000"/>
                <w:kern w:val="2"/>
                <w:sz w:val="24"/>
                <w:szCs w:val="24"/>
                <w:lang w:val="en-US" w:eastAsia="zh-CN"/>
              </w:rPr>
            </w:pPr>
          </w:p>
        </w:tc>
        <w:tc>
          <w:tcPr>
            <w:tcW w:w="2181" w:type="dxa"/>
            <w:vAlign w:val="top"/>
          </w:tcPr>
          <w:p>
            <w:pPr>
              <w:pStyle w:val="15"/>
              <w:spacing w:line="600" w:lineRule="exact"/>
              <w:rPr>
                <w:rFonts w:hint="eastAsia" w:hAnsi="宋体" w:cs="Courier New"/>
                <w:color w:val="000000"/>
                <w:kern w:val="2"/>
                <w:sz w:val="24"/>
                <w:szCs w:val="24"/>
                <w:lang w:val="en-US" w:eastAsia="zh-CN"/>
              </w:rPr>
            </w:pPr>
          </w:p>
        </w:tc>
        <w:tc>
          <w:tcPr>
            <w:tcW w:w="1934" w:type="dxa"/>
            <w:vAlign w:val="top"/>
          </w:tcPr>
          <w:p>
            <w:pPr>
              <w:pStyle w:val="15"/>
              <w:spacing w:line="600" w:lineRule="exact"/>
              <w:rPr>
                <w:rFonts w:hint="eastAsia" w:hAnsi="宋体" w:cs="Courier New"/>
                <w:color w:val="000000"/>
                <w:kern w:val="2"/>
                <w:sz w:val="24"/>
                <w:szCs w:val="24"/>
                <w:lang w:val="en-US" w:eastAsia="zh-CN"/>
              </w:rPr>
            </w:pPr>
          </w:p>
        </w:tc>
      </w:tr>
    </w:tbl>
    <w:p>
      <w:pPr>
        <w:pStyle w:val="14"/>
        <w:rPr>
          <w:rFonts w:hint="eastAsia" w:ascii="宋体" w:hAnsi="宋体"/>
          <w:color w:val="000000"/>
        </w:rPr>
      </w:pPr>
      <w:r>
        <w:rPr>
          <w:rFonts w:hint="eastAsia" w:ascii="宋体" w:hAnsi="宋体"/>
          <w:color w:val="000000"/>
        </w:rPr>
        <w:t>注：</w:t>
      </w:r>
    </w:p>
    <w:p>
      <w:pPr>
        <w:pStyle w:val="4"/>
        <w:spacing w:line="360" w:lineRule="auto"/>
        <w:ind w:firstLine="0" w:firstLineChars="0"/>
        <w:rPr>
          <w:rFonts w:hint="eastAsia" w:hAnsi="仿宋_GB2312" w:cs="仿宋_GB2312"/>
          <w:color w:val="000000"/>
          <w:szCs w:val="32"/>
        </w:rPr>
      </w:pPr>
      <w:r>
        <w:rPr>
          <w:rFonts w:hint="eastAsia" w:ascii="宋体" w:hAnsi="宋体" w:eastAsia="宋体"/>
          <w:color w:val="000000"/>
          <w:sz w:val="24"/>
          <w:szCs w:val="24"/>
        </w:rPr>
        <w:t>1. 说明：应对照招标文件“第二章 采购需求”中的“技术要求”逐条作明确的投标响应，并作出偏离说明。</w:t>
      </w:r>
    </w:p>
    <w:p>
      <w:pPr>
        <w:pStyle w:val="14"/>
        <w:spacing w:line="360" w:lineRule="auto"/>
        <w:rPr>
          <w:rFonts w:hint="eastAsia" w:ascii="宋体" w:hAnsi="宋体"/>
          <w:b w:val="0"/>
          <w:bCs w:val="0"/>
          <w:color w:val="000000"/>
        </w:rPr>
      </w:pPr>
      <w:r>
        <w:rPr>
          <w:rFonts w:ascii="宋体" w:hAnsi="宋体"/>
          <w:b w:val="0"/>
          <w:bCs w:val="0"/>
          <w:color w:val="000000"/>
        </w:rPr>
        <w:t>2.</w:t>
      </w:r>
      <w:r>
        <w:rPr>
          <w:rFonts w:hint="eastAsia" w:ascii="宋体" w:hAnsi="宋体"/>
          <w:b w:val="0"/>
          <w:bCs w:val="0"/>
          <w:color w:val="000000"/>
        </w:rPr>
        <w:t>投标人根据投标货物的性能指标，对照招标文件技术要求，在“偏离说明”中注明“</w:t>
      </w:r>
      <w:r>
        <w:rPr>
          <w:rFonts w:hint="eastAsia" w:ascii="宋体" w:hAnsi="宋体"/>
          <w:color w:val="000000"/>
        </w:rPr>
        <w:t>正偏离</w:t>
      </w:r>
      <w:r>
        <w:rPr>
          <w:rFonts w:hint="eastAsia" w:ascii="宋体" w:hAnsi="宋体"/>
          <w:b w:val="0"/>
          <w:bCs w:val="0"/>
          <w:color w:val="000000"/>
        </w:rPr>
        <w:t>”、“</w:t>
      </w:r>
      <w:r>
        <w:rPr>
          <w:rFonts w:hint="eastAsia" w:ascii="宋体" w:hAnsi="宋体"/>
          <w:color w:val="000000"/>
        </w:rPr>
        <w:t>负偏离</w:t>
      </w:r>
      <w:r>
        <w:rPr>
          <w:rFonts w:hint="eastAsia" w:ascii="宋体" w:hAnsi="宋体"/>
          <w:b w:val="0"/>
          <w:bCs w:val="0"/>
          <w:color w:val="000000"/>
        </w:rPr>
        <w:t>”或者“</w:t>
      </w:r>
      <w:r>
        <w:rPr>
          <w:rFonts w:hint="eastAsia" w:ascii="宋体" w:hAnsi="宋体"/>
          <w:color w:val="000000"/>
        </w:rPr>
        <w:t>无偏离</w:t>
      </w:r>
      <w:r>
        <w:rPr>
          <w:rFonts w:hint="eastAsia" w:ascii="宋体" w:hAnsi="宋体"/>
          <w:b w:val="0"/>
          <w:bCs w:val="0"/>
          <w:color w:val="000000"/>
        </w:rPr>
        <w:t>”。既不属于“</w:t>
      </w:r>
      <w:r>
        <w:rPr>
          <w:rFonts w:hint="eastAsia" w:ascii="宋体" w:hAnsi="宋体"/>
          <w:color w:val="000000"/>
        </w:rPr>
        <w:t>正偏离</w:t>
      </w:r>
      <w:r>
        <w:rPr>
          <w:rFonts w:hint="eastAsia" w:ascii="宋体" w:hAnsi="宋体"/>
          <w:b w:val="0"/>
          <w:bCs w:val="0"/>
          <w:color w:val="000000"/>
        </w:rPr>
        <w:t>”也不属于“</w:t>
      </w:r>
      <w:r>
        <w:rPr>
          <w:rFonts w:hint="eastAsia" w:ascii="宋体" w:hAnsi="宋体"/>
          <w:color w:val="000000"/>
        </w:rPr>
        <w:t>负偏离</w:t>
      </w:r>
      <w:r>
        <w:rPr>
          <w:rFonts w:hint="eastAsia" w:ascii="宋体" w:hAnsi="宋体"/>
          <w:b w:val="0"/>
          <w:bCs w:val="0"/>
          <w:color w:val="000000"/>
        </w:rPr>
        <w:t>”即为“</w:t>
      </w:r>
      <w:r>
        <w:rPr>
          <w:rFonts w:hint="eastAsia" w:ascii="宋体" w:hAnsi="宋体"/>
          <w:color w:val="000000"/>
        </w:rPr>
        <w:t>无偏离</w:t>
      </w:r>
      <w:r>
        <w:rPr>
          <w:rFonts w:hint="eastAsia" w:ascii="宋体" w:hAnsi="宋体"/>
          <w:b w:val="0"/>
          <w:bCs w:val="0"/>
          <w:color w:val="000000"/>
        </w:rPr>
        <w:t>”。</w:t>
      </w:r>
    </w:p>
    <w:p>
      <w:pPr>
        <w:pStyle w:val="4"/>
        <w:spacing w:line="360" w:lineRule="auto"/>
        <w:ind w:firstLine="0" w:firstLineChars="0"/>
        <w:rPr>
          <w:rFonts w:ascii="宋体" w:hAnsi="宋体" w:eastAsia="宋体"/>
          <w:color w:val="000000"/>
          <w:sz w:val="24"/>
          <w:szCs w:val="24"/>
        </w:rPr>
      </w:pPr>
      <w:r>
        <w:rPr>
          <w:rFonts w:hint="eastAsia" w:ascii="宋体" w:hAnsi="宋体" w:eastAsia="宋体"/>
          <w:color w:val="000000"/>
          <w:sz w:val="24"/>
          <w:szCs w:val="24"/>
        </w:rPr>
        <w:t>3.投标人认为其投标响应有正偏离的，请在技术要求偏离表中列明，且在投标文件中提供投标产品的彩页或</w:t>
      </w:r>
      <w:r>
        <w:rPr>
          <w:rFonts w:ascii="宋体" w:hAnsi="宋体" w:eastAsia="宋体"/>
          <w:color w:val="000000"/>
          <w:sz w:val="24"/>
          <w:szCs w:val="24"/>
        </w:rPr>
        <w:t>国家认可的有资质的第三方检测机构出具的检测报告复印件</w:t>
      </w:r>
      <w:r>
        <w:rPr>
          <w:rFonts w:hint="eastAsia" w:ascii="宋体" w:hAnsi="宋体" w:eastAsia="宋体"/>
          <w:color w:val="000000"/>
          <w:sz w:val="24"/>
          <w:szCs w:val="24"/>
        </w:rPr>
        <w:t>或产品生产厂家出具的技术参数说明证明作为佐证，以上佐证材料均需加盖生产厂家或代理商（附生产厂家授权资料）公章。</w:t>
      </w:r>
    </w:p>
    <w:p>
      <w:pPr>
        <w:pStyle w:val="4"/>
        <w:spacing w:line="360" w:lineRule="auto"/>
        <w:ind w:firstLine="0" w:firstLineChars="0"/>
        <w:rPr>
          <w:rFonts w:hint="eastAsia" w:ascii="宋体" w:hAnsi="宋体" w:eastAsia="宋体"/>
          <w:color w:val="000000"/>
          <w:sz w:val="24"/>
          <w:szCs w:val="24"/>
        </w:rPr>
      </w:pPr>
      <w:r>
        <w:rPr>
          <w:rFonts w:hint="eastAsia" w:ascii="宋体" w:hAnsi="宋体" w:eastAsia="宋体"/>
          <w:color w:val="000000"/>
          <w:sz w:val="24"/>
          <w:szCs w:val="24"/>
        </w:rPr>
        <w:t>4</w:t>
      </w:r>
      <w:r>
        <w:rPr>
          <w:rFonts w:ascii="宋体" w:hAnsi="宋体" w:eastAsia="宋体"/>
          <w:color w:val="000000"/>
          <w:sz w:val="24"/>
          <w:szCs w:val="24"/>
        </w:rPr>
        <w:t>.</w:t>
      </w:r>
      <w:r>
        <w:rPr>
          <w:rFonts w:hint="eastAsia" w:ascii="宋体" w:hAnsi="宋体" w:eastAsia="宋体"/>
          <w:color w:val="000000"/>
          <w:sz w:val="24"/>
          <w:szCs w:val="24"/>
        </w:rPr>
        <w:t xml:space="preserve"> 如技术要求偏离表中的投标响应与佐证材料不一致的，以佐证材料为准。</w:t>
      </w:r>
    </w:p>
    <w:p>
      <w:pPr>
        <w:snapToGrid w:val="0"/>
        <w:spacing w:before="50" w:after="50" w:line="360" w:lineRule="auto"/>
        <w:rPr>
          <w:rFonts w:ascii="宋体" w:hAnsi="宋体"/>
          <w:color w:val="000000"/>
          <w:sz w:val="24"/>
        </w:rPr>
      </w:pPr>
    </w:p>
    <w:p>
      <w:pPr>
        <w:snapToGrid w:val="0"/>
        <w:spacing w:before="50" w:after="50" w:line="360" w:lineRule="auto"/>
        <w:rPr>
          <w:rFonts w:hint="eastAsia" w:ascii="宋体" w:hAnsi="宋体"/>
          <w:color w:val="000000"/>
          <w:spacing w:val="20"/>
          <w:sz w:val="24"/>
          <w:u w:val="single"/>
        </w:rPr>
      </w:pPr>
      <w:r>
        <w:rPr>
          <w:rFonts w:hint="eastAsia" w:ascii="宋体" w:hAnsi="宋体"/>
          <w:color w:val="000000"/>
          <w:sz w:val="24"/>
        </w:rPr>
        <w:t>法定代表人或者委托代理人</w:t>
      </w:r>
      <w:r>
        <w:rPr>
          <w:rFonts w:hint="eastAsia" w:ascii="宋体" w:hAnsi="宋体"/>
          <w:color w:val="000000"/>
          <w:spacing w:val="20"/>
          <w:sz w:val="24"/>
        </w:rPr>
        <w:t>（签字/电子签名）：</w:t>
      </w:r>
      <w:r>
        <w:rPr>
          <w:rFonts w:hint="eastAsia" w:ascii="宋体" w:hAnsi="宋体"/>
          <w:color w:val="000000"/>
          <w:spacing w:val="20"/>
          <w:sz w:val="24"/>
          <w:u w:val="single"/>
        </w:rPr>
        <w:t xml:space="preserve">        </w:t>
      </w:r>
    </w:p>
    <w:p>
      <w:pPr>
        <w:snapToGrid w:val="0"/>
        <w:spacing w:before="50" w:after="50" w:line="360" w:lineRule="auto"/>
        <w:rPr>
          <w:rFonts w:hint="eastAsia" w:ascii="宋体" w:hAnsi="宋体"/>
          <w:color w:val="000000"/>
          <w:spacing w:val="20"/>
          <w:sz w:val="24"/>
        </w:rPr>
      </w:pPr>
      <w:r>
        <w:rPr>
          <w:rFonts w:hint="eastAsia" w:ascii="宋体" w:hAnsi="宋体"/>
          <w:color w:val="000000"/>
          <w:spacing w:val="20"/>
          <w:sz w:val="24"/>
        </w:rPr>
        <w:t>投标人名称（电子签章）：</w:t>
      </w:r>
      <w:r>
        <w:rPr>
          <w:rFonts w:hint="eastAsia" w:ascii="宋体" w:hAnsi="宋体"/>
          <w:color w:val="000000"/>
          <w:spacing w:val="20"/>
          <w:sz w:val="24"/>
          <w:u w:val="single"/>
        </w:rPr>
        <w:t xml:space="preserve">            </w:t>
      </w:r>
      <w:r>
        <w:rPr>
          <w:rFonts w:hint="eastAsia" w:ascii="宋体" w:hAnsi="宋体"/>
          <w:color w:val="000000"/>
          <w:spacing w:val="20"/>
          <w:sz w:val="24"/>
        </w:rPr>
        <w:t xml:space="preserve">              </w:t>
      </w:r>
    </w:p>
    <w:p>
      <w:pPr>
        <w:snapToGrid w:val="0"/>
        <w:spacing w:before="50" w:after="50" w:line="360" w:lineRule="auto"/>
        <w:rPr>
          <w:rFonts w:hint="eastAsia" w:ascii="宋体" w:hAnsi="宋体"/>
          <w:color w:val="000000"/>
          <w:spacing w:val="20"/>
          <w:sz w:val="24"/>
          <w:u w:val="single"/>
        </w:rPr>
      </w:pPr>
      <w:r>
        <w:rPr>
          <w:rFonts w:hint="eastAsia" w:ascii="宋体" w:hAnsi="宋体"/>
          <w:color w:val="000000"/>
          <w:spacing w:val="20"/>
          <w:sz w:val="24"/>
        </w:rPr>
        <w:t>日 期：</w:t>
      </w:r>
      <w:r>
        <w:rPr>
          <w:rFonts w:hint="eastAsia" w:ascii="宋体" w:hAnsi="宋体"/>
          <w:color w:val="000000"/>
          <w:spacing w:val="20"/>
          <w:sz w:val="24"/>
          <w:u w:val="single"/>
        </w:rPr>
        <w:t xml:space="preserve">        </w:t>
      </w:r>
    </w:p>
    <w:p>
      <w:pPr>
        <w:snapToGrid w:val="0"/>
        <w:spacing w:before="50" w:after="50" w:line="360" w:lineRule="auto"/>
        <w:rPr>
          <w:rFonts w:hint="eastAsia" w:ascii="宋体" w:hAnsi="宋体"/>
          <w:color w:val="000000"/>
          <w:sz w:val="24"/>
          <w:szCs w:val="20"/>
        </w:rPr>
      </w:pPr>
    </w:p>
    <w:p>
      <w:pPr>
        <w:snapToGrid w:val="0"/>
        <w:spacing w:before="120" w:beforeLines="50" w:after="50"/>
        <w:ind w:left="142"/>
        <w:jc w:val="left"/>
        <w:rPr>
          <w:rFonts w:hint="eastAsia" w:ascii="宋体" w:hAnsi="宋体"/>
          <w:b/>
          <w:color w:val="000000"/>
          <w:sz w:val="24"/>
        </w:rPr>
      </w:pPr>
      <w:r>
        <w:rPr>
          <w:rFonts w:ascii="宋体" w:hAnsi="宋体"/>
          <w:b/>
          <w:color w:val="000000"/>
          <w:sz w:val="24"/>
        </w:rPr>
        <w:br w:type="page"/>
      </w:r>
      <w:r>
        <w:rPr>
          <w:rFonts w:hint="eastAsia" w:ascii="宋体" w:hAnsi="宋体"/>
          <w:b/>
          <w:color w:val="000000"/>
          <w:sz w:val="24"/>
          <w:lang w:val="en-US" w:eastAsia="zh-CN"/>
        </w:rPr>
        <w:t>4</w:t>
      </w:r>
      <w:r>
        <w:rPr>
          <w:rFonts w:hint="eastAsia" w:ascii="宋体" w:hAnsi="宋体"/>
          <w:b/>
          <w:color w:val="000000"/>
          <w:sz w:val="24"/>
        </w:rPr>
        <w:t>. 项目实施人员一览表格式</w:t>
      </w:r>
    </w:p>
    <w:p>
      <w:pPr>
        <w:snapToGrid w:val="0"/>
        <w:spacing w:before="120" w:beforeLines="50" w:after="50"/>
        <w:ind w:left="142"/>
        <w:jc w:val="left"/>
        <w:rPr>
          <w:rFonts w:hint="eastAsia" w:ascii="宋体" w:hAnsi="宋体"/>
          <w:b/>
          <w:color w:val="000000"/>
          <w:sz w:val="24"/>
        </w:rPr>
      </w:pPr>
    </w:p>
    <w:p>
      <w:pPr>
        <w:snapToGrid w:val="0"/>
        <w:spacing w:before="120" w:beforeLines="50" w:after="50"/>
        <w:ind w:left="142"/>
        <w:jc w:val="center"/>
        <w:rPr>
          <w:rFonts w:hint="eastAsia" w:ascii="宋体" w:hAnsi="宋体"/>
          <w:b/>
          <w:color w:val="000000"/>
          <w:sz w:val="32"/>
          <w:szCs w:val="32"/>
        </w:rPr>
      </w:pPr>
      <w:r>
        <w:rPr>
          <w:rFonts w:hint="eastAsia" w:ascii="宋体" w:hAnsi="宋体"/>
          <w:b/>
          <w:color w:val="000000"/>
          <w:sz w:val="32"/>
          <w:szCs w:val="32"/>
        </w:rPr>
        <w:t>项目实施人员一览表</w:t>
      </w:r>
    </w:p>
    <w:p>
      <w:pPr>
        <w:pStyle w:val="15"/>
        <w:rPr>
          <w:rFonts w:hint="eastAsia"/>
          <w:color w:val="000000"/>
          <w:sz w:val="24"/>
          <w:szCs w:val="24"/>
        </w:rPr>
      </w:pPr>
      <w:r>
        <w:rPr>
          <w:rFonts w:hint="eastAsia"/>
          <w:color w:val="000000"/>
          <w:sz w:val="24"/>
          <w:szCs w:val="24"/>
        </w:rPr>
        <w:t>所投分标：</w:t>
      </w:r>
      <w:r>
        <w:rPr>
          <w:rFonts w:hint="eastAsia"/>
          <w:color w:val="000000"/>
          <w:sz w:val="24"/>
          <w:szCs w:val="24"/>
          <w:u w:val="single"/>
        </w:rPr>
        <w:t xml:space="preserve">     </w:t>
      </w:r>
      <w:r>
        <w:rPr>
          <w:rFonts w:hint="eastAsia"/>
          <w:color w:val="000000"/>
          <w:sz w:val="24"/>
          <w:szCs w:val="24"/>
        </w:rPr>
        <w:t>分标</w:t>
      </w:r>
    </w:p>
    <w:tbl>
      <w:tblPr>
        <w:tblStyle w:val="24"/>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1701"/>
        <w:gridCol w:w="1420"/>
        <w:gridCol w:w="169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50" w:after="120" w:afterLines="50"/>
              <w:jc w:val="center"/>
              <w:rPr>
                <w:rFonts w:hint="eastAsia" w:ascii="宋体" w:hAnsi="宋体"/>
                <w:color w:val="000000"/>
                <w:sz w:val="24"/>
                <w:szCs w:val="20"/>
              </w:rPr>
            </w:pPr>
            <w:r>
              <w:rPr>
                <w:rFonts w:hint="eastAsia" w:ascii="宋体" w:hAnsi="宋体"/>
                <w:color w:val="000000"/>
                <w:sz w:val="24"/>
                <w:szCs w:val="20"/>
              </w:rPr>
              <w:t>姓名</w:t>
            </w:r>
          </w:p>
        </w:tc>
        <w:tc>
          <w:tcPr>
            <w:tcW w:w="709" w:type="dxa"/>
            <w:vAlign w:val="center"/>
          </w:tcPr>
          <w:p>
            <w:pPr>
              <w:snapToGrid w:val="0"/>
              <w:spacing w:before="50" w:after="120" w:afterLines="50"/>
              <w:jc w:val="center"/>
              <w:rPr>
                <w:rFonts w:hint="eastAsia" w:ascii="宋体" w:hAnsi="宋体"/>
                <w:color w:val="000000"/>
                <w:sz w:val="24"/>
                <w:szCs w:val="20"/>
              </w:rPr>
            </w:pPr>
            <w:r>
              <w:rPr>
                <w:rFonts w:hint="eastAsia" w:ascii="宋体" w:hAnsi="宋体"/>
                <w:color w:val="000000"/>
                <w:sz w:val="24"/>
                <w:szCs w:val="20"/>
              </w:rPr>
              <w:t>职务</w:t>
            </w:r>
          </w:p>
        </w:tc>
        <w:tc>
          <w:tcPr>
            <w:tcW w:w="1701" w:type="dxa"/>
            <w:vAlign w:val="center"/>
          </w:tcPr>
          <w:p>
            <w:pPr>
              <w:snapToGrid w:val="0"/>
              <w:spacing w:before="50" w:after="120" w:afterLines="50"/>
              <w:jc w:val="center"/>
              <w:rPr>
                <w:rFonts w:hint="eastAsia" w:ascii="宋体" w:hAnsi="宋体"/>
                <w:color w:val="000000"/>
                <w:sz w:val="24"/>
                <w:szCs w:val="20"/>
              </w:rPr>
            </w:pPr>
            <w:r>
              <w:rPr>
                <w:rFonts w:hint="eastAsia" w:ascii="宋体" w:hAnsi="宋体"/>
                <w:color w:val="000000"/>
                <w:sz w:val="24"/>
                <w:szCs w:val="20"/>
              </w:rPr>
              <w:t>专业技术资格（职称）或者职业资格或者执业资格证或者其他证书</w:t>
            </w:r>
          </w:p>
        </w:tc>
        <w:tc>
          <w:tcPr>
            <w:tcW w:w="1420" w:type="dxa"/>
            <w:vAlign w:val="center"/>
          </w:tcPr>
          <w:p>
            <w:pPr>
              <w:snapToGrid w:val="0"/>
              <w:spacing w:before="50" w:after="120" w:afterLines="50"/>
              <w:jc w:val="center"/>
              <w:rPr>
                <w:rFonts w:hint="eastAsia" w:ascii="宋体" w:hAnsi="宋体"/>
                <w:color w:val="000000"/>
                <w:sz w:val="24"/>
                <w:szCs w:val="20"/>
              </w:rPr>
            </w:pPr>
            <w:r>
              <w:rPr>
                <w:rFonts w:hint="eastAsia" w:ascii="宋体" w:hAnsi="宋体"/>
                <w:color w:val="000000"/>
                <w:sz w:val="24"/>
                <w:szCs w:val="20"/>
              </w:rPr>
              <w:t>证书编号</w:t>
            </w:r>
          </w:p>
        </w:tc>
        <w:tc>
          <w:tcPr>
            <w:tcW w:w="1698" w:type="dxa"/>
            <w:vAlign w:val="center"/>
          </w:tcPr>
          <w:p>
            <w:pPr>
              <w:snapToGrid w:val="0"/>
              <w:spacing w:before="50" w:after="120" w:afterLines="50"/>
              <w:jc w:val="center"/>
              <w:rPr>
                <w:rFonts w:hint="eastAsia" w:ascii="宋体" w:hAnsi="宋体"/>
                <w:color w:val="000000"/>
                <w:sz w:val="24"/>
                <w:szCs w:val="20"/>
              </w:rPr>
            </w:pPr>
            <w:r>
              <w:rPr>
                <w:rFonts w:hint="eastAsia" w:ascii="宋体" w:hAnsi="宋体"/>
                <w:color w:val="000000"/>
                <w:sz w:val="24"/>
                <w:szCs w:val="20"/>
              </w:rPr>
              <w:t>参加本单位</w:t>
            </w:r>
          </w:p>
          <w:p>
            <w:pPr>
              <w:snapToGrid w:val="0"/>
              <w:spacing w:before="50" w:after="120" w:afterLines="50"/>
              <w:jc w:val="center"/>
              <w:rPr>
                <w:rFonts w:hint="eastAsia" w:ascii="宋体" w:hAnsi="宋体"/>
                <w:color w:val="000000"/>
                <w:sz w:val="24"/>
                <w:szCs w:val="20"/>
              </w:rPr>
            </w:pPr>
            <w:r>
              <w:rPr>
                <w:rFonts w:hint="eastAsia" w:ascii="宋体" w:hAnsi="宋体"/>
                <w:color w:val="000000"/>
                <w:sz w:val="24"/>
                <w:szCs w:val="20"/>
              </w:rPr>
              <w:t>工作时间</w:t>
            </w:r>
          </w:p>
        </w:tc>
        <w:tc>
          <w:tcPr>
            <w:tcW w:w="1843" w:type="dxa"/>
            <w:vAlign w:val="center"/>
          </w:tcPr>
          <w:p>
            <w:pPr>
              <w:snapToGrid w:val="0"/>
              <w:spacing w:before="50" w:after="120" w:afterLines="50"/>
              <w:jc w:val="center"/>
              <w:rPr>
                <w:rFonts w:hint="eastAsia" w:ascii="宋体" w:hAnsi="宋体"/>
                <w:color w:val="000000"/>
                <w:sz w:val="24"/>
                <w:szCs w:val="20"/>
              </w:rPr>
            </w:pPr>
            <w:r>
              <w:rPr>
                <w:rFonts w:hint="eastAsia" w:ascii="宋体" w:hAnsi="宋体"/>
                <w:color w:val="000000"/>
                <w:sz w:val="24"/>
                <w:szCs w:val="20"/>
              </w:rPr>
              <w:t>劳动合同编号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50" w:after="120" w:afterLines="50"/>
              <w:jc w:val="center"/>
              <w:rPr>
                <w:rFonts w:hint="eastAsia" w:ascii="宋体" w:hAnsi="宋体"/>
                <w:color w:val="000000"/>
                <w:sz w:val="24"/>
                <w:szCs w:val="20"/>
              </w:rPr>
            </w:pPr>
          </w:p>
        </w:tc>
        <w:tc>
          <w:tcPr>
            <w:tcW w:w="709" w:type="dxa"/>
            <w:vAlign w:val="center"/>
          </w:tcPr>
          <w:p>
            <w:pPr>
              <w:snapToGrid w:val="0"/>
              <w:spacing w:before="50" w:after="120" w:afterLines="50"/>
              <w:jc w:val="center"/>
              <w:rPr>
                <w:rFonts w:hint="eastAsia" w:ascii="宋体" w:hAnsi="宋体"/>
                <w:color w:val="000000"/>
                <w:sz w:val="24"/>
                <w:szCs w:val="20"/>
              </w:rPr>
            </w:pPr>
          </w:p>
        </w:tc>
        <w:tc>
          <w:tcPr>
            <w:tcW w:w="1701" w:type="dxa"/>
            <w:vAlign w:val="center"/>
          </w:tcPr>
          <w:p>
            <w:pPr>
              <w:snapToGrid w:val="0"/>
              <w:spacing w:before="50" w:after="120" w:afterLines="50"/>
              <w:jc w:val="center"/>
              <w:rPr>
                <w:rFonts w:hint="eastAsia" w:ascii="宋体" w:hAnsi="宋体"/>
                <w:color w:val="000000"/>
                <w:sz w:val="24"/>
                <w:szCs w:val="20"/>
              </w:rPr>
            </w:pPr>
          </w:p>
        </w:tc>
        <w:tc>
          <w:tcPr>
            <w:tcW w:w="1420" w:type="dxa"/>
            <w:vAlign w:val="center"/>
          </w:tcPr>
          <w:p>
            <w:pPr>
              <w:snapToGrid w:val="0"/>
              <w:spacing w:before="50" w:after="120" w:afterLines="50"/>
              <w:jc w:val="center"/>
              <w:rPr>
                <w:rFonts w:hint="eastAsia" w:ascii="宋体" w:hAnsi="宋体"/>
                <w:color w:val="000000"/>
                <w:sz w:val="24"/>
                <w:szCs w:val="20"/>
              </w:rPr>
            </w:pPr>
          </w:p>
        </w:tc>
        <w:tc>
          <w:tcPr>
            <w:tcW w:w="1698" w:type="dxa"/>
            <w:vAlign w:val="center"/>
          </w:tcPr>
          <w:p>
            <w:pPr>
              <w:snapToGrid w:val="0"/>
              <w:spacing w:before="50" w:after="120" w:afterLines="50"/>
              <w:jc w:val="center"/>
              <w:rPr>
                <w:rFonts w:hint="eastAsia" w:ascii="宋体" w:hAnsi="宋体"/>
                <w:color w:val="000000"/>
                <w:sz w:val="24"/>
                <w:szCs w:val="20"/>
              </w:rPr>
            </w:pPr>
          </w:p>
        </w:tc>
        <w:tc>
          <w:tcPr>
            <w:tcW w:w="1843" w:type="dxa"/>
            <w:vAlign w:val="center"/>
          </w:tcPr>
          <w:p>
            <w:pPr>
              <w:snapToGrid w:val="0"/>
              <w:spacing w:before="50" w:after="120" w:afterLines="50"/>
              <w:jc w:val="center"/>
              <w:rPr>
                <w:rFonts w:hint="eastAsia"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50" w:after="120" w:afterLines="50"/>
              <w:jc w:val="center"/>
              <w:rPr>
                <w:rFonts w:hint="eastAsia" w:ascii="宋体" w:hAnsi="宋体"/>
                <w:color w:val="000000"/>
                <w:sz w:val="24"/>
                <w:szCs w:val="20"/>
              </w:rPr>
            </w:pPr>
          </w:p>
        </w:tc>
        <w:tc>
          <w:tcPr>
            <w:tcW w:w="709" w:type="dxa"/>
            <w:vAlign w:val="center"/>
          </w:tcPr>
          <w:p>
            <w:pPr>
              <w:snapToGrid w:val="0"/>
              <w:spacing w:before="50" w:after="120" w:afterLines="50"/>
              <w:jc w:val="center"/>
              <w:rPr>
                <w:rFonts w:hint="eastAsia" w:ascii="宋体" w:hAnsi="宋体"/>
                <w:color w:val="000000"/>
                <w:sz w:val="24"/>
                <w:szCs w:val="20"/>
              </w:rPr>
            </w:pPr>
          </w:p>
        </w:tc>
        <w:tc>
          <w:tcPr>
            <w:tcW w:w="1701" w:type="dxa"/>
            <w:vAlign w:val="center"/>
          </w:tcPr>
          <w:p>
            <w:pPr>
              <w:snapToGrid w:val="0"/>
              <w:spacing w:before="50" w:after="120" w:afterLines="50"/>
              <w:jc w:val="center"/>
              <w:rPr>
                <w:rFonts w:hint="eastAsia" w:ascii="宋体" w:hAnsi="宋体"/>
                <w:color w:val="000000"/>
                <w:sz w:val="24"/>
                <w:szCs w:val="20"/>
              </w:rPr>
            </w:pPr>
          </w:p>
        </w:tc>
        <w:tc>
          <w:tcPr>
            <w:tcW w:w="1420" w:type="dxa"/>
            <w:vAlign w:val="center"/>
          </w:tcPr>
          <w:p>
            <w:pPr>
              <w:snapToGrid w:val="0"/>
              <w:spacing w:before="50" w:after="120" w:afterLines="50"/>
              <w:jc w:val="center"/>
              <w:rPr>
                <w:rFonts w:hint="eastAsia" w:ascii="宋体" w:hAnsi="宋体"/>
                <w:color w:val="000000"/>
                <w:sz w:val="24"/>
                <w:szCs w:val="20"/>
              </w:rPr>
            </w:pPr>
          </w:p>
        </w:tc>
        <w:tc>
          <w:tcPr>
            <w:tcW w:w="1698" w:type="dxa"/>
            <w:vAlign w:val="center"/>
          </w:tcPr>
          <w:p>
            <w:pPr>
              <w:snapToGrid w:val="0"/>
              <w:spacing w:before="50" w:after="120" w:afterLines="50"/>
              <w:jc w:val="center"/>
              <w:rPr>
                <w:rFonts w:hint="eastAsia" w:ascii="宋体" w:hAnsi="宋体"/>
                <w:color w:val="000000"/>
                <w:sz w:val="24"/>
                <w:szCs w:val="20"/>
              </w:rPr>
            </w:pPr>
          </w:p>
        </w:tc>
        <w:tc>
          <w:tcPr>
            <w:tcW w:w="1843" w:type="dxa"/>
            <w:vAlign w:val="center"/>
          </w:tcPr>
          <w:p>
            <w:pPr>
              <w:snapToGrid w:val="0"/>
              <w:spacing w:before="50" w:after="120" w:afterLines="50"/>
              <w:jc w:val="center"/>
              <w:rPr>
                <w:rFonts w:hint="eastAsia"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50" w:after="120" w:afterLines="50"/>
              <w:jc w:val="center"/>
              <w:rPr>
                <w:rFonts w:hint="eastAsia" w:ascii="宋体" w:hAnsi="宋体"/>
                <w:color w:val="000000"/>
                <w:sz w:val="24"/>
                <w:szCs w:val="20"/>
              </w:rPr>
            </w:pPr>
          </w:p>
        </w:tc>
        <w:tc>
          <w:tcPr>
            <w:tcW w:w="709" w:type="dxa"/>
            <w:vAlign w:val="center"/>
          </w:tcPr>
          <w:p>
            <w:pPr>
              <w:snapToGrid w:val="0"/>
              <w:spacing w:before="50" w:after="120" w:afterLines="50"/>
              <w:jc w:val="center"/>
              <w:rPr>
                <w:rFonts w:hint="eastAsia" w:ascii="宋体" w:hAnsi="宋体"/>
                <w:color w:val="000000"/>
                <w:sz w:val="24"/>
                <w:szCs w:val="20"/>
              </w:rPr>
            </w:pPr>
          </w:p>
        </w:tc>
        <w:tc>
          <w:tcPr>
            <w:tcW w:w="1701" w:type="dxa"/>
            <w:vAlign w:val="center"/>
          </w:tcPr>
          <w:p>
            <w:pPr>
              <w:snapToGrid w:val="0"/>
              <w:spacing w:before="50" w:after="120" w:afterLines="50"/>
              <w:jc w:val="center"/>
              <w:rPr>
                <w:rFonts w:hint="eastAsia" w:ascii="宋体" w:hAnsi="宋体"/>
                <w:color w:val="000000"/>
                <w:sz w:val="24"/>
                <w:szCs w:val="20"/>
              </w:rPr>
            </w:pPr>
          </w:p>
        </w:tc>
        <w:tc>
          <w:tcPr>
            <w:tcW w:w="1420" w:type="dxa"/>
            <w:vAlign w:val="center"/>
          </w:tcPr>
          <w:p>
            <w:pPr>
              <w:snapToGrid w:val="0"/>
              <w:spacing w:before="50" w:after="120" w:afterLines="50"/>
              <w:jc w:val="center"/>
              <w:rPr>
                <w:rFonts w:hint="eastAsia" w:ascii="宋体" w:hAnsi="宋体"/>
                <w:color w:val="000000"/>
                <w:sz w:val="24"/>
                <w:szCs w:val="20"/>
              </w:rPr>
            </w:pPr>
          </w:p>
        </w:tc>
        <w:tc>
          <w:tcPr>
            <w:tcW w:w="1698" w:type="dxa"/>
            <w:vAlign w:val="center"/>
          </w:tcPr>
          <w:p>
            <w:pPr>
              <w:snapToGrid w:val="0"/>
              <w:spacing w:before="50" w:after="120" w:afterLines="50"/>
              <w:jc w:val="center"/>
              <w:rPr>
                <w:rFonts w:hint="eastAsia" w:ascii="宋体" w:hAnsi="宋体"/>
                <w:color w:val="000000"/>
                <w:sz w:val="24"/>
                <w:szCs w:val="20"/>
              </w:rPr>
            </w:pPr>
          </w:p>
        </w:tc>
        <w:tc>
          <w:tcPr>
            <w:tcW w:w="1843" w:type="dxa"/>
            <w:vAlign w:val="center"/>
          </w:tcPr>
          <w:p>
            <w:pPr>
              <w:snapToGrid w:val="0"/>
              <w:spacing w:before="50" w:after="120" w:afterLines="50"/>
              <w:jc w:val="center"/>
              <w:rPr>
                <w:rFonts w:hint="eastAsia" w:ascii="宋体" w:hAnsi="宋体"/>
                <w:color w:val="000000"/>
                <w:sz w:val="24"/>
                <w:szCs w:val="20"/>
              </w:rPr>
            </w:pPr>
          </w:p>
        </w:tc>
      </w:tr>
    </w:tbl>
    <w:p>
      <w:pPr>
        <w:snapToGrid w:val="0"/>
        <w:spacing w:before="50" w:after="120" w:afterLines="50"/>
        <w:jc w:val="left"/>
        <w:rPr>
          <w:rFonts w:hint="eastAsia" w:ascii="宋体" w:hAnsi="宋体"/>
          <w:color w:val="000000"/>
          <w:sz w:val="24"/>
          <w:szCs w:val="20"/>
        </w:rPr>
      </w:pPr>
    </w:p>
    <w:p>
      <w:pPr>
        <w:spacing w:line="360" w:lineRule="auto"/>
        <w:contextualSpacing/>
        <w:jc w:val="left"/>
        <w:rPr>
          <w:rFonts w:ascii="宋体" w:hAnsi="宋体"/>
          <w:color w:val="000000"/>
          <w:sz w:val="24"/>
          <w:szCs w:val="20"/>
        </w:rPr>
      </w:pPr>
      <w:r>
        <w:rPr>
          <w:rFonts w:hint="eastAsia" w:ascii="宋体" w:hAnsi="宋体"/>
          <w:color w:val="000000"/>
          <w:sz w:val="24"/>
          <w:szCs w:val="20"/>
        </w:rPr>
        <w:t>注：</w:t>
      </w:r>
    </w:p>
    <w:p>
      <w:pPr>
        <w:spacing w:line="360" w:lineRule="auto"/>
        <w:contextualSpacing/>
        <w:jc w:val="left"/>
        <w:rPr>
          <w:rFonts w:ascii="宋体" w:hAnsi="宋体"/>
          <w:color w:val="000000"/>
          <w:sz w:val="24"/>
          <w:szCs w:val="20"/>
        </w:rPr>
      </w:pPr>
      <w:r>
        <w:rPr>
          <w:rFonts w:hint="eastAsia" w:ascii="宋体" w:hAnsi="宋体"/>
          <w:color w:val="000000"/>
          <w:sz w:val="24"/>
          <w:szCs w:val="20"/>
        </w:rPr>
        <w:t>1</w:t>
      </w:r>
      <w:r>
        <w:rPr>
          <w:rFonts w:ascii="宋体" w:hAnsi="宋体"/>
          <w:color w:val="000000"/>
          <w:sz w:val="24"/>
          <w:szCs w:val="20"/>
        </w:rPr>
        <w:t>.</w:t>
      </w:r>
      <w:r>
        <w:rPr>
          <w:rFonts w:hint="eastAsia" w:ascii="宋体" w:hAnsi="宋体"/>
          <w:color w:val="000000"/>
          <w:sz w:val="24"/>
          <w:szCs w:val="20"/>
        </w:rPr>
        <w:t>在填写时，如本表格不适合投标单位的实际情况，可根据本表格式自行制表填写。</w:t>
      </w:r>
    </w:p>
    <w:p>
      <w:pPr>
        <w:spacing w:line="360" w:lineRule="auto"/>
        <w:contextualSpacing/>
        <w:jc w:val="left"/>
        <w:rPr>
          <w:rFonts w:hint="eastAsia" w:ascii="宋体" w:hAnsi="宋体"/>
          <w:color w:val="000000"/>
          <w:sz w:val="24"/>
          <w:szCs w:val="20"/>
        </w:rPr>
      </w:pPr>
      <w:r>
        <w:rPr>
          <w:rFonts w:ascii="宋体" w:hAnsi="宋体"/>
          <w:color w:val="000000"/>
          <w:sz w:val="24"/>
          <w:szCs w:val="20"/>
        </w:rPr>
        <w:t>2.</w:t>
      </w:r>
      <w:r>
        <w:rPr>
          <w:rFonts w:hint="eastAsia" w:ascii="宋体" w:hAnsi="宋体"/>
          <w:color w:val="000000"/>
          <w:sz w:val="24"/>
          <w:szCs w:val="20"/>
        </w:rPr>
        <w:t>投标人应当附本表所列证书的复印件并加盖投标人公章。</w:t>
      </w:r>
    </w:p>
    <w:p>
      <w:pPr>
        <w:spacing w:line="360" w:lineRule="auto"/>
        <w:contextualSpacing/>
        <w:jc w:val="left"/>
        <w:rPr>
          <w:rFonts w:hint="eastAsia" w:ascii="宋体" w:hAnsi="宋体"/>
          <w:color w:val="000000"/>
          <w:sz w:val="24"/>
          <w:szCs w:val="20"/>
        </w:rPr>
      </w:pPr>
    </w:p>
    <w:p>
      <w:pPr>
        <w:spacing w:line="360" w:lineRule="auto"/>
        <w:contextualSpacing/>
        <w:jc w:val="left"/>
        <w:rPr>
          <w:rFonts w:hint="eastAsia" w:ascii="宋体" w:hAnsi="宋体"/>
          <w:color w:val="000000"/>
          <w:sz w:val="24"/>
          <w:szCs w:val="20"/>
        </w:rPr>
      </w:pPr>
    </w:p>
    <w:p>
      <w:pPr>
        <w:spacing w:line="360" w:lineRule="auto"/>
        <w:contextualSpacing/>
        <w:rPr>
          <w:rFonts w:hint="eastAsia" w:ascii="宋体" w:hAnsi="宋体"/>
          <w:color w:val="000000"/>
          <w:spacing w:val="20"/>
          <w:sz w:val="24"/>
          <w:szCs w:val="20"/>
          <w:u w:val="single"/>
        </w:rPr>
      </w:pPr>
      <w:r>
        <w:rPr>
          <w:rFonts w:hint="eastAsia" w:ascii="宋体" w:hAnsi="宋体"/>
          <w:color w:val="000000"/>
          <w:sz w:val="24"/>
        </w:rPr>
        <w:t>法定代表人或者委托代理人</w:t>
      </w:r>
      <w:r>
        <w:rPr>
          <w:rFonts w:hint="eastAsia" w:ascii="宋体" w:hAnsi="宋体"/>
          <w:color w:val="000000"/>
          <w:spacing w:val="20"/>
          <w:sz w:val="24"/>
        </w:rPr>
        <w:t>（签字/电子签名）：</w:t>
      </w:r>
      <w:r>
        <w:rPr>
          <w:rFonts w:hint="eastAsia" w:ascii="宋体" w:hAnsi="宋体"/>
          <w:color w:val="000000"/>
          <w:spacing w:val="20"/>
          <w:sz w:val="24"/>
          <w:u w:val="single"/>
        </w:rPr>
        <w:t xml:space="preserve">        </w:t>
      </w:r>
    </w:p>
    <w:p>
      <w:pPr>
        <w:spacing w:line="360" w:lineRule="auto"/>
        <w:contextualSpacing/>
        <w:jc w:val="left"/>
        <w:rPr>
          <w:rFonts w:hint="eastAsia" w:ascii="宋体" w:hAnsi="宋体"/>
          <w:color w:val="000000"/>
          <w:spacing w:val="20"/>
          <w:sz w:val="24"/>
        </w:rPr>
      </w:pPr>
      <w:r>
        <w:rPr>
          <w:rFonts w:hint="eastAsia" w:ascii="宋体" w:hAnsi="宋体"/>
          <w:color w:val="000000"/>
          <w:spacing w:val="20"/>
          <w:sz w:val="24"/>
        </w:rPr>
        <w:t>投标人名称（电子签章）：</w:t>
      </w:r>
      <w:r>
        <w:rPr>
          <w:rFonts w:hint="eastAsia" w:ascii="宋体" w:hAnsi="宋体"/>
          <w:color w:val="000000"/>
          <w:spacing w:val="20"/>
          <w:sz w:val="24"/>
          <w:u w:val="single"/>
        </w:rPr>
        <w:t xml:space="preserve">            </w:t>
      </w:r>
      <w:r>
        <w:rPr>
          <w:rFonts w:hint="eastAsia" w:ascii="宋体" w:hAnsi="宋体"/>
          <w:color w:val="000000"/>
          <w:spacing w:val="20"/>
          <w:sz w:val="24"/>
        </w:rPr>
        <w:t xml:space="preserve">              </w:t>
      </w:r>
    </w:p>
    <w:p>
      <w:pPr>
        <w:spacing w:line="360" w:lineRule="auto"/>
        <w:contextualSpacing/>
        <w:jc w:val="left"/>
        <w:rPr>
          <w:rFonts w:hint="eastAsia" w:ascii="宋体" w:hAnsi="宋体"/>
          <w:color w:val="000000"/>
          <w:sz w:val="24"/>
          <w:szCs w:val="20"/>
        </w:rPr>
      </w:pPr>
      <w:r>
        <w:rPr>
          <w:rFonts w:hint="eastAsia" w:ascii="宋体" w:hAnsi="宋体"/>
          <w:color w:val="000000"/>
          <w:spacing w:val="20"/>
          <w:sz w:val="24"/>
        </w:rPr>
        <w:t>日 期：</w:t>
      </w:r>
      <w:r>
        <w:rPr>
          <w:rFonts w:hint="eastAsia" w:ascii="宋体" w:hAnsi="宋体"/>
          <w:color w:val="000000"/>
          <w:spacing w:val="20"/>
          <w:sz w:val="24"/>
          <w:u w:val="single"/>
        </w:rPr>
        <w:t xml:space="preserve">         </w:t>
      </w:r>
    </w:p>
    <w:p>
      <w:pPr>
        <w:snapToGrid w:val="0"/>
        <w:spacing w:before="50" w:after="120" w:afterLines="50"/>
        <w:jc w:val="left"/>
        <w:rPr>
          <w:rFonts w:hint="eastAsia" w:ascii="宋体" w:hAnsi="宋体"/>
          <w:color w:val="000000"/>
          <w:sz w:val="24"/>
          <w:szCs w:val="20"/>
        </w:rPr>
      </w:pPr>
    </w:p>
    <w:p>
      <w:pPr>
        <w:rPr>
          <w:rFonts w:hint="eastAsia"/>
          <w:b/>
          <w:color w:val="000000"/>
          <w:sz w:val="28"/>
          <w:szCs w:val="28"/>
        </w:rPr>
      </w:pPr>
      <w:r>
        <w:rPr>
          <w:rFonts w:ascii="宋体" w:hAnsi="宋体"/>
          <w:b/>
          <w:color w:val="000000"/>
          <w:sz w:val="24"/>
        </w:rPr>
        <w:br w:type="page"/>
      </w:r>
      <w:r>
        <w:rPr>
          <w:rFonts w:hint="eastAsia"/>
          <w:b/>
          <w:color w:val="000000"/>
          <w:sz w:val="28"/>
          <w:szCs w:val="28"/>
        </w:rPr>
        <w:t>五、其他文书、文件格式</w:t>
      </w:r>
    </w:p>
    <w:p>
      <w:pPr>
        <w:snapToGrid w:val="0"/>
        <w:spacing w:before="120" w:beforeLines="50" w:after="50"/>
        <w:ind w:left="142"/>
        <w:jc w:val="left"/>
        <w:rPr>
          <w:rFonts w:hint="eastAsia" w:ascii="宋体" w:hAnsi="宋体"/>
          <w:b/>
          <w:color w:val="000000"/>
          <w:spacing w:val="20"/>
          <w:sz w:val="24"/>
        </w:rPr>
      </w:pPr>
      <w:r>
        <w:rPr>
          <w:rFonts w:hint="eastAsia" w:ascii="宋体" w:hAnsi="宋体"/>
          <w:b/>
          <w:color w:val="000000"/>
          <w:spacing w:val="20"/>
          <w:sz w:val="24"/>
        </w:rPr>
        <w:t>1.联合投标协议书格式</w:t>
      </w:r>
    </w:p>
    <w:p>
      <w:pPr>
        <w:pStyle w:val="10"/>
        <w:overflowPunct w:val="0"/>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联合体协议书</w:t>
      </w:r>
    </w:p>
    <w:p>
      <w:pPr>
        <w:pStyle w:val="10"/>
        <w:overflowPunct w:val="0"/>
        <w:rPr>
          <w:rFonts w:ascii="宋体" w:hAnsi="宋体"/>
          <w:color w:val="000000"/>
          <w:sz w:val="24"/>
        </w:rPr>
      </w:pPr>
    </w:p>
    <w:p>
      <w:pPr>
        <w:pStyle w:val="10"/>
        <w:overflowPunct w:val="0"/>
        <w:spacing w:line="360" w:lineRule="auto"/>
        <w:contextualSpacing/>
        <w:rPr>
          <w:rFonts w:ascii="宋体" w:hAnsi="宋体"/>
          <w:color w:val="000000"/>
          <w:sz w:val="24"/>
        </w:rPr>
      </w:pPr>
      <w:r>
        <w:rPr>
          <w:rFonts w:ascii="宋体" w:hAnsi="宋体"/>
          <w:color w:val="000000"/>
          <w:sz w:val="24"/>
          <w:u w:val="single"/>
        </w:rPr>
        <w:t xml:space="preserve"> </w:t>
      </w:r>
      <w:r>
        <w:rPr>
          <w:rFonts w:ascii="宋体" w:hAnsi="宋体"/>
          <w:color w:val="000000"/>
          <w:sz w:val="24"/>
          <w:u w:val="single"/>
        </w:rPr>
        <w:tab/>
      </w:r>
      <w:r>
        <w:rPr>
          <w:rFonts w:hint="eastAsia" w:ascii="宋体" w:hAnsi="宋体"/>
          <w:color w:val="000000"/>
          <w:sz w:val="24"/>
        </w:rPr>
        <w:t>（所有成员单位名称）自愿组成</w:t>
      </w:r>
      <w:r>
        <w:rPr>
          <w:rFonts w:ascii="宋体" w:hAnsi="宋体"/>
          <w:color w:val="000000"/>
          <w:sz w:val="24"/>
          <w:u w:val="single"/>
        </w:rPr>
        <w:t xml:space="preserve"> </w:t>
      </w:r>
      <w:r>
        <w:rPr>
          <w:rFonts w:ascii="宋体" w:hAnsi="宋体"/>
          <w:color w:val="000000"/>
          <w:sz w:val="24"/>
          <w:u w:val="single"/>
        </w:rPr>
        <w:tab/>
      </w:r>
      <w:r>
        <w:rPr>
          <w:rFonts w:hint="eastAsia" w:ascii="宋体" w:hAnsi="宋体"/>
          <w:color w:val="000000"/>
          <w:sz w:val="24"/>
        </w:rPr>
        <w:t>（联合体名称）联合体，共同参加</w:t>
      </w:r>
      <w:r>
        <w:rPr>
          <w:rFonts w:ascii="宋体" w:hAnsi="宋体"/>
          <w:color w:val="000000"/>
          <w:sz w:val="24"/>
          <w:u w:val="single"/>
        </w:rPr>
        <w:t xml:space="preserve"> </w:t>
      </w:r>
      <w:r>
        <w:rPr>
          <w:rFonts w:ascii="宋体" w:hAnsi="宋体"/>
          <w:color w:val="000000"/>
          <w:sz w:val="24"/>
          <w:u w:val="single"/>
        </w:rPr>
        <w:tab/>
      </w:r>
      <w:r>
        <w:rPr>
          <w:rFonts w:hint="eastAsia" w:ascii="宋体" w:hAnsi="宋体"/>
          <w:color w:val="000000"/>
          <w:sz w:val="24"/>
          <w:u w:val="single"/>
        </w:rPr>
        <w:t>（项目名称）</w:t>
      </w:r>
      <w:r>
        <w:rPr>
          <w:rFonts w:hint="eastAsia" w:ascii="宋体" w:hAnsi="宋体"/>
          <w:color w:val="000000"/>
          <w:sz w:val="24"/>
        </w:rPr>
        <w:t>采购招标项目投标。现就联合体投标事宜订立如下协议。</w:t>
      </w:r>
    </w:p>
    <w:p>
      <w:pPr>
        <w:pStyle w:val="10"/>
        <w:overflowPunct w:val="0"/>
        <w:spacing w:line="360" w:lineRule="auto"/>
        <w:ind w:firstLineChars="175"/>
        <w:contextualSpacing/>
        <w:rPr>
          <w:rFonts w:ascii="宋体" w:hAnsi="宋体"/>
          <w:color w:val="000000"/>
          <w:sz w:val="24"/>
        </w:rPr>
      </w:pPr>
      <w:r>
        <w:rPr>
          <w:rFonts w:ascii="宋体" w:hAnsi="宋体"/>
          <w:color w:val="000000"/>
          <w:sz w:val="24"/>
        </w:rPr>
        <w:t xml:space="preserve">1.  </w:t>
      </w:r>
      <w:r>
        <w:rPr>
          <w:rFonts w:ascii="宋体" w:hAnsi="宋体"/>
          <w:color w:val="000000"/>
          <w:sz w:val="24"/>
          <w:u w:val="single"/>
        </w:rPr>
        <w:t xml:space="preserve"> </w:t>
      </w:r>
      <w:r>
        <w:rPr>
          <w:rFonts w:ascii="宋体" w:hAnsi="宋体"/>
          <w:color w:val="000000"/>
          <w:sz w:val="24"/>
          <w:u w:val="single"/>
        </w:rPr>
        <w:tab/>
      </w:r>
      <w:r>
        <w:rPr>
          <w:rFonts w:hint="eastAsia" w:ascii="宋体" w:hAnsi="宋体"/>
          <w:color w:val="000000"/>
          <w:sz w:val="24"/>
        </w:rPr>
        <w:t>（某成员单位名称）为</w:t>
      </w:r>
      <w:r>
        <w:rPr>
          <w:rFonts w:ascii="宋体" w:hAnsi="宋体"/>
          <w:color w:val="000000"/>
          <w:sz w:val="24"/>
          <w:u w:val="single"/>
        </w:rPr>
        <w:t xml:space="preserve"> </w:t>
      </w:r>
      <w:r>
        <w:rPr>
          <w:rFonts w:ascii="宋体" w:hAnsi="宋体"/>
          <w:color w:val="000000"/>
          <w:sz w:val="24"/>
          <w:u w:val="single"/>
        </w:rPr>
        <w:tab/>
      </w:r>
      <w:r>
        <w:rPr>
          <w:rFonts w:hint="eastAsia" w:ascii="宋体" w:hAnsi="宋体"/>
          <w:color w:val="000000"/>
          <w:sz w:val="24"/>
        </w:rPr>
        <w:t>（联合体名称）牵头人。</w:t>
      </w:r>
    </w:p>
    <w:p>
      <w:pPr>
        <w:pStyle w:val="10"/>
        <w:overflowPunct w:val="0"/>
        <w:spacing w:line="360" w:lineRule="auto"/>
        <w:ind w:firstLineChars="175"/>
        <w:contextualSpacing/>
        <w:rPr>
          <w:rFonts w:ascii="宋体" w:hAnsi="宋体"/>
          <w:color w:val="000000"/>
          <w:sz w:val="24"/>
        </w:rPr>
      </w:pPr>
      <w:r>
        <w:rPr>
          <w:rFonts w:ascii="宋体" w:hAnsi="宋体"/>
          <w:color w:val="000000"/>
          <w:sz w:val="24"/>
        </w:rPr>
        <w:t>2.</w:t>
      </w:r>
      <w:r>
        <w:rPr>
          <w:rFonts w:hint="eastAsia" w:ascii="宋体" w:hAnsi="宋体"/>
          <w:color w:val="000000"/>
          <w:sz w:val="24"/>
        </w:rPr>
        <w:t>联合体各成员授权牵头人代表联合体参加投标活动，签署文件及对文件的盖章，提交和接收相关的资料、信息及指示，进行合同谈判活动，负责合同实施阶段的组织和协调工作，以及处理与本招标项目有关的一切事宜。</w:t>
      </w:r>
    </w:p>
    <w:p>
      <w:pPr>
        <w:pStyle w:val="10"/>
        <w:overflowPunct w:val="0"/>
        <w:spacing w:line="360" w:lineRule="auto"/>
        <w:ind w:firstLineChars="175"/>
        <w:contextualSpacing/>
        <w:rPr>
          <w:rFonts w:ascii="宋体" w:hAnsi="宋体"/>
          <w:color w:val="000000"/>
          <w:sz w:val="24"/>
        </w:rPr>
      </w:pPr>
      <w:r>
        <w:rPr>
          <w:rFonts w:ascii="宋体" w:hAnsi="宋体"/>
          <w:color w:val="000000"/>
          <w:sz w:val="24"/>
        </w:rPr>
        <w:t>3.</w:t>
      </w:r>
      <w:r>
        <w:rPr>
          <w:rFonts w:hint="eastAsia" w:ascii="宋体" w:hAnsi="宋体"/>
          <w:color w:val="000000"/>
          <w:sz w:val="24"/>
        </w:rPr>
        <w:t>联合体牵头人在本项目中签署和盖章的一切文件和处理的一切事宜，联合体各成员均予以承认。联合体各成员将严格按照招标文件、投标文件和合同的要求全面履行义务，并向招标人承担连带责任。</w:t>
      </w:r>
    </w:p>
    <w:p>
      <w:pPr>
        <w:pStyle w:val="10"/>
        <w:overflowPunct w:val="0"/>
        <w:spacing w:line="360" w:lineRule="auto"/>
        <w:ind w:firstLineChars="175"/>
        <w:contextualSpacing/>
        <w:rPr>
          <w:rFonts w:ascii="宋体" w:hAnsi="宋体"/>
          <w:color w:val="000000"/>
          <w:sz w:val="24"/>
        </w:rPr>
      </w:pPr>
      <w:r>
        <w:rPr>
          <w:rFonts w:ascii="宋体" w:hAnsi="宋体"/>
          <w:color w:val="000000"/>
          <w:sz w:val="24"/>
        </w:rPr>
        <w:t>4.</w:t>
      </w:r>
      <w:r>
        <w:rPr>
          <w:rFonts w:hint="eastAsia" w:ascii="宋体" w:hAnsi="宋体"/>
          <w:color w:val="000000"/>
          <w:sz w:val="24"/>
        </w:rPr>
        <w:t>联合体各成员单位内部的职责分工如下：</w:t>
      </w:r>
      <w:r>
        <w:rPr>
          <w:rFonts w:ascii="宋体" w:hAnsi="宋体"/>
          <w:color w:val="000000"/>
          <w:sz w:val="24"/>
          <w:u w:val="single"/>
        </w:rPr>
        <w:t xml:space="preserve"> </w:t>
      </w:r>
      <w:r>
        <w:rPr>
          <w:rFonts w:ascii="宋体" w:hAnsi="宋体"/>
          <w:color w:val="000000"/>
          <w:sz w:val="24"/>
          <w:u w:val="single"/>
        </w:rPr>
        <w:tab/>
      </w:r>
      <w:r>
        <w:rPr>
          <w:rFonts w:hint="eastAsia" w:ascii="宋体" w:hAnsi="宋体"/>
          <w:color w:val="000000"/>
          <w:sz w:val="24"/>
        </w:rPr>
        <w:t>。</w:t>
      </w:r>
    </w:p>
    <w:p>
      <w:pPr>
        <w:pStyle w:val="10"/>
        <w:overflowPunct w:val="0"/>
        <w:spacing w:line="360" w:lineRule="auto"/>
        <w:ind w:firstLineChars="175"/>
        <w:contextualSpacing/>
        <w:rPr>
          <w:rFonts w:ascii="宋体" w:hAnsi="宋体"/>
          <w:color w:val="000000"/>
          <w:sz w:val="24"/>
        </w:rPr>
      </w:pPr>
      <w:r>
        <w:rPr>
          <w:rFonts w:ascii="宋体" w:hAnsi="宋体"/>
          <w:color w:val="000000"/>
          <w:sz w:val="24"/>
        </w:rPr>
        <w:t>5.</w:t>
      </w:r>
      <w:r>
        <w:rPr>
          <w:rFonts w:hint="eastAsia" w:ascii="宋体" w:hAnsi="宋体"/>
          <w:color w:val="000000"/>
          <w:sz w:val="24"/>
        </w:rPr>
        <w:t>本协议书自所有成员单位法定代表人或者其委托代理人签字（或者电子签名）或者盖公章之日起生效，合同履行完毕后自动失效。</w:t>
      </w:r>
    </w:p>
    <w:p>
      <w:pPr>
        <w:pStyle w:val="10"/>
        <w:overflowPunct w:val="0"/>
        <w:spacing w:line="360" w:lineRule="auto"/>
        <w:ind w:firstLineChars="175"/>
        <w:contextualSpacing/>
        <w:rPr>
          <w:rFonts w:ascii="宋体" w:hAnsi="宋体"/>
          <w:color w:val="000000"/>
          <w:sz w:val="24"/>
        </w:rPr>
      </w:pPr>
      <w:r>
        <w:rPr>
          <w:rFonts w:ascii="宋体" w:hAnsi="宋体"/>
          <w:color w:val="000000"/>
          <w:sz w:val="24"/>
        </w:rPr>
        <w:t>6.</w:t>
      </w:r>
      <w:r>
        <w:rPr>
          <w:rFonts w:hint="eastAsia" w:ascii="宋体" w:hAnsi="宋体"/>
          <w:color w:val="000000"/>
          <w:sz w:val="24"/>
        </w:rPr>
        <w:t>本协议书一式</w:t>
      </w:r>
      <w:r>
        <w:rPr>
          <w:rFonts w:ascii="宋体" w:hAnsi="宋体"/>
          <w:color w:val="000000"/>
          <w:sz w:val="24"/>
          <w:u w:val="single"/>
        </w:rPr>
        <w:t xml:space="preserve"> </w:t>
      </w:r>
      <w:r>
        <w:rPr>
          <w:rFonts w:ascii="宋体" w:hAnsi="宋体"/>
          <w:color w:val="000000"/>
          <w:sz w:val="24"/>
          <w:u w:val="single"/>
        </w:rPr>
        <w:tab/>
      </w:r>
      <w:r>
        <w:rPr>
          <w:rFonts w:hint="eastAsia" w:ascii="宋体" w:hAnsi="宋体"/>
          <w:color w:val="000000"/>
          <w:sz w:val="24"/>
        </w:rPr>
        <w:t>份，联合体成员和招标人各执一份。</w:t>
      </w:r>
    </w:p>
    <w:p>
      <w:pPr>
        <w:pStyle w:val="10"/>
        <w:overflowPunct w:val="0"/>
        <w:spacing w:line="360" w:lineRule="auto"/>
        <w:ind w:firstLineChars="175"/>
        <w:contextualSpacing/>
        <w:rPr>
          <w:rFonts w:ascii="宋体" w:hAnsi="宋体"/>
          <w:color w:val="000000"/>
          <w:sz w:val="24"/>
        </w:rPr>
      </w:pPr>
      <w:r>
        <w:rPr>
          <w:rFonts w:hint="eastAsia" w:ascii="宋体" w:hAnsi="宋体"/>
          <w:color w:val="000000"/>
          <w:sz w:val="24"/>
        </w:rPr>
        <w:t>注：本协议书由法定代表人签字或者电子签名的，应附法定代表人身份证明；由委托代理人签字或者电子签名的，应附授权委托书。</w:t>
      </w:r>
    </w:p>
    <w:p>
      <w:pPr>
        <w:pStyle w:val="10"/>
        <w:overflowPunct w:val="0"/>
        <w:spacing w:line="360" w:lineRule="auto"/>
        <w:ind w:firstLineChars="175"/>
        <w:contextualSpacing/>
        <w:rPr>
          <w:rFonts w:ascii="宋体" w:hAnsi="宋体"/>
          <w:color w:val="000000"/>
          <w:sz w:val="24"/>
        </w:rPr>
      </w:pPr>
    </w:p>
    <w:p>
      <w:pPr>
        <w:pStyle w:val="10"/>
        <w:overflowPunct w:val="0"/>
        <w:spacing w:line="360" w:lineRule="auto"/>
        <w:ind w:firstLineChars="175"/>
        <w:contextualSpacing/>
        <w:rPr>
          <w:rFonts w:ascii="宋体" w:hAnsi="宋体"/>
          <w:color w:val="000000"/>
          <w:sz w:val="24"/>
        </w:rPr>
      </w:pPr>
      <w:r>
        <w:rPr>
          <w:rFonts w:hint="eastAsia" w:ascii="宋体" w:hAnsi="宋体"/>
          <w:color w:val="000000"/>
          <w:sz w:val="24"/>
        </w:rPr>
        <w:t>联合体牵头人名称（电子签章）：</w:t>
      </w:r>
    </w:p>
    <w:p>
      <w:pPr>
        <w:pStyle w:val="10"/>
        <w:overflowPunct w:val="0"/>
        <w:spacing w:line="360" w:lineRule="auto"/>
        <w:ind w:firstLineChars="175"/>
        <w:contextualSpacing/>
        <w:rPr>
          <w:rFonts w:ascii="宋体" w:hAnsi="宋体"/>
          <w:color w:val="000000"/>
          <w:sz w:val="24"/>
        </w:rPr>
      </w:pPr>
      <w:r>
        <w:rPr>
          <w:rFonts w:hint="eastAsia" w:ascii="宋体" w:hAnsi="宋体"/>
          <w:color w:val="000000"/>
          <w:sz w:val="24"/>
        </w:rPr>
        <w:t>法定代表人或者其委托代理人：</w:t>
      </w:r>
      <w:r>
        <w:rPr>
          <w:rFonts w:ascii="宋体" w:hAnsi="宋体"/>
          <w:color w:val="000000"/>
          <w:sz w:val="24"/>
        </w:rPr>
        <w:t xml:space="preserve"> </w:t>
      </w:r>
      <w:r>
        <w:rPr>
          <w:rFonts w:ascii="宋体" w:hAnsi="宋体"/>
          <w:color w:val="000000"/>
          <w:sz w:val="24"/>
        </w:rPr>
        <w:tab/>
      </w:r>
      <w:r>
        <w:rPr>
          <w:rFonts w:hint="eastAsia" w:ascii="宋体" w:hAnsi="宋体"/>
          <w:color w:val="000000"/>
          <w:sz w:val="24"/>
        </w:rPr>
        <w:t>（签字/电子签名）</w:t>
      </w:r>
    </w:p>
    <w:p>
      <w:pPr>
        <w:pStyle w:val="10"/>
        <w:overflowPunct w:val="0"/>
        <w:spacing w:line="360" w:lineRule="auto"/>
        <w:ind w:firstLineChars="175"/>
        <w:contextualSpacing/>
        <w:rPr>
          <w:rFonts w:ascii="宋体" w:hAnsi="宋体"/>
          <w:color w:val="000000"/>
          <w:sz w:val="24"/>
        </w:rPr>
      </w:pPr>
    </w:p>
    <w:p>
      <w:pPr>
        <w:pStyle w:val="10"/>
        <w:overflowPunct w:val="0"/>
        <w:spacing w:line="360" w:lineRule="auto"/>
        <w:ind w:firstLineChars="175"/>
        <w:contextualSpacing/>
        <w:rPr>
          <w:rFonts w:ascii="宋体" w:hAnsi="宋体"/>
          <w:color w:val="000000"/>
          <w:sz w:val="24"/>
        </w:rPr>
      </w:pPr>
      <w:r>
        <w:rPr>
          <w:rFonts w:hint="eastAsia" w:ascii="宋体" w:hAnsi="宋体"/>
          <w:color w:val="000000"/>
          <w:sz w:val="24"/>
        </w:rPr>
        <w:t>联合体成员名称（</w:t>
      </w:r>
      <w:r>
        <w:rPr>
          <w:rFonts w:ascii="宋体" w:hAnsi="宋体"/>
          <w:color w:val="000000"/>
          <w:sz w:val="24"/>
        </w:rPr>
        <w:t>盖公章</w:t>
      </w:r>
      <w:r>
        <w:rPr>
          <w:rFonts w:hint="eastAsia" w:ascii="宋体" w:hAnsi="宋体"/>
          <w:color w:val="000000"/>
          <w:sz w:val="24"/>
        </w:rPr>
        <w:t>）：</w:t>
      </w:r>
    </w:p>
    <w:p>
      <w:pPr>
        <w:pStyle w:val="10"/>
        <w:overflowPunct w:val="0"/>
        <w:spacing w:line="360" w:lineRule="auto"/>
        <w:ind w:firstLineChars="175"/>
        <w:contextualSpacing/>
        <w:rPr>
          <w:rFonts w:ascii="宋体" w:hAnsi="宋体"/>
          <w:color w:val="000000"/>
          <w:sz w:val="24"/>
        </w:rPr>
      </w:pPr>
      <w:r>
        <w:rPr>
          <w:rFonts w:hint="eastAsia" w:ascii="宋体" w:hAnsi="宋体"/>
          <w:color w:val="000000"/>
          <w:sz w:val="24"/>
        </w:rPr>
        <w:t>法定代表人或者其委托代理人：</w:t>
      </w:r>
      <w:r>
        <w:rPr>
          <w:rFonts w:ascii="宋体" w:hAnsi="宋体"/>
          <w:color w:val="000000"/>
          <w:sz w:val="24"/>
        </w:rPr>
        <w:t xml:space="preserve"> </w:t>
      </w:r>
      <w:r>
        <w:rPr>
          <w:rFonts w:ascii="宋体" w:hAnsi="宋体"/>
          <w:color w:val="000000"/>
          <w:sz w:val="24"/>
        </w:rPr>
        <w:tab/>
      </w:r>
      <w:r>
        <w:rPr>
          <w:rFonts w:hint="eastAsia" w:ascii="宋体" w:hAnsi="宋体"/>
          <w:color w:val="000000"/>
          <w:sz w:val="24"/>
        </w:rPr>
        <w:t>（签字/电子签名）</w:t>
      </w:r>
    </w:p>
    <w:p>
      <w:pPr>
        <w:pStyle w:val="10"/>
        <w:overflowPunct w:val="0"/>
        <w:spacing w:line="360" w:lineRule="auto"/>
        <w:ind w:firstLineChars="175"/>
        <w:contextualSpacing/>
        <w:rPr>
          <w:rFonts w:ascii="宋体" w:hAnsi="宋体"/>
          <w:color w:val="000000"/>
          <w:sz w:val="24"/>
        </w:rPr>
      </w:pPr>
      <w:r>
        <w:rPr>
          <w:rFonts w:ascii="宋体" w:hAnsi="宋体"/>
          <w:color w:val="000000"/>
          <w:sz w:val="24"/>
        </w:rPr>
        <w:t>……</w:t>
      </w:r>
    </w:p>
    <w:p>
      <w:pPr>
        <w:pStyle w:val="10"/>
        <w:overflowPunct w:val="0"/>
        <w:spacing w:line="360" w:lineRule="auto"/>
        <w:ind w:firstLineChars="175"/>
        <w:contextualSpacing/>
        <w:rPr>
          <w:rFonts w:ascii="宋体" w:hAnsi="宋体"/>
          <w:color w:val="000000"/>
          <w:sz w:val="24"/>
        </w:rPr>
      </w:pPr>
    </w:p>
    <w:p>
      <w:pPr>
        <w:pStyle w:val="10"/>
        <w:overflowPunct w:val="0"/>
        <w:spacing w:line="360" w:lineRule="auto"/>
        <w:ind w:firstLineChars="175"/>
        <w:contextualSpacing/>
        <w:jc w:val="right"/>
        <w:rPr>
          <w:rFonts w:ascii="宋体" w:hAnsi="宋体"/>
          <w:b/>
          <w:color w:val="000000"/>
          <w:sz w:val="24"/>
        </w:rPr>
      </w:pPr>
      <w:r>
        <w:rPr>
          <w:rFonts w:ascii="宋体" w:hAnsi="宋体"/>
          <w:color w:val="000000"/>
          <w:sz w:val="24"/>
        </w:rPr>
        <w:t xml:space="preserve"> </w:t>
      </w:r>
      <w:r>
        <w:rPr>
          <w:rFonts w:ascii="宋体" w:hAnsi="宋体"/>
          <w:color w:val="000000"/>
          <w:sz w:val="24"/>
        </w:rPr>
        <w:tab/>
      </w:r>
      <w:r>
        <w:rPr>
          <w:rFonts w:hint="eastAsia" w:ascii="宋体" w:hAnsi="宋体"/>
          <w:color w:val="000000"/>
          <w:sz w:val="24"/>
        </w:rPr>
        <w:t>年</w:t>
      </w:r>
      <w:r>
        <w:rPr>
          <w:rFonts w:ascii="宋体" w:hAnsi="宋体"/>
          <w:color w:val="000000"/>
          <w:sz w:val="24"/>
        </w:rPr>
        <w:t xml:space="preserve"> </w:t>
      </w:r>
      <w:r>
        <w:rPr>
          <w:rFonts w:ascii="宋体" w:hAnsi="宋体"/>
          <w:color w:val="000000"/>
          <w:sz w:val="24"/>
        </w:rPr>
        <w:tab/>
      </w:r>
      <w:r>
        <w:rPr>
          <w:rFonts w:hint="eastAsia" w:ascii="宋体" w:hAnsi="宋体"/>
          <w:color w:val="000000"/>
          <w:sz w:val="24"/>
        </w:rPr>
        <w:t>月</w:t>
      </w:r>
      <w:r>
        <w:rPr>
          <w:rFonts w:ascii="宋体" w:hAnsi="宋体"/>
          <w:color w:val="000000"/>
          <w:sz w:val="24"/>
        </w:rPr>
        <w:t xml:space="preserve"> </w:t>
      </w:r>
      <w:r>
        <w:rPr>
          <w:rFonts w:ascii="宋体" w:hAnsi="宋体"/>
          <w:color w:val="000000"/>
          <w:sz w:val="24"/>
        </w:rPr>
        <w:tab/>
      </w:r>
      <w:r>
        <w:rPr>
          <w:rFonts w:hint="eastAsia" w:ascii="宋体" w:hAnsi="宋体"/>
          <w:color w:val="000000"/>
          <w:sz w:val="24"/>
        </w:rPr>
        <w:t>日</w:t>
      </w:r>
    </w:p>
    <w:p>
      <w:pPr>
        <w:snapToGrid w:val="0"/>
        <w:spacing w:before="120" w:beforeLines="50" w:after="50"/>
        <w:jc w:val="left"/>
        <w:rPr>
          <w:rFonts w:ascii="宋体" w:hAnsi="宋体"/>
          <w:b/>
          <w:color w:val="000000"/>
          <w:sz w:val="24"/>
        </w:rPr>
      </w:pPr>
      <w:r>
        <w:rPr>
          <w:rFonts w:hint="eastAsia" w:ascii="宋体" w:hAnsi="宋体"/>
          <w:b/>
          <w:color w:val="000000"/>
          <w:sz w:val="24"/>
        </w:rPr>
        <w:t xml:space="preserve"> </w:t>
      </w:r>
    </w:p>
    <w:p>
      <w:pPr>
        <w:snapToGrid w:val="0"/>
        <w:spacing w:before="120" w:beforeLines="50" w:after="50"/>
        <w:jc w:val="left"/>
        <w:rPr>
          <w:rFonts w:hint="eastAsia"/>
          <w:color w:val="000000"/>
        </w:rPr>
      </w:pPr>
      <w:r>
        <w:rPr>
          <w:rFonts w:ascii="宋体" w:hAnsi="宋体"/>
          <w:b/>
          <w:color w:val="000000"/>
          <w:sz w:val="24"/>
        </w:rPr>
        <w:br w:type="page"/>
      </w:r>
      <w:r>
        <w:rPr>
          <w:rFonts w:hint="eastAsia" w:ascii="宋体" w:hAnsi="宋体"/>
          <w:b/>
          <w:color w:val="000000"/>
          <w:sz w:val="24"/>
        </w:rPr>
        <w:t>2.中小企业声明函格式</w:t>
      </w:r>
    </w:p>
    <w:p>
      <w:pPr>
        <w:rPr>
          <w:rFonts w:hint="eastAsia"/>
          <w:color w:val="000000"/>
        </w:rPr>
      </w:pPr>
    </w:p>
    <w:p>
      <w:pPr>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中小企业声明函（货物）</w:t>
      </w:r>
    </w:p>
    <w:p>
      <w:pPr>
        <w:spacing w:before="2" w:line="500" w:lineRule="exact"/>
        <w:rPr>
          <w:rFonts w:ascii="宋体" w:hAnsi="宋体" w:cs="宋体"/>
          <w:b/>
          <w:bCs/>
          <w:color w:val="000000"/>
          <w:sz w:val="27"/>
          <w:szCs w:val="27"/>
        </w:rPr>
      </w:pPr>
    </w:p>
    <w:p>
      <w:pPr>
        <w:pStyle w:val="2"/>
        <w:spacing w:line="360" w:lineRule="auto"/>
        <w:ind w:left="-426" w:leftChars="-203" w:right="142" w:firstLine="480" w:firstLineChars="200"/>
        <w:contextualSpacing/>
        <w:rPr>
          <w:rFonts w:ascii="宋体" w:hAnsi="宋体"/>
          <w:color w:val="000000"/>
          <w:kern w:val="24"/>
        </w:rPr>
      </w:pPr>
      <w:r>
        <w:rPr>
          <w:rFonts w:ascii="宋体" w:hAnsi="宋体"/>
          <w:color w:val="000000"/>
          <w:kern w:val="24"/>
        </w:rPr>
        <w:t>本公司（联合体）郑重声明，根据《政府采购促进中小企业发展管理办法》（财库﹝2020﹞46号）的规定，本公司（联合体）参加</w:t>
      </w:r>
      <w:r>
        <w:rPr>
          <w:rFonts w:ascii="宋体" w:hAnsi="宋体"/>
          <w:color w:val="000000"/>
          <w:kern w:val="24"/>
          <w:u w:val="single"/>
        </w:rPr>
        <w:t>（单位名称）</w:t>
      </w:r>
      <w:r>
        <w:rPr>
          <w:rFonts w:ascii="宋体" w:hAnsi="宋体"/>
          <w:color w:val="000000"/>
          <w:kern w:val="24"/>
        </w:rPr>
        <w:t>的</w:t>
      </w:r>
      <w:r>
        <w:rPr>
          <w:rFonts w:ascii="宋体" w:hAnsi="宋体"/>
          <w:color w:val="000000"/>
          <w:kern w:val="24"/>
          <w:u w:val="single"/>
        </w:rPr>
        <w:t>（项目名称）</w:t>
      </w:r>
      <w:r>
        <w:rPr>
          <w:rFonts w:ascii="宋体" w:hAnsi="宋体"/>
          <w:color w:val="000000"/>
          <w:kern w:val="24"/>
        </w:rPr>
        <w:t>采购活动，提供的货物全部由符合政策要求的中小企业制造。相关企业（含联合体中的中小企业、签订分包意向协议的中小企业）的具体情况如下：</w:t>
      </w:r>
    </w:p>
    <w:p>
      <w:pPr>
        <w:tabs>
          <w:tab w:val="left" w:pos="1384"/>
          <w:tab w:val="left" w:pos="4562"/>
          <w:tab w:val="left" w:pos="6803"/>
        </w:tabs>
        <w:spacing w:line="360" w:lineRule="auto"/>
        <w:ind w:left="-426" w:right="-58" w:firstLine="655"/>
        <w:contextualSpacing/>
        <w:rPr>
          <w:rFonts w:ascii="宋体" w:hAnsi="宋体"/>
          <w:color w:val="000000"/>
          <w:kern w:val="24"/>
          <w:sz w:val="24"/>
        </w:rPr>
      </w:pPr>
      <w:r>
        <w:rPr>
          <w:rFonts w:ascii="宋体" w:hAnsi="宋体"/>
          <w:color w:val="000000"/>
          <w:kern w:val="24"/>
          <w:sz w:val="24"/>
        </w:rPr>
        <w:t>1.</w:t>
      </w:r>
      <w:r>
        <w:rPr>
          <w:rFonts w:ascii="宋体" w:hAnsi="宋体"/>
          <w:color w:val="000000"/>
          <w:kern w:val="24"/>
          <w:sz w:val="24"/>
          <w:u w:val="single"/>
        </w:rPr>
        <w:t>（标的名称）</w:t>
      </w:r>
      <w:r>
        <w:rPr>
          <w:rFonts w:ascii="宋体" w:hAnsi="宋体"/>
          <w:color w:val="000000"/>
          <w:kern w:val="24"/>
          <w:sz w:val="24"/>
        </w:rPr>
        <w:t>，属于</w:t>
      </w:r>
      <w:r>
        <w:rPr>
          <w:rFonts w:ascii="宋体" w:hAnsi="宋体"/>
          <w:color w:val="000000"/>
          <w:kern w:val="24"/>
          <w:sz w:val="24"/>
          <w:u w:val="single"/>
        </w:rPr>
        <w:t>（采购文件中明确的所属行业）</w:t>
      </w:r>
      <w:r>
        <w:rPr>
          <w:rFonts w:ascii="宋体" w:hAnsi="宋体"/>
          <w:color w:val="000000"/>
          <w:kern w:val="24"/>
          <w:sz w:val="24"/>
        </w:rPr>
        <w:t>行业；制造商为</w:t>
      </w:r>
      <w:r>
        <w:rPr>
          <w:rFonts w:ascii="宋体" w:hAnsi="宋体"/>
          <w:color w:val="000000"/>
          <w:kern w:val="24"/>
          <w:sz w:val="24"/>
          <w:u w:val="single"/>
        </w:rPr>
        <w:t>（企业名称）</w:t>
      </w:r>
      <w:r>
        <w:rPr>
          <w:rFonts w:ascii="宋体" w:hAnsi="宋体"/>
          <w:color w:val="000000"/>
          <w:kern w:val="24"/>
          <w:sz w:val="24"/>
        </w:rPr>
        <w:t>，从业人员</w:t>
      </w:r>
      <w:r>
        <w:rPr>
          <w:rFonts w:hint="eastAsia" w:ascii="宋体" w:hAnsi="宋体"/>
          <w:color w:val="000000"/>
          <w:kern w:val="24"/>
          <w:sz w:val="24"/>
          <w:u w:val="single"/>
        </w:rPr>
        <w:t xml:space="preserve"> </w:t>
      </w:r>
      <w:r>
        <w:rPr>
          <w:rFonts w:ascii="宋体" w:hAnsi="宋体"/>
          <w:color w:val="000000"/>
          <w:kern w:val="24"/>
          <w:sz w:val="24"/>
          <w:u w:val="single"/>
        </w:rPr>
        <w:t xml:space="preserve">     </w:t>
      </w:r>
      <w:r>
        <w:rPr>
          <w:rFonts w:ascii="宋体" w:hAnsi="宋体"/>
          <w:color w:val="000000"/>
          <w:kern w:val="24"/>
          <w:sz w:val="24"/>
        </w:rPr>
        <w:t>人，营业收入为</w:t>
      </w:r>
      <w:r>
        <w:rPr>
          <w:rFonts w:hint="eastAsia" w:ascii="宋体" w:hAnsi="宋体"/>
          <w:color w:val="000000"/>
          <w:kern w:val="24"/>
          <w:sz w:val="24"/>
          <w:u w:val="single"/>
        </w:rPr>
        <w:t xml:space="preserve"> </w:t>
      </w:r>
      <w:r>
        <w:rPr>
          <w:rFonts w:ascii="宋体" w:hAnsi="宋体"/>
          <w:color w:val="000000"/>
          <w:kern w:val="24"/>
          <w:sz w:val="24"/>
          <w:u w:val="single"/>
        </w:rPr>
        <w:t xml:space="preserve">     </w:t>
      </w:r>
      <w:r>
        <w:rPr>
          <w:rFonts w:ascii="宋体" w:hAnsi="宋体"/>
          <w:color w:val="000000"/>
          <w:kern w:val="24"/>
          <w:sz w:val="24"/>
        </w:rPr>
        <w:t>万元，资产总额为</w:t>
      </w:r>
      <w:r>
        <w:rPr>
          <w:rFonts w:hint="eastAsia" w:ascii="宋体" w:hAnsi="宋体"/>
          <w:color w:val="000000"/>
          <w:kern w:val="24"/>
          <w:sz w:val="24"/>
          <w:u w:val="single"/>
        </w:rPr>
        <w:t xml:space="preserve"> </w:t>
      </w:r>
      <w:r>
        <w:rPr>
          <w:rFonts w:ascii="宋体" w:hAnsi="宋体"/>
          <w:color w:val="000000"/>
          <w:kern w:val="24"/>
          <w:sz w:val="24"/>
          <w:u w:val="single"/>
        </w:rPr>
        <w:t xml:space="preserve">     </w:t>
      </w:r>
      <w:r>
        <w:rPr>
          <w:rFonts w:ascii="宋体" w:hAnsi="宋体"/>
          <w:color w:val="000000"/>
          <w:kern w:val="24"/>
          <w:sz w:val="24"/>
        </w:rPr>
        <w:t>万元，属于</w:t>
      </w:r>
      <w:r>
        <w:rPr>
          <w:rFonts w:ascii="宋体" w:hAnsi="宋体"/>
          <w:color w:val="000000"/>
          <w:kern w:val="24"/>
          <w:sz w:val="24"/>
          <w:u w:val="single"/>
        </w:rPr>
        <w:t>（中型企业、小型企业、微型企业）</w:t>
      </w:r>
      <w:r>
        <w:rPr>
          <w:rFonts w:ascii="宋体" w:hAnsi="宋体"/>
          <w:color w:val="000000"/>
          <w:kern w:val="24"/>
          <w:sz w:val="24"/>
        </w:rPr>
        <w:t>；</w:t>
      </w:r>
    </w:p>
    <w:p>
      <w:pPr>
        <w:tabs>
          <w:tab w:val="left" w:pos="1065"/>
          <w:tab w:val="left" w:pos="6477"/>
        </w:tabs>
        <w:spacing w:line="360" w:lineRule="auto"/>
        <w:ind w:left="-426" w:right="-58" w:firstLine="655"/>
        <w:contextualSpacing/>
        <w:rPr>
          <w:rFonts w:ascii="宋体" w:hAnsi="宋体"/>
          <w:color w:val="000000"/>
          <w:kern w:val="24"/>
          <w:sz w:val="24"/>
        </w:rPr>
      </w:pPr>
      <w:r>
        <w:rPr>
          <w:rFonts w:ascii="宋体" w:hAnsi="宋体"/>
          <w:color w:val="000000"/>
          <w:kern w:val="24"/>
          <w:sz w:val="24"/>
        </w:rPr>
        <w:t>2.</w:t>
      </w:r>
      <w:r>
        <w:rPr>
          <w:rFonts w:ascii="宋体" w:hAnsi="宋体"/>
          <w:color w:val="000000"/>
          <w:kern w:val="24"/>
          <w:sz w:val="24"/>
          <w:u w:val="single"/>
        </w:rPr>
        <w:t>（标的名称）</w:t>
      </w:r>
      <w:r>
        <w:rPr>
          <w:rFonts w:ascii="宋体" w:hAnsi="宋体"/>
          <w:color w:val="000000"/>
          <w:kern w:val="24"/>
          <w:sz w:val="24"/>
        </w:rPr>
        <w:t>，属于</w:t>
      </w:r>
      <w:r>
        <w:rPr>
          <w:rFonts w:ascii="宋体" w:hAnsi="宋体"/>
          <w:color w:val="000000"/>
          <w:kern w:val="24"/>
          <w:sz w:val="24"/>
          <w:u w:val="single"/>
        </w:rPr>
        <w:t>（采购文件中明确的所属行业）</w:t>
      </w:r>
      <w:r>
        <w:rPr>
          <w:rFonts w:ascii="宋体" w:hAnsi="宋体"/>
          <w:color w:val="000000"/>
          <w:kern w:val="24"/>
          <w:sz w:val="24"/>
        </w:rPr>
        <w:t>行业；制造商为</w:t>
      </w:r>
      <w:r>
        <w:rPr>
          <w:rFonts w:ascii="宋体" w:hAnsi="宋体"/>
          <w:color w:val="000000"/>
          <w:kern w:val="24"/>
          <w:sz w:val="24"/>
          <w:u w:val="single"/>
        </w:rPr>
        <w:t>（企业名称）</w:t>
      </w:r>
      <w:r>
        <w:rPr>
          <w:rFonts w:ascii="宋体" w:hAnsi="宋体"/>
          <w:color w:val="000000"/>
          <w:kern w:val="24"/>
          <w:sz w:val="24"/>
        </w:rPr>
        <w:t>，从业人员</w:t>
      </w:r>
      <w:r>
        <w:rPr>
          <w:rFonts w:hint="eastAsia" w:ascii="宋体" w:hAnsi="宋体"/>
          <w:color w:val="000000"/>
          <w:kern w:val="24"/>
          <w:sz w:val="24"/>
          <w:u w:val="single"/>
        </w:rPr>
        <w:t xml:space="preserve"> </w:t>
      </w:r>
      <w:r>
        <w:rPr>
          <w:rFonts w:ascii="宋体" w:hAnsi="宋体"/>
          <w:color w:val="000000"/>
          <w:kern w:val="24"/>
          <w:sz w:val="24"/>
          <w:u w:val="single"/>
        </w:rPr>
        <w:t xml:space="preserve">     </w:t>
      </w:r>
      <w:r>
        <w:rPr>
          <w:rFonts w:ascii="宋体" w:hAnsi="宋体"/>
          <w:color w:val="000000"/>
          <w:kern w:val="24"/>
          <w:sz w:val="24"/>
        </w:rPr>
        <w:t>人，营业收入为</w:t>
      </w:r>
      <w:r>
        <w:rPr>
          <w:rFonts w:hint="eastAsia" w:ascii="宋体" w:hAnsi="宋体"/>
          <w:color w:val="000000"/>
          <w:kern w:val="24"/>
          <w:sz w:val="24"/>
          <w:u w:val="single"/>
        </w:rPr>
        <w:t xml:space="preserve"> </w:t>
      </w:r>
      <w:r>
        <w:rPr>
          <w:rFonts w:ascii="宋体" w:hAnsi="宋体"/>
          <w:color w:val="000000"/>
          <w:kern w:val="24"/>
          <w:sz w:val="24"/>
          <w:u w:val="single"/>
        </w:rPr>
        <w:t xml:space="preserve">     </w:t>
      </w:r>
      <w:r>
        <w:rPr>
          <w:rFonts w:ascii="宋体" w:hAnsi="宋体"/>
          <w:color w:val="000000"/>
          <w:kern w:val="24"/>
          <w:sz w:val="24"/>
        </w:rPr>
        <w:t>万元，资产总额为</w:t>
      </w:r>
      <w:r>
        <w:rPr>
          <w:rFonts w:hint="eastAsia" w:ascii="宋体" w:hAnsi="宋体"/>
          <w:color w:val="000000"/>
          <w:kern w:val="24"/>
          <w:sz w:val="24"/>
          <w:u w:val="single"/>
        </w:rPr>
        <w:t xml:space="preserve"> </w:t>
      </w:r>
      <w:r>
        <w:rPr>
          <w:rFonts w:ascii="宋体" w:hAnsi="宋体"/>
          <w:color w:val="000000"/>
          <w:kern w:val="24"/>
          <w:sz w:val="24"/>
          <w:u w:val="single"/>
        </w:rPr>
        <w:t xml:space="preserve">     </w:t>
      </w:r>
      <w:r>
        <w:rPr>
          <w:rFonts w:ascii="宋体" w:hAnsi="宋体"/>
          <w:color w:val="000000"/>
          <w:kern w:val="24"/>
          <w:sz w:val="24"/>
        </w:rPr>
        <w:t>万元，属于</w:t>
      </w:r>
      <w:r>
        <w:rPr>
          <w:rFonts w:ascii="宋体" w:hAnsi="宋体"/>
          <w:color w:val="000000"/>
          <w:kern w:val="24"/>
          <w:sz w:val="24"/>
          <w:u w:val="single"/>
        </w:rPr>
        <w:t>（中型企业、小型企业、微型企业）</w:t>
      </w:r>
      <w:r>
        <w:rPr>
          <w:rFonts w:ascii="宋体" w:hAnsi="宋体"/>
          <w:color w:val="000000"/>
          <w:kern w:val="24"/>
          <w:sz w:val="24"/>
        </w:rPr>
        <w:t>；</w:t>
      </w:r>
    </w:p>
    <w:p>
      <w:pPr>
        <w:pStyle w:val="2"/>
        <w:spacing w:line="360" w:lineRule="auto"/>
        <w:ind w:left="142" w:right="142"/>
        <w:contextualSpacing/>
        <w:rPr>
          <w:rFonts w:ascii="宋体" w:hAnsi="宋体"/>
          <w:color w:val="000000"/>
          <w:kern w:val="24"/>
        </w:rPr>
      </w:pPr>
      <w:r>
        <w:rPr>
          <w:rFonts w:ascii="宋体" w:hAnsi="宋体"/>
          <w:color w:val="000000"/>
          <w:kern w:val="24"/>
        </w:rPr>
        <w:t xml:space="preserve">…… </w:t>
      </w:r>
    </w:p>
    <w:p>
      <w:pPr>
        <w:pStyle w:val="2"/>
        <w:spacing w:line="360" w:lineRule="auto"/>
        <w:ind w:left="-405" w:leftChars="-193" w:right="142" w:firstLine="453" w:firstLineChars="189"/>
        <w:contextualSpacing/>
        <w:rPr>
          <w:rFonts w:ascii="宋体" w:hAnsi="宋体"/>
          <w:color w:val="000000"/>
          <w:kern w:val="24"/>
        </w:rPr>
      </w:pPr>
      <w:r>
        <w:rPr>
          <w:rFonts w:ascii="宋体" w:hAnsi="宋体"/>
          <w:color w:val="000000"/>
          <w:kern w:val="24"/>
        </w:rPr>
        <w:t>以上企业，不属于大企业的分支机构，不存在控股股东为大企业的情形，也不存在与大企业的负责人为同一人的情形。</w:t>
      </w:r>
    </w:p>
    <w:p>
      <w:pPr>
        <w:pStyle w:val="2"/>
        <w:spacing w:line="360" w:lineRule="auto"/>
        <w:ind w:left="-426" w:right="142" w:firstLine="567"/>
        <w:contextualSpacing/>
        <w:rPr>
          <w:rFonts w:ascii="宋体" w:hAnsi="宋体"/>
          <w:color w:val="000000"/>
          <w:kern w:val="24"/>
        </w:rPr>
      </w:pPr>
      <w:r>
        <w:rPr>
          <w:rFonts w:ascii="宋体" w:hAnsi="宋体"/>
          <w:color w:val="000000"/>
          <w:kern w:val="24"/>
        </w:rPr>
        <w:t>本企业对上述声明内容的真实性负责。如有虚假，将依法承担相应责任。</w:t>
      </w:r>
    </w:p>
    <w:p>
      <w:pPr>
        <w:pStyle w:val="2"/>
        <w:spacing w:line="360" w:lineRule="auto"/>
        <w:ind w:left="3960" w:right="1808"/>
        <w:contextualSpacing/>
        <w:rPr>
          <w:rFonts w:hint="eastAsia" w:ascii="宋体" w:hAnsi="宋体"/>
          <w:color w:val="000000"/>
          <w:kern w:val="24"/>
        </w:rPr>
      </w:pPr>
    </w:p>
    <w:p>
      <w:pPr>
        <w:pStyle w:val="2"/>
        <w:spacing w:line="360" w:lineRule="auto"/>
        <w:ind w:left="3960" w:right="1808"/>
        <w:contextualSpacing/>
        <w:rPr>
          <w:rFonts w:ascii="宋体" w:hAnsi="宋体"/>
          <w:color w:val="000000"/>
          <w:kern w:val="24"/>
        </w:rPr>
      </w:pPr>
      <w:r>
        <w:rPr>
          <w:rFonts w:ascii="宋体" w:hAnsi="宋体"/>
          <w:color w:val="000000"/>
          <w:kern w:val="24"/>
        </w:rPr>
        <w:t>企业名称（</w:t>
      </w:r>
      <w:r>
        <w:rPr>
          <w:rFonts w:hint="eastAsia" w:ascii="宋体" w:hAnsi="宋体"/>
          <w:color w:val="000000"/>
          <w:kern w:val="24"/>
        </w:rPr>
        <w:t>电子签章</w:t>
      </w:r>
      <w:r>
        <w:rPr>
          <w:rFonts w:ascii="宋体" w:hAnsi="宋体"/>
          <w:color w:val="000000"/>
          <w:kern w:val="24"/>
        </w:rPr>
        <w:t xml:space="preserve">）： </w:t>
      </w:r>
    </w:p>
    <w:p>
      <w:pPr>
        <w:pStyle w:val="2"/>
        <w:spacing w:line="360" w:lineRule="auto"/>
        <w:ind w:left="3960" w:right="1808"/>
        <w:contextualSpacing/>
        <w:rPr>
          <w:rFonts w:ascii="宋体" w:hAnsi="宋体"/>
          <w:color w:val="000000"/>
          <w:kern w:val="24"/>
        </w:rPr>
      </w:pPr>
      <w:r>
        <w:rPr>
          <w:rFonts w:ascii="宋体" w:hAnsi="宋体"/>
          <w:color w:val="000000"/>
          <w:kern w:val="24"/>
        </w:rPr>
        <w:t>日</w:t>
      </w:r>
      <w:r>
        <w:rPr>
          <w:rFonts w:hint="eastAsia" w:ascii="宋体" w:hAnsi="宋体"/>
          <w:color w:val="000000"/>
          <w:kern w:val="24"/>
        </w:rPr>
        <w:t xml:space="preserve"> </w:t>
      </w:r>
      <w:r>
        <w:rPr>
          <w:rFonts w:ascii="宋体" w:hAnsi="宋体"/>
          <w:color w:val="000000"/>
          <w:kern w:val="24"/>
        </w:rPr>
        <w:t>期：</w:t>
      </w:r>
    </w:p>
    <w:p>
      <w:pPr>
        <w:pStyle w:val="2"/>
        <w:spacing w:line="360" w:lineRule="auto"/>
        <w:ind w:left="3960" w:right="1808"/>
        <w:contextualSpacing/>
        <w:rPr>
          <w:rFonts w:ascii="宋体" w:hAnsi="宋体"/>
          <w:color w:val="000000"/>
          <w:kern w:val="24"/>
        </w:rPr>
      </w:pPr>
    </w:p>
    <w:p>
      <w:pPr>
        <w:pStyle w:val="2"/>
        <w:spacing w:line="360" w:lineRule="auto"/>
        <w:ind w:left="3960" w:right="1808"/>
        <w:contextualSpacing/>
        <w:rPr>
          <w:rFonts w:ascii="宋体" w:hAnsi="宋体"/>
          <w:color w:val="000000"/>
          <w:kern w:val="24"/>
        </w:rPr>
      </w:pPr>
    </w:p>
    <w:p>
      <w:pPr>
        <w:pStyle w:val="2"/>
        <w:spacing w:line="360" w:lineRule="auto"/>
        <w:ind w:left="-426" w:right="142" w:firstLine="567"/>
        <w:contextualSpacing/>
        <w:rPr>
          <w:rFonts w:hint="eastAsia" w:ascii="宋体" w:hAnsi="宋体"/>
          <w:color w:val="000000"/>
          <w:kern w:val="24"/>
        </w:rPr>
      </w:pPr>
      <w:r>
        <w:rPr>
          <w:rFonts w:hint="eastAsia" w:ascii="宋体" w:hAnsi="宋体"/>
          <w:color w:val="000000"/>
          <w:kern w:val="24"/>
        </w:rPr>
        <w:t>注：享受《政府采购促进中小企业发展管理办法》（财库〔2020〕46号）规定的中小企业扶持政策的，采购人、采购代理机构应当随中标结果公开中标供应商的《中小企业声明函》。从业人员、营业收入、资产总额填报上一年度数据，无上一年度数据的新成立企业可不填报。</w:t>
      </w:r>
    </w:p>
    <w:p>
      <w:pPr>
        <w:snapToGrid w:val="0"/>
        <w:spacing w:before="120" w:beforeLines="50" w:after="50"/>
        <w:ind w:left="142"/>
        <w:jc w:val="left"/>
        <w:rPr>
          <w:rFonts w:hint="eastAsia" w:ascii="宋体" w:hAnsi="宋体"/>
          <w:b/>
          <w:color w:val="000000"/>
          <w:sz w:val="24"/>
        </w:rPr>
      </w:pPr>
      <w:r>
        <w:rPr>
          <w:rFonts w:ascii="宋体" w:hAnsi="宋体"/>
          <w:b/>
          <w:color w:val="000000"/>
          <w:sz w:val="24"/>
        </w:rPr>
        <w:br w:type="page"/>
      </w:r>
      <w:r>
        <w:rPr>
          <w:rFonts w:hint="eastAsia" w:ascii="宋体" w:hAnsi="宋体"/>
          <w:b/>
          <w:color w:val="000000"/>
          <w:sz w:val="24"/>
        </w:rPr>
        <w:t>3.残疾人福利性单位声明函格式</w:t>
      </w:r>
    </w:p>
    <w:p>
      <w:pPr>
        <w:spacing w:line="588" w:lineRule="exact"/>
        <w:jc w:val="center"/>
        <w:rPr>
          <w:rFonts w:hint="eastAsia" w:ascii="仿宋_GB2312" w:eastAsia="仿宋_GB2312"/>
          <w:b/>
          <w:color w:val="000000"/>
          <w:spacing w:val="6"/>
          <w:sz w:val="32"/>
          <w:szCs w:val="32"/>
        </w:rPr>
      </w:pPr>
    </w:p>
    <w:p>
      <w:pPr>
        <w:spacing w:line="588" w:lineRule="exact"/>
        <w:jc w:val="center"/>
        <w:rPr>
          <w:rFonts w:hint="eastAsia" w:ascii="方正小标宋简体" w:hAnsi="方正小标宋简体" w:eastAsia="方正小标宋简体" w:cs="方正小标宋简体"/>
          <w:bCs/>
          <w:color w:val="000000"/>
          <w:spacing w:val="6"/>
          <w:sz w:val="44"/>
          <w:szCs w:val="44"/>
        </w:rPr>
      </w:pPr>
      <w:r>
        <w:rPr>
          <w:rFonts w:hint="eastAsia" w:ascii="方正小标宋简体" w:hAnsi="方正小标宋简体" w:eastAsia="方正小标宋简体" w:cs="方正小标宋简体"/>
          <w:bCs/>
          <w:color w:val="000000"/>
          <w:spacing w:val="6"/>
          <w:sz w:val="44"/>
          <w:szCs w:val="44"/>
        </w:rPr>
        <w:t>残疾人福利性单位声明函</w:t>
      </w:r>
    </w:p>
    <w:p>
      <w:pPr>
        <w:spacing w:line="360" w:lineRule="auto"/>
        <w:contextualSpacing/>
        <w:rPr>
          <w:rFonts w:ascii="仿宋_GB2312" w:eastAsia="仿宋_GB2312"/>
          <w:bCs/>
          <w:color w:val="000000"/>
          <w:spacing w:val="6"/>
          <w:sz w:val="30"/>
          <w:szCs w:val="30"/>
        </w:rPr>
      </w:pPr>
    </w:p>
    <w:p>
      <w:pPr>
        <w:spacing w:line="360" w:lineRule="auto"/>
        <w:ind w:firstLine="504" w:firstLineChars="200"/>
        <w:contextualSpacing/>
        <w:rPr>
          <w:rFonts w:ascii="宋体" w:hAnsi="宋体"/>
          <w:color w:val="000000"/>
          <w:spacing w:val="6"/>
          <w:sz w:val="24"/>
        </w:rPr>
      </w:pPr>
      <w:r>
        <w:rPr>
          <w:rFonts w:hint="eastAsia" w:ascii="宋体" w:hAnsi="宋体"/>
          <w:color w:val="000000"/>
          <w:spacing w:val="6"/>
          <w:sz w:val="24"/>
        </w:rPr>
        <w:t>本单位郑重声明，根据《财政部 民政部 中国残疾人联合会关于促进残疾人就业政府采购政策的通知》（财库</w:t>
      </w:r>
      <w:r>
        <w:rPr>
          <w:rFonts w:hint="eastAsia" w:ascii="宋体" w:hAnsi="宋体"/>
          <w:color w:val="000000"/>
          <w:sz w:val="24"/>
        </w:rPr>
        <w:t>〔2017〕 141</w:t>
      </w:r>
      <w:r>
        <w:rPr>
          <w:rFonts w:hint="eastAsia" w:ascii="宋体" w:hAnsi="宋体"/>
          <w:color w:val="000000"/>
          <w:spacing w:val="6"/>
          <w:sz w:val="24"/>
        </w:rPr>
        <w:t>号）的规定，本单位为符合条件的残疾人福利性单位，且本单位参加______单位的______项目采购活动提供本单位制造的货物（由本单位承担工程/提供服务），或者提供其他残</w:t>
      </w:r>
      <w:r>
        <w:rPr>
          <w:rFonts w:hint="eastAsia" w:ascii="宋体" w:hAnsi="宋体"/>
          <w:color w:val="000000"/>
          <w:spacing w:val="-6"/>
          <w:sz w:val="24"/>
        </w:rPr>
        <w:t>疾人福利性单位制造的货物（不包括使用非残疾人福利性单位注册商标的货物）。</w:t>
      </w:r>
    </w:p>
    <w:p>
      <w:pPr>
        <w:spacing w:line="360" w:lineRule="auto"/>
        <w:ind w:firstLine="504" w:firstLineChars="200"/>
        <w:contextualSpacing/>
        <w:rPr>
          <w:rFonts w:ascii="宋体" w:hAnsi="宋体"/>
          <w:color w:val="000000"/>
          <w:spacing w:val="6"/>
          <w:sz w:val="24"/>
        </w:rPr>
      </w:pPr>
      <w:r>
        <w:rPr>
          <w:rFonts w:hint="eastAsia" w:ascii="宋体" w:hAnsi="宋体"/>
          <w:color w:val="000000"/>
          <w:spacing w:val="6"/>
          <w:sz w:val="24"/>
        </w:rPr>
        <w:t>本单位对上述声明的真实性负责。如有虚假，将依法承担相应责任。</w:t>
      </w:r>
    </w:p>
    <w:p>
      <w:pPr>
        <w:spacing w:line="360" w:lineRule="auto"/>
        <w:ind w:firstLine="504" w:firstLineChars="200"/>
        <w:contextualSpacing/>
        <w:rPr>
          <w:rFonts w:ascii="宋体" w:hAnsi="宋体"/>
          <w:color w:val="000000"/>
          <w:spacing w:val="6"/>
          <w:sz w:val="24"/>
        </w:rPr>
      </w:pPr>
    </w:p>
    <w:p>
      <w:pPr>
        <w:spacing w:line="360" w:lineRule="auto"/>
        <w:ind w:firstLine="504" w:firstLineChars="200"/>
        <w:contextualSpacing/>
        <w:rPr>
          <w:rFonts w:ascii="宋体" w:hAnsi="宋体"/>
          <w:color w:val="000000"/>
          <w:spacing w:val="6"/>
          <w:sz w:val="24"/>
        </w:rPr>
      </w:pPr>
    </w:p>
    <w:p>
      <w:pPr>
        <w:tabs>
          <w:tab w:val="left" w:pos="4860"/>
        </w:tabs>
        <w:spacing w:line="360" w:lineRule="auto"/>
        <w:ind w:right="1560" w:firstLine="504" w:firstLineChars="200"/>
        <w:contextualSpacing/>
        <w:jc w:val="center"/>
        <w:rPr>
          <w:rFonts w:ascii="宋体" w:hAnsi="宋体"/>
          <w:color w:val="000000"/>
          <w:spacing w:val="6"/>
          <w:sz w:val="24"/>
        </w:rPr>
      </w:pPr>
      <w:r>
        <w:rPr>
          <w:rFonts w:hint="eastAsia" w:ascii="宋体" w:hAnsi="宋体"/>
          <w:color w:val="000000"/>
          <w:spacing w:val="6"/>
          <w:sz w:val="24"/>
        </w:rPr>
        <w:t>单位名称（电子签章）：</w:t>
      </w:r>
    </w:p>
    <w:p>
      <w:pPr>
        <w:tabs>
          <w:tab w:val="left" w:pos="4860"/>
        </w:tabs>
        <w:spacing w:line="360" w:lineRule="auto"/>
        <w:ind w:right="1560" w:firstLine="504" w:firstLineChars="200"/>
        <w:contextualSpacing/>
        <w:jc w:val="center"/>
        <w:rPr>
          <w:rFonts w:ascii="宋体" w:hAnsi="宋体"/>
          <w:color w:val="000000"/>
          <w:spacing w:val="6"/>
          <w:sz w:val="24"/>
        </w:rPr>
      </w:pPr>
      <w:r>
        <w:rPr>
          <w:rFonts w:hint="eastAsia" w:ascii="宋体" w:hAnsi="宋体"/>
          <w:color w:val="000000"/>
          <w:spacing w:val="6"/>
          <w:sz w:val="24"/>
        </w:rPr>
        <w:t>日  期：</w:t>
      </w:r>
    </w:p>
    <w:p>
      <w:pPr>
        <w:spacing w:line="360" w:lineRule="auto"/>
        <w:contextualSpacing/>
        <w:rPr>
          <w:rFonts w:ascii="宋体" w:hAnsi="宋体"/>
          <w:color w:val="000000"/>
          <w:sz w:val="24"/>
        </w:rPr>
      </w:pPr>
    </w:p>
    <w:p>
      <w:pPr>
        <w:spacing w:line="360" w:lineRule="auto"/>
        <w:contextualSpacing/>
        <w:rPr>
          <w:rFonts w:hint="eastAsia" w:ascii="宋体" w:hAnsi="宋体"/>
          <w:color w:val="000000"/>
          <w:sz w:val="24"/>
        </w:rPr>
      </w:pPr>
    </w:p>
    <w:p>
      <w:pPr>
        <w:spacing w:line="360" w:lineRule="auto"/>
        <w:contextualSpacing/>
        <w:rPr>
          <w:rFonts w:ascii="宋体" w:hAnsi="宋体"/>
          <w:color w:val="000000"/>
          <w:sz w:val="24"/>
        </w:rPr>
      </w:pPr>
    </w:p>
    <w:p>
      <w:pPr>
        <w:spacing w:line="360" w:lineRule="auto"/>
        <w:contextualSpacing/>
        <w:rPr>
          <w:rFonts w:ascii="宋体" w:hAnsi="宋体"/>
          <w:color w:val="000000"/>
          <w:sz w:val="24"/>
        </w:rPr>
      </w:pPr>
      <w:r>
        <w:rPr>
          <w:rFonts w:hint="eastAsia" w:ascii="宋体" w:hAnsi="宋体"/>
          <w:color w:val="000000"/>
          <w:sz w:val="24"/>
        </w:rPr>
        <w:t>注：请根据自己的真实情况出具《残疾人福利性单位声明函》。依法享受中小企业优惠政策的，采购人或者采购代理机构在公告中标结果时，同时公告其《残疾人福利性单位声明函》，接受社会监督。</w:t>
      </w:r>
    </w:p>
    <w:p>
      <w:pPr>
        <w:spacing w:line="360" w:lineRule="auto"/>
        <w:jc w:val="left"/>
        <w:rPr>
          <w:rFonts w:ascii="宋体" w:hAnsi="宋体"/>
          <w:color w:val="000000"/>
          <w:sz w:val="24"/>
        </w:rPr>
      </w:pPr>
      <w:r>
        <w:rPr>
          <w:rFonts w:ascii="宋体" w:hAnsi="宋体"/>
          <w:color w:val="000000"/>
          <w:sz w:val="24"/>
        </w:rPr>
        <w:br w:type="page"/>
      </w:r>
      <w:r>
        <w:rPr>
          <w:rFonts w:hint="eastAsia" w:ascii="宋体" w:hAnsi="宋体"/>
          <w:b/>
          <w:color w:val="000000"/>
          <w:sz w:val="24"/>
        </w:rPr>
        <w:t>4.质疑函（格式）</w:t>
      </w:r>
    </w:p>
    <w:p>
      <w:pPr>
        <w:spacing w:line="360" w:lineRule="auto"/>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质疑函（格式）</w:t>
      </w:r>
    </w:p>
    <w:p>
      <w:pPr>
        <w:pStyle w:val="15"/>
        <w:snapToGrid w:val="0"/>
        <w:spacing w:line="360" w:lineRule="auto"/>
        <w:ind w:firstLine="482" w:firstLineChars="200"/>
        <w:rPr>
          <w:rFonts w:hAnsi="宋体"/>
          <w:b/>
          <w:bCs/>
          <w:color w:val="000000"/>
          <w:sz w:val="24"/>
          <w:szCs w:val="24"/>
        </w:rPr>
      </w:pPr>
      <w:r>
        <w:rPr>
          <w:rFonts w:hint="eastAsia" w:hAnsi="宋体"/>
          <w:b/>
          <w:bCs/>
          <w:color w:val="000000"/>
          <w:sz w:val="24"/>
          <w:szCs w:val="24"/>
        </w:rPr>
        <w:t>一、质疑供应商基本信息：</w:t>
      </w:r>
    </w:p>
    <w:p>
      <w:pPr>
        <w:pStyle w:val="15"/>
        <w:snapToGrid w:val="0"/>
        <w:spacing w:line="360" w:lineRule="auto"/>
        <w:ind w:firstLine="480" w:firstLineChars="200"/>
        <w:rPr>
          <w:rFonts w:hint="eastAsia" w:hAnsi="宋体"/>
          <w:bCs/>
          <w:color w:val="000000"/>
          <w:sz w:val="24"/>
          <w:szCs w:val="24"/>
          <w:u w:val="single"/>
        </w:rPr>
      </w:pPr>
      <w:r>
        <w:rPr>
          <w:rFonts w:hint="eastAsia" w:hAnsi="宋体"/>
          <w:bCs/>
          <w:color w:val="000000"/>
          <w:sz w:val="24"/>
          <w:szCs w:val="24"/>
        </w:rPr>
        <w:t>质疑供应商：</w:t>
      </w:r>
      <w:r>
        <w:rPr>
          <w:rFonts w:hint="eastAsia" w:hAnsi="宋体"/>
          <w:bCs/>
          <w:color w:val="000000"/>
          <w:sz w:val="24"/>
          <w:szCs w:val="24"/>
          <w:u w:val="single"/>
        </w:rPr>
        <w:t xml:space="preserve">                                       </w:t>
      </w:r>
      <w:r>
        <w:rPr>
          <w:rFonts w:hint="eastAsia" w:hAnsi="宋体"/>
          <w:bCs/>
          <w:color w:val="000000"/>
          <w:sz w:val="24"/>
          <w:szCs w:val="24"/>
        </w:rPr>
        <w:t xml:space="preserve">                 </w:t>
      </w:r>
    </w:p>
    <w:p>
      <w:pPr>
        <w:pStyle w:val="15"/>
        <w:snapToGrid w:val="0"/>
        <w:spacing w:line="360" w:lineRule="auto"/>
        <w:ind w:firstLine="480" w:firstLineChars="200"/>
        <w:rPr>
          <w:rFonts w:hint="eastAsia" w:hAnsi="宋体"/>
          <w:bCs/>
          <w:color w:val="000000"/>
          <w:sz w:val="24"/>
          <w:szCs w:val="24"/>
        </w:rPr>
      </w:pPr>
      <w:r>
        <w:rPr>
          <w:rFonts w:hAnsi="宋体"/>
          <w:bCs/>
          <w:color w:val="000000"/>
          <w:sz w:val="24"/>
          <w:szCs w:val="24"/>
        </w:rPr>
        <w:t>地址</w:t>
      </w:r>
      <w:r>
        <w:rPr>
          <w:rFonts w:hint="eastAsia" w:hAnsi="宋体"/>
          <w:bCs/>
          <w:color w:val="000000"/>
          <w:sz w:val="24"/>
          <w:szCs w:val="24"/>
        </w:rPr>
        <w:t>：</w:t>
      </w:r>
      <w:r>
        <w:rPr>
          <w:rFonts w:hint="eastAsia" w:hAnsi="宋体"/>
          <w:bCs/>
          <w:color w:val="000000"/>
          <w:sz w:val="24"/>
          <w:szCs w:val="24"/>
          <w:u w:val="single"/>
        </w:rPr>
        <w:t xml:space="preserve">                                          </w:t>
      </w:r>
      <w:r>
        <w:rPr>
          <w:rFonts w:hAnsi="宋体"/>
          <w:bCs/>
          <w:color w:val="000000"/>
          <w:sz w:val="24"/>
          <w:szCs w:val="24"/>
        </w:rPr>
        <w:t>邮编</w:t>
      </w:r>
      <w:r>
        <w:rPr>
          <w:rFonts w:hint="eastAsia" w:hAnsi="宋体"/>
          <w:bCs/>
          <w:color w:val="000000"/>
          <w:sz w:val="24"/>
          <w:szCs w:val="24"/>
        </w:rPr>
        <w:t>：</w:t>
      </w:r>
      <w:r>
        <w:rPr>
          <w:rFonts w:hint="eastAsia" w:hAnsi="宋体"/>
          <w:bCs/>
          <w:color w:val="000000"/>
          <w:sz w:val="24"/>
          <w:szCs w:val="24"/>
          <w:u w:val="single"/>
        </w:rPr>
        <w:t xml:space="preserve">                  </w:t>
      </w:r>
      <w:r>
        <w:rPr>
          <w:rFonts w:hint="eastAsia" w:hAnsi="宋体"/>
          <w:bCs/>
          <w:color w:val="000000"/>
          <w:sz w:val="24"/>
          <w:szCs w:val="24"/>
        </w:rPr>
        <w:t xml:space="preserve">                 </w:t>
      </w:r>
    </w:p>
    <w:p>
      <w:pPr>
        <w:pStyle w:val="15"/>
        <w:snapToGrid w:val="0"/>
        <w:spacing w:line="360" w:lineRule="auto"/>
        <w:ind w:firstLine="480" w:firstLineChars="200"/>
        <w:rPr>
          <w:rFonts w:hint="eastAsia" w:hAnsi="宋体"/>
          <w:bCs/>
          <w:color w:val="000000"/>
          <w:sz w:val="24"/>
          <w:szCs w:val="24"/>
        </w:rPr>
      </w:pPr>
      <w:r>
        <w:rPr>
          <w:rFonts w:hAnsi="宋体"/>
          <w:bCs/>
          <w:color w:val="000000"/>
          <w:sz w:val="24"/>
          <w:szCs w:val="24"/>
        </w:rPr>
        <w:t>联系人</w:t>
      </w:r>
      <w:r>
        <w:rPr>
          <w:rFonts w:hint="eastAsia" w:hAnsi="宋体"/>
          <w:bCs/>
          <w:color w:val="000000"/>
          <w:sz w:val="24"/>
          <w:szCs w:val="24"/>
        </w:rPr>
        <w:t>：</w:t>
      </w:r>
      <w:r>
        <w:rPr>
          <w:rFonts w:hint="eastAsia" w:hAnsi="宋体"/>
          <w:bCs/>
          <w:color w:val="000000"/>
          <w:sz w:val="24"/>
          <w:szCs w:val="24"/>
          <w:u w:val="single"/>
        </w:rPr>
        <w:t xml:space="preserve">                     </w:t>
      </w:r>
      <w:r>
        <w:rPr>
          <w:rFonts w:hAnsi="宋体"/>
          <w:bCs/>
          <w:color w:val="000000"/>
          <w:sz w:val="24"/>
          <w:szCs w:val="24"/>
        </w:rPr>
        <w:t>联系电话</w:t>
      </w:r>
      <w:r>
        <w:rPr>
          <w:rFonts w:hint="eastAsia" w:hAnsi="宋体"/>
          <w:bCs/>
          <w:color w:val="000000"/>
          <w:sz w:val="24"/>
          <w:szCs w:val="24"/>
        </w:rPr>
        <w:t>：</w:t>
      </w:r>
      <w:r>
        <w:rPr>
          <w:rFonts w:hint="eastAsia" w:hAnsi="宋体"/>
          <w:bCs/>
          <w:color w:val="000000"/>
          <w:sz w:val="24"/>
          <w:szCs w:val="24"/>
          <w:u w:val="single"/>
        </w:rPr>
        <w:t xml:space="preserve">                 </w:t>
      </w:r>
    </w:p>
    <w:p>
      <w:pPr>
        <w:pStyle w:val="15"/>
        <w:snapToGrid w:val="0"/>
        <w:spacing w:line="360" w:lineRule="auto"/>
        <w:ind w:firstLine="480" w:firstLineChars="200"/>
        <w:rPr>
          <w:rFonts w:hint="eastAsia" w:hAnsi="宋体"/>
          <w:bCs/>
          <w:color w:val="000000"/>
          <w:sz w:val="24"/>
          <w:szCs w:val="24"/>
        </w:rPr>
      </w:pPr>
      <w:r>
        <w:rPr>
          <w:rFonts w:hint="eastAsia" w:hAnsi="宋体"/>
          <w:bCs/>
          <w:color w:val="000000"/>
          <w:sz w:val="24"/>
          <w:szCs w:val="24"/>
        </w:rPr>
        <w:t>授权代表：</w:t>
      </w:r>
      <w:r>
        <w:rPr>
          <w:rFonts w:hint="eastAsia" w:hAnsi="宋体"/>
          <w:bCs/>
          <w:color w:val="000000"/>
          <w:sz w:val="24"/>
          <w:szCs w:val="24"/>
          <w:u w:val="single"/>
        </w:rPr>
        <w:t xml:space="preserve">                      </w:t>
      </w:r>
    </w:p>
    <w:p>
      <w:pPr>
        <w:pStyle w:val="15"/>
        <w:snapToGrid w:val="0"/>
        <w:spacing w:line="360" w:lineRule="auto"/>
        <w:ind w:firstLine="480" w:firstLineChars="200"/>
        <w:rPr>
          <w:rFonts w:hint="eastAsia" w:hAnsi="宋体"/>
          <w:bCs/>
          <w:color w:val="000000"/>
          <w:sz w:val="24"/>
          <w:szCs w:val="24"/>
          <w:u w:val="single"/>
        </w:rPr>
      </w:pPr>
      <w:r>
        <w:rPr>
          <w:rFonts w:hAnsi="宋体"/>
          <w:bCs/>
          <w:color w:val="000000"/>
          <w:sz w:val="24"/>
          <w:szCs w:val="24"/>
        </w:rPr>
        <w:t>联系</w:t>
      </w:r>
      <w:r>
        <w:rPr>
          <w:rFonts w:hint="eastAsia" w:hAnsi="宋体"/>
          <w:bCs/>
          <w:color w:val="000000"/>
          <w:sz w:val="24"/>
          <w:szCs w:val="24"/>
        </w:rPr>
        <w:t>电话：</w:t>
      </w:r>
      <w:r>
        <w:rPr>
          <w:rFonts w:hint="eastAsia" w:hAnsi="宋体"/>
          <w:bCs/>
          <w:color w:val="000000"/>
          <w:sz w:val="24"/>
          <w:szCs w:val="24"/>
          <w:u w:val="single"/>
        </w:rPr>
        <w:t xml:space="preserve">                      </w:t>
      </w:r>
    </w:p>
    <w:p>
      <w:pPr>
        <w:pStyle w:val="15"/>
        <w:snapToGrid w:val="0"/>
        <w:spacing w:line="360" w:lineRule="auto"/>
        <w:ind w:firstLine="480" w:firstLineChars="200"/>
        <w:rPr>
          <w:rFonts w:hint="eastAsia" w:hAnsi="宋体"/>
          <w:bCs/>
          <w:color w:val="000000"/>
          <w:sz w:val="24"/>
          <w:szCs w:val="24"/>
        </w:rPr>
      </w:pPr>
      <w:r>
        <w:rPr>
          <w:rFonts w:hAnsi="宋体"/>
          <w:bCs/>
          <w:color w:val="000000"/>
          <w:sz w:val="24"/>
          <w:szCs w:val="24"/>
        </w:rPr>
        <w:t>地址</w:t>
      </w:r>
      <w:r>
        <w:rPr>
          <w:rFonts w:hint="eastAsia" w:hAnsi="宋体"/>
          <w:bCs/>
          <w:color w:val="000000"/>
          <w:sz w:val="24"/>
          <w:szCs w:val="24"/>
        </w:rPr>
        <w:t>：</w:t>
      </w:r>
      <w:r>
        <w:rPr>
          <w:rFonts w:hint="eastAsia" w:hAnsi="宋体"/>
          <w:bCs/>
          <w:color w:val="000000"/>
          <w:sz w:val="24"/>
          <w:szCs w:val="24"/>
          <w:u w:val="single"/>
        </w:rPr>
        <w:t xml:space="preserve">                 </w:t>
      </w:r>
      <w:r>
        <w:rPr>
          <w:rFonts w:hAnsi="宋体"/>
          <w:bCs/>
          <w:color w:val="000000"/>
          <w:sz w:val="24"/>
          <w:szCs w:val="24"/>
        </w:rPr>
        <w:t>邮编</w:t>
      </w:r>
      <w:r>
        <w:rPr>
          <w:rFonts w:hint="eastAsia" w:hAnsi="宋体"/>
          <w:bCs/>
          <w:color w:val="000000"/>
          <w:sz w:val="24"/>
          <w:szCs w:val="24"/>
        </w:rPr>
        <w:t>：</w:t>
      </w:r>
      <w:r>
        <w:rPr>
          <w:rFonts w:hint="eastAsia" w:hAnsi="宋体"/>
          <w:bCs/>
          <w:color w:val="000000"/>
          <w:sz w:val="24"/>
          <w:szCs w:val="24"/>
          <w:u w:val="single"/>
        </w:rPr>
        <w:t xml:space="preserve">                  </w:t>
      </w:r>
      <w:r>
        <w:rPr>
          <w:rFonts w:hint="eastAsia" w:hAnsi="宋体"/>
          <w:bCs/>
          <w:color w:val="000000"/>
          <w:sz w:val="24"/>
          <w:szCs w:val="24"/>
        </w:rPr>
        <w:t xml:space="preserve">     </w:t>
      </w:r>
    </w:p>
    <w:p>
      <w:pPr>
        <w:pStyle w:val="15"/>
        <w:snapToGrid w:val="0"/>
        <w:spacing w:line="360" w:lineRule="auto"/>
        <w:ind w:firstLine="482" w:firstLineChars="200"/>
        <w:rPr>
          <w:rFonts w:hint="eastAsia" w:hAnsi="宋体"/>
          <w:b/>
          <w:bCs/>
          <w:color w:val="000000"/>
          <w:sz w:val="24"/>
          <w:szCs w:val="24"/>
        </w:rPr>
      </w:pPr>
      <w:r>
        <w:rPr>
          <w:rFonts w:hint="eastAsia" w:hAnsi="宋体"/>
          <w:b/>
          <w:bCs/>
          <w:color w:val="000000"/>
          <w:sz w:val="24"/>
          <w:szCs w:val="24"/>
        </w:rPr>
        <w:t>二、质疑项目基本情况：</w:t>
      </w:r>
    </w:p>
    <w:p>
      <w:pPr>
        <w:pStyle w:val="15"/>
        <w:spacing w:line="360" w:lineRule="auto"/>
        <w:ind w:left="25" w:leftChars="12" w:firstLine="472" w:firstLineChars="197"/>
        <w:rPr>
          <w:rFonts w:hint="eastAsia" w:hAnsi="宋体"/>
          <w:color w:val="000000"/>
          <w:sz w:val="24"/>
          <w:szCs w:val="24"/>
        </w:rPr>
      </w:pPr>
      <w:r>
        <w:rPr>
          <w:rFonts w:hint="eastAsia" w:hAnsi="宋体"/>
          <w:bCs/>
          <w:color w:val="000000"/>
          <w:sz w:val="24"/>
          <w:szCs w:val="24"/>
        </w:rPr>
        <w:t>质疑</w:t>
      </w:r>
      <w:r>
        <w:rPr>
          <w:rFonts w:hint="eastAsia" w:hAnsi="宋体"/>
          <w:color w:val="000000"/>
          <w:sz w:val="24"/>
          <w:szCs w:val="24"/>
        </w:rPr>
        <w:t>项目的名称：</w:t>
      </w:r>
      <w:r>
        <w:rPr>
          <w:rFonts w:hint="eastAsia" w:hAnsi="宋体"/>
          <w:bCs/>
          <w:color w:val="000000"/>
          <w:sz w:val="24"/>
          <w:szCs w:val="24"/>
          <w:u w:val="single"/>
        </w:rPr>
        <w:t xml:space="preserve">                                     </w:t>
      </w:r>
    </w:p>
    <w:p>
      <w:pPr>
        <w:pStyle w:val="15"/>
        <w:spacing w:line="360" w:lineRule="auto"/>
        <w:ind w:left="25" w:leftChars="12" w:firstLine="472" w:firstLineChars="197"/>
        <w:rPr>
          <w:rFonts w:hint="eastAsia" w:hAnsi="宋体"/>
          <w:color w:val="000000"/>
          <w:sz w:val="24"/>
          <w:szCs w:val="24"/>
        </w:rPr>
      </w:pPr>
      <w:r>
        <w:rPr>
          <w:rFonts w:hint="eastAsia" w:hAnsi="宋体"/>
          <w:bCs/>
          <w:color w:val="000000"/>
          <w:sz w:val="24"/>
          <w:szCs w:val="24"/>
        </w:rPr>
        <w:t>质疑</w:t>
      </w:r>
      <w:r>
        <w:rPr>
          <w:rFonts w:hint="eastAsia" w:hAnsi="宋体"/>
          <w:color w:val="000000"/>
          <w:sz w:val="24"/>
          <w:szCs w:val="24"/>
        </w:rPr>
        <w:t>项目的编号：</w:t>
      </w:r>
      <w:r>
        <w:rPr>
          <w:rFonts w:hint="eastAsia" w:hAnsi="宋体"/>
          <w:bCs/>
          <w:color w:val="000000"/>
          <w:sz w:val="24"/>
          <w:szCs w:val="24"/>
          <w:u w:val="single"/>
        </w:rPr>
        <w:t xml:space="preserve">                                     </w:t>
      </w:r>
    </w:p>
    <w:p>
      <w:pPr>
        <w:pStyle w:val="15"/>
        <w:spacing w:line="360" w:lineRule="auto"/>
        <w:ind w:left="25" w:leftChars="12" w:firstLine="472" w:firstLineChars="197"/>
        <w:rPr>
          <w:rFonts w:hint="eastAsia" w:hAnsi="宋体"/>
          <w:color w:val="000000"/>
          <w:sz w:val="24"/>
          <w:szCs w:val="24"/>
        </w:rPr>
      </w:pPr>
      <w:r>
        <w:rPr>
          <w:rFonts w:hint="eastAsia" w:hAnsi="宋体"/>
          <w:color w:val="000000"/>
          <w:sz w:val="24"/>
          <w:szCs w:val="24"/>
        </w:rPr>
        <w:t>采购人名称：</w:t>
      </w:r>
      <w:r>
        <w:rPr>
          <w:rFonts w:hint="eastAsia" w:hAnsi="宋体"/>
          <w:bCs/>
          <w:color w:val="000000"/>
          <w:sz w:val="24"/>
          <w:szCs w:val="24"/>
          <w:u w:val="single"/>
        </w:rPr>
        <w:t xml:space="preserve">                                         </w:t>
      </w:r>
    </w:p>
    <w:p>
      <w:pPr>
        <w:pStyle w:val="15"/>
        <w:spacing w:line="360" w:lineRule="auto"/>
        <w:ind w:left="25" w:leftChars="12" w:firstLine="472" w:firstLineChars="197"/>
        <w:rPr>
          <w:rFonts w:hint="eastAsia" w:hAnsi="宋体"/>
          <w:color w:val="000000"/>
          <w:sz w:val="24"/>
          <w:szCs w:val="24"/>
        </w:rPr>
      </w:pPr>
      <w:r>
        <w:rPr>
          <w:rFonts w:hint="eastAsia" w:hAnsi="宋体"/>
          <w:color w:val="000000"/>
          <w:sz w:val="24"/>
          <w:szCs w:val="24"/>
        </w:rPr>
        <w:t>质疑事项：</w:t>
      </w:r>
    </w:p>
    <w:p>
      <w:pPr>
        <w:pStyle w:val="15"/>
        <w:spacing w:line="360" w:lineRule="auto"/>
        <w:ind w:left="25" w:leftChars="12" w:firstLine="352" w:firstLineChars="147"/>
        <w:rPr>
          <w:rFonts w:hint="eastAsia" w:hAnsi="宋体"/>
          <w:color w:val="000000"/>
          <w:sz w:val="24"/>
          <w:szCs w:val="24"/>
        </w:rPr>
      </w:pPr>
      <w:r>
        <w:rPr>
          <w:rFonts w:hint="eastAsia" w:hAnsi="宋体"/>
          <w:color w:val="000000"/>
          <w:sz w:val="24"/>
          <w:szCs w:val="24"/>
        </w:rPr>
        <w:t>□采购文件   采购文件获取日期：</w:t>
      </w:r>
      <w:r>
        <w:rPr>
          <w:rFonts w:hint="eastAsia" w:hAnsi="宋体"/>
          <w:bCs/>
          <w:color w:val="000000"/>
          <w:sz w:val="24"/>
          <w:szCs w:val="24"/>
          <w:u w:val="single"/>
        </w:rPr>
        <w:t xml:space="preserve">                                   </w:t>
      </w:r>
    </w:p>
    <w:p>
      <w:pPr>
        <w:pStyle w:val="15"/>
        <w:spacing w:line="360" w:lineRule="auto"/>
        <w:ind w:left="25" w:leftChars="12" w:firstLine="352" w:firstLineChars="147"/>
        <w:rPr>
          <w:rFonts w:hint="eastAsia" w:hAnsi="宋体"/>
          <w:color w:val="000000"/>
          <w:sz w:val="24"/>
          <w:szCs w:val="24"/>
        </w:rPr>
      </w:pPr>
      <w:r>
        <w:rPr>
          <w:rFonts w:hint="eastAsia" w:hAnsi="宋体"/>
          <w:color w:val="000000"/>
          <w:sz w:val="24"/>
          <w:szCs w:val="24"/>
        </w:rPr>
        <w:t xml:space="preserve">□采购过程   </w:t>
      </w:r>
    </w:p>
    <w:p>
      <w:pPr>
        <w:pStyle w:val="15"/>
        <w:spacing w:line="360" w:lineRule="auto"/>
        <w:ind w:left="25" w:leftChars="12" w:firstLine="352" w:firstLineChars="147"/>
        <w:rPr>
          <w:rFonts w:hint="eastAsia" w:hAnsi="宋体"/>
          <w:bCs/>
          <w:color w:val="000000"/>
          <w:sz w:val="24"/>
          <w:szCs w:val="24"/>
          <w:u w:val="single"/>
        </w:rPr>
      </w:pPr>
      <w:r>
        <w:rPr>
          <w:rFonts w:hint="eastAsia" w:hAnsi="宋体"/>
          <w:color w:val="000000"/>
          <w:sz w:val="24"/>
          <w:szCs w:val="24"/>
        </w:rPr>
        <w:t xml:space="preserve">□采购结果   </w:t>
      </w:r>
    </w:p>
    <w:p>
      <w:pPr>
        <w:pStyle w:val="15"/>
        <w:spacing w:line="360" w:lineRule="auto"/>
        <w:ind w:left="25" w:leftChars="12" w:firstLine="472" w:firstLineChars="196"/>
        <w:rPr>
          <w:rFonts w:hint="eastAsia" w:hAnsi="宋体"/>
          <w:b/>
          <w:color w:val="000000"/>
          <w:sz w:val="24"/>
          <w:szCs w:val="24"/>
        </w:rPr>
      </w:pPr>
      <w:r>
        <w:rPr>
          <w:rFonts w:hint="eastAsia" w:hAnsi="宋体"/>
          <w:b/>
          <w:color w:val="000000"/>
          <w:sz w:val="24"/>
          <w:szCs w:val="24"/>
        </w:rPr>
        <w:t>三、质疑事项具体内容</w:t>
      </w:r>
    </w:p>
    <w:p>
      <w:pPr>
        <w:pStyle w:val="15"/>
        <w:spacing w:line="360" w:lineRule="auto"/>
        <w:ind w:left="25" w:leftChars="12" w:firstLine="472" w:firstLineChars="197"/>
        <w:rPr>
          <w:rFonts w:hint="eastAsia" w:hAnsi="宋体"/>
          <w:color w:val="000000"/>
          <w:sz w:val="24"/>
          <w:szCs w:val="24"/>
        </w:rPr>
      </w:pPr>
      <w:r>
        <w:rPr>
          <w:rFonts w:hint="eastAsia" w:hAnsi="宋体"/>
          <w:color w:val="000000"/>
          <w:sz w:val="24"/>
          <w:szCs w:val="24"/>
        </w:rPr>
        <w:t>质疑事项1：</w:t>
      </w:r>
      <w:r>
        <w:rPr>
          <w:rFonts w:hint="eastAsia" w:hAnsi="宋体"/>
          <w:bCs/>
          <w:color w:val="000000"/>
          <w:sz w:val="24"/>
          <w:szCs w:val="24"/>
          <w:u w:val="single"/>
        </w:rPr>
        <w:t xml:space="preserve">                                                                    </w:t>
      </w:r>
    </w:p>
    <w:p>
      <w:pPr>
        <w:pStyle w:val="15"/>
        <w:spacing w:line="360" w:lineRule="auto"/>
        <w:ind w:left="25" w:leftChars="12" w:firstLine="472" w:firstLineChars="197"/>
        <w:rPr>
          <w:rFonts w:hint="eastAsia" w:hAnsi="宋体"/>
          <w:color w:val="000000"/>
          <w:sz w:val="24"/>
          <w:szCs w:val="24"/>
        </w:rPr>
      </w:pPr>
      <w:r>
        <w:rPr>
          <w:rFonts w:hint="eastAsia" w:hAnsi="宋体"/>
          <w:color w:val="000000"/>
          <w:sz w:val="24"/>
          <w:szCs w:val="24"/>
        </w:rPr>
        <w:t>事实依据：</w:t>
      </w:r>
      <w:r>
        <w:rPr>
          <w:rFonts w:hint="eastAsia" w:hAnsi="宋体"/>
          <w:bCs/>
          <w:color w:val="000000"/>
          <w:sz w:val="24"/>
          <w:szCs w:val="24"/>
          <w:u w:val="single"/>
        </w:rPr>
        <w:t xml:space="preserve">                                                                      </w:t>
      </w:r>
    </w:p>
    <w:p>
      <w:pPr>
        <w:pStyle w:val="15"/>
        <w:spacing w:line="360" w:lineRule="auto"/>
        <w:ind w:left="25" w:leftChars="12" w:firstLine="472" w:firstLineChars="197"/>
        <w:rPr>
          <w:rFonts w:hint="eastAsia" w:hAnsi="宋体"/>
          <w:color w:val="000000"/>
          <w:sz w:val="24"/>
          <w:szCs w:val="24"/>
        </w:rPr>
      </w:pPr>
      <w:r>
        <w:rPr>
          <w:rFonts w:hint="eastAsia" w:hAnsi="宋体"/>
          <w:color w:val="000000"/>
          <w:sz w:val="24"/>
          <w:szCs w:val="24"/>
        </w:rPr>
        <w:t>法律依据：</w:t>
      </w:r>
      <w:r>
        <w:rPr>
          <w:rFonts w:hint="eastAsia" w:hAnsi="宋体"/>
          <w:color w:val="000000"/>
          <w:sz w:val="24"/>
          <w:szCs w:val="24"/>
          <w:u w:val="single"/>
        </w:rPr>
        <w:t xml:space="preserve">                                                        </w:t>
      </w:r>
      <w:r>
        <w:rPr>
          <w:rFonts w:hint="eastAsia" w:hAnsi="宋体"/>
          <w:bCs/>
          <w:color w:val="000000"/>
          <w:sz w:val="24"/>
          <w:szCs w:val="24"/>
          <w:u w:val="single"/>
        </w:rPr>
        <w:t xml:space="preserve">               </w:t>
      </w:r>
    </w:p>
    <w:p>
      <w:pPr>
        <w:pStyle w:val="15"/>
        <w:spacing w:line="360" w:lineRule="auto"/>
        <w:ind w:left="25" w:leftChars="12" w:firstLine="472" w:firstLineChars="197"/>
        <w:rPr>
          <w:rFonts w:hint="eastAsia" w:hAnsi="宋体"/>
          <w:color w:val="000000"/>
          <w:sz w:val="24"/>
          <w:szCs w:val="24"/>
        </w:rPr>
      </w:pPr>
      <w:r>
        <w:rPr>
          <w:rFonts w:hint="eastAsia" w:hAnsi="宋体"/>
          <w:color w:val="000000"/>
          <w:sz w:val="24"/>
          <w:szCs w:val="24"/>
        </w:rPr>
        <w:t>质疑事项2</w:t>
      </w:r>
    </w:p>
    <w:p>
      <w:pPr>
        <w:pStyle w:val="15"/>
        <w:spacing w:line="360" w:lineRule="auto"/>
        <w:ind w:left="25" w:leftChars="12" w:firstLine="472" w:firstLineChars="197"/>
        <w:rPr>
          <w:rFonts w:hint="eastAsia" w:hAnsi="宋体"/>
          <w:color w:val="000000"/>
          <w:sz w:val="24"/>
          <w:szCs w:val="24"/>
        </w:rPr>
      </w:pPr>
      <w:r>
        <w:rPr>
          <w:rFonts w:hAnsi="宋体"/>
          <w:color w:val="000000"/>
          <w:sz w:val="24"/>
          <w:szCs w:val="24"/>
        </w:rPr>
        <w:t>……</w:t>
      </w:r>
    </w:p>
    <w:p>
      <w:pPr>
        <w:pStyle w:val="15"/>
        <w:spacing w:line="360" w:lineRule="auto"/>
        <w:ind w:left="25" w:leftChars="12" w:firstLine="472" w:firstLineChars="197"/>
        <w:rPr>
          <w:rFonts w:hint="eastAsia" w:hAnsi="宋体"/>
          <w:color w:val="000000"/>
          <w:sz w:val="24"/>
          <w:szCs w:val="24"/>
        </w:rPr>
      </w:pPr>
      <w:r>
        <w:rPr>
          <w:rFonts w:hint="eastAsia" w:hAnsi="宋体"/>
          <w:color w:val="000000"/>
          <w:sz w:val="24"/>
          <w:szCs w:val="24"/>
        </w:rPr>
        <w:t>四、与质疑事项相关的质疑请求：</w:t>
      </w:r>
    </w:p>
    <w:p>
      <w:pPr>
        <w:pStyle w:val="15"/>
        <w:spacing w:line="360" w:lineRule="auto"/>
        <w:ind w:left="25" w:leftChars="12" w:firstLine="472" w:firstLineChars="197"/>
        <w:rPr>
          <w:rFonts w:hint="eastAsia" w:hAnsi="宋体"/>
          <w:color w:val="000000"/>
          <w:sz w:val="24"/>
          <w:szCs w:val="24"/>
        </w:rPr>
      </w:pPr>
      <w:r>
        <w:rPr>
          <w:rFonts w:hint="eastAsia" w:hAnsi="宋体"/>
          <w:color w:val="000000"/>
          <w:sz w:val="24"/>
          <w:szCs w:val="24"/>
        </w:rPr>
        <w:t>请求：</w:t>
      </w:r>
      <w:r>
        <w:rPr>
          <w:rFonts w:hint="eastAsia" w:hAnsi="宋体"/>
          <w:bCs/>
          <w:color w:val="000000"/>
          <w:sz w:val="24"/>
          <w:szCs w:val="24"/>
          <w:u w:val="single"/>
        </w:rPr>
        <w:t xml:space="preserve">                                                                </w:t>
      </w:r>
    </w:p>
    <w:p>
      <w:pPr>
        <w:pStyle w:val="15"/>
        <w:spacing w:line="360" w:lineRule="auto"/>
        <w:ind w:left="25" w:leftChars="12" w:firstLine="352" w:firstLineChars="147"/>
        <w:rPr>
          <w:rFonts w:hint="eastAsia" w:hAnsi="宋体"/>
          <w:color w:val="000000"/>
          <w:sz w:val="24"/>
          <w:szCs w:val="24"/>
        </w:rPr>
      </w:pPr>
    </w:p>
    <w:p>
      <w:pPr>
        <w:pStyle w:val="15"/>
        <w:spacing w:line="360" w:lineRule="auto"/>
        <w:ind w:left="25" w:leftChars="12" w:firstLine="472" w:firstLineChars="197"/>
        <w:rPr>
          <w:rFonts w:hint="eastAsia" w:hAnsi="宋体"/>
          <w:color w:val="000000"/>
          <w:sz w:val="24"/>
          <w:szCs w:val="24"/>
        </w:rPr>
      </w:pPr>
      <w:r>
        <w:rPr>
          <w:rFonts w:hint="eastAsia" w:hAnsi="宋体"/>
          <w:color w:val="000000"/>
          <w:sz w:val="24"/>
          <w:szCs w:val="24"/>
        </w:rPr>
        <w:t>签字（签章）：                                       公章：</w:t>
      </w:r>
    </w:p>
    <w:p>
      <w:pPr>
        <w:pStyle w:val="15"/>
        <w:spacing w:line="360" w:lineRule="auto"/>
        <w:ind w:left="25" w:leftChars="12" w:firstLine="352" w:firstLineChars="147"/>
        <w:rPr>
          <w:rFonts w:hint="eastAsia" w:hAnsi="宋体"/>
          <w:color w:val="000000"/>
          <w:sz w:val="24"/>
          <w:szCs w:val="24"/>
        </w:rPr>
      </w:pPr>
    </w:p>
    <w:p>
      <w:pPr>
        <w:pStyle w:val="15"/>
        <w:spacing w:line="360" w:lineRule="auto"/>
        <w:ind w:left="25" w:leftChars="12" w:firstLine="472" w:firstLineChars="197"/>
        <w:rPr>
          <w:rFonts w:hint="eastAsia" w:hAnsi="宋体"/>
          <w:color w:val="000000"/>
          <w:sz w:val="24"/>
          <w:szCs w:val="24"/>
        </w:rPr>
      </w:pPr>
      <w:r>
        <w:rPr>
          <w:rFonts w:hint="eastAsia" w:hAnsi="宋体"/>
          <w:color w:val="000000"/>
          <w:sz w:val="24"/>
          <w:szCs w:val="24"/>
        </w:rPr>
        <w:t>日期：</w:t>
      </w:r>
    </w:p>
    <w:p>
      <w:pPr>
        <w:pStyle w:val="15"/>
        <w:snapToGrid w:val="0"/>
        <w:spacing w:line="360" w:lineRule="auto"/>
        <w:rPr>
          <w:rFonts w:hint="eastAsia" w:hAnsi="宋体"/>
          <w:b/>
          <w:color w:val="000000"/>
          <w:sz w:val="24"/>
          <w:szCs w:val="24"/>
        </w:rPr>
      </w:pPr>
    </w:p>
    <w:p>
      <w:pPr>
        <w:pStyle w:val="15"/>
        <w:snapToGrid w:val="0"/>
        <w:spacing w:line="360" w:lineRule="auto"/>
        <w:rPr>
          <w:rFonts w:hint="eastAsia" w:hAnsi="宋体"/>
          <w:b/>
          <w:color w:val="000000"/>
          <w:sz w:val="24"/>
          <w:szCs w:val="24"/>
        </w:rPr>
      </w:pPr>
      <w:r>
        <w:rPr>
          <w:rFonts w:hint="eastAsia" w:hAnsi="宋体"/>
          <w:b/>
          <w:color w:val="000000"/>
          <w:sz w:val="24"/>
          <w:szCs w:val="24"/>
        </w:rPr>
        <w:t>说明：</w:t>
      </w:r>
    </w:p>
    <w:p>
      <w:pPr>
        <w:pStyle w:val="15"/>
        <w:spacing w:line="360" w:lineRule="auto"/>
        <w:ind w:left="25" w:leftChars="12" w:firstLine="354" w:firstLineChars="147"/>
        <w:rPr>
          <w:rFonts w:hint="eastAsia" w:hAnsi="宋体"/>
          <w:b/>
          <w:bCs/>
          <w:color w:val="000000"/>
          <w:sz w:val="24"/>
          <w:szCs w:val="24"/>
        </w:rPr>
      </w:pPr>
      <w:r>
        <w:rPr>
          <w:rFonts w:hint="eastAsia" w:hAnsi="宋体"/>
          <w:b/>
          <w:color w:val="000000"/>
          <w:sz w:val="24"/>
          <w:szCs w:val="24"/>
        </w:rPr>
        <w:t>1.供应商提出质疑时，应提交质疑函和必要的证明材料</w:t>
      </w:r>
      <w:r>
        <w:rPr>
          <w:rFonts w:hint="eastAsia" w:hAnsi="宋体"/>
          <w:b/>
          <w:bCs/>
          <w:color w:val="000000"/>
          <w:sz w:val="24"/>
          <w:szCs w:val="24"/>
        </w:rPr>
        <w:t>。</w:t>
      </w:r>
    </w:p>
    <w:p>
      <w:pPr>
        <w:pStyle w:val="15"/>
        <w:spacing w:line="360" w:lineRule="auto"/>
        <w:ind w:left="25" w:leftChars="12" w:firstLine="354" w:firstLineChars="147"/>
        <w:rPr>
          <w:rFonts w:hint="eastAsia" w:hAnsi="宋体"/>
          <w:b/>
          <w:color w:val="000000"/>
          <w:sz w:val="24"/>
          <w:szCs w:val="24"/>
        </w:rPr>
      </w:pPr>
      <w:r>
        <w:rPr>
          <w:rFonts w:hint="eastAsia" w:hAnsi="宋体"/>
          <w:b/>
          <w:color w:val="000000"/>
          <w:sz w:val="24"/>
          <w:szCs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15"/>
        <w:spacing w:line="360" w:lineRule="auto"/>
        <w:ind w:left="25" w:leftChars="12" w:firstLine="354" w:firstLineChars="147"/>
        <w:rPr>
          <w:rFonts w:hint="eastAsia" w:hAnsi="宋体"/>
          <w:b/>
          <w:color w:val="000000"/>
          <w:sz w:val="24"/>
          <w:szCs w:val="24"/>
        </w:rPr>
      </w:pPr>
      <w:r>
        <w:rPr>
          <w:rFonts w:hint="eastAsia" w:hAnsi="宋体"/>
          <w:b/>
          <w:color w:val="000000"/>
          <w:sz w:val="24"/>
          <w:szCs w:val="24"/>
        </w:rPr>
        <w:t>3.质疑函的质疑事项应具体、明确，并有必要的事实依据和法律依据。</w:t>
      </w:r>
    </w:p>
    <w:p>
      <w:pPr>
        <w:pStyle w:val="15"/>
        <w:spacing w:line="360" w:lineRule="auto"/>
        <w:ind w:left="25" w:leftChars="12" w:firstLine="354" w:firstLineChars="147"/>
        <w:rPr>
          <w:rFonts w:hint="eastAsia" w:hAnsi="宋体"/>
          <w:b/>
          <w:color w:val="000000"/>
          <w:sz w:val="24"/>
          <w:szCs w:val="24"/>
        </w:rPr>
      </w:pPr>
      <w:r>
        <w:rPr>
          <w:rFonts w:hint="eastAsia" w:hAnsi="宋体"/>
          <w:b/>
          <w:color w:val="000000"/>
          <w:sz w:val="24"/>
          <w:szCs w:val="24"/>
        </w:rPr>
        <w:t>4.质疑函的质疑请求应与质疑事项相关。</w:t>
      </w:r>
    </w:p>
    <w:p>
      <w:pPr>
        <w:pStyle w:val="15"/>
        <w:spacing w:line="360" w:lineRule="auto"/>
        <w:ind w:left="25" w:leftChars="12" w:firstLine="354" w:firstLineChars="147"/>
        <w:rPr>
          <w:rFonts w:hint="eastAsia" w:hAnsi="宋体"/>
          <w:b/>
          <w:color w:val="000000"/>
        </w:rPr>
      </w:pPr>
      <w:r>
        <w:rPr>
          <w:rFonts w:hint="eastAsia" w:hAnsi="宋体"/>
          <w:b/>
          <w:color w:val="000000"/>
          <w:sz w:val="24"/>
          <w:szCs w:val="24"/>
        </w:rPr>
        <w:t>5.质疑供应商为法人或者其他组织的，质疑函应由法定代表人、主要负责人，或者其授权代表签字或者盖章，并加盖公章。</w:t>
      </w:r>
    </w:p>
    <w:p>
      <w:pPr>
        <w:pStyle w:val="15"/>
        <w:snapToGrid w:val="0"/>
        <w:rPr>
          <w:rFonts w:hint="eastAsia"/>
          <w:b/>
          <w:color w:val="000000"/>
          <w:sz w:val="24"/>
          <w:szCs w:val="24"/>
        </w:rPr>
      </w:pPr>
    </w:p>
    <w:p>
      <w:pPr>
        <w:spacing w:line="360" w:lineRule="auto"/>
        <w:jc w:val="left"/>
        <w:rPr>
          <w:rFonts w:hint="eastAsia" w:ascii="宋体" w:hAnsi="宋体"/>
          <w:b/>
          <w:bCs/>
          <w:color w:val="000000"/>
          <w:sz w:val="32"/>
          <w:szCs w:val="32"/>
        </w:rPr>
      </w:pPr>
      <w:r>
        <w:rPr>
          <w:rFonts w:eastAsia="隶书"/>
          <w:color w:val="000000"/>
          <w:sz w:val="44"/>
        </w:rPr>
        <w:br w:type="page"/>
      </w:r>
      <w:r>
        <w:rPr>
          <w:rFonts w:hint="eastAsia" w:ascii="宋体" w:hAnsi="宋体"/>
          <w:b/>
          <w:color w:val="000000"/>
          <w:sz w:val="24"/>
        </w:rPr>
        <w:t>5.投诉书（格式）</w:t>
      </w:r>
    </w:p>
    <w:p>
      <w:pPr>
        <w:spacing w:line="360" w:lineRule="auto"/>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投诉书（格式）</w:t>
      </w:r>
    </w:p>
    <w:p>
      <w:pPr>
        <w:pStyle w:val="15"/>
        <w:snapToGrid w:val="0"/>
        <w:spacing w:line="360" w:lineRule="auto"/>
        <w:ind w:firstLine="482" w:firstLineChars="200"/>
        <w:rPr>
          <w:rFonts w:hAnsi="宋体"/>
          <w:b/>
          <w:bCs/>
          <w:color w:val="000000"/>
          <w:sz w:val="24"/>
          <w:szCs w:val="24"/>
        </w:rPr>
      </w:pPr>
      <w:r>
        <w:rPr>
          <w:rFonts w:hint="eastAsia" w:hAnsi="宋体"/>
          <w:b/>
          <w:bCs/>
          <w:color w:val="000000"/>
          <w:sz w:val="24"/>
          <w:szCs w:val="24"/>
        </w:rPr>
        <w:t>一、投诉相关主体基本情况：</w:t>
      </w:r>
    </w:p>
    <w:p>
      <w:pPr>
        <w:pStyle w:val="15"/>
        <w:snapToGrid w:val="0"/>
        <w:spacing w:line="360" w:lineRule="auto"/>
        <w:ind w:firstLine="480" w:firstLineChars="200"/>
        <w:jc w:val="left"/>
        <w:rPr>
          <w:rFonts w:hint="eastAsia" w:hAnsi="宋体"/>
          <w:bCs/>
          <w:color w:val="000000"/>
          <w:sz w:val="24"/>
          <w:szCs w:val="24"/>
          <w:u w:val="single"/>
        </w:rPr>
      </w:pPr>
      <w:r>
        <w:rPr>
          <w:rFonts w:hint="eastAsia" w:hAnsi="宋体"/>
          <w:bCs/>
          <w:color w:val="000000"/>
          <w:sz w:val="24"/>
          <w:szCs w:val="24"/>
        </w:rPr>
        <w:t>投标人：</w:t>
      </w:r>
      <w:r>
        <w:rPr>
          <w:rFonts w:hint="eastAsia" w:hAnsi="宋体"/>
          <w:bCs/>
          <w:color w:val="000000"/>
          <w:sz w:val="24"/>
          <w:szCs w:val="24"/>
          <w:u w:val="single"/>
        </w:rPr>
        <w:t xml:space="preserve">                                                                        </w:t>
      </w:r>
      <w:r>
        <w:rPr>
          <w:rFonts w:hint="eastAsia" w:hAnsi="宋体"/>
          <w:bCs/>
          <w:color w:val="000000"/>
          <w:sz w:val="24"/>
          <w:szCs w:val="24"/>
        </w:rPr>
        <w:t xml:space="preserve">                 </w:t>
      </w:r>
    </w:p>
    <w:p>
      <w:pPr>
        <w:pStyle w:val="15"/>
        <w:snapToGrid w:val="0"/>
        <w:spacing w:line="360" w:lineRule="auto"/>
        <w:ind w:firstLine="480" w:firstLineChars="200"/>
        <w:jc w:val="left"/>
        <w:rPr>
          <w:rFonts w:hint="eastAsia" w:hAnsi="宋体"/>
          <w:bCs/>
          <w:color w:val="000000"/>
          <w:sz w:val="24"/>
          <w:szCs w:val="24"/>
        </w:rPr>
      </w:pPr>
      <w:r>
        <w:rPr>
          <w:rFonts w:hAnsi="宋体"/>
          <w:bCs/>
          <w:color w:val="000000"/>
          <w:sz w:val="24"/>
          <w:szCs w:val="24"/>
        </w:rPr>
        <w:t>地址</w:t>
      </w:r>
      <w:r>
        <w:rPr>
          <w:rFonts w:hint="eastAsia" w:hAnsi="宋体"/>
          <w:bCs/>
          <w:color w:val="000000"/>
          <w:sz w:val="24"/>
          <w:szCs w:val="24"/>
        </w:rPr>
        <w:t>：</w:t>
      </w:r>
      <w:r>
        <w:rPr>
          <w:rFonts w:hint="eastAsia" w:hAnsi="宋体"/>
          <w:bCs/>
          <w:color w:val="000000"/>
          <w:sz w:val="24"/>
          <w:szCs w:val="24"/>
          <w:u w:val="single"/>
        </w:rPr>
        <w:t xml:space="preserve">                                          </w:t>
      </w:r>
      <w:r>
        <w:rPr>
          <w:rFonts w:hAnsi="宋体"/>
          <w:bCs/>
          <w:color w:val="000000"/>
          <w:sz w:val="24"/>
          <w:szCs w:val="24"/>
        </w:rPr>
        <w:t>邮编</w:t>
      </w:r>
      <w:r>
        <w:rPr>
          <w:rFonts w:hint="eastAsia" w:hAnsi="宋体"/>
          <w:bCs/>
          <w:color w:val="000000"/>
          <w:sz w:val="24"/>
          <w:szCs w:val="24"/>
        </w:rPr>
        <w:t>：</w:t>
      </w:r>
      <w:r>
        <w:rPr>
          <w:rFonts w:hint="eastAsia" w:hAnsi="宋体"/>
          <w:bCs/>
          <w:color w:val="000000"/>
          <w:sz w:val="24"/>
          <w:szCs w:val="24"/>
          <w:u w:val="single"/>
        </w:rPr>
        <w:t xml:space="preserve">                          </w:t>
      </w:r>
      <w:r>
        <w:rPr>
          <w:rFonts w:hint="eastAsia" w:hAnsi="宋体"/>
          <w:bCs/>
          <w:color w:val="000000"/>
          <w:sz w:val="24"/>
          <w:szCs w:val="24"/>
        </w:rPr>
        <w:t xml:space="preserve">                 </w:t>
      </w:r>
    </w:p>
    <w:p>
      <w:pPr>
        <w:pStyle w:val="15"/>
        <w:snapToGrid w:val="0"/>
        <w:spacing w:line="360" w:lineRule="auto"/>
        <w:ind w:firstLine="480" w:firstLineChars="200"/>
        <w:jc w:val="left"/>
        <w:rPr>
          <w:rFonts w:hint="eastAsia" w:hAnsi="宋体"/>
          <w:bCs/>
          <w:color w:val="000000"/>
          <w:sz w:val="24"/>
          <w:szCs w:val="24"/>
          <w:u w:val="single"/>
        </w:rPr>
      </w:pPr>
      <w:r>
        <w:rPr>
          <w:rFonts w:hint="eastAsia" w:hAnsi="宋体"/>
          <w:bCs/>
          <w:color w:val="000000"/>
          <w:sz w:val="24"/>
          <w:szCs w:val="24"/>
        </w:rPr>
        <w:t>法定代表人/主要负责人：</w:t>
      </w:r>
      <w:r>
        <w:rPr>
          <w:rFonts w:hint="eastAsia" w:hAnsi="宋体"/>
          <w:bCs/>
          <w:color w:val="000000"/>
          <w:sz w:val="24"/>
          <w:szCs w:val="24"/>
          <w:u w:val="single"/>
        </w:rPr>
        <w:t xml:space="preserve">                                                         </w:t>
      </w:r>
    </w:p>
    <w:p>
      <w:pPr>
        <w:pStyle w:val="15"/>
        <w:snapToGrid w:val="0"/>
        <w:spacing w:line="360" w:lineRule="auto"/>
        <w:ind w:firstLine="480" w:firstLineChars="200"/>
        <w:jc w:val="left"/>
        <w:rPr>
          <w:rFonts w:hint="eastAsia" w:hAnsi="宋体"/>
          <w:bCs/>
          <w:color w:val="000000"/>
          <w:sz w:val="24"/>
          <w:szCs w:val="24"/>
        </w:rPr>
      </w:pPr>
      <w:r>
        <w:rPr>
          <w:rFonts w:hAnsi="宋体"/>
          <w:bCs/>
          <w:color w:val="000000"/>
          <w:sz w:val="24"/>
          <w:szCs w:val="24"/>
        </w:rPr>
        <w:t>联系电话</w:t>
      </w:r>
      <w:r>
        <w:rPr>
          <w:rFonts w:hint="eastAsia" w:hAnsi="宋体"/>
          <w:bCs/>
          <w:color w:val="000000"/>
          <w:sz w:val="24"/>
          <w:szCs w:val="24"/>
        </w:rPr>
        <w:t>：</w:t>
      </w:r>
      <w:r>
        <w:rPr>
          <w:rFonts w:hint="eastAsia" w:hAnsi="宋体"/>
          <w:bCs/>
          <w:color w:val="000000"/>
          <w:sz w:val="24"/>
          <w:szCs w:val="24"/>
          <w:u w:val="single"/>
        </w:rPr>
        <w:t xml:space="preserve">                                         </w:t>
      </w:r>
    </w:p>
    <w:p>
      <w:pPr>
        <w:pStyle w:val="15"/>
        <w:snapToGrid w:val="0"/>
        <w:spacing w:line="360" w:lineRule="auto"/>
        <w:ind w:firstLine="480" w:firstLineChars="200"/>
        <w:jc w:val="left"/>
        <w:rPr>
          <w:rFonts w:hint="eastAsia" w:hAnsi="宋体"/>
          <w:bCs/>
          <w:color w:val="000000"/>
          <w:sz w:val="24"/>
          <w:szCs w:val="24"/>
          <w:u w:val="single"/>
        </w:rPr>
      </w:pPr>
      <w:r>
        <w:rPr>
          <w:rFonts w:hint="eastAsia" w:hAnsi="宋体"/>
          <w:bCs/>
          <w:color w:val="000000"/>
          <w:sz w:val="24"/>
          <w:szCs w:val="24"/>
        </w:rPr>
        <w:t>授权代表：</w:t>
      </w:r>
      <w:r>
        <w:rPr>
          <w:rFonts w:hint="eastAsia" w:hAnsi="宋体"/>
          <w:bCs/>
          <w:color w:val="000000"/>
          <w:sz w:val="24"/>
          <w:szCs w:val="24"/>
          <w:u w:val="single"/>
        </w:rPr>
        <w:t xml:space="preserve">                                         </w:t>
      </w:r>
      <w:r>
        <w:rPr>
          <w:rFonts w:hAnsi="宋体"/>
          <w:bCs/>
          <w:color w:val="000000"/>
          <w:sz w:val="24"/>
          <w:szCs w:val="24"/>
        </w:rPr>
        <w:t>联系</w:t>
      </w:r>
      <w:r>
        <w:rPr>
          <w:rFonts w:hint="eastAsia" w:hAnsi="宋体"/>
          <w:bCs/>
          <w:color w:val="000000"/>
          <w:sz w:val="24"/>
          <w:szCs w:val="24"/>
        </w:rPr>
        <w:t>电话：</w:t>
      </w:r>
      <w:r>
        <w:rPr>
          <w:rFonts w:hint="eastAsia" w:hAnsi="宋体"/>
          <w:bCs/>
          <w:color w:val="000000"/>
          <w:sz w:val="24"/>
          <w:szCs w:val="24"/>
          <w:u w:val="single"/>
        </w:rPr>
        <w:t xml:space="preserve">                   </w:t>
      </w:r>
    </w:p>
    <w:p>
      <w:pPr>
        <w:pStyle w:val="15"/>
        <w:snapToGrid w:val="0"/>
        <w:spacing w:line="360" w:lineRule="auto"/>
        <w:ind w:firstLine="480" w:firstLineChars="200"/>
        <w:jc w:val="left"/>
        <w:rPr>
          <w:rFonts w:hint="eastAsia" w:hAnsi="宋体"/>
          <w:bCs/>
          <w:color w:val="000000"/>
          <w:sz w:val="24"/>
          <w:szCs w:val="24"/>
          <w:u w:val="single"/>
        </w:rPr>
      </w:pPr>
      <w:r>
        <w:rPr>
          <w:rFonts w:hAnsi="宋体"/>
          <w:bCs/>
          <w:color w:val="000000"/>
          <w:sz w:val="24"/>
          <w:szCs w:val="24"/>
        </w:rPr>
        <w:t>地址</w:t>
      </w:r>
      <w:r>
        <w:rPr>
          <w:rFonts w:hint="eastAsia" w:hAnsi="宋体"/>
          <w:bCs/>
          <w:color w:val="000000"/>
          <w:sz w:val="24"/>
          <w:szCs w:val="24"/>
        </w:rPr>
        <w:t>：</w:t>
      </w:r>
      <w:r>
        <w:rPr>
          <w:rFonts w:hint="eastAsia" w:hAnsi="宋体"/>
          <w:bCs/>
          <w:color w:val="000000"/>
          <w:sz w:val="24"/>
          <w:szCs w:val="24"/>
          <w:u w:val="single"/>
        </w:rPr>
        <w:t xml:space="preserve">                                                            </w:t>
      </w:r>
    </w:p>
    <w:p>
      <w:pPr>
        <w:pStyle w:val="15"/>
        <w:snapToGrid w:val="0"/>
        <w:spacing w:line="360" w:lineRule="auto"/>
        <w:ind w:firstLine="480" w:firstLineChars="200"/>
        <w:jc w:val="left"/>
        <w:rPr>
          <w:rFonts w:hint="eastAsia" w:hAnsi="宋体"/>
          <w:bCs/>
          <w:color w:val="000000"/>
          <w:sz w:val="24"/>
          <w:szCs w:val="24"/>
        </w:rPr>
      </w:pPr>
      <w:r>
        <w:rPr>
          <w:rFonts w:hAnsi="宋体"/>
          <w:bCs/>
          <w:color w:val="000000"/>
          <w:sz w:val="24"/>
          <w:szCs w:val="24"/>
        </w:rPr>
        <w:t>邮编</w:t>
      </w:r>
      <w:r>
        <w:rPr>
          <w:rFonts w:hint="eastAsia" w:hAnsi="宋体"/>
          <w:bCs/>
          <w:color w:val="000000"/>
          <w:sz w:val="24"/>
          <w:szCs w:val="24"/>
        </w:rPr>
        <w:t>：</w:t>
      </w:r>
      <w:r>
        <w:rPr>
          <w:rFonts w:hint="eastAsia" w:hAnsi="宋体"/>
          <w:bCs/>
          <w:color w:val="000000"/>
          <w:sz w:val="24"/>
          <w:szCs w:val="24"/>
          <w:u w:val="single"/>
        </w:rPr>
        <w:t xml:space="preserve">         </w:t>
      </w:r>
      <w:r>
        <w:rPr>
          <w:rFonts w:hint="eastAsia" w:hAnsi="宋体"/>
          <w:bCs/>
          <w:color w:val="000000"/>
          <w:sz w:val="24"/>
          <w:szCs w:val="24"/>
        </w:rPr>
        <w:t xml:space="preserve">   </w:t>
      </w:r>
    </w:p>
    <w:p>
      <w:pPr>
        <w:pStyle w:val="15"/>
        <w:snapToGrid w:val="0"/>
        <w:spacing w:line="360" w:lineRule="auto"/>
        <w:ind w:firstLine="480" w:firstLineChars="200"/>
        <w:jc w:val="left"/>
        <w:rPr>
          <w:rFonts w:hint="eastAsia" w:hAnsi="宋体"/>
          <w:bCs/>
          <w:color w:val="000000"/>
          <w:sz w:val="24"/>
          <w:szCs w:val="24"/>
        </w:rPr>
      </w:pPr>
      <w:r>
        <w:rPr>
          <w:rFonts w:hint="eastAsia" w:hAnsi="宋体"/>
          <w:bCs/>
          <w:color w:val="000000"/>
          <w:sz w:val="24"/>
          <w:szCs w:val="24"/>
        </w:rPr>
        <w:t>被投诉人1：</w:t>
      </w:r>
    </w:p>
    <w:p>
      <w:pPr>
        <w:pStyle w:val="15"/>
        <w:snapToGrid w:val="0"/>
        <w:spacing w:line="360" w:lineRule="auto"/>
        <w:ind w:firstLine="480" w:firstLineChars="200"/>
        <w:jc w:val="left"/>
        <w:rPr>
          <w:rFonts w:hint="eastAsia" w:hAnsi="宋体"/>
          <w:bCs/>
          <w:color w:val="000000"/>
          <w:sz w:val="24"/>
          <w:szCs w:val="24"/>
          <w:u w:val="single"/>
        </w:rPr>
      </w:pPr>
      <w:r>
        <w:rPr>
          <w:rFonts w:hint="eastAsia" w:hAnsi="宋体"/>
          <w:bCs/>
          <w:color w:val="000000"/>
          <w:sz w:val="24"/>
          <w:szCs w:val="24"/>
        </w:rPr>
        <w:t>地址：</w:t>
      </w:r>
      <w:r>
        <w:rPr>
          <w:rFonts w:hint="eastAsia" w:hAnsi="宋体"/>
          <w:bCs/>
          <w:color w:val="000000"/>
          <w:sz w:val="24"/>
          <w:szCs w:val="24"/>
          <w:u w:val="single"/>
        </w:rPr>
        <w:t xml:space="preserve">                                                            </w:t>
      </w:r>
    </w:p>
    <w:p>
      <w:pPr>
        <w:pStyle w:val="15"/>
        <w:snapToGrid w:val="0"/>
        <w:spacing w:line="360" w:lineRule="auto"/>
        <w:ind w:firstLine="480" w:firstLineChars="200"/>
        <w:jc w:val="left"/>
        <w:rPr>
          <w:rFonts w:hint="eastAsia" w:hAnsi="宋体"/>
          <w:bCs/>
          <w:color w:val="000000"/>
          <w:sz w:val="24"/>
          <w:szCs w:val="24"/>
        </w:rPr>
      </w:pPr>
      <w:r>
        <w:rPr>
          <w:rFonts w:hAnsi="宋体"/>
          <w:bCs/>
          <w:color w:val="000000"/>
          <w:sz w:val="24"/>
          <w:szCs w:val="24"/>
        </w:rPr>
        <w:t>邮编</w:t>
      </w:r>
      <w:r>
        <w:rPr>
          <w:rFonts w:hint="eastAsia" w:hAnsi="宋体"/>
          <w:bCs/>
          <w:color w:val="000000"/>
          <w:sz w:val="24"/>
          <w:szCs w:val="24"/>
        </w:rPr>
        <w:t>：</w:t>
      </w:r>
      <w:r>
        <w:rPr>
          <w:rFonts w:hint="eastAsia" w:hAnsi="宋体"/>
          <w:bCs/>
          <w:color w:val="000000"/>
          <w:sz w:val="24"/>
          <w:szCs w:val="24"/>
          <w:u w:val="single"/>
        </w:rPr>
        <w:t xml:space="preserve">         </w:t>
      </w:r>
      <w:r>
        <w:rPr>
          <w:rFonts w:hint="eastAsia" w:hAnsi="宋体"/>
          <w:bCs/>
          <w:color w:val="000000"/>
          <w:sz w:val="24"/>
          <w:szCs w:val="24"/>
        </w:rPr>
        <w:t xml:space="preserve">  </w:t>
      </w:r>
    </w:p>
    <w:p>
      <w:pPr>
        <w:pStyle w:val="15"/>
        <w:snapToGrid w:val="0"/>
        <w:spacing w:line="360" w:lineRule="auto"/>
        <w:ind w:firstLine="480" w:firstLineChars="200"/>
        <w:jc w:val="left"/>
        <w:rPr>
          <w:rFonts w:hint="eastAsia" w:hAnsi="宋体"/>
          <w:bCs/>
          <w:color w:val="000000"/>
          <w:sz w:val="24"/>
          <w:szCs w:val="24"/>
          <w:u w:val="single"/>
        </w:rPr>
      </w:pPr>
      <w:r>
        <w:rPr>
          <w:rFonts w:hint="eastAsia" w:hAnsi="宋体"/>
          <w:bCs/>
          <w:color w:val="000000"/>
          <w:sz w:val="24"/>
          <w:szCs w:val="24"/>
        </w:rPr>
        <w:t>联系人：</w:t>
      </w:r>
      <w:r>
        <w:rPr>
          <w:rFonts w:hint="eastAsia" w:hAnsi="宋体"/>
          <w:bCs/>
          <w:color w:val="000000"/>
          <w:sz w:val="24"/>
          <w:szCs w:val="24"/>
          <w:u w:val="single"/>
        </w:rPr>
        <w:t xml:space="preserve">                            </w:t>
      </w:r>
      <w:r>
        <w:rPr>
          <w:rFonts w:hAnsi="宋体"/>
          <w:bCs/>
          <w:color w:val="000000"/>
          <w:sz w:val="24"/>
          <w:szCs w:val="24"/>
        </w:rPr>
        <w:t>联系</w:t>
      </w:r>
      <w:r>
        <w:rPr>
          <w:rFonts w:hint="eastAsia" w:hAnsi="宋体"/>
          <w:bCs/>
          <w:color w:val="000000"/>
          <w:sz w:val="24"/>
          <w:szCs w:val="24"/>
        </w:rPr>
        <w:t>电话：</w:t>
      </w:r>
      <w:r>
        <w:rPr>
          <w:rFonts w:hint="eastAsia" w:hAnsi="宋体"/>
          <w:bCs/>
          <w:color w:val="000000"/>
          <w:sz w:val="24"/>
          <w:szCs w:val="24"/>
          <w:u w:val="single"/>
        </w:rPr>
        <w:t xml:space="preserve">                </w:t>
      </w:r>
    </w:p>
    <w:p>
      <w:pPr>
        <w:pStyle w:val="15"/>
        <w:snapToGrid w:val="0"/>
        <w:spacing w:line="360" w:lineRule="auto"/>
        <w:ind w:firstLine="480" w:firstLineChars="200"/>
        <w:jc w:val="left"/>
        <w:rPr>
          <w:rFonts w:hint="eastAsia" w:hAnsi="宋体"/>
          <w:bCs/>
          <w:color w:val="000000"/>
          <w:sz w:val="24"/>
          <w:szCs w:val="24"/>
        </w:rPr>
      </w:pPr>
      <w:r>
        <w:rPr>
          <w:rFonts w:hint="eastAsia" w:hAnsi="宋体"/>
          <w:bCs/>
          <w:color w:val="000000"/>
          <w:sz w:val="24"/>
          <w:szCs w:val="24"/>
        </w:rPr>
        <w:t>被投诉人2：</w:t>
      </w:r>
    </w:p>
    <w:p>
      <w:pPr>
        <w:pStyle w:val="15"/>
        <w:snapToGrid w:val="0"/>
        <w:spacing w:line="360" w:lineRule="auto"/>
        <w:ind w:firstLine="480" w:firstLineChars="200"/>
        <w:jc w:val="left"/>
        <w:rPr>
          <w:rFonts w:hint="eastAsia" w:hAnsi="宋体"/>
          <w:bCs/>
          <w:color w:val="000000"/>
          <w:sz w:val="24"/>
          <w:szCs w:val="24"/>
        </w:rPr>
      </w:pPr>
      <w:r>
        <w:rPr>
          <w:rFonts w:hAnsi="宋体"/>
          <w:bCs/>
          <w:color w:val="000000"/>
          <w:sz w:val="24"/>
          <w:szCs w:val="24"/>
        </w:rPr>
        <w:t>……</w:t>
      </w:r>
    </w:p>
    <w:p>
      <w:pPr>
        <w:pStyle w:val="15"/>
        <w:snapToGrid w:val="0"/>
        <w:spacing w:line="360" w:lineRule="auto"/>
        <w:ind w:firstLine="480" w:firstLineChars="200"/>
        <w:jc w:val="left"/>
        <w:rPr>
          <w:rFonts w:hint="eastAsia" w:hAnsi="宋体"/>
          <w:bCs/>
          <w:color w:val="000000"/>
          <w:sz w:val="24"/>
          <w:szCs w:val="24"/>
          <w:u w:val="single"/>
        </w:rPr>
      </w:pPr>
      <w:r>
        <w:rPr>
          <w:rFonts w:hint="eastAsia" w:hAnsi="宋体"/>
          <w:bCs/>
          <w:color w:val="000000"/>
          <w:sz w:val="24"/>
          <w:szCs w:val="24"/>
        </w:rPr>
        <w:t>相关供应商：</w:t>
      </w:r>
      <w:r>
        <w:rPr>
          <w:rFonts w:hint="eastAsia" w:hAnsi="宋体"/>
          <w:bCs/>
          <w:color w:val="000000"/>
          <w:sz w:val="24"/>
          <w:szCs w:val="24"/>
          <w:u w:val="single"/>
        </w:rPr>
        <w:t xml:space="preserve">                                                                       </w:t>
      </w:r>
    </w:p>
    <w:p>
      <w:pPr>
        <w:pStyle w:val="15"/>
        <w:snapToGrid w:val="0"/>
        <w:spacing w:line="360" w:lineRule="auto"/>
        <w:ind w:firstLine="480" w:firstLineChars="200"/>
        <w:jc w:val="left"/>
        <w:rPr>
          <w:rFonts w:hint="eastAsia" w:hAnsi="宋体"/>
          <w:bCs/>
          <w:color w:val="000000"/>
          <w:sz w:val="24"/>
          <w:szCs w:val="24"/>
          <w:u w:val="single"/>
        </w:rPr>
      </w:pPr>
      <w:r>
        <w:rPr>
          <w:rFonts w:hAnsi="宋体"/>
          <w:bCs/>
          <w:color w:val="000000"/>
          <w:sz w:val="24"/>
          <w:szCs w:val="24"/>
        </w:rPr>
        <w:t>地址</w:t>
      </w:r>
      <w:r>
        <w:rPr>
          <w:rFonts w:hint="eastAsia" w:hAnsi="宋体"/>
          <w:bCs/>
          <w:color w:val="000000"/>
          <w:sz w:val="24"/>
          <w:szCs w:val="24"/>
        </w:rPr>
        <w:t>：</w:t>
      </w:r>
      <w:r>
        <w:rPr>
          <w:rFonts w:hint="eastAsia" w:hAnsi="宋体"/>
          <w:bCs/>
          <w:color w:val="000000"/>
          <w:sz w:val="24"/>
          <w:szCs w:val="24"/>
          <w:u w:val="single"/>
        </w:rPr>
        <w:t xml:space="preserve">                                              </w:t>
      </w:r>
      <w:r>
        <w:rPr>
          <w:rFonts w:hAnsi="宋体"/>
          <w:bCs/>
          <w:color w:val="000000"/>
          <w:sz w:val="24"/>
          <w:szCs w:val="24"/>
        </w:rPr>
        <w:t>邮编</w:t>
      </w:r>
      <w:r>
        <w:rPr>
          <w:rFonts w:hint="eastAsia" w:hAnsi="宋体"/>
          <w:bCs/>
          <w:color w:val="000000"/>
          <w:sz w:val="24"/>
          <w:szCs w:val="24"/>
        </w:rPr>
        <w:t>：</w:t>
      </w:r>
      <w:r>
        <w:rPr>
          <w:rFonts w:hint="eastAsia" w:hAnsi="宋体"/>
          <w:bCs/>
          <w:color w:val="000000"/>
          <w:sz w:val="24"/>
          <w:szCs w:val="24"/>
          <w:u w:val="single"/>
        </w:rPr>
        <w:t xml:space="preserve">                         </w:t>
      </w:r>
    </w:p>
    <w:p>
      <w:pPr>
        <w:pStyle w:val="15"/>
        <w:snapToGrid w:val="0"/>
        <w:spacing w:line="360" w:lineRule="auto"/>
        <w:ind w:firstLine="480" w:firstLineChars="200"/>
        <w:jc w:val="left"/>
        <w:rPr>
          <w:rFonts w:hint="eastAsia" w:hAnsi="宋体"/>
          <w:bCs/>
          <w:color w:val="000000"/>
          <w:sz w:val="24"/>
          <w:szCs w:val="24"/>
        </w:rPr>
      </w:pPr>
      <w:r>
        <w:rPr>
          <w:rFonts w:hint="eastAsia" w:hAnsi="宋体"/>
          <w:bCs/>
          <w:color w:val="000000"/>
          <w:sz w:val="24"/>
          <w:szCs w:val="24"/>
        </w:rPr>
        <w:t>联系人：</w:t>
      </w:r>
      <w:r>
        <w:rPr>
          <w:rFonts w:hint="eastAsia" w:hAnsi="宋体"/>
          <w:bCs/>
          <w:color w:val="000000"/>
          <w:sz w:val="24"/>
          <w:szCs w:val="24"/>
          <w:u w:val="single"/>
        </w:rPr>
        <w:t xml:space="preserve">                                            </w:t>
      </w:r>
      <w:r>
        <w:rPr>
          <w:rFonts w:hAnsi="宋体"/>
          <w:bCs/>
          <w:color w:val="000000"/>
          <w:sz w:val="24"/>
          <w:szCs w:val="24"/>
        </w:rPr>
        <w:t>联系</w:t>
      </w:r>
      <w:r>
        <w:rPr>
          <w:rFonts w:hint="eastAsia" w:hAnsi="宋体"/>
          <w:bCs/>
          <w:color w:val="000000"/>
          <w:sz w:val="24"/>
          <w:szCs w:val="24"/>
        </w:rPr>
        <w:t>电话：</w:t>
      </w:r>
      <w:r>
        <w:rPr>
          <w:rFonts w:hint="eastAsia" w:hAnsi="宋体"/>
          <w:bCs/>
          <w:color w:val="000000"/>
          <w:sz w:val="24"/>
          <w:szCs w:val="24"/>
          <w:u w:val="single"/>
        </w:rPr>
        <w:t xml:space="preserve">                     </w:t>
      </w:r>
      <w:r>
        <w:rPr>
          <w:rFonts w:hint="eastAsia" w:hAnsi="宋体"/>
          <w:bCs/>
          <w:color w:val="000000"/>
          <w:sz w:val="24"/>
          <w:szCs w:val="24"/>
        </w:rPr>
        <w:t xml:space="preserve">                </w:t>
      </w:r>
    </w:p>
    <w:p>
      <w:pPr>
        <w:pStyle w:val="15"/>
        <w:snapToGrid w:val="0"/>
        <w:spacing w:line="360" w:lineRule="auto"/>
        <w:ind w:firstLine="482" w:firstLineChars="200"/>
        <w:rPr>
          <w:rFonts w:hint="eastAsia" w:hAnsi="宋体"/>
          <w:b/>
          <w:bCs/>
          <w:color w:val="000000"/>
          <w:sz w:val="24"/>
          <w:szCs w:val="24"/>
        </w:rPr>
      </w:pPr>
      <w:r>
        <w:rPr>
          <w:rFonts w:hint="eastAsia" w:hAnsi="宋体"/>
          <w:b/>
          <w:bCs/>
          <w:color w:val="000000"/>
          <w:sz w:val="24"/>
          <w:szCs w:val="24"/>
        </w:rPr>
        <w:t>二、投诉项目基本情况：</w:t>
      </w:r>
    </w:p>
    <w:p>
      <w:pPr>
        <w:pStyle w:val="15"/>
        <w:spacing w:line="360" w:lineRule="auto"/>
        <w:ind w:left="25" w:leftChars="12" w:firstLine="472" w:firstLineChars="197"/>
        <w:rPr>
          <w:rFonts w:hint="eastAsia" w:hAnsi="宋体"/>
          <w:color w:val="000000"/>
          <w:sz w:val="24"/>
          <w:szCs w:val="24"/>
        </w:rPr>
      </w:pPr>
      <w:r>
        <w:rPr>
          <w:rFonts w:hint="eastAsia" w:hAnsi="宋体"/>
          <w:bCs/>
          <w:color w:val="000000"/>
          <w:sz w:val="24"/>
          <w:szCs w:val="24"/>
        </w:rPr>
        <w:t>采购</w:t>
      </w:r>
      <w:r>
        <w:rPr>
          <w:rFonts w:hint="eastAsia" w:hAnsi="宋体"/>
          <w:color w:val="000000"/>
          <w:sz w:val="24"/>
          <w:szCs w:val="24"/>
        </w:rPr>
        <w:t>项目的名称：</w:t>
      </w:r>
      <w:r>
        <w:rPr>
          <w:rFonts w:hint="eastAsia" w:hAnsi="宋体"/>
          <w:bCs/>
          <w:color w:val="000000"/>
          <w:sz w:val="24"/>
          <w:szCs w:val="24"/>
          <w:u w:val="single"/>
        </w:rPr>
        <w:t xml:space="preserve">                                                                   </w:t>
      </w:r>
    </w:p>
    <w:p>
      <w:pPr>
        <w:pStyle w:val="15"/>
        <w:spacing w:line="360" w:lineRule="auto"/>
        <w:ind w:left="25" w:leftChars="12" w:firstLine="472" w:firstLineChars="197"/>
        <w:rPr>
          <w:rFonts w:hint="eastAsia" w:hAnsi="宋体"/>
          <w:color w:val="000000"/>
          <w:sz w:val="24"/>
          <w:szCs w:val="24"/>
        </w:rPr>
      </w:pPr>
      <w:r>
        <w:rPr>
          <w:rFonts w:hint="eastAsia" w:hAnsi="宋体"/>
          <w:bCs/>
          <w:color w:val="000000"/>
          <w:sz w:val="24"/>
          <w:szCs w:val="24"/>
        </w:rPr>
        <w:t>采购</w:t>
      </w:r>
      <w:r>
        <w:rPr>
          <w:rFonts w:hint="eastAsia" w:hAnsi="宋体"/>
          <w:color w:val="000000"/>
          <w:sz w:val="24"/>
          <w:szCs w:val="24"/>
        </w:rPr>
        <w:t>项目的编号：</w:t>
      </w:r>
      <w:r>
        <w:rPr>
          <w:rFonts w:hint="eastAsia" w:hAnsi="宋体"/>
          <w:bCs/>
          <w:color w:val="000000"/>
          <w:sz w:val="24"/>
          <w:szCs w:val="24"/>
          <w:u w:val="single"/>
        </w:rPr>
        <w:t xml:space="preserve">                                          </w:t>
      </w:r>
    </w:p>
    <w:p>
      <w:pPr>
        <w:pStyle w:val="15"/>
        <w:spacing w:line="360" w:lineRule="auto"/>
        <w:ind w:left="25" w:leftChars="12" w:firstLine="472" w:firstLineChars="197"/>
        <w:rPr>
          <w:rFonts w:hint="eastAsia" w:hAnsi="宋体"/>
          <w:bCs/>
          <w:color w:val="000000"/>
          <w:sz w:val="24"/>
          <w:szCs w:val="24"/>
          <w:u w:val="single"/>
        </w:rPr>
      </w:pPr>
      <w:r>
        <w:rPr>
          <w:rFonts w:hint="eastAsia" w:hAnsi="宋体"/>
          <w:color w:val="000000"/>
          <w:sz w:val="24"/>
          <w:szCs w:val="24"/>
        </w:rPr>
        <w:t>采购人名称：</w:t>
      </w:r>
      <w:r>
        <w:rPr>
          <w:rFonts w:hint="eastAsia" w:hAnsi="宋体"/>
          <w:bCs/>
          <w:color w:val="000000"/>
          <w:sz w:val="24"/>
          <w:szCs w:val="24"/>
          <w:u w:val="single"/>
        </w:rPr>
        <w:t xml:space="preserve">                                                                        </w:t>
      </w:r>
    </w:p>
    <w:p>
      <w:pPr>
        <w:pStyle w:val="15"/>
        <w:spacing w:line="360" w:lineRule="auto"/>
        <w:ind w:left="25" w:leftChars="12" w:firstLine="472" w:firstLineChars="197"/>
        <w:rPr>
          <w:rFonts w:hint="eastAsia" w:hAnsi="宋体"/>
          <w:bCs/>
          <w:color w:val="000000"/>
          <w:sz w:val="24"/>
          <w:szCs w:val="24"/>
          <w:u w:val="single"/>
        </w:rPr>
      </w:pPr>
      <w:r>
        <w:rPr>
          <w:rFonts w:hint="eastAsia" w:hAnsi="宋体"/>
          <w:color w:val="000000"/>
          <w:sz w:val="24"/>
          <w:szCs w:val="24"/>
        </w:rPr>
        <w:t>代理机构名称：</w:t>
      </w:r>
      <w:r>
        <w:rPr>
          <w:rFonts w:hint="eastAsia" w:hAnsi="宋体"/>
          <w:bCs/>
          <w:color w:val="000000"/>
          <w:sz w:val="24"/>
          <w:szCs w:val="24"/>
          <w:u w:val="single"/>
        </w:rPr>
        <w:t xml:space="preserve">                                                                      </w:t>
      </w:r>
    </w:p>
    <w:p>
      <w:pPr>
        <w:pStyle w:val="15"/>
        <w:spacing w:line="360" w:lineRule="auto"/>
        <w:ind w:left="25" w:leftChars="12" w:firstLine="472" w:firstLineChars="197"/>
        <w:rPr>
          <w:rFonts w:hint="eastAsia" w:hAnsi="宋体"/>
          <w:bCs/>
          <w:color w:val="000000"/>
          <w:sz w:val="24"/>
          <w:szCs w:val="24"/>
          <w:u w:val="single"/>
        </w:rPr>
      </w:pPr>
      <w:r>
        <w:rPr>
          <w:rFonts w:hint="eastAsia" w:hAnsi="宋体"/>
          <w:bCs/>
          <w:color w:val="000000"/>
          <w:sz w:val="24"/>
          <w:szCs w:val="24"/>
        </w:rPr>
        <w:t>采购文件公告：</w:t>
      </w:r>
      <w:r>
        <w:rPr>
          <w:rFonts w:hint="eastAsia" w:hAnsi="宋体"/>
          <w:bCs/>
          <w:color w:val="000000"/>
          <w:sz w:val="24"/>
          <w:szCs w:val="24"/>
          <w:u w:val="single"/>
        </w:rPr>
        <w:t>是/否</w:t>
      </w:r>
      <w:r>
        <w:rPr>
          <w:rFonts w:hint="eastAsia" w:hAnsi="宋体"/>
          <w:bCs/>
          <w:color w:val="000000"/>
          <w:sz w:val="24"/>
          <w:szCs w:val="24"/>
        </w:rPr>
        <w:t>公告期限：</w:t>
      </w:r>
      <w:r>
        <w:rPr>
          <w:rFonts w:hint="eastAsia" w:hAnsi="宋体"/>
          <w:bCs/>
          <w:color w:val="000000"/>
          <w:sz w:val="24"/>
          <w:szCs w:val="24"/>
          <w:u w:val="single"/>
        </w:rPr>
        <w:t xml:space="preserve">                                                       </w:t>
      </w:r>
    </w:p>
    <w:p>
      <w:pPr>
        <w:pStyle w:val="15"/>
        <w:spacing w:line="360" w:lineRule="auto"/>
        <w:ind w:left="25" w:leftChars="12" w:firstLine="472" w:firstLineChars="197"/>
        <w:rPr>
          <w:rFonts w:hint="eastAsia" w:hAnsi="宋体"/>
          <w:b/>
          <w:color w:val="000000"/>
          <w:sz w:val="24"/>
          <w:szCs w:val="24"/>
        </w:rPr>
      </w:pPr>
      <w:r>
        <w:rPr>
          <w:rFonts w:hint="eastAsia" w:hAnsi="宋体"/>
          <w:bCs/>
          <w:color w:val="000000"/>
          <w:sz w:val="24"/>
          <w:szCs w:val="24"/>
        </w:rPr>
        <w:t>采购结果公告：</w:t>
      </w:r>
      <w:r>
        <w:rPr>
          <w:rFonts w:hint="eastAsia" w:hAnsi="宋体"/>
          <w:bCs/>
          <w:color w:val="000000"/>
          <w:sz w:val="24"/>
          <w:szCs w:val="24"/>
          <w:u w:val="single"/>
        </w:rPr>
        <w:t>是/否</w:t>
      </w:r>
      <w:r>
        <w:rPr>
          <w:rFonts w:hint="eastAsia" w:hAnsi="宋体"/>
          <w:bCs/>
          <w:color w:val="000000"/>
          <w:sz w:val="24"/>
          <w:szCs w:val="24"/>
        </w:rPr>
        <w:t>公告期限：</w:t>
      </w:r>
      <w:r>
        <w:rPr>
          <w:rFonts w:hint="eastAsia" w:hAnsi="宋体"/>
          <w:bCs/>
          <w:color w:val="000000"/>
          <w:sz w:val="24"/>
          <w:szCs w:val="24"/>
          <w:u w:val="single"/>
        </w:rPr>
        <w:t xml:space="preserve">                                                       </w:t>
      </w:r>
    </w:p>
    <w:p>
      <w:pPr>
        <w:pStyle w:val="15"/>
        <w:spacing w:line="360" w:lineRule="auto"/>
        <w:ind w:left="25" w:leftChars="12" w:firstLine="472" w:firstLineChars="196"/>
        <w:rPr>
          <w:rFonts w:hint="eastAsia" w:hAnsi="宋体"/>
          <w:b/>
          <w:color w:val="000000"/>
          <w:sz w:val="24"/>
          <w:szCs w:val="24"/>
        </w:rPr>
      </w:pPr>
      <w:r>
        <w:rPr>
          <w:rFonts w:hint="eastAsia" w:hAnsi="宋体"/>
          <w:b/>
          <w:color w:val="000000"/>
          <w:sz w:val="24"/>
          <w:szCs w:val="24"/>
        </w:rPr>
        <w:t>三、质疑基本情况</w:t>
      </w:r>
    </w:p>
    <w:p>
      <w:pPr>
        <w:pStyle w:val="15"/>
        <w:spacing w:line="360" w:lineRule="auto"/>
        <w:ind w:left="25" w:leftChars="12" w:firstLine="480" w:firstLineChars="200"/>
        <w:rPr>
          <w:rFonts w:hint="eastAsia" w:hAnsi="宋体"/>
          <w:color w:val="000000"/>
          <w:sz w:val="24"/>
          <w:szCs w:val="24"/>
        </w:rPr>
      </w:pPr>
      <w:r>
        <w:rPr>
          <w:rFonts w:hint="eastAsia" w:hAnsi="宋体"/>
          <w:color w:val="000000"/>
          <w:sz w:val="24"/>
          <w:szCs w:val="24"/>
        </w:rPr>
        <w:t>投诉人于</w:t>
      </w:r>
      <w:r>
        <w:rPr>
          <w:rFonts w:hint="eastAsia" w:hAnsi="宋体"/>
          <w:color w:val="000000"/>
          <w:sz w:val="24"/>
          <w:szCs w:val="24"/>
          <w:u w:val="single"/>
        </w:rPr>
        <w:t xml:space="preserve">      </w:t>
      </w:r>
      <w:r>
        <w:rPr>
          <w:rFonts w:hint="eastAsia" w:hAnsi="宋体"/>
          <w:color w:val="000000"/>
          <w:sz w:val="24"/>
          <w:szCs w:val="24"/>
        </w:rPr>
        <w:t>年</w:t>
      </w:r>
      <w:r>
        <w:rPr>
          <w:rFonts w:hint="eastAsia" w:hAnsi="宋体"/>
          <w:color w:val="000000"/>
          <w:sz w:val="24"/>
          <w:szCs w:val="24"/>
          <w:u w:val="single"/>
        </w:rPr>
        <w:t xml:space="preserve">   </w:t>
      </w:r>
      <w:r>
        <w:rPr>
          <w:rFonts w:hint="eastAsia" w:hAnsi="宋体"/>
          <w:color w:val="000000"/>
          <w:sz w:val="24"/>
          <w:szCs w:val="24"/>
        </w:rPr>
        <w:t>月</w:t>
      </w:r>
      <w:r>
        <w:rPr>
          <w:rFonts w:hint="eastAsia" w:hAnsi="宋体"/>
          <w:color w:val="000000"/>
          <w:sz w:val="24"/>
          <w:szCs w:val="24"/>
          <w:u w:val="single"/>
        </w:rPr>
        <w:t xml:space="preserve">   </w:t>
      </w:r>
      <w:r>
        <w:rPr>
          <w:rFonts w:hint="eastAsia" w:hAnsi="宋体"/>
          <w:color w:val="000000"/>
          <w:sz w:val="24"/>
          <w:szCs w:val="24"/>
        </w:rPr>
        <w:t>日，向</w:t>
      </w:r>
      <w:r>
        <w:rPr>
          <w:rFonts w:hint="eastAsia" w:hAnsi="宋体"/>
          <w:color w:val="000000"/>
          <w:sz w:val="24"/>
          <w:szCs w:val="24"/>
          <w:u w:val="single"/>
        </w:rPr>
        <w:t xml:space="preserve">                                </w:t>
      </w:r>
      <w:r>
        <w:rPr>
          <w:rFonts w:hint="eastAsia" w:hAnsi="宋体"/>
          <w:color w:val="000000"/>
          <w:sz w:val="24"/>
          <w:szCs w:val="24"/>
        </w:rPr>
        <w:t>提出质疑，质疑事项为：</w:t>
      </w:r>
    </w:p>
    <w:p>
      <w:pPr>
        <w:pStyle w:val="15"/>
        <w:spacing w:line="360" w:lineRule="auto"/>
        <w:ind w:firstLine="241"/>
        <w:rPr>
          <w:rFonts w:hint="eastAsia" w:hAnsi="宋体"/>
          <w:bCs/>
          <w:color w:val="000000"/>
          <w:sz w:val="24"/>
          <w:szCs w:val="24"/>
          <w:u w:val="single"/>
        </w:rPr>
      </w:pPr>
      <w:r>
        <w:rPr>
          <w:rFonts w:hint="eastAsia" w:hAnsi="宋体"/>
          <w:color w:val="000000"/>
          <w:sz w:val="24"/>
          <w:szCs w:val="24"/>
        </w:rPr>
        <w:t xml:space="preserve">    </w:t>
      </w:r>
      <w:r>
        <w:rPr>
          <w:rFonts w:hint="eastAsia" w:hAnsi="宋体"/>
          <w:bCs/>
          <w:color w:val="000000"/>
          <w:sz w:val="24"/>
          <w:szCs w:val="24"/>
          <w:u w:val="single"/>
        </w:rPr>
        <w:t xml:space="preserve">                                                                                      </w:t>
      </w:r>
    </w:p>
    <w:p>
      <w:pPr>
        <w:pStyle w:val="15"/>
        <w:spacing w:line="360" w:lineRule="auto"/>
        <w:ind w:firstLine="241"/>
        <w:rPr>
          <w:rFonts w:hint="eastAsia" w:hAnsi="宋体"/>
          <w:bCs/>
          <w:color w:val="000000"/>
          <w:sz w:val="24"/>
          <w:szCs w:val="24"/>
          <w:u w:val="single"/>
        </w:rPr>
      </w:pPr>
      <w:r>
        <w:rPr>
          <w:rFonts w:hint="eastAsia" w:hAnsi="宋体"/>
          <w:bCs/>
          <w:color w:val="000000"/>
          <w:sz w:val="24"/>
          <w:szCs w:val="24"/>
        </w:rPr>
        <w:t xml:space="preserve">    </w:t>
      </w:r>
      <w:r>
        <w:rPr>
          <w:rFonts w:hint="eastAsia" w:hAnsi="宋体"/>
          <w:bCs/>
          <w:color w:val="000000"/>
          <w:sz w:val="24"/>
          <w:szCs w:val="24"/>
          <w:u w:val="single"/>
        </w:rPr>
        <w:t xml:space="preserve">                                                                                      </w:t>
      </w:r>
    </w:p>
    <w:p>
      <w:pPr>
        <w:pStyle w:val="15"/>
        <w:spacing w:line="360" w:lineRule="auto"/>
        <w:ind w:firstLine="480" w:firstLineChars="200"/>
        <w:rPr>
          <w:rFonts w:hint="eastAsia" w:hAnsi="宋体"/>
          <w:color w:val="000000"/>
          <w:sz w:val="24"/>
          <w:szCs w:val="24"/>
        </w:rPr>
      </w:pPr>
      <w:r>
        <w:rPr>
          <w:rFonts w:hint="eastAsia" w:hAnsi="宋体"/>
          <w:bCs/>
          <w:color w:val="000000"/>
          <w:sz w:val="24"/>
          <w:szCs w:val="24"/>
          <w:u w:val="single"/>
        </w:rPr>
        <w:t>采购人/代理机构</w:t>
      </w:r>
      <w:r>
        <w:rPr>
          <w:rFonts w:hint="eastAsia" w:hAnsi="宋体"/>
          <w:bCs/>
          <w:color w:val="000000"/>
          <w:sz w:val="24"/>
          <w:szCs w:val="24"/>
        </w:rPr>
        <w:t>于</w:t>
      </w:r>
      <w:r>
        <w:rPr>
          <w:rFonts w:hint="eastAsia" w:hAnsi="宋体"/>
          <w:color w:val="000000"/>
          <w:sz w:val="24"/>
          <w:szCs w:val="24"/>
          <w:u w:val="single"/>
        </w:rPr>
        <w:t xml:space="preserve">      </w:t>
      </w:r>
      <w:r>
        <w:rPr>
          <w:rFonts w:hint="eastAsia" w:hAnsi="宋体"/>
          <w:color w:val="000000"/>
          <w:sz w:val="24"/>
          <w:szCs w:val="24"/>
        </w:rPr>
        <w:t>年</w:t>
      </w:r>
      <w:r>
        <w:rPr>
          <w:rFonts w:hint="eastAsia" w:hAnsi="宋体"/>
          <w:color w:val="000000"/>
          <w:sz w:val="24"/>
          <w:szCs w:val="24"/>
          <w:u w:val="single"/>
        </w:rPr>
        <w:t xml:space="preserve">   </w:t>
      </w:r>
      <w:r>
        <w:rPr>
          <w:rFonts w:hint="eastAsia" w:hAnsi="宋体"/>
          <w:color w:val="000000"/>
          <w:sz w:val="24"/>
          <w:szCs w:val="24"/>
        </w:rPr>
        <w:t>月</w:t>
      </w:r>
      <w:r>
        <w:rPr>
          <w:rFonts w:hint="eastAsia" w:hAnsi="宋体"/>
          <w:color w:val="000000"/>
          <w:sz w:val="24"/>
          <w:szCs w:val="24"/>
          <w:u w:val="single"/>
        </w:rPr>
        <w:t xml:space="preserve">   </w:t>
      </w:r>
      <w:r>
        <w:rPr>
          <w:rFonts w:hint="eastAsia" w:hAnsi="宋体"/>
          <w:color w:val="000000"/>
          <w:sz w:val="24"/>
          <w:szCs w:val="24"/>
        </w:rPr>
        <w:t>日，</w:t>
      </w:r>
      <w:r>
        <w:rPr>
          <w:rFonts w:hint="eastAsia" w:hAnsi="宋体"/>
          <w:bCs/>
          <w:color w:val="000000"/>
          <w:sz w:val="24"/>
          <w:szCs w:val="24"/>
        </w:rPr>
        <w:t xml:space="preserve">就质疑事项作出了答复/没有在法定期限内作出答复。                                                                                             </w:t>
      </w:r>
    </w:p>
    <w:p>
      <w:pPr>
        <w:pStyle w:val="15"/>
        <w:spacing w:line="360" w:lineRule="auto"/>
        <w:ind w:left="25" w:leftChars="12" w:firstLine="472" w:firstLineChars="196"/>
        <w:rPr>
          <w:rFonts w:hint="eastAsia" w:hAnsi="宋体"/>
          <w:b/>
          <w:color w:val="000000"/>
          <w:sz w:val="24"/>
          <w:szCs w:val="24"/>
        </w:rPr>
      </w:pPr>
      <w:r>
        <w:rPr>
          <w:rFonts w:hint="eastAsia" w:hAnsi="宋体"/>
          <w:b/>
          <w:color w:val="000000"/>
          <w:sz w:val="24"/>
          <w:szCs w:val="24"/>
        </w:rPr>
        <w:t>四、投诉事项具体内容</w:t>
      </w:r>
    </w:p>
    <w:p>
      <w:pPr>
        <w:pStyle w:val="15"/>
        <w:spacing w:line="360" w:lineRule="auto"/>
        <w:ind w:left="25" w:leftChars="12" w:firstLine="472" w:firstLineChars="197"/>
        <w:rPr>
          <w:rFonts w:hint="eastAsia" w:hAnsi="宋体"/>
          <w:bCs/>
          <w:color w:val="000000"/>
          <w:sz w:val="24"/>
          <w:szCs w:val="24"/>
          <w:u w:val="single"/>
        </w:rPr>
      </w:pPr>
      <w:r>
        <w:rPr>
          <w:rFonts w:hint="eastAsia" w:hAnsi="宋体"/>
          <w:color w:val="000000"/>
          <w:sz w:val="24"/>
          <w:szCs w:val="24"/>
        </w:rPr>
        <w:t>投诉事项1：</w:t>
      </w:r>
      <w:r>
        <w:rPr>
          <w:rFonts w:hint="eastAsia" w:hAnsi="宋体"/>
          <w:bCs/>
          <w:color w:val="000000"/>
          <w:sz w:val="24"/>
          <w:szCs w:val="24"/>
          <w:u w:val="single"/>
        </w:rPr>
        <w:t xml:space="preserve">                                                                           </w:t>
      </w:r>
    </w:p>
    <w:p>
      <w:pPr>
        <w:pStyle w:val="15"/>
        <w:spacing w:line="360" w:lineRule="auto"/>
        <w:ind w:firstLine="480" w:firstLineChars="200"/>
        <w:rPr>
          <w:rFonts w:hint="eastAsia" w:hAnsi="宋体"/>
          <w:bCs/>
          <w:color w:val="000000"/>
          <w:sz w:val="24"/>
          <w:szCs w:val="24"/>
          <w:u w:val="single"/>
        </w:rPr>
      </w:pPr>
      <w:r>
        <w:rPr>
          <w:rFonts w:hint="eastAsia" w:hAnsi="宋体"/>
          <w:bCs/>
          <w:color w:val="000000"/>
          <w:sz w:val="24"/>
          <w:szCs w:val="24"/>
        </w:rPr>
        <w:t>事实依据：</w:t>
      </w:r>
      <w:r>
        <w:rPr>
          <w:rFonts w:hint="eastAsia" w:hAnsi="宋体"/>
          <w:color w:val="000000"/>
          <w:sz w:val="24"/>
          <w:szCs w:val="24"/>
        </w:rPr>
        <w:t xml:space="preserve"> </w:t>
      </w:r>
      <w:r>
        <w:rPr>
          <w:rFonts w:hint="eastAsia" w:hAnsi="宋体"/>
          <w:bCs/>
          <w:color w:val="000000"/>
          <w:sz w:val="24"/>
          <w:szCs w:val="24"/>
          <w:u w:val="single"/>
        </w:rPr>
        <w:t xml:space="preserve">                                                                                      </w:t>
      </w:r>
    </w:p>
    <w:p>
      <w:pPr>
        <w:pStyle w:val="15"/>
        <w:spacing w:line="360" w:lineRule="auto"/>
        <w:ind w:left="25" w:leftChars="12" w:firstLine="472" w:firstLineChars="197"/>
        <w:rPr>
          <w:rFonts w:hint="eastAsia" w:hAnsi="宋体"/>
          <w:color w:val="000000"/>
          <w:sz w:val="24"/>
          <w:szCs w:val="24"/>
        </w:rPr>
      </w:pPr>
      <w:r>
        <w:rPr>
          <w:rFonts w:hint="eastAsia" w:hAnsi="宋体"/>
          <w:bCs/>
          <w:color w:val="000000"/>
          <w:sz w:val="24"/>
          <w:szCs w:val="24"/>
          <w:u w:val="single"/>
        </w:rPr>
        <w:t xml:space="preserve">                                                                                        </w:t>
      </w:r>
    </w:p>
    <w:p>
      <w:pPr>
        <w:pStyle w:val="15"/>
        <w:spacing w:line="360" w:lineRule="auto"/>
        <w:ind w:firstLine="480" w:firstLineChars="200"/>
        <w:rPr>
          <w:rFonts w:hint="eastAsia" w:hAnsi="宋体"/>
          <w:bCs/>
          <w:color w:val="000000"/>
          <w:sz w:val="24"/>
          <w:szCs w:val="24"/>
          <w:u w:val="single"/>
        </w:rPr>
      </w:pPr>
      <w:r>
        <w:rPr>
          <w:rFonts w:hint="eastAsia" w:hAnsi="宋体"/>
          <w:bCs/>
          <w:color w:val="000000"/>
          <w:sz w:val="24"/>
          <w:szCs w:val="24"/>
        </w:rPr>
        <w:t>法律依据：</w:t>
      </w:r>
      <w:r>
        <w:rPr>
          <w:rFonts w:hint="eastAsia" w:hAnsi="宋体"/>
          <w:color w:val="000000"/>
          <w:sz w:val="24"/>
          <w:szCs w:val="24"/>
        </w:rPr>
        <w:t xml:space="preserve"> </w:t>
      </w:r>
      <w:r>
        <w:rPr>
          <w:rFonts w:hint="eastAsia" w:hAnsi="宋体"/>
          <w:bCs/>
          <w:color w:val="000000"/>
          <w:sz w:val="24"/>
          <w:szCs w:val="24"/>
          <w:u w:val="single"/>
        </w:rPr>
        <w:t xml:space="preserve">                                                                                      </w:t>
      </w:r>
    </w:p>
    <w:p>
      <w:pPr>
        <w:pStyle w:val="15"/>
        <w:spacing w:line="360" w:lineRule="auto"/>
        <w:ind w:left="25" w:leftChars="12" w:firstLine="352" w:firstLineChars="147"/>
        <w:rPr>
          <w:rFonts w:hint="eastAsia" w:hAnsi="宋体"/>
          <w:bCs/>
          <w:color w:val="000000"/>
          <w:sz w:val="24"/>
          <w:szCs w:val="24"/>
          <w:u w:val="single"/>
        </w:rPr>
      </w:pPr>
      <w:r>
        <w:rPr>
          <w:rFonts w:hint="eastAsia" w:hAnsi="宋体"/>
          <w:bCs/>
          <w:color w:val="000000"/>
          <w:sz w:val="24"/>
          <w:szCs w:val="24"/>
        </w:rPr>
        <w:t xml:space="preserve"> </w:t>
      </w:r>
      <w:r>
        <w:rPr>
          <w:rFonts w:hint="eastAsia" w:hAnsi="宋体"/>
          <w:bCs/>
          <w:color w:val="000000"/>
          <w:sz w:val="24"/>
          <w:szCs w:val="24"/>
          <w:u w:val="single"/>
        </w:rPr>
        <w:t xml:space="preserve">                                                                                        </w:t>
      </w:r>
    </w:p>
    <w:p>
      <w:pPr>
        <w:pStyle w:val="15"/>
        <w:spacing w:line="360" w:lineRule="auto"/>
        <w:ind w:left="25" w:leftChars="12" w:firstLine="472" w:firstLineChars="197"/>
        <w:rPr>
          <w:rFonts w:hint="eastAsia" w:hAnsi="宋体"/>
          <w:bCs/>
          <w:color w:val="000000"/>
          <w:sz w:val="24"/>
          <w:szCs w:val="24"/>
        </w:rPr>
      </w:pPr>
      <w:r>
        <w:rPr>
          <w:rFonts w:hint="eastAsia" w:hAnsi="宋体"/>
          <w:color w:val="000000"/>
          <w:sz w:val="24"/>
          <w:szCs w:val="24"/>
        </w:rPr>
        <w:t xml:space="preserve">投诉事项2  </w:t>
      </w:r>
      <w:r>
        <w:rPr>
          <w:rFonts w:hint="eastAsia" w:hAnsi="宋体"/>
          <w:bCs/>
          <w:color w:val="000000"/>
          <w:sz w:val="24"/>
          <w:szCs w:val="24"/>
        </w:rPr>
        <w:t xml:space="preserve">   </w:t>
      </w:r>
    </w:p>
    <w:p>
      <w:pPr>
        <w:pStyle w:val="15"/>
        <w:spacing w:line="360" w:lineRule="auto"/>
        <w:ind w:left="25" w:leftChars="12" w:firstLine="472" w:firstLineChars="197"/>
        <w:rPr>
          <w:rFonts w:hint="eastAsia" w:hAnsi="宋体"/>
          <w:bCs/>
          <w:color w:val="000000"/>
          <w:sz w:val="24"/>
          <w:szCs w:val="24"/>
        </w:rPr>
      </w:pPr>
      <w:r>
        <w:rPr>
          <w:rFonts w:hAnsi="宋体"/>
          <w:bCs/>
          <w:color w:val="000000"/>
          <w:sz w:val="24"/>
          <w:szCs w:val="24"/>
        </w:rPr>
        <w:t>……</w:t>
      </w:r>
    </w:p>
    <w:p>
      <w:pPr>
        <w:pStyle w:val="15"/>
        <w:spacing w:line="360" w:lineRule="auto"/>
        <w:ind w:left="25" w:leftChars="12" w:firstLine="472" w:firstLineChars="196"/>
        <w:rPr>
          <w:rFonts w:hint="eastAsia" w:hAnsi="宋体"/>
          <w:b/>
          <w:color w:val="000000"/>
          <w:sz w:val="24"/>
          <w:szCs w:val="24"/>
        </w:rPr>
      </w:pPr>
      <w:r>
        <w:rPr>
          <w:rFonts w:hint="eastAsia" w:hAnsi="宋体"/>
          <w:b/>
          <w:color w:val="000000"/>
          <w:sz w:val="24"/>
          <w:szCs w:val="24"/>
        </w:rPr>
        <w:t>五、与投诉事项相关的投诉请求：</w:t>
      </w:r>
    </w:p>
    <w:p>
      <w:pPr>
        <w:pStyle w:val="15"/>
        <w:spacing w:line="360" w:lineRule="auto"/>
        <w:ind w:left="25" w:leftChars="12" w:firstLine="472" w:firstLineChars="197"/>
        <w:rPr>
          <w:rFonts w:hint="eastAsia" w:hAnsi="宋体"/>
          <w:color w:val="000000"/>
          <w:sz w:val="24"/>
          <w:szCs w:val="24"/>
        </w:rPr>
      </w:pPr>
      <w:r>
        <w:rPr>
          <w:rFonts w:hint="eastAsia" w:hAnsi="宋体"/>
          <w:color w:val="000000"/>
          <w:sz w:val="24"/>
          <w:szCs w:val="24"/>
        </w:rPr>
        <w:t>请求：</w:t>
      </w:r>
      <w:r>
        <w:rPr>
          <w:rFonts w:hint="eastAsia" w:hAnsi="宋体"/>
          <w:bCs/>
          <w:color w:val="000000"/>
          <w:sz w:val="24"/>
          <w:szCs w:val="24"/>
          <w:u w:val="single"/>
        </w:rPr>
        <w:t xml:space="preserve">                                                                                 </w:t>
      </w:r>
    </w:p>
    <w:p>
      <w:pPr>
        <w:pStyle w:val="15"/>
        <w:spacing w:line="360" w:lineRule="auto"/>
        <w:ind w:left="25" w:leftChars="12" w:firstLine="352" w:firstLineChars="147"/>
        <w:rPr>
          <w:rFonts w:hint="eastAsia" w:hAnsi="宋体"/>
          <w:color w:val="000000"/>
          <w:sz w:val="24"/>
          <w:szCs w:val="24"/>
        </w:rPr>
      </w:pPr>
    </w:p>
    <w:p>
      <w:pPr>
        <w:pStyle w:val="15"/>
        <w:spacing w:line="360" w:lineRule="auto"/>
        <w:ind w:left="25" w:leftChars="12" w:firstLine="472" w:firstLineChars="197"/>
        <w:rPr>
          <w:rFonts w:hint="eastAsia" w:hAnsi="宋体"/>
          <w:color w:val="000000"/>
          <w:sz w:val="24"/>
          <w:szCs w:val="24"/>
        </w:rPr>
      </w:pPr>
      <w:r>
        <w:rPr>
          <w:rFonts w:hint="eastAsia" w:hAnsi="宋体"/>
          <w:color w:val="000000"/>
          <w:sz w:val="24"/>
          <w:szCs w:val="24"/>
        </w:rPr>
        <w:t>签字（签章）：                                       公章：</w:t>
      </w:r>
    </w:p>
    <w:p>
      <w:pPr>
        <w:pStyle w:val="15"/>
        <w:spacing w:line="360" w:lineRule="auto"/>
        <w:ind w:left="25" w:leftChars="12" w:firstLine="352" w:firstLineChars="147"/>
        <w:rPr>
          <w:rFonts w:hint="eastAsia" w:hAnsi="宋体"/>
          <w:color w:val="000000"/>
          <w:sz w:val="24"/>
          <w:szCs w:val="24"/>
        </w:rPr>
      </w:pPr>
    </w:p>
    <w:p>
      <w:pPr>
        <w:pStyle w:val="15"/>
        <w:spacing w:line="360" w:lineRule="auto"/>
        <w:ind w:left="25" w:leftChars="12" w:firstLine="472" w:firstLineChars="197"/>
        <w:rPr>
          <w:rFonts w:hint="eastAsia" w:hAnsi="宋体"/>
          <w:color w:val="000000"/>
          <w:sz w:val="24"/>
          <w:szCs w:val="24"/>
        </w:rPr>
      </w:pPr>
      <w:r>
        <w:rPr>
          <w:rFonts w:hint="eastAsia" w:hAnsi="宋体"/>
          <w:color w:val="000000"/>
          <w:sz w:val="24"/>
          <w:szCs w:val="24"/>
        </w:rPr>
        <w:t>日期：</w:t>
      </w:r>
    </w:p>
    <w:p>
      <w:pPr>
        <w:pStyle w:val="15"/>
        <w:spacing w:line="360" w:lineRule="auto"/>
        <w:ind w:left="25" w:leftChars="12" w:firstLine="472" w:firstLineChars="197"/>
        <w:rPr>
          <w:rFonts w:hint="eastAsia" w:hAnsi="宋体"/>
          <w:color w:val="000000"/>
          <w:sz w:val="24"/>
          <w:szCs w:val="24"/>
        </w:rPr>
      </w:pPr>
      <w:r>
        <w:rPr>
          <w:rFonts w:hint="eastAsia" w:hAnsi="宋体"/>
          <w:bCs/>
          <w:color w:val="000000"/>
          <w:sz w:val="24"/>
          <w:szCs w:val="24"/>
        </w:rPr>
        <w:t xml:space="preserve">                                                                              </w:t>
      </w:r>
    </w:p>
    <w:p>
      <w:pPr>
        <w:pStyle w:val="15"/>
        <w:snapToGrid w:val="0"/>
        <w:spacing w:line="360" w:lineRule="auto"/>
        <w:rPr>
          <w:rFonts w:hint="eastAsia" w:hAnsi="宋体"/>
          <w:b/>
          <w:color w:val="000000"/>
          <w:sz w:val="24"/>
          <w:szCs w:val="24"/>
        </w:rPr>
      </w:pPr>
      <w:r>
        <w:rPr>
          <w:rFonts w:hint="eastAsia" w:hAnsi="宋体"/>
          <w:b/>
          <w:color w:val="000000"/>
          <w:sz w:val="24"/>
          <w:szCs w:val="24"/>
        </w:rPr>
        <w:t>说明：</w:t>
      </w:r>
    </w:p>
    <w:p>
      <w:pPr>
        <w:pStyle w:val="15"/>
        <w:spacing w:line="360" w:lineRule="auto"/>
        <w:ind w:left="25" w:leftChars="12" w:firstLine="354" w:firstLineChars="147"/>
        <w:rPr>
          <w:rFonts w:hint="eastAsia" w:hAnsi="宋体"/>
          <w:b/>
          <w:bCs/>
          <w:color w:val="000000"/>
          <w:sz w:val="24"/>
          <w:szCs w:val="24"/>
        </w:rPr>
      </w:pPr>
      <w:r>
        <w:rPr>
          <w:rFonts w:hint="eastAsia" w:hAnsi="宋体"/>
          <w:b/>
          <w:color w:val="000000"/>
          <w:sz w:val="24"/>
          <w:szCs w:val="24"/>
        </w:rPr>
        <w:t>1.投诉人提起投诉时，应当提交投诉书和必要的证明材料，并按照被投诉人和与投诉事项有关的供应商数量提供投诉书副本</w:t>
      </w:r>
      <w:r>
        <w:rPr>
          <w:rFonts w:hint="eastAsia" w:hAnsi="宋体"/>
          <w:b/>
          <w:bCs/>
          <w:color w:val="000000"/>
          <w:sz w:val="24"/>
          <w:szCs w:val="24"/>
        </w:rPr>
        <w:t>。</w:t>
      </w:r>
    </w:p>
    <w:p>
      <w:pPr>
        <w:pStyle w:val="15"/>
        <w:spacing w:line="360" w:lineRule="auto"/>
        <w:ind w:left="25" w:leftChars="12" w:firstLine="354" w:firstLineChars="147"/>
        <w:rPr>
          <w:rFonts w:hint="eastAsia" w:hAnsi="宋体"/>
          <w:b/>
          <w:color w:val="000000"/>
          <w:sz w:val="24"/>
          <w:szCs w:val="24"/>
        </w:rPr>
      </w:pPr>
      <w:r>
        <w:rPr>
          <w:rFonts w:hint="eastAsia" w:hAnsi="宋体"/>
          <w:b/>
          <w:color w:val="000000"/>
          <w:sz w:val="24"/>
          <w:szCs w:val="24"/>
        </w:rPr>
        <w:t>2.投诉人若委托代理人进行投诉的，投诉书应按要求列明“授权代表”的有关内容，并在附件中提交由投诉人签署的授权委托书。授权委托书应当载明代理人的姓名或者名称、代理事项、具体权限、期限和相关事项。</w:t>
      </w:r>
    </w:p>
    <w:p>
      <w:pPr>
        <w:pStyle w:val="15"/>
        <w:spacing w:line="360" w:lineRule="auto"/>
        <w:ind w:left="25" w:leftChars="12" w:firstLine="354" w:firstLineChars="147"/>
        <w:rPr>
          <w:rFonts w:hint="eastAsia" w:hAnsi="宋体"/>
          <w:b/>
          <w:color w:val="000000"/>
          <w:sz w:val="24"/>
          <w:szCs w:val="24"/>
        </w:rPr>
      </w:pPr>
      <w:r>
        <w:rPr>
          <w:rFonts w:hint="eastAsia" w:hAnsi="宋体"/>
          <w:b/>
          <w:color w:val="000000"/>
          <w:sz w:val="24"/>
          <w:szCs w:val="24"/>
        </w:rPr>
        <w:t>3.投诉书应简要列明质疑事项，质疑函、质疑答复等作为附件材料提供。</w:t>
      </w:r>
    </w:p>
    <w:p>
      <w:pPr>
        <w:pStyle w:val="15"/>
        <w:spacing w:line="360" w:lineRule="auto"/>
        <w:ind w:left="25" w:leftChars="12" w:firstLine="354" w:firstLineChars="147"/>
        <w:rPr>
          <w:rFonts w:hint="eastAsia" w:hAnsi="宋体"/>
          <w:b/>
          <w:color w:val="000000"/>
          <w:sz w:val="24"/>
          <w:szCs w:val="24"/>
        </w:rPr>
      </w:pPr>
      <w:r>
        <w:rPr>
          <w:rFonts w:hint="eastAsia" w:hAnsi="宋体"/>
          <w:b/>
          <w:color w:val="000000"/>
          <w:sz w:val="24"/>
          <w:szCs w:val="24"/>
        </w:rPr>
        <w:t>4.投诉书的投诉事项应具体、明确，并有必要的事实依据和法律依据。</w:t>
      </w:r>
    </w:p>
    <w:p>
      <w:pPr>
        <w:pStyle w:val="15"/>
        <w:spacing w:line="360" w:lineRule="auto"/>
        <w:ind w:left="25" w:leftChars="12" w:firstLine="354" w:firstLineChars="147"/>
        <w:rPr>
          <w:rFonts w:hint="eastAsia" w:hAnsi="宋体"/>
          <w:b/>
          <w:color w:val="000000"/>
          <w:sz w:val="24"/>
          <w:szCs w:val="24"/>
        </w:rPr>
      </w:pPr>
      <w:r>
        <w:rPr>
          <w:rFonts w:hint="eastAsia" w:hAnsi="宋体"/>
          <w:b/>
          <w:color w:val="000000"/>
          <w:sz w:val="24"/>
          <w:szCs w:val="24"/>
        </w:rPr>
        <w:t>5.投诉书的投诉请求应与投诉事项相关。</w:t>
      </w:r>
    </w:p>
    <w:p>
      <w:pPr>
        <w:pStyle w:val="15"/>
        <w:spacing w:line="360" w:lineRule="auto"/>
        <w:ind w:left="25" w:leftChars="12" w:firstLine="354" w:firstLineChars="147"/>
        <w:rPr>
          <w:rFonts w:hint="eastAsia" w:hAnsi="宋体"/>
          <w:b/>
          <w:color w:val="000000"/>
          <w:lang w:eastAsia="zh-CN"/>
        </w:rPr>
      </w:pPr>
      <w:r>
        <w:rPr>
          <w:rFonts w:hint="eastAsia" w:hAnsi="宋体"/>
          <w:b/>
          <w:color w:val="000000"/>
          <w:sz w:val="24"/>
          <w:szCs w:val="24"/>
        </w:rPr>
        <w:t>6.投诉人为法人或者其他组织的，投诉书应由法定代表人、主要负责人，或者其授权代表签字或者盖章，并加盖公章。</w:t>
      </w:r>
      <w:bookmarkStart w:id="153" w:name="_GoBack"/>
      <w:bookmarkEnd w:id="153"/>
    </w:p>
    <w:sectPr>
      <w:footerReference r:id="rId11" w:type="first"/>
      <w:headerReference r:id="rId8" w:type="default"/>
      <w:footerReference r:id="rId9" w:type="default"/>
      <w:footerReference r:id="rId10" w:type="even"/>
      <w:pgSz w:w="11906" w:h="16838"/>
      <w:pgMar w:top="1440" w:right="1440" w:bottom="1440" w:left="1440"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9" w:usb3="00000000" w:csb0="000001FF"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 PAGE   \* MERGEFORMAT </w:instrText>
    </w:r>
    <w:r>
      <w:fldChar w:fldCharType="separate"/>
    </w:r>
    <w:r>
      <w:rPr>
        <w:lang w:val="zh-CN"/>
      </w:rPr>
      <w:t>32</w:t>
    </w:r>
    <w:r>
      <w:fldChar w:fldCharType="end"/>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 PAGE   \* MERGEFORMAT </w:instrText>
    </w:r>
    <w:r>
      <w:fldChar w:fldCharType="separate"/>
    </w:r>
    <w:r>
      <w:rPr>
        <w:lang w:val="zh-CN"/>
      </w:rPr>
      <w:t>92</w:t>
    </w:r>
    <w:r>
      <w:fldChar w:fldCharType="end"/>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1"/>
      </w:rPr>
    </w:pPr>
    <w:r>
      <w:fldChar w:fldCharType="begin"/>
    </w:r>
    <w:r>
      <w:rPr>
        <w:rStyle w:val="21"/>
      </w:rPr>
      <w:instrText xml:space="preserve">PAGE  </w:instrText>
    </w:r>
    <w:r>
      <w:fldChar w:fldCharType="end"/>
    </w:r>
  </w:p>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PAGE   \* MERGEFORMAT</w:instrText>
    </w:r>
    <w:r>
      <w:fldChar w:fldCharType="separate"/>
    </w:r>
    <w:r>
      <w:rPr>
        <w:lang w:val="zh-CN"/>
      </w:rPr>
      <w:t>33</w:t>
    </w:r>
    <w:r>
      <w:fldChar w:fldCharType="end"/>
    </w:r>
  </w:p>
  <w:p>
    <w:pPr>
      <w:pStyle w:val="16"/>
      <w:ind w:right="360"/>
      <w:jc w:val="both"/>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 PAGE   \* MERGEFORMAT </w:instrText>
    </w:r>
    <w:r>
      <w:fldChar w:fldCharType="separate"/>
    </w:r>
    <w:r>
      <w:rPr>
        <w:lang w:val="zh-CN"/>
      </w:rPr>
      <w:t>105</w:t>
    </w:r>
    <w:r>
      <w:fldChar w:fldCharType="end"/>
    </w:r>
  </w:p>
  <w:p>
    <w:pPr>
      <w:pStyle w:val="1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1"/>
      </w:rPr>
    </w:pPr>
    <w:r>
      <w:fldChar w:fldCharType="begin"/>
    </w:r>
    <w:r>
      <w:rPr>
        <w:rStyle w:val="21"/>
      </w:rPr>
      <w:instrText xml:space="preserve">PAGE  </w:instrText>
    </w:r>
    <w:r>
      <w:fldChar w:fldCharType="end"/>
    </w:r>
  </w:p>
  <w:p>
    <w:pPr>
      <w:pStyle w:val="1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jc w:val="both"/>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8CA005"/>
    <w:multiLevelType w:val="singleLevel"/>
    <w:tmpl w:val="888CA005"/>
    <w:lvl w:ilvl="0" w:tentative="0">
      <w:start w:val="1"/>
      <w:numFmt w:val="decimal"/>
      <w:lvlText w:val="%1."/>
      <w:lvlJc w:val="left"/>
      <w:pPr>
        <w:tabs>
          <w:tab w:val="left" w:pos="312"/>
        </w:tabs>
      </w:pPr>
    </w:lvl>
  </w:abstractNum>
  <w:abstractNum w:abstractNumId="1">
    <w:nsid w:val="89DFF15A"/>
    <w:multiLevelType w:val="singleLevel"/>
    <w:tmpl w:val="89DFF15A"/>
    <w:lvl w:ilvl="0" w:tentative="0">
      <w:start w:val="1"/>
      <w:numFmt w:val="decimal"/>
      <w:lvlText w:val="%1."/>
      <w:lvlJc w:val="left"/>
      <w:pPr>
        <w:tabs>
          <w:tab w:val="left" w:pos="312"/>
        </w:tabs>
      </w:pPr>
    </w:lvl>
  </w:abstractNum>
  <w:abstractNum w:abstractNumId="2">
    <w:nsid w:val="8CFF07AF"/>
    <w:multiLevelType w:val="singleLevel"/>
    <w:tmpl w:val="8CFF07AF"/>
    <w:lvl w:ilvl="0" w:tentative="0">
      <w:start w:val="1"/>
      <w:numFmt w:val="decimal"/>
      <w:lvlText w:val="%1."/>
      <w:lvlJc w:val="left"/>
      <w:pPr>
        <w:tabs>
          <w:tab w:val="left" w:pos="312"/>
        </w:tabs>
      </w:pPr>
    </w:lvl>
  </w:abstractNum>
  <w:abstractNum w:abstractNumId="3">
    <w:nsid w:val="9ECF7D92"/>
    <w:multiLevelType w:val="singleLevel"/>
    <w:tmpl w:val="9ECF7D92"/>
    <w:lvl w:ilvl="0" w:tentative="0">
      <w:start w:val="1"/>
      <w:numFmt w:val="decimal"/>
      <w:lvlText w:val="%1."/>
      <w:lvlJc w:val="left"/>
      <w:pPr>
        <w:tabs>
          <w:tab w:val="left" w:pos="312"/>
        </w:tabs>
      </w:pPr>
    </w:lvl>
  </w:abstractNum>
  <w:abstractNum w:abstractNumId="4">
    <w:nsid w:val="9FF71F02"/>
    <w:multiLevelType w:val="singleLevel"/>
    <w:tmpl w:val="9FF71F02"/>
    <w:lvl w:ilvl="0" w:tentative="0">
      <w:start w:val="1"/>
      <w:numFmt w:val="decimal"/>
      <w:suff w:val="nothing"/>
      <w:lvlText w:val="%1、"/>
      <w:lvlJc w:val="left"/>
    </w:lvl>
  </w:abstractNum>
  <w:abstractNum w:abstractNumId="5">
    <w:nsid w:val="A5111A46"/>
    <w:multiLevelType w:val="singleLevel"/>
    <w:tmpl w:val="A5111A46"/>
    <w:lvl w:ilvl="0" w:tentative="0">
      <w:start w:val="1"/>
      <w:numFmt w:val="decimal"/>
      <w:lvlText w:val="%1."/>
      <w:lvlJc w:val="left"/>
      <w:pPr>
        <w:tabs>
          <w:tab w:val="left" w:pos="312"/>
        </w:tabs>
      </w:pPr>
    </w:lvl>
  </w:abstractNum>
  <w:abstractNum w:abstractNumId="6">
    <w:nsid w:val="AFF647D2"/>
    <w:multiLevelType w:val="singleLevel"/>
    <w:tmpl w:val="AFF647D2"/>
    <w:lvl w:ilvl="0" w:tentative="0">
      <w:start w:val="1"/>
      <w:numFmt w:val="decimal"/>
      <w:lvlText w:val="%1."/>
      <w:lvlJc w:val="left"/>
      <w:pPr>
        <w:tabs>
          <w:tab w:val="left" w:pos="312"/>
        </w:tabs>
      </w:pPr>
    </w:lvl>
  </w:abstractNum>
  <w:abstractNum w:abstractNumId="7">
    <w:nsid w:val="B2F0B2A9"/>
    <w:multiLevelType w:val="singleLevel"/>
    <w:tmpl w:val="B2F0B2A9"/>
    <w:lvl w:ilvl="0" w:tentative="0">
      <w:start w:val="1"/>
      <w:numFmt w:val="decimal"/>
      <w:lvlText w:val="%1."/>
      <w:lvlJc w:val="left"/>
      <w:pPr>
        <w:tabs>
          <w:tab w:val="left" w:pos="312"/>
        </w:tabs>
      </w:pPr>
    </w:lvl>
  </w:abstractNum>
  <w:abstractNum w:abstractNumId="8">
    <w:nsid w:val="BC1B0490"/>
    <w:multiLevelType w:val="singleLevel"/>
    <w:tmpl w:val="BC1B0490"/>
    <w:lvl w:ilvl="0" w:tentative="0">
      <w:start w:val="1"/>
      <w:numFmt w:val="decimal"/>
      <w:lvlText w:val="%1."/>
      <w:lvlJc w:val="left"/>
      <w:pPr>
        <w:tabs>
          <w:tab w:val="left" w:pos="312"/>
        </w:tabs>
      </w:pPr>
    </w:lvl>
  </w:abstractNum>
  <w:abstractNum w:abstractNumId="9">
    <w:nsid w:val="CC6AB12B"/>
    <w:multiLevelType w:val="singleLevel"/>
    <w:tmpl w:val="CC6AB12B"/>
    <w:lvl w:ilvl="0" w:tentative="0">
      <w:start w:val="1"/>
      <w:numFmt w:val="decimal"/>
      <w:lvlText w:val="%1."/>
      <w:lvlJc w:val="left"/>
      <w:pPr>
        <w:tabs>
          <w:tab w:val="left" w:pos="312"/>
        </w:tabs>
      </w:pPr>
    </w:lvl>
  </w:abstractNum>
  <w:abstractNum w:abstractNumId="10">
    <w:nsid w:val="D0C0D2EB"/>
    <w:multiLevelType w:val="singleLevel"/>
    <w:tmpl w:val="D0C0D2EB"/>
    <w:lvl w:ilvl="0" w:tentative="0">
      <w:start w:val="1"/>
      <w:numFmt w:val="decimal"/>
      <w:suff w:val="nothing"/>
      <w:lvlText w:val="%1、"/>
      <w:lvlJc w:val="left"/>
    </w:lvl>
  </w:abstractNum>
  <w:abstractNum w:abstractNumId="11">
    <w:nsid w:val="D812EBD1"/>
    <w:multiLevelType w:val="singleLevel"/>
    <w:tmpl w:val="D812EBD1"/>
    <w:lvl w:ilvl="0" w:tentative="0">
      <w:start w:val="1"/>
      <w:numFmt w:val="decimal"/>
      <w:suff w:val="nothing"/>
      <w:lvlText w:val="%1、"/>
      <w:lvlJc w:val="left"/>
    </w:lvl>
  </w:abstractNum>
  <w:abstractNum w:abstractNumId="12">
    <w:nsid w:val="D9F7AE7C"/>
    <w:multiLevelType w:val="singleLevel"/>
    <w:tmpl w:val="D9F7AE7C"/>
    <w:lvl w:ilvl="0" w:tentative="0">
      <w:start w:val="1"/>
      <w:numFmt w:val="decimal"/>
      <w:suff w:val="nothing"/>
      <w:lvlText w:val="%1、"/>
      <w:lvlJc w:val="left"/>
    </w:lvl>
  </w:abstractNum>
  <w:abstractNum w:abstractNumId="13">
    <w:nsid w:val="DF8B4425"/>
    <w:multiLevelType w:val="singleLevel"/>
    <w:tmpl w:val="DF8B4425"/>
    <w:lvl w:ilvl="0" w:tentative="0">
      <w:start w:val="1"/>
      <w:numFmt w:val="decimal"/>
      <w:suff w:val="nothing"/>
      <w:lvlText w:val="%1、"/>
      <w:lvlJc w:val="left"/>
    </w:lvl>
  </w:abstractNum>
  <w:abstractNum w:abstractNumId="14">
    <w:nsid w:val="E8270F5C"/>
    <w:multiLevelType w:val="singleLevel"/>
    <w:tmpl w:val="E8270F5C"/>
    <w:lvl w:ilvl="0" w:tentative="0">
      <w:start w:val="1"/>
      <w:numFmt w:val="decimal"/>
      <w:lvlText w:val="%1."/>
      <w:lvlJc w:val="left"/>
      <w:pPr>
        <w:tabs>
          <w:tab w:val="left" w:pos="312"/>
        </w:tabs>
      </w:pPr>
    </w:lvl>
  </w:abstractNum>
  <w:abstractNum w:abstractNumId="15">
    <w:nsid w:val="EC12792F"/>
    <w:multiLevelType w:val="singleLevel"/>
    <w:tmpl w:val="EC12792F"/>
    <w:lvl w:ilvl="0" w:tentative="0">
      <w:start w:val="1"/>
      <w:numFmt w:val="decimal"/>
      <w:lvlText w:val="%1."/>
      <w:lvlJc w:val="left"/>
      <w:pPr>
        <w:tabs>
          <w:tab w:val="left" w:pos="312"/>
        </w:tabs>
      </w:pPr>
    </w:lvl>
  </w:abstractNum>
  <w:abstractNum w:abstractNumId="16">
    <w:nsid w:val="FDFEEA91"/>
    <w:multiLevelType w:val="singleLevel"/>
    <w:tmpl w:val="FDFEEA91"/>
    <w:lvl w:ilvl="0" w:tentative="0">
      <w:start w:val="1"/>
      <w:numFmt w:val="decimal"/>
      <w:lvlText w:val="%1."/>
      <w:lvlJc w:val="left"/>
      <w:pPr>
        <w:tabs>
          <w:tab w:val="left" w:pos="312"/>
        </w:tabs>
      </w:pPr>
    </w:lvl>
  </w:abstractNum>
  <w:abstractNum w:abstractNumId="17">
    <w:nsid w:val="008CCC71"/>
    <w:multiLevelType w:val="singleLevel"/>
    <w:tmpl w:val="008CCC71"/>
    <w:lvl w:ilvl="0" w:tentative="0">
      <w:start w:val="1"/>
      <w:numFmt w:val="decimal"/>
      <w:lvlText w:val="%1."/>
      <w:lvlJc w:val="left"/>
      <w:pPr>
        <w:tabs>
          <w:tab w:val="left" w:pos="312"/>
        </w:tabs>
      </w:pPr>
    </w:lvl>
  </w:abstractNum>
  <w:abstractNum w:abstractNumId="18">
    <w:nsid w:val="1DB0AD3B"/>
    <w:multiLevelType w:val="singleLevel"/>
    <w:tmpl w:val="1DB0AD3B"/>
    <w:lvl w:ilvl="0" w:tentative="0">
      <w:start w:val="1"/>
      <w:numFmt w:val="decimal"/>
      <w:lvlText w:val="%1."/>
      <w:lvlJc w:val="left"/>
      <w:pPr>
        <w:tabs>
          <w:tab w:val="left" w:pos="312"/>
        </w:tabs>
      </w:pPr>
    </w:lvl>
  </w:abstractNum>
  <w:abstractNum w:abstractNumId="19">
    <w:nsid w:val="22E2E6B2"/>
    <w:multiLevelType w:val="singleLevel"/>
    <w:tmpl w:val="22E2E6B2"/>
    <w:lvl w:ilvl="0" w:tentative="0">
      <w:start w:val="1"/>
      <w:numFmt w:val="decimal"/>
      <w:lvlText w:val="%1."/>
      <w:lvlJc w:val="left"/>
      <w:pPr>
        <w:tabs>
          <w:tab w:val="left" w:pos="312"/>
        </w:tabs>
      </w:pPr>
    </w:lvl>
  </w:abstractNum>
  <w:abstractNum w:abstractNumId="20">
    <w:nsid w:val="26D87891"/>
    <w:multiLevelType w:val="singleLevel"/>
    <w:tmpl w:val="26D87891"/>
    <w:lvl w:ilvl="0" w:tentative="0">
      <w:start w:val="1"/>
      <w:numFmt w:val="decimal"/>
      <w:lvlText w:val="%1."/>
      <w:lvlJc w:val="left"/>
      <w:pPr>
        <w:tabs>
          <w:tab w:val="left" w:pos="312"/>
        </w:tabs>
      </w:pPr>
    </w:lvl>
  </w:abstractNum>
  <w:abstractNum w:abstractNumId="21">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pStyle w:val="9"/>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2">
    <w:nsid w:val="35DC1916"/>
    <w:multiLevelType w:val="singleLevel"/>
    <w:tmpl w:val="35DC1916"/>
    <w:lvl w:ilvl="0" w:tentative="0">
      <w:start w:val="1"/>
      <w:numFmt w:val="decimal"/>
      <w:suff w:val="nothing"/>
      <w:lvlText w:val="%1、"/>
      <w:lvlJc w:val="left"/>
    </w:lvl>
  </w:abstractNum>
  <w:abstractNum w:abstractNumId="23">
    <w:nsid w:val="4C601917"/>
    <w:multiLevelType w:val="singleLevel"/>
    <w:tmpl w:val="4C601917"/>
    <w:lvl w:ilvl="0" w:tentative="0">
      <w:start w:val="1"/>
      <w:numFmt w:val="decimal"/>
      <w:suff w:val="nothing"/>
      <w:lvlText w:val="（%1）"/>
      <w:lvlJc w:val="left"/>
      <w:pPr>
        <w:ind w:left="-2"/>
      </w:pPr>
    </w:lvl>
  </w:abstractNum>
  <w:abstractNum w:abstractNumId="24">
    <w:nsid w:val="58832557"/>
    <w:multiLevelType w:val="singleLevel"/>
    <w:tmpl w:val="58832557"/>
    <w:lvl w:ilvl="0" w:tentative="0">
      <w:start w:val="1"/>
      <w:numFmt w:val="decimal"/>
      <w:lvlText w:val="%1."/>
      <w:lvlJc w:val="left"/>
      <w:pPr>
        <w:tabs>
          <w:tab w:val="left" w:pos="312"/>
        </w:tabs>
      </w:pPr>
    </w:lvl>
  </w:abstractNum>
  <w:abstractNum w:abstractNumId="25">
    <w:nsid w:val="5FABD14B"/>
    <w:multiLevelType w:val="singleLevel"/>
    <w:tmpl w:val="5FABD14B"/>
    <w:lvl w:ilvl="0" w:tentative="0">
      <w:start w:val="1"/>
      <w:numFmt w:val="decimal"/>
      <w:suff w:val="nothing"/>
      <w:lvlText w:val="（%1）"/>
      <w:lvlJc w:val="left"/>
    </w:lvl>
  </w:abstractNum>
  <w:abstractNum w:abstractNumId="26">
    <w:nsid w:val="6A3757B4"/>
    <w:multiLevelType w:val="singleLevel"/>
    <w:tmpl w:val="6A3757B4"/>
    <w:lvl w:ilvl="0" w:tentative="0">
      <w:start w:val="1"/>
      <w:numFmt w:val="decimal"/>
      <w:suff w:val="space"/>
      <w:lvlText w:val="%1."/>
      <w:lvlJc w:val="left"/>
    </w:lvl>
  </w:abstractNum>
  <w:abstractNum w:abstractNumId="27">
    <w:nsid w:val="6D46AC0E"/>
    <w:multiLevelType w:val="singleLevel"/>
    <w:tmpl w:val="6D46AC0E"/>
    <w:lvl w:ilvl="0" w:tentative="0">
      <w:start w:val="1"/>
      <w:numFmt w:val="decimal"/>
      <w:suff w:val="nothing"/>
      <w:lvlText w:val="%1、"/>
      <w:lvlJc w:val="left"/>
    </w:lvl>
  </w:abstractNum>
  <w:abstractNum w:abstractNumId="28">
    <w:nsid w:val="70BD51E6"/>
    <w:multiLevelType w:val="multilevel"/>
    <w:tmpl w:val="70BD51E6"/>
    <w:lvl w:ilvl="0" w:tentative="0">
      <w:start w:val="1"/>
      <w:numFmt w:val="decimal"/>
      <w:lvlText w:val="%1."/>
      <w:lvlJc w:val="left"/>
      <w:pPr>
        <w:ind w:left="840" w:hanging="420"/>
      </w:pPr>
      <w:rPr>
        <w:rFonts w:hint="default"/>
        <w:sz w:val="24"/>
        <w:szCs w:val="24"/>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
    <w:nsid w:val="74F16DEC"/>
    <w:multiLevelType w:val="singleLevel"/>
    <w:tmpl w:val="74F16DEC"/>
    <w:lvl w:ilvl="0" w:tentative="0">
      <w:start w:val="1"/>
      <w:numFmt w:val="decimal"/>
      <w:lvlText w:val="%1."/>
      <w:lvlJc w:val="left"/>
      <w:pPr>
        <w:tabs>
          <w:tab w:val="left" w:pos="312"/>
        </w:tabs>
      </w:pPr>
    </w:lvl>
  </w:abstractNum>
  <w:abstractNum w:abstractNumId="30">
    <w:nsid w:val="763060DB"/>
    <w:multiLevelType w:val="multilevel"/>
    <w:tmpl w:val="763060DB"/>
    <w:lvl w:ilvl="0" w:tentative="0">
      <w:start w:val="1"/>
      <w:numFmt w:val="japaneseCounting"/>
      <w:lvlText w:val="第%1章"/>
      <w:lvlJc w:val="left"/>
      <w:pPr>
        <w:tabs>
          <w:tab w:val="left" w:pos="1815"/>
        </w:tabs>
        <w:ind w:left="1815" w:hanging="1275"/>
      </w:pPr>
      <w:rPr>
        <w:rFonts w:hint="eastAsia"/>
        <w:lang w:val="en-US"/>
      </w:rPr>
    </w:lvl>
    <w:lvl w:ilvl="1" w:tentative="0">
      <w:start w:val="1"/>
      <w:numFmt w:val="japaneseCounting"/>
      <w:lvlText w:val="%2、"/>
      <w:lvlJc w:val="left"/>
      <w:pPr>
        <w:tabs>
          <w:tab w:val="left" w:pos="1680"/>
        </w:tabs>
        <w:ind w:left="1680" w:hanging="720"/>
      </w:pPr>
      <w:rPr>
        <w:rFonts w:hint="eastAsia"/>
      </w:rPr>
    </w:lvl>
    <w:lvl w:ilvl="2" w:tentative="0">
      <w:start w:val="1"/>
      <w:numFmt w:val="decimal"/>
      <w:lvlText w:val="%3."/>
      <w:lvlJc w:val="left"/>
      <w:pPr>
        <w:ind w:left="502" w:hanging="360"/>
      </w:pPr>
      <w:rPr>
        <w:rFonts w:hint="default"/>
        <w:sz w:val="24"/>
        <w:szCs w:val="24"/>
      </w:r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31">
    <w:nsid w:val="788D97FE"/>
    <w:multiLevelType w:val="singleLevel"/>
    <w:tmpl w:val="788D97FE"/>
    <w:lvl w:ilvl="0" w:tentative="0">
      <w:start w:val="2"/>
      <w:numFmt w:val="decimal"/>
      <w:lvlText w:val="%1."/>
      <w:lvlJc w:val="left"/>
      <w:pPr>
        <w:tabs>
          <w:tab w:val="left" w:pos="312"/>
        </w:tabs>
      </w:pPr>
    </w:lvl>
  </w:abstractNum>
  <w:num w:numId="1">
    <w:abstractNumId w:val="21"/>
  </w:num>
  <w:num w:numId="2">
    <w:abstractNumId w:val="27"/>
  </w:num>
  <w:num w:numId="3">
    <w:abstractNumId w:val="31"/>
  </w:num>
  <w:num w:numId="4">
    <w:abstractNumId w:val="29"/>
  </w:num>
  <w:num w:numId="5">
    <w:abstractNumId w:val="18"/>
  </w:num>
  <w:num w:numId="6">
    <w:abstractNumId w:val="6"/>
  </w:num>
  <w:num w:numId="7">
    <w:abstractNumId w:val="19"/>
  </w:num>
  <w:num w:numId="8">
    <w:abstractNumId w:val="17"/>
  </w:num>
  <w:num w:numId="9">
    <w:abstractNumId w:val="14"/>
  </w:num>
  <w:num w:numId="10">
    <w:abstractNumId w:val="2"/>
  </w:num>
  <w:num w:numId="11">
    <w:abstractNumId w:val="7"/>
  </w:num>
  <w:num w:numId="12">
    <w:abstractNumId w:val="0"/>
  </w:num>
  <w:num w:numId="13">
    <w:abstractNumId w:val="1"/>
  </w:num>
  <w:num w:numId="14">
    <w:abstractNumId w:val="8"/>
  </w:num>
  <w:num w:numId="15">
    <w:abstractNumId w:val="5"/>
  </w:num>
  <w:num w:numId="16">
    <w:abstractNumId w:val="24"/>
  </w:num>
  <w:num w:numId="17">
    <w:abstractNumId w:val="11"/>
  </w:num>
  <w:num w:numId="18">
    <w:abstractNumId w:val="10"/>
  </w:num>
  <w:num w:numId="19">
    <w:abstractNumId w:val="4"/>
  </w:num>
  <w:num w:numId="20">
    <w:abstractNumId w:val="16"/>
  </w:num>
  <w:num w:numId="21">
    <w:abstractNumId w:val="15"/>
  </w:num>
  <w:num w:numId="22">
    <w:abstractNumId w:val="9"/>
  </w:num>
  <w:num w:numId="23">
    <w:abstractNumId w:val="20"/>
  </w:num>
  <w:num w:numId="24">
    <w:abstractNumId w:val="3"/>
  </w:num>
  <w:num w:numId="25">
    <w:abstractNumId w:val="12"/>
  </w:num>
  <w:num w:numId="26">
    <w:abstractNumId w:val="26"/>
  </w:num>
  <w:num w:numId="27">
    <w:abstractNumId w:val="13"/>
  </w:num>
  <w:num w:numId="28">
    <w:abstractNumId w:val="22"/>
  </w:num>
  <w:num w:numId="29">
    <w:abstractNumId w:val="28"/>
  </w:num>
  <w:num w:numId="30">
    <w:abstractNumId w:val="23"/>
  </w:num>
  <w:num w:numId="31">
    <w:abstractNumId w:val="25"/>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1E5D71"/>
    <w:rsid w:val="00954E31"/>
    <w:rsid w:val="01D50953"/>
    <w:rsid w:val="02F05695"/>
    <w:rsid w:val="03AA2E7A"/>
    <w:rsid w:val="051E5D71"/>
    <w:rsid w:val="08D460CC"/>
    <w:rsid w:val="09E56BF8"/>
    <w:rsid w:val="0A2D4F3E"/>
    <w:rsid w:val="0B584344"/>
    <w:rsid w:val="0DB20A2D"/>
    <w:rsid w:val="0DFE5261"/>
    <w:rsid w:val="0F0A004B"/>
    <w:rsid w:val="0FF11DC7"/>
    <w:rsid w:val="12C7414D"/>
    <w:rsid w:val="13082AF4"/>
    <w:rsid w:val="156303DA"/>
    <w:rsid w:val="175E0D02"/>
    <w:rsid w:val="19C52DCC"/>
    <w:rsid w:val="24294678"/>
    <w:rsid w:val="248A2DBB"/>
    <w:rsid w:val="249F07ED"/>
    <w:rsid w:val="27847B8D"/>
    <w:rsid w:val="28017DE6"/>
    <w:rsid w:val="286109FA"/>
    <w:rsid w:val="294E328E"/>
    <w:rsid w:val="29941594"/>
    <w:rsid w:val="29F179E6"/>
    <w:rsid w:val="2FAA4CDA"/>
    <w:rsid w:val="301D7787"/>
    <w:rsid w:val="37395A5A"/>
    <w:rsid w:val="37AA4264"/>
    <w:rsid w:val="38B44668"/>
    <w:rsid w:val="3C4E4C4D"/>
    <w:rsid w:val="3E0C38EB"/>
    <w:rsid w:val="40721BD1"/>
    <w:rsid w:val="450F4A77"/>
    <w:rsid w:val="45956F1B"/>
    <w:rsid w:val="468123C6"/>
    <w:rsid w:val="48A95C04"/>
    <w:rsid w:val="4A0D7970"/>
    <w:rsid w:val="4BFE6267"/>
    <w:rsid w:val="4CA75144"/>
    <w:rsid w:val="50F62B7A"/>
    <w:rsid w:val="52833022"/>
    <w:rsid w:val="56F238AA"/>
    <w:rsid w:val="5B5C6B06"/>
    <w:rsid w:val="5B920779"/>
    <w:rsid w:val="5C814A76"/>
    <w:rsid w:val="5EF0133B"/>
    <w:rsid w:val="5FFB4B3F"/>
    <w:rsid w:val="63AB753C"/>
    <w:rsid w:val="656B32B6"/>
    <w:rsid w:val="65A10AC4"/>
    <w:rsid w:val="666819C3"/>
    <w:rsid w:val="69CB50B8"/>
    <w:rsid w:val="6C1D4978"/>
    <w:rsid w:val="6CBE34FF"/>
    <w:rsid w:val="6D726478"/>
    <w:rsid w:val="75415C13"/>
    <w:rsid w:val="767B2B24"/>
    <w:rsid w:val="799C2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iPriority="99" w:semiHidden="0" w:name="header"/>
    <w:lsdException w:qFormat="1"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after="330" w:line="578" w:lineRule="auto"/>
      <w:outlineLvl w:val="0"/>
    </w:pPr>
    <w:rPr>
      <w:b/>
      <w:bCs/>
      <w:kern w:val="44"/>
      <w:sz w:val="44"/>
      <w:szCs w:val="44"/>
    </w:rPr>
  </w:style>
  <w:style w:type="paragraph" w:styleId="6">
    <w:name w:val="heading 2"/>
    <w:basedOn w:val="1"/>
    <w:next w:val="1"/>
    <w:qFormat/>
    <w:uiPriority w:val="0"/>
    <w:pPr>
      <w:keepNext/>
      <w:keepLines/>
      <w:spacing w:before="260" w:after="260" w:line="416" w:lineRule="auto"/>
      <w:outlineLvl w:val="1"/>
    </w:pPr>
    <w:rPr>
      <w:rFonts w:ascii="Arial" w:hAnsi="Arial" w:eastAsia="黑体"/>
      <w:b/>
      <w:bCs/>
      <w:kern w:val="0"/>
      <w:sz w:val="32"/>
      <w:szCs w:val="32"/>
    </w:rPr>
  </w:style>
  <w:style w:type="paragraph" w:styleId="7">
    <w:name w:val="heading 3"/>
    <w:basedOn w:val="1"/>
    <w:next w:val="1"/>
    <w:qFormat/>
    <w:uiPriority w:val="0"/>
    <w:pPr>
      <w:keepNext/>
      <w:keepLines/>
      <w:spacing w:before="260" w:after="260" w:line="416" w:lineRule="auto"/>
      <w:outlineLvl w:val="2"/>
    </w:pPr>
    <w:rPr>
      <w:b/>
      <w:bCs/>
      <w:kern w:val="0"/>
      <w:sz w:val="32"/>
      <w:szCs w:val="32"/>
    </w:rPr>
  </w:style>
  <w:style w:type="paragraph" w:styleId="8">
    <w:name w:val="heading 4"/>
    <w:basedOn w:val="1"/>
    <w:next w:val="1"/>
    <w:qFormat/>
    <w:uiPriority w:val="0"/>
    <w:pPr>
      <w:keepNext/>
      <w:keepLines/>
      <w:widowControl/>
      <w:spacing w:before="120" w:after="120" w:line="360" w:lineRule="auto"/>
      <w:jc w:val="center"/>
      <w:outlineLvl w:val="3"/>
    </w:pPr>
    <w:rPr>
      <w:rFonts w:ascii="Arial" w:hAnsi="Arial" w:eastAsia="黑体"/>
      <w:kern w:val="0"/>
      <w:sz w:val="28"/>
      <w:szCs w:val="20"/>
    </w:rPr>
  </w:style>
  <w:style w:type="paragraph" w:styleId="9">
    <w:name w:val="heading 5"/>
    <w:basedOn w:val="1"/>
    <w:next w:val="10"/>
    <w:qFormat/>
    <w:uiPriority w:val="0"/>
    <w:pPr>
      <w:keepNext/>
      <w:keepLines/>
      <w:numPr>
        <w:ilvl w:val="4"/>
        <w:numId w:val="1"/>
      </w:numPr>
      <w:spacing w:before="280" w:after="290" w:line="376" w:lineRule="auto"/>
      <w:outlineLvl w:val="4"/>
    </w:pPr>
    <w:rPr>
      <w:b/>
      <w:sz w:val="28"/>
    </w:rPr>
  </w:style>
  <w:style w:type="character" w:default="1" w:styleId="20">
    <w:name w:val="Default Paragraph Font"/>
    <w:semiHidden/>
    <w:qFormat/>
    <w:uiPriority w:val="0"/>
  </w:style>
  <w:style w:type="table" w:default="1" w:styleId="2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99"/>
    <w:pPr>
      <w:spacing w:line="380" w:lineRule="exact"/>
    </w:pPr>
    <w:rPr>
      <w:kern w:val="0"/>
      <w:sz w:val="24"/>
    </w:rPr>
  </w:style>
  <w:style w:type="paragraph" w:styleId="3">
    <w:name w:val="Body Text First Indent 2"/>
    <w:basedOn w:val="4"/>
    <w:qFormat/>
    <w:uiPriority w:val="0"/>
    <w:pPr>
      <w:widowControl/>
      <w:spacing w:line="360" w:lineRule="auto"/>
      <w:ind w:left="-358" w:leftChars="-128" w:firstLine="560" w:firstLineChars="200"/>
      <w:jc w:val="left"/>
    </w:pPr>
    <w:rPr>
      <w:rFonts w:ascii="Times New Roman"/>
      <w:sz w:val="28"/>
    </w:rPr>
  </w:style>
  <w:style w:type="paragraph" w:styleId="4">
    <w:name w:val="Body Text Indent"/>
    <w:basedOn w:val="1"/>
    <w:qFormat/>
    <w:uiPriority w:val="0"/>
    <w:pPr>
      <w:ind w:firstLine="830" w:firstLineChars="352"/>
    </w:pPr>
    <w:rPr>
      <w:rFonts w:ascii="仿宋_GB2312" w:eastAsia="仿宋_GB2312"/>
      <w:kern w:val="0"/>
      <w:sz w:val="32"/>
      <w:szCs w:val="20"/>
    </w:rPr>
  </w:style>
  <w:style w:type="paragraph" w:styleId="10">
    <w:name w:val="Normal Indent"/>
    <w:basedOn w:val="1"/>
    <w:qFormat/>
    <w:uiPriority w:val="0"/>
    <w:pPr>
      <w:ind w:firstLine="420"/>
    </w:pPr>
    <w:rPr>
      <w:szCs w:val="20"/>
    </w:rPr>
  </w:style>
  <w:style w:type="paragraph" w:styleId="11">
    <w:name w:val="index 8"/>
    <w:basedOn w:val="1"/>
    <w:next w:val="1"/>
    <w:qFormat/>
    <w:uiPriority w:val="0"/>
    <w:pPr>
      <w:ind w:left="2940"/>
    </w:pPr>
  </w:style>
  <w:style w:type="paragraph" w:styleId="12">
    <w:name w:val="caption"/>
    <w:basedOn w:val="1"/>
    <w:next w:val="1"/>
    <w:qFormat/>
    <w:uiPriority w:val="0"/>
    <w:pPr>
      <w:spacing w:before="152" w:after="160"/>
    </w:pPr>
    <w:rPr>
      <w:rFonts w:ascii="Arial" w:hAnsi="Arial" w:eastAsia="黑体" w:cs="Arial"/>
      <w:sz w:val="20"/>
      <w:szCs w:val="20"/>
    </w:rPr>
  </w:style>
  <w:style w:type="paragraph" w:styleId="13">
    <w:name w:val="annotation text"/>
    <w:basedOn w:val="1"/>
    <w:unhideWhenUsed/>
    <w:qFormat/>
    <w:uiPriority w:val="0"/>
    <w:pPr>
      <w:jc w:val="left"/>
    </w:pPr>
  </w:style>
  <w:style w:type="paragraph" w:styleId="14">
    <w:name w:val="Body Text 3"/>
    <w:basedOn w:val="1"/>
    <w:qFormat/>
    <w:uiPriority w:val="0"/>
    <w:pPr>
      <w:spacing w:line="500" w:lineRule="exact"/>
    </w:pPr>
    <w:rPr>
      <w:b/>
      <w:bCs/>
      <w:kern w:val="0"/>
      <w:sz w:val="24"/>
    </w:rPr>
  </w:style>
  <w:style w:type="paragraph" w:styleId="15">
    <w:name w:val="Plain Text"/>
    <w:basedOn w:val="1"/>
    <w:next w:val="11"/>
    <w:qFormat/>
    <w:uiPriority w:val="0"/>
    <w:rPr>
      <w:rFonts w:ascii="宋体" w:hAnsi="Courier New"/>
      <w:kern w:val="0"/>
      <w:sz w:val="20"/>
      <w:szCs w:val="21"/>
    </w:rPr>
  </w:style>
  <w:style w:type="paragraph" w:styleId="16">
    <w:name w:val="footer"/>
    <w:basedOn w:val="1"/>
    <w:unhideWhenUsed/>
    <w:qFormat/>
    <w:uiPriority w:val="99"/>
    <w:pPr>
      <w:tabs>
        <w:tab w:val="center" w:pos="4153"/>
        <w:tab w:val="right" w:pos="8306"/>
      </w:tabs>
      <w:snapToGrid w:val="0"/>
      <w:jc w:val="left"/>
    </w:pPr>
    <w:rPr>
      <w:kern w:val="0"/>
      <w:sz w:val="18"/>
      <w:szCs w:val="18"/>
    </w:rPr>
  </w:style>
  <w:style w:type="paragraph" w:styleId="17">
    <w:name w:val="header"/>
    <w:basedOn w:val="1"/>
    <w:unhideWhenUsed/>
    <w:qFormat/>
    <w:uiPriority w:val="99"/>
    <w:pPr>
      <w:pBdr>
        <w:bottom w:val="single" w:color="auto" w:sz="6" w:space="1"/>
      </w:pBdr>
      <w:tabs>
        <w:tab w:val="center" w:pos="0"/>
        <w:tab w:val="left" w:pos="8306"/>
      </w:tabs>
      <w:snapToGrid w:val="0"/>
      <w:jc w:val="center"/>
    </w:pPr>
    <w:rPr>
      <w:sz w:val="18"/>
      <w:szCs w:val="18"/>
    </w:rPr>
  </w:style>
  <w:style w:type="paragraph" w:styleId="18">
    <w:name w:val="toc 1"/>
    <w:basedOn w:val="1"/>
    <w:next w:val="1"/>
    <w:qFormat/>
    <w:uiPriority w:val="39"/>
    <w:pPr>
      <w:tabs>
        <w:tab w:val="right" w:leader="dot" w:pos="8398"/>
      </w:tabs>
      <w:spacing w:before="120" w:after="120"/>
      <w:ind w:firstLine="240" w:firstLineChars="100"/>
      <w:jc w:val="left"/>
    </w:pPr>
    <w:rPr>
      <w:rFonts w:ascii="宋体" w:hAnsi="宋体"/>
      <w:b/>
      <w:bCs/>
      <w:caps/>
      <w:sz w:val="24"/>
    </w:rPr>
  </w:style>
  <w:style w:type="paragraph" w:styleId="19">
    <w:name w:val="List"/>
    <w:basedOn w:val="1"/>
    <w:qFormat/>
    <w:uiPriority w:val="0"/>
    <w:pPr>
      <w:ind w:left="200" w:hanging="200" w:hangingChars="200"/>
    </w:pPr>
    <w:rPr>
      <w:sz w:val="28"/>
    </w:rPr>
  </w:style>
  <w:style w:type="character" w:styleId="21">
    <w:name w:val="page number"/>
    <w:qFormat/>
    <w:uiPriority w:val="0"/>
  </w:style>
  <w:style w:type="character" w:styleId="22">
    <w:name w:val="Hyperlink"/>
    <w:qFormat/>
    <w:uiPriority w:val="99"/>
    <w:rPr>
      <w:color w:val="0000FF"/>
      <w:u w:val="single"/>
    </w:rPr>
  </w:style>
  <w:style w:type="character" w:styleId="23">
    <w:name w:val="annotation reference"/>
    <w:unhideWhenUsed/>
    <w:qFormat/>
    <w:uiPriority w:val="0"/>
    <w:rPr>
      <w:sz w:val="21"/>
      <w:szCs w:val="21"/>
    </w:rPr>
  </w:style>
  <w:style w:type="paragraph" w:customStyle="1" w:styleId="25">
    <w:name w:val="Table Paragraph"/>
    <w:basedOn w:val="1"/>
    <w:qFormat/>
    <w:uiPriority w:val="1"/>
    <w:pPr>
      <w:jc w:val="left"/>
    </w:pPr>
    <w:rPr>
      <w:rFonts w:ascii="Calibri" w:hAnsi="Calibri" w:eastAsia="宋体" w:cs="Times New Roman"/>
      <w:kern w:val="0"/>
      <w:sz w:val="22"/>
      <w:szCs w:val="22"/>
      <w:lang w:eastAsia="en-US"/>
    </w:rPr>
  </w:style>
  <w:style w:type="character" w:customStyle="1" w:styleId="26">
    <w:name w:val="正文文本 (26) + 间距 0 pt"/>
    <w:qFormat/>
    <w:uiPriority w:val="0"/>
    <w:rPr>
      <w:rFonts w:ascii="宋体" w:hAnsi="宋体" w:eastAsia="宋体" w:cs="宋体"/>
      <w:color w:val="000000"/>
      <w:spacing w:val="0"/>
      <w:w w:val="100"/>
      <w:position w:val="0"/>
      <w:sz w:val="22"/>
      <w:szCs w:val="22"/>
      <w:u w:val="none"/>
      <w:lang w:val="zh-CN" w:eastAsia="zh-CN" w:bidi="zh-CN"/>
    </w:rPr>
  </w:style>
  <w:style w:type="paragraph" w:customStyle="1" w:styleId="27">
    <w:name w:val="正文2"/>
    <w:basedOn w:val="1"/>
    <w:qFormat/>
    <w:uiPriority w:val="0"/>
    <w:pPr>
      <w:adjustRightInd w:val="0"/>
      <w:spacing w:before="156" w:line="360" w:lineRule="auto"/>
      <w:ind w:firstLine="510" w:firstLineChars="200"/>
    </w:pPr>
    <w:rPr>
      <w:sz w:val="24"/>
      <w:szCs w:val="20"/>
    </w:rPr>
  </w:style>
  <w:style w:type="character" w:customStyle="1" w:styleId="28">
    <w:name w:val="font41"/>
    <w:basedOn w:val="20"/>
    <w:qFormat/>
    <w:uiPriority w:val="0"/>
    <w:rPr>
      <w:rFonts w:hint="default" w:ascii="Times New Roman" w:hAnsi="Times New Roman" w:cs="Times New Roman"/>
      <w:color w:val="000000"/>
      <w:sz w:val="18"/>
      <w:szCs w:val="18"/>
      <w:u w:val="none"/>
    </w:rPr>
  </w:style>
  <w:style w:type="character" w:customStyle="1" w:styleId="29">
    <w:name w:val="font51"/>
    <w:basedOn w:val="20"/>
    <w:qFormat/>
    <w:uiPriority w:val="0"/>
    <w:rPr>
      <w:rFonts w:hint="eastAsia" w:ascii="宋体" w:hAnsi="宋体" w:eastAsia="宋体" w:cs="宋体"/>
      <w:color w:val="000000"/>
      <w:sz w:val="18"/>
      <w:szCs w:val="18"/>
      <w:u w:val="none"/>
    </w:rPr>
  </w:style>
  <w:style w:type="character" w:customStyle="1" w:styleId="30">
    <w:name w:val="font01"/>
    <w:basedOn w:val="20"/>
    <w:qFormat/>
    <w:uiPriority w:val="0"/>
    <w:rPr>
      <w:rFonts w:hint="eastAsia" w:ascii="幼圆" w:hAnsi="幼圆" w:eastAsia="幼圆" w:cs="幼圆"/>
      <w:color w:val="000000"/>
      <w:sz w:val="18"/>
      <w:szCs w:val="18"/>
      <w:u w:val="none"/>
    </w:rPr>
  </w:style>
  <w:style w:type="character" w:customStyle="1" w:styleId="31">
    <w:name w:val="font101"/>
    <w:basedOn w:val="20"/>
    <w:qFormat/>
    <w:uiPriority w:val="0"/>
    <w:rPr>
      <w:rFonts w:hint="eastAsia" w:ascii="宋体" w:hAnsi="宋体" w:eastAsia="宋体" w:cs="宋体"/>
      <w:color w:val="000000"/>
      <w:sz w:val="18"/>
      <w:szCs w:val="18"/>
      <w:u w:val="none"/>
    </w:rPr>
  </w:style>
  <w:style w:type="character" w:customStyle="1" w:styleId="32">
    <w:name w:val="font11"/>
    <w:basedOn w:val="20"/>
    <w:qFormat/>
    <w:uiPriority w:val="0"/>
    <w:rPr>
      <w:rFonts w:hint="eastAsia" w:ascii="宋体" w:hAnsi="宋体" w:eastAsia="宋体" w:cs="宋体"/>
      <w:color w:val="FF0000"/>
      <w:sz w:val="22"/>
      <w:szCs w:val="22"/>
      <w:u w:val="none"/>
    </w:rPr>
  </w:style>
  <w:style w:type="character" w:customStyle="1" w:styleId="33">
    <w:name w:val="font91"/>
    <w:basedOn w:val="20"/>
    <w:qFormat/>
    <w:uiPriority w:val="0"/>
    <w:rPr>
      <w:rFonts w:ascii="Calibri" w:hAnsi="Calibri" w:cs="Calibri"/>
      <w:color w:val="000000"/>
      <w:sz w:val="18"/>
      <w:szCs w:val="18"/>
      <w:u w:val="none"/>
    </w:rPr>
  </w:style>
  <w:style w:type="character" w:customStyle="1" w:styleId="34">
    <w:name w:val="font31"/>
    <w:basedOn w:val="20"/>
    <w:qFormat/>
    <w:uiPriority w:val="0"/>
    <w:rPr>
      <w:rFonts w:hint="eastAsia" w:ascii="宋体" w:hAnsi="宋体" w:eastAsia="宋体" w:cs="宋体"/>
      <w:color w:val="000000"/>
      <w:sz w:val="18"/>
      <w:szCs w:val="18"/>
      <w:u w:val="none"/>
    </w:rPr>
  </w:style>
  <w:style w:type="character" w:customStyle="1" w:styleId="35">
    <w:name w:val="font81"/>
    <w:basedOn w:val="20"/>
    <w:qFormat/>
    <w:uiPriority w:val="0"/>
    <w:rPr>
      <w:rFonts w:hint="eastAsia" w:ascii="宋体" w:hAnsi="宋体" w:eastAsia="宋体" w:cs="宋体"/>
      <w:b/>
      <w:color w:val="000000"/>
      <w:sz w:val="18"/>
      <w:szCs w:val="18"/>
      <w:u w:val="single"/>
    </w:rPr>
  </w:style>
  <w:style w:type="paragraph" w:customStyle="1" w:styleId="36">
    <w:name w:val="表内文字"/>
    <w:basedOn w:val="1"/>
    <w:qFormat/>
    <w:uiPriority w:val="0"/>
    <w:pPr>
      <w:snapToGrid w:val="0"/>
      <w:spacing w:before="50" w:after="50"/>
      <w:jc w:val="center"/>
    </w:pPr>
    <w:rPr>
      <w:rFonts w:ascii="仿宋_GB2312" w:hAnsi="宋体" w:eastAsia="仿宋_GB2312"/>
      <w:b/>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2022-01-23T03:17:00Z</dcterms:created>
  <dc:creator>lan</dc:creator>
  <cp:lastModifiedBy>NTKO</cp:lastModifiedBy>
  <cp:lastPrinted>2022-02-20T03:59:00Z</cp:lastPrinted>
  <dcterms:modified xsi:type="dcterms:W3CDTF">2022-02-25T04:47:50Z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ICV">
    <vt:lpwstr>E5E2E2DBAC7742B582F3A6D56D545B47</vt:lpwstr>
  </property>
</Properties>
</file>