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imes New Roman" w:hAnsi="宋体" w:eastAsia="宋体" w:cs="Times New Roman"/>
          <w:color w:val="auto"/>
          <w:kern w:val="0"/>
          <w:szCs w:val="21"/>
          <w:highlight w:val="none"/>
        </w:rPr>
      </w:pPr>
      <w:r>
        <w:rPr>
          <w:rFonts w:ascii="Times New Roman" w:hAnsi="Times New Roman" w:eastAsia="宋体" w:cs="Times New Roman"/>
          <w:color w:val="auto"/>
          <w:kern w:val="0"/>
          <w:sz w:val="20"/>
          <w:szCs w:val="21"/>
          <w:highlight w:val="none"/>
        </w:rPr>
        <w:drawing>
          <wp:anchor distT="0" distB="0" distL="114300" distR="114300" simplePos="0" relativeHeight="251659264" behindDoc="0" locked="0" layoutInCell="1" allowOverlap="1">
            <wp:simplePos x="0" y="0"/>
            <wp:positionH relativeFrom="column">
              <wp:posOffset>2299970</wp:posOffset>
            </wp:positionH>
            <wp:positionV relativeFrom="paragraph">
              <wp:posOffset>11430</wp:posOffset>
            </wp:positionV>
            <wp:extent cx="1148080" cy="1105535"/>
            <wp:effectExtent l="0" t="0" r="0" b="0"/>
            <wp:wrapNone/>
            <wp:docPr id="1" name="图片 6" descr="LOGO高清图（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LOGO高清图（背景）"/>
                    <pic:cNvPicPr>
                      <a:picLocks noChangeAspect="1" noChangeArrowheads="1"/>
                    </pic:cNvPicPr>
                  </pic:nvPicPr>
                  <pic:blipFill>
                    <a:blip r:embed="rId6" cstate="print"/>
                    <a:srcRect t="12740" b="19550"/>
                    <a:stretch>
                      <a:fillRect/>
                    </a:stretch>
                  </pic:blipFill>
                  <pic:spPr>
                    <a:xfrm>
                      <a:off x="0" y="0"/>
                      <a:ext cx="1148316" cy="1105786"/>
                    </a:xfrm>
                    <a:prstGeom prst="rect">
                      <a:avLst/>
                    </a:prstGeom>
                    <a:noFill/>
                    <a:ln w="9525" cap="flat">
                      <a:noFill/>
                    </a:ln>
                  </pic:spPr>
                </pic:pic>
              </a:graphicData>
            </a:graphic>
          </wp:anchor>
        </w:drawing>
      </w:r>
      <w:r>
        <w:rPr>
          <w:rFonts w:ascii="Times New Roman" w:hAnsi="Times New Roman" w:eastAsia="宋体" w:cs="Times New Roman"/>
          <w:color w:val="auto"/>
          <w:kern w:val="0"/>
          <w:sz w:val="20"/>
          <w:szCs w:val="21"/>
          <w:highlight w:val="none"/>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1676400</wp:posOffset>
                </wp:positionV>
                <wp:extent cx="5209540" cy="0"/>
                <wp:effectExtent l="0" t="28575" r="635" b="28575"/>
                <wp:wrapNone/>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5209540" cy="0"/>
                        </a:xfrm>
                        <a:prstGeom prst="straightConnector1">
                          <a:avLst/>
                        </a:prstGeom>
                        <a:noFill/>
                        <a:ln w="57150" cmpd="thinThick">
                          <a:solidFill>
                            <a:srgbClr val="000000"/>
                          </a:solidFill>
                          <a:round/>
                        </a:ln>
                        <a:effectLst/>
                      </wps:spPr>
                      <wps:bodyPr/>
                    </wps:wsp>
                  </a:graphicData>
                </a:graphic>
              </wp:anchor>
            </w:drawing>
          </mc:Choice>
          <mc:Fallback>
            <w:pict>
              <v:shape id="AutoShape 2" o:spid="_x0000_s1026" o:spt="32" type="#_x0000_t32" style="position:absolute;left:0pt;margin-left:27pt;margin-top:132pt;height:0pt;width:410.2pt;z-index:251660288;mso-width-relative:page;mso-height-relative:page;" filled="f" stroked="t" coordsize="21600,21600" o:gfxdata="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2jAxDVAAAACgEA&#10;AA8AAAAAAAAAAQAgAAAAIgAAAGRycy9kb3ducmV2LnhtbFBLAQIUABQAAAAIAIdO4kC2zAAh5AEA&#10;ANIDAAAOAAAAAAAAAAEAIAAAACQBAABkcnMvZTJvRG9jLnhtbFBLBQYAAAAABgAGAFkBAAB6BQAA&#10;AAA=&#10;">
                <v:fill on="f" focussize="0,0"/>
                <v:stroke weight="4.5pt" color="#000000" linestyle="thinThick" joinstyle="round"/>
                <v:imagedata o:title=""/>
                <o:lock v:ext="edit" aspectratio="f"/>
              </v:shape>
            </w:pict>
          </mc:Fallback>
        </mc:AlternateContent>
      </w:r>
      <w:r>
        <w:rPr>
          <w:rFonts w:hint="eastAsia" w:ascii="Times New Roman" w:hAnsi="宋体" w:eastAsia="宋体" w:cs="Times New Roman"/>
          <w:color w:val="auto"/>
          <w:kern w:val="0"/>
          <w:szCs w:val="21"/>
          <w:highlight w:val="none"/>
        </w:rPr>
        <w:t>`</w:t>
      </w:r>
    </w:p>
    <w:p>
      <w:pPr>
        <w:widowControl/>
        <w:spacing w:line="360" w:lineRule="auto"/>
        <w:jc w:val="center"/>
        <w:rPr>
          <w:rFonts w:ascii="Times New Roman" w:hAnsi="宋体" w:eastAsia="宋体" w:cs="Times New Roman"/>
          <w:color w:val="auto"/>
          <w:kern w:val="0"/>
          <w:szCs w:val="21"/>
          <w:highlight w:val="none"/>
        </w:rPr>
      </w:pPr>
    </w:p>
    <w:p>
      <w:pPr>
        <w:widowControl/>
        <w:spacing w:line="360" w:lineRule="auto"/>
        <w:jc w:val="center"/>
        <w:rPr>
          <w:rFonts w:ascii="Times New Roman" w:hAnsi="宋体" w:eastAsia="宋体" w:cs="Times New Roman"/>
          <w:color w:val="auto"/>
          <w:kern w:val="0"/>
          <w:szCs w:val="21"/>
          <w:highlight w:val="none"/>
        </w:rPr>
      </w:pPr>
    </w:p>
    <w:p>
      <w:pPr>
        <w:widowControl/>
        <w:spacing w:line="360" w:lineRule="auto"/>
        <w:jc w:val="center"/>
        <w:rPr>
          <w:rFonts w:ascii="Times New Roman" w:hAnsi="宋体" w:eastAsia="宋体" w:cs="Times New Roman"/>
          <w:color w:val="auto"/>
          <w:kern w:val="0"/>
          <w:szCs w:val="21"/>
          <w:highlight w:val="none"/>
        </w:rPr>
      </w:pPr>
    </w:p>
    <w:p>
      <w:pPr>
        <w:widowControl/>
        <w:spacing w:line="360" w:lineRule="auto"/>
        <w:jc w:val="center"/>
        <w:rPr>
          <w:rFonts w:ascii="宋体" w:hAnsi="宋体" w:eastAsia="宋体" w:cs="Times New Roman"/>
          <w:b/>
          <w:color w:val="auto"/>
          <w:spacing w:val="100"/>
          <w:kern w:val="0"/>
          <w:sz w:val="44"/>
          <w:szCs w:val="44"/>
          <w:highlight w:val="none"/>
        </w:rPr>
      </w:pPr>
      <w:r>
        <w:rPr>
          <w:rFonts w:ascii="Times New Roman" w:hAnsi="宋体" w:eastAsia="宋体" w:cs="Times New Roman"/>
          <w:color w:val="auto"/>
          <w:kern w:val="0"/>
          <w:szCs w:val="21"/>
          <w:highlight w:val="none"/>
        </w:rPr>
        <w:br w:type="textWrapping" w:clear="all"/>
      </w:r>
      <w:r>
        <w:rPr>
          <w:rFonts w:hint="eastAsia" w:ascii="宋体" w:hAnsi="宋体" w:eastAsia="宋体" w:cs="Times New Roman"/>
          <w:b/>
          <w:color w:val="auto"/>
          <w:spacing w:val="100"/>
          <w:kern w:val="0"/>
          <w:sz w:val="44"/>
          <w:szCs w:val="44"/>
          <w:highlight w:val="none"/>
        </w:rPr>
        <w:t>政府采购</w:t>
      </w:r>
    </w:p>
    <w:p>
      <w:pPr>
        <w:widowControl/>
        <w:spacing w:before="120" w:line="360" w:lineRule="auto"/>
        <w:jc w:val="center"/>
        <w:rPr>
          <w:rFonts w:ascii="宋体" w:hAnsi="宋体" w:eastAsia="宋体" w:cs="Times New Roman"/>
          <w:b/>
          <w:color w:val="auto"/>
          <w:spacing w:val="20"/>
          <w:kern w:val="0"/>
          <w:sz w:val="72"/>
          <w:szCs w:val="72"/>
          <w:highlight w:val="none"/>
        </w:rPr>
      </w:pPr>
      <w:r>
        <w:rPr>
          <w:rFonts w:hint="eastAsia" w:ascii="宋体" w:hAnsi="宋体" w:eastAsia="宋体" w:cs="Times New Roman"/>
          <w:b/>
          <w:color w:val="auto"/>
          <w:spacing w:val="20"/>
          <w:kern w:val="0"/>
          <w:sz w:val="72"/>
          <w:szCs w:val="72"/>
          <w:highlight w:val="none"/>
        </w:rPr>
        <w:t>竞争性谈判采购文件</w:t>
      </w:r>
    </w:p>
    <w:p>
      <w:pPr>
        <w:widowControl/>
        <w:snapToGrid w:val="0"/>
        <w:spacing w:before="120" w:line="360" w:lineRule="auto"/>
        <w:rPr>
          <w:rFonts w:ascii="宋体" w:hAnsi="Times New Roman" w:eastAsia="宋体" w:cs="Times New Roman"/>
          <w:color w:val="auto"/>
          <w:kern w:val="0"/>
          <w:sz w:val="30"/>
          <w:szCs w:val="30"/>
          <w:highlight w:val="none"/>
        </w:rPr>
      </w:pPr>
    </w:p>
    <w:p>
      <w:pPr>
        <w:widowControl/>
        <w:spacing w:before="120" w:line="360" w:lineRule="auto"/>
        <w:ind w:left="630" w:leftChars="300" w:firstLine="964"/>
        <w:rPr>
          <w:rFonts w:ascii="Times New Roman" w:hAnsi="宋体" w:eastAsia="宋体" w:cs="Times New Roman"/>
          <w:b/>
          <w:color w:val="auto"/>
          <w:kern w:val="0"/>
          <w:sz w:val="32"/>
          <w:szCs w:val="32"/>
          <w:highlight w:val="none"/>
        </w:rPr>
      </w:pPr>
      <w:r>
        <w:rPr>
          <w:rFonts w:hint="eastAsia" w:ascii="宋体" w:hAnsi="宋体" w:eastAsia="宋体" w:cs="Times New Roman"/>
          <w:b/>
          <w:color w:val="auto"/>
          <w:kern w:val="0"/>
          <w:sz w:val="32"/>
          <w:szCs w:val="32"/>
          <w:highlight w:val="none"/>
        </w:rPr>
        <w:t>项目名称：2021年纸质图书采购</w:t>
      </w:r>
    </w:p>
    <w:p>
      <w:pPr>
        <w:widowControl/>
        <w:spacing w:before="120" w:line="360" w:lineRule="auto"/>
        <w:ind w:left="630" w:leftChars="300" w:firstLine="964"/>
        <w:rPr>
          <w:rFonts w:hint="eastAsia" w:ascii="宋体" w:hAnsi="宋体" w:eastAsia="宋体" w:cs="Times New Roman"/>
          <w:b/>
          <w:color w:val="auto"/>
          <w:kern w:val="0"/>
          <w:sz w:val="32"/>
          <w:szCs w:val="32"/>
          <w:highlight w:val="none"/>
          <w:lang w:eastAsia="zh-CN"/>
        </w:rPr>
      </w:pPr>
      <w:r>
        <w:rPr>
          <w:rFonts w:hint="eastAsia" w:ascii="宋体" w:hAnsi="宋体" w:eastAsia="宋体" w:cs="Times New Roman"/>
          <w:b/>
          <w:color w:val="auto"/>
          <w:kern w:val="0"/>
          <w:sz w:val="32"/>
          <w:szCs w:val="32"/>
          <w:highlight w:val="none"/>
        </w:rPr>
        <w:t>项目编号：</w:t>
      </w:r>
      <w:r>
        <w:rPr>
          <w:rFonts w:hint="eastAsia" w:ascii="宋体" w:hAnsi="宋体" w:eastAsia="宋体" w:cs="Times New Roman"/>
          <w:b/>
          <w:color w:val="auto"/>
          <w:kern w:val="0"/>
          <w:sz w:val="32"/>
          <w:szCs w:val="32"/>
          <w:highlight w:val="none"/>
          <w:lang w:eastAsia="zh-CN"/>
        </w:rPr>
        <w:t>GXZC2021-J1-002891-JGJD</w:t>
      </w:r>
    </w:p>
    <w:p>
      <w:pPr>
        <w:widowControl/>
        <w:snapToGrid w:val="0"/>
        <w:spacing w:before="120" w:line="360" w:lineRule="auto"/>
        <w:rPr>
          <w:rFonts w:ascii="宋体" w:hAnsi="Times New Roman" w:eastAsia="宋体" w:cs="Times New Roman"/>
          <w:color w:val="auto"/>
          <w:kern w:val="0"/>
          <w:sz w:val="30"/>
          <w:szCs w:val="30"/>
          <w:highlight w:val="none"/>
        </w:rPr>
      </w:pPr>
    </w:p>
    <w:p>
      <w:pPr>
        <w:widowControl/>
        <w:ind w:firstLine="1428"/>
        <w:rPr>
          <w:rFonts w:ascii="Times New Roman" w:hAnsi="宋体" w:eastAsia="宋体" w:cs="Times New Roman"/>
          <w:b/>
          <w:color w:val="auto"/>
          <w:kern w:val="0"/>
          <w:sz w:val="36"/>
          <w:szCs w:val="36"/>
          <w:highlight w:val="none"/>
        </w:rPr>
      </w:pPr>
    </w:p>
    <w:p>
      <w:pPr>
        <w:widowControl/>
        <w:spacing w:line="375" w:lineRule="atLeast"/>
        <w:jc w:val="left"/>
        <w:rPr>
          <w:rFonts w:ascii="Arial" w:hAnsi="Arial" w:eastAsia="宋体" w:cs="Arial"/>
          <w:color w:val="auto"/>
          <w:kern w:val="0"/>
          <w:szCs w:val="21"/>
          <w:highlight w:val="none"/>
        </w:rPr>
      </w:pPr>
    </w:p>
    <w:p>
      <w:pPr>
        <w:widowControl/>
        <w:spacing w:line="375" w:lineRule="atLeast"/>
        <w:jc w:val="left"/>
        <w:rPr>
          <w:rFonts w:ascii="Times New Roman" w:hAnsi="宋体" w:eastAsia="宋体" w:cs="Times New Roman"/>
          <w:color w:val="auto"/>
          <w:w w:val="95"/>
          <w:kern w:val="0"/>
          <w:sz w:val="30"/>
          <w:szCs w:val="30"/>
          <w:highlight w:val="none"/>
        </w:rPr>
      </w:pPr>
    </w:p>
    <w:p>
      <w:pPr>
        <w:widowControl/>
        <w:snapToGrid w:val="0"/>
        <w:spacing w:before="120" w:after="120" w:line="360" w:lineRule="auto"/>
        <w:rPr>
          <w:rFonts w:ascii="宋体" w:hAnsi="宋体" w:eastAsia="宋体" w:cs="Times New Roman"/>
          <w:b/>
          <w:color w:val="auto"/>
          <w:w w:val="95"/>
          <w:kern w:val="0"/>
          <w:sz w:val="30"/>
          <w:szCs w:val="30"/>
          <w:highlight w:val="none"/>
        </w:rPr>
      </w:pPr>
    </w:p>
    <w:p>
      <w:pPr>
        <w:widowControl/>
        <w:snapToGrid w:val="0"/>
        <w:spacing w:before="120" w:after="120" w:line="360" w:lineRule="auto"/>
        <w:rPr>
          <w:rFonts w:ascii="宋体" w:hAnsi="宋体" w:eastAsia="宋体" w:cs="Times New Roman"/>
          <w:b/>
          <w:color w:val="auto"/>
          <w:w w:val="95"/>
          <w:kern w:val="0"/>
          <w:sz w:val="30"/>
          <w:szCs w:val="30"/>
          <w:highlight w:val="none"/>
        </w:rPr>
      </w:pPr>
    </w:p>
    <w:p>
      <w:pPr>
        <w:widowControl/>
        <w:snapToGrid w:val="0"/>
        <w:spacing w:before="120" w:after="120" w:line="360" w:lineRule="auto"/>
        <w:rPr>
          <w:rFonts w:ascii="宋体" w:hAnsi="宋体" w:eastAsia="宋体" w:cs="Times New Roman"/>
          <w:b/>
          <w:color w:val="auto"/>
          <w:w w:val="95"/>
          <w:kern w:val="0"/>
          <w:sz w:val="30"/>
          <w:szCs w:val="30"/>
          <w:highlight w:val="none"/>
        </w:rPr>
      </w:pPr>
    </w:p>
    <w:p>
      <w:pPr>
        <w:widowControl/>
        <w:snapToGrid w:val="0"/>
        <w:spacing w:before="120" w:after="120" w:line="360" w:lineRule="auto"/>
        <w:rPr>
          <w:rFonts w:ascii="宋体" w:hAnsi="宋体" w:eastAsia="宋体" w:cs="Times New Roman"/>
          <w:b/>
          <w:bCs/>
          <w:color w:val="auto"/>
          <w:w w:val="95"/>
          <w:kern w:val="0"/>
          <w:sz w:val="30"/>
          <w:szCs w:val="30"/>
          <w:highlight w:val="none"/>
        </w:rPr>
      </w:pPr>
    </w:p>
    <w:p>
      <w:pPr>
        <w:widowControl/>
        <w:spacing w:line="600" w:lineRule="auto"/>
        <w:ind w:firstLine="643" w:firstLineChars="200"/>
        <w:rPr>
          <w:rFonts w:ascii="宋体" w:hAnsi="宋体" w:eastAsia="宋体" w:cs="Times New Roman"/>
          <w:b/>
          <w:color w:val="auto"/>
          <w:kern w:val="0"/>
          <w:sz w:val="32"/>
          <w:szCs w:val="32"/>
          <w:highlight w:val="none"/>
        </w:rPr>
      </w:pPr>
      <w:r>
        <w:rPr>
          <w:rFonts w:hint="eastAsia" w:ascii="宋体" w:hAnsi="宋体" w:eastAsia="宋体" w:cs="Times New Roman"/>
          <w:b/>
          <w:color w:val="auto"/>
          <w:kern w:val="0"/>
          <w:sz w:val="32"/>
          <w:szCs w:val="32"/>
          <w:highlight w:val="none"/>
        </w:rPr>
        <w:t>采购人：广西幼儿师范高等专科学校</w:t>
      </w:r>
    </w:p>
    <w:p>
      <w:pPr>
        <w:widowControl/>
        <w:spacing w:line="600" w:lineRule="auto"/>
        <w:ind w:firstLine="1043" w:firstLineChars="200"/>
        <w:rPr>
          <w:rFonts w:ascii="宋体" w:hAnsi="宋体" w:eastAsia="宋体" w:cs="Times New Roman"/>
          <w:b/>
          <w:color w:val="auto"/>
          <w:kern w:val="0"/>
          <w:sz w:val="32"/>
          <w:szCs w:val="32"/>
          <w:highlight w:val="none"/>
        </w:rPr>
      </w:pPr>
      <w:r>
        <w:rPr>
          <w:rFonts w:ascii="宋体" w:hAnsi="宋体" w:eastAsia="宋体" w:cs="Times New Roman"/>
          <w:b/>
          <w:color w:val="auto"/>
          <w:spacing w:val="100"/>
          <w:kern w:val="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464820</wp:posOffset>
                </wp:positionV>
                <wp:extent cx="5257800" cy="0"/>
                <wp:effectExtent l="0" t="28575" r="0" b="28575"/>
                <wp:wrapNone/>
                <wp:docPr id="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nThick">
                          <a:solidFill>
                            <a:srgbClr val="000000"/>
                          </a:solidFill>
                          <a:round/>
                        </a:ln>
                        <a:effectLst/>
                      </wps:spPr>
                      <wps:bodyPr/>
                    </wps:wsp>
                  </a:graphicData>
                </a:graphic>
              </wp:anchor>
            </w:drawing>
          </mc:Choice>
          <mc:Fallback>
            <w:pict>
              <v:line id="直接连接符 2" o:spid="_x0000_s1026" o:spt="20" style="position:absolute;left:0pt;margin-left:24pt;margin-top:36.6pt;height:0pt;width:414pt;z-index:251661312;mso-width-relative:page;mso-height-relative:page;" filled="f" stroked="t" coordsize="21600,21600" o:gfxdata="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htid2AAAAAgBAAAPAAAAAAAAAAEAIAAAACIAAABkcnMvZG93bnJldi54bWxQSwEC&#10;FAAUAAAACACHTuJAzu7F4fQBAADKAwAADgAAAAAAAAABACAAAAAnAQAAZHJzL2Uyb0RvYy54bWxQ&#10;SwUGAAAAAAYABgBZAQAAjQUAAAAA&#10;">
                <v:fill on="f" focussize="0,0"/>
                <v:stroke weight="4.5pt" color="#000000" linestyle="thinThick" joinstyle="round"/>
                <v:imagedata o:title=""/>
                <o:lock v:ext="edit" aspectratio="f"/>
              </v:line>
            </w:pict>
          </mc:Fallback>
        </mc:AlternateContent>
      </w:r>
      <w:r>
        <w:rPr>
          <w:rFonts w:hint="eastAsia" w:ascii="宋体" w:hAnsi="宋体" w:eastAsia="宋体" w:cs="Times New Roman"/>
          <w:b/>
          <w:color w:val="auto"/>
          <w:kern w:val="0"/>
          <w:sz w:val="32"/>
          <w:szCs w:val="32"/>
          <w:highlight w:val="none"/>
        </w:rPr>
        <w:t>采购代理机构：广西建设工程机电设备招标中心有限公司</w:t>
      </w:r>
    </w:p>
    <w:p>
      <w:pPr>
        <w:widowControl/>
        <w:spacing w:line="600" w:lineRule="auto"/>
        <w:jc w:val="center"/>
        <w:rPr>
          <w:rFonts w:ascii="宋体" w:hAnsi="宋体" w:eastAsia="宋体" w:cs="Times New Roman"/>
          <w:b/>
          <w:color w:val="auto"/>
          <w:kern w:val="0"/>
          <w:sz w:val="32"/>
          <w:szCs w:val="32"/>
          <w:highlight w:val="none"/>
        </w:rPr>
      </w:pPr>
      <w:r>
        <w:rPr>
          <w:rFonts w:ascii="宋体" w:hAnsi="宋体" w:eastAsia="宋体" w:cs="Times New Roman"/>
          <w:b/>
          <w:color w:val="auto"/>
          <w:kern w:val="0"/>
          <w:sz w:val="32"/>
          <w:szCs w:val="32"/>
          <w:highlight w:val="none"/>
        </w:rPr>
        <w:t>日期：20</w:t>
      </w:r>
      <w:r>
        <w:rPr>
          <w:rFonts w:hint="eastAsia" w:ascii="宋体" w:hAnsi="宋体" w:eastAsia="宋体" w:cs="Times New Roman"/>
          <w:b/>
          <w:color w:val="auto"/>
          <w:kern w:val="0"/>
          <w:sz w:val="32"/>
          <w:szCs w:val="32"/>
          <w:highlight w:val="none"/>
        </w:rPr>
        <w:t>2</w:t>
      </w:r>
      <w:r>
        <w:rPr>
          <w:rFonts w:ascii="宋体" w:hAnsi="宋体" w:eastAsia="宋体" w:cs="Times New Roman"/>
          <w:b/>
          <w:color w:val="auto"/>
          <w:kern w:val="0"/>
          <w:sz w:val="32"/>
          <w:szCs w:val="32"/>
          <w:highlight w:val="none"/>
        </w:rPr>
        <w:t>1</w:t>
      </w:r>
      <w:r>
        <w:rPr>
          <w:rFonts w:hint="eastAsia" w:ascii="宋体" w:hAnsi="宋体" w:eastAsia="宋体" w:cs="Times New Roman"/>
          <w:b/>
          <w:color w:val="auto"/>
          <w:kern w:val="0"/>
          <w:sz w:val="32"/>
          <w:szCs w:val="32"/>
          <w:highlight w:val="none"/>
        </w:rPr>
        <w:t>年</w:t>
      </w:r>
      <w:r>
        <w:rPr>
          <w:rFonts w:hint="eastAsia" w:ascii="宋体" w:hAnsi="宋体" w:eastAsia="宋体" w:cs="Times New Roman"/>
          <w:b/>
          <w:color w:val="auto"/>
          <w:kern w:val="0"/>
          <w:sz w:val="32"/>
          <w:szCs w:val="32"/>
          <w:highlight w:val="none"/>
          <w:lang w:val="en-US" w:eastAsia="zh-CN"/>
        </w:rPr>
        <w:t>8</w:t>
      </w:r>
      <w:r>
        <w:rPr>
          <w:rFonts w:hint="eastAsia" w:ascii="宋体" w:hAnsi="宋体" w:eastAsia="宋体" w:cs="Times New Roman"/>
          <w:b/>
          <w:color w:val="auto"/>
          <w:kern w:val="0"/>
          <w:sz w:val="32"/>
          <w:szCs w:val="32"/>
          <w:highlight w:val="none"/>
        </w:rPr>
        <w:t>月</w:t>
      </w:r>
    </w:p>
    <w:p>
      <w:pPr>
        <w:widowControl/>
        <w:snapToGrid w:val="0"/>
        <w:spacing w:before="120" w:after="120" w:line="360" w:lineRule="auto"/>
        <w:jc w:val="center"/>
        <w:rPr>
          <w:rFonts w:ascii="宋体" w:hAnsi="宋体" w:eastAsia="宋体" w:cs="Times New Roman"/>
          <w:b/>
          <w:color w:val="auto"/>
          <w:kern w:val="0"/>
          <w:sz w:val="36"/>
          <w:szCs w:val="36"/>
          <w:highlight w:val="none"/>
        </w:rPr>
      </w:pPr>
      <w:r>
        <w:rPr>
          <w:rFonts w:hint="eastAsia" w:ascii="宋体" w:hAnsi="宋体" w:eastAsia="宋体" w:cs="Times New Roman"/>
          <w:b/>
          <w:color w:val="auto"/>
          <w:kern w:val="0"/>
          <w:sz w:val="36"/>
          <w:szCs w:val="36"/>
          <w:highlight w:val="none"/>
        </w:rPr>
        <w:t>目  录</w:t>
      </w:r>
    </w:p>
    <w:p>
      <w:pPr>
        <w:pStyle w:val="32"/>
        <w:tabs>
          <w:tab w:val="right" w:leader="dot" w:pos="9168"/>
        </w:tabs>
        <w:ind w:left="840"/>
        <w:rPr>
          <w:rFonts w:asciiTheme="minorHAnsi" w:hAnsiTheme="minorHAnsi" w:eastAsiaTheme="minorEastAsia" w:cstheme="minorBidi"/>
          <w:b w:val="0"/>
          <w:caps w:val="0"/>
          <w:color w:val="auto"/>
          <w:kern w:val="2"/>
          <w:sz w:val="21"/>
          <w:szCs w:val="22"/>
          <w:highlight w:val="none"/>
        </w:rPr>
      </w:pPr>
      <w:r>
        <w:rPr>
          <w:rFonts w:hAnsi="宋体"/>
          <w:color w:val="auto"/>
          <w:sz w:val="44"/>
          <w:szCs w:val="44"/>
          <w:highlight w:val="none"/>
        </w:rPr>
        <w:fldChar w:fldCharType="begin"/>
      </w:r>
      <w:r>
        <w:rPr>
          <w:rFonts w:hint="eastAsia"/>
          <w:color w:val="auto"/>
          <w:highlight w:val="none"/>
        </w:rPr>
        <w:instrText xml:space="preserve">TOC \o "1 - 1" \h \z \u"</w:instrText>
      </w:r>
      <w:r>
        <w:rPr>
          <w:color w:val="auto"/>
          <w:highlight w:val="none"/>
        </w:rPr>
        <w:fldChar w:fldCharType="separate"/>
      </w:r>
      <w:r>
        <w:rPr>
          <w:color w:val="auto"/>
          <w:highlight w:val="none"/>
        </w:rPr>
        <w:fldChar w:fldCharType="begin"/>
      </w:r>
      <w:r>
        <w:rPr>
          <w:color w:val="auto"/>
          <w:highlight w:val="none"/>
        </w:rPr>
        <w:instrText xml:space="preserve"> HYPERLINK \l "_Toc77516451" </w:instrText>
      </w:r>
      <w:r>
        <w:rPr>
          <w:color w:val="auto"/>
          <w:highlight w:val="none"/>
        </w:rPr>
        <w:fldChar w:fldCharType="separate"/>
      </w:r>
      <w:r>
        <w:rPr>
          <w:rStyle w:val="54"/>
          <w:rFonts w:hint="eastAsia" w:hAnsi="宋体" w:cs="Courier New"/>
          <w:color w:val="auto"/>
          <w:highlight w:val="none"/>
        </w:rPr>
        <w:t>第一章</w:t>
      </w:r>
      <w:r>
        <w:rPr>
          <w:rStyle w:val="54"/>
          <w:rFonts w:hAnsi="宋体" w:cs="Courier New"/>
          <w:color w:val="auto"/>
          <w:highlight w:val="none"/>
        </w:rPr>
        <w:t xml:space="preserve">  </w:t>
      </w:r>
      <w:r>
        <w:rPr>
          <w:rStyle w:val="54"/>
          <w:rFonts w:hint="eastAsia" w:hAnsi="宋体" w:cs="Courier New"/>
          <w:color w:val="auto"/>
          <w:highlight w:val="none"/>
        </w:rPr>
        <w:t>竞争性谈判公告</w:t>
      </w:r>
      <w:r>
        <w:rPr>
          <w:color w:val="auto"/>
          <w:highlight w:val="none"/>
        </w:rPr>
        <w:tab/>
      </w:r>
      <w:r>
        <w:rPr>
          <w:color w:val="auto"/>
          <w:highlight w:val="none"/>
        </w:rPr>
        <w:fldChar w:fldCharType="begin"/>
      </w:r>
      <w:r>
        <w:rPr>
          <w:color w:val="auto"/>
          <w:highlight w:val="none"/>
        </w:rPr>
        <w:instrText xml:space="preserve"> PAGEREF _Toc77516451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2"/>
        <w:tabs>
          <w:tab w:val="right" w:leader="dot" w:pos="9168"/>
        </w:tabs>
        <w:ind w:left="840"/>
        <w:rPr>
          <w:rFonts w:asciiTheme="minorHAnsi" w:hAnsiTheme="minorHAnsi" w:eastAsiaTheme="minorEastAsia" w:cstheme="minorBidi"/>
          <w:b w:val="0"/>
          <w:caps w:val="0"/>
          <w:color w:val="auto"/>
          <w:kern w:val="2"/>
          <w:sz w:val="21"/>
          <w:szCs w:val="22"/>
          <w:highlight w:val="none"/>
        </w:rPr>
      </w:pPr>
      <w:r>
        <w:rPr>
          <w:color w:val="auto"/>
          <w:highlight w:val="none"/>
        </w:rPr>
        <w:fldChar w:fldCharType="begin"/>
      </w:r>
      <w:r>
        <w:rPr>
          <w:color w:val="auto"/>
          <w:highlight w:val="none"/>
        </w:rPr>
        <w:instrText xml:space="preserve"> HYPERLINK \l "_Toc77516452" </w:instrText>
      </w:r>
      <w:r>
        <w:rPr>
          <w:color w:val="auto"/>
          <w:highlight w:val="none"/>
        </w:rPr>
        <w:fldChar w:fldCharType="separate"/>
      </w:r>
      <w:r>
        <w:rPr>
          <w:rStyle w:val="54"/>
          <w:rFonts w:hint="eastAsia" w:hAnsi="宋体" w:cs="Courier New"/>
          <w:color w:val="auto"/>
          <w:highlight w:val="none"/>
        </w:rPr>
        <w:t>第二章</w:t>
      </w:r>
      <w:r>
        <w:rPr>
          <w:rStyle w:val="54"/>
          <w:rFonts w:hAnsi="宋体" w:cs="Courier New"/>
          <w:color w:val="auto"/>
          <w:highlight w:val="none"/>
        </w:rPr>
        <w:t xml:space="preserve">  </w:t>
      </w:r>
      <w:r>
        <w:rPr>
          <w:rStyle w:val="54"/>
          <w:rFonts w:hint="eastAsia" w:hAnsi="宋体" w:cs="Courier New"/>
          <w:color w:val="auto"/>
          <w:highlight w:val="none"/>
        </w:rPr>
        <w:t>竞标人须知</w:t>
      </w:r>
      <w:r>
        <w:rPr>
          <w:color w:val="auto"/>
          <w:highlight w:val="none"/>
        </w:rPr>
        <w:tab/>
      </w:r>
      <w:r>
        <w:rPr>
          <w:color w:val="auto"/>
          <w:highlight w:val="none"/>
        </w:rPr>
        <w:fldChar w:fldCharType="begin"/>
      </w:r>
      <w:r>
        <w:rPr>
          <w:color w:val="auto"/>
          <w:highlight w:val="none"/>
        </w:rPr>
        <w:instrText xml:space="preserve"> PAGEREF _Toc77516452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2"/>
        <w:tabs>
          <w:tab w:val="right" w:leader="dot" w:pos="9168"/>
        </w:tabs>
        <w:ind w:left="840"/>
        <w:rPr>
          <w:rFonts w:asciiTheme="minorHAnsi" w:hAnsiTheme="minorHAnsi" w:eastAsiaTheme="minorEastAsia" w:cstheme="minorBidi"/>
          <w:b w:val="0"/>
          <w:caps w:val="0"/>
          <w:color w:val="auto"/>
          <w:kern w:val="2"/>
          <w:sz w:val="21"/>
          <w:szCs w:val="22"/>
          <w:highlight w:val="none"/>
        </w:rPr>
      </w:pPr>
      <w:r>
        <w:rPr>
          <w:color w:val="auto"/>
          <w:highlight w:val="none"/>
        </w:rPr>
        <w:fldChar w:fldCharType="begin"/>
      </w:r>
      <w:r>
        <w:rPr>
          <w:color w:val="auto"/>
          <w:highlight w:val="none"/>
        </w:rPr>
        <w:instrText xml:space="preserve"> HYPERLINK \l "_Toc77516453" </w:instrText>
      </w:r>
      <w:r>
        <w:rPr>
          <w:color w:val="auto"/>
          <w:highlight w:val="none"/>
        </w:rPr>
        <w:fldChar w:fldCharType="separate"/>
      </w:r>
      <w:r>
        <w:rPr>
          <w:rStyle w:val="54"/>
          <w:rFonts w:hint="eastAsia" w:hAnsi="宋体" w:cs="Courier New"/>
          <w:color w:val="auto"/>
          <w:highlight w:val="none"/>
        </w:rPr>
        <w:t>第三章</w:t>
      </w:r>
      <w:r>
        <w:rPr>
          <w:rStyle w:val="54"/>
          <w:rFonts w:hAnsi="宋体" w:cs="Courier New"/>
          <w:color w:val="auto"/>
          <w:highlight w:val="none"/>
        </w:rPr>
        <w:t xml:space="preserve">  </w:t>
      </w:r>
      <w:r>
        <w:rPr>
          <w:rStyle w:val="54"/>
          <w:rFonts w:hint="eastAsia" w:hAnsi="宋体" w:cs="Courier New"/>
          <w:color w:val="auto"/>
          <w:highlight w:val="none"/>
        </w:rPr>
        <w:t>项目采购需求</w:t>
      </w:r>
      <w:r>
        <w:rPr>
          <w:color w:val="auto"/>
          <w:highlight w:val="none"/>
        </w:rPr>
        <w:tab/>
      </w:r>
      <w:r>
        <w:rPr>
          <w:color w:val="auto"/>
          <w:highlight w:val="none"/>
        </w:rPr>
        <w:fldChar w:fldCharType="begin"/>
      </w:r>
      <w:r>
        <w:rPr>
          <w:color w:val="auto"/>
          <w:highlight w:val="none"/>
        </w:rPr>
        <w:instrText xml:space="preserve"> PAGEREF _Toc77516453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2"/>
        <w:tabs>
          <w:tab w:val="right" w:leader="dot" w:pos="9168"/>
        </w:tabs>
        <w:ind w:left="840"/>
        <w:rPr>
          <w:rFonts w:asciiTheme="minorHAnsi" w:hAnsiTheme="minorHAnsi" w:eastAsiaTheme="minorEastAsia" w:cstheme="minorBidi"/>
          <w:b w:val="0"/>
          <w:caps w:val="0"/>
          <w:color w:val="auto"/>
          <w:kern w:val="2"/>
          <w:sz w:val="21"/>
          <w:szCs w:val="22"/>
          <w:highlight w:val="none"/>
        </w:rPr>
      </w:pPr>
      <w:r>
        <w:rPr>
          <w:color w:val="auto"/>
          <w:highlight w:val="none"/>
        </w:rPr>
        <w:fldChar w:fldCharType="begin"/>
      </w:r>
      <w:r>
        <w:rPr>
          <w:color w:val="auto"/>
          <w:highlight w:val="none"/>
        </w:rPr>
        <w:instrText xml:space="preserve"> HYPERLINK \l "_Toc77516454" </w:instrText>
      </w:r>
      <w:r>
        <w:rPr>
          <w:color w:val="auto"/>
          <w:highlight w:val="none"/>
        </w:rPr>
        <w:fldChar w:fldCharType="separate"/>
      </w:r>
      <w:r>
        <w:rPr>
          <w:rStyle w:val="54"/>
          <w:rFonts w:hint="eastAsia" w:hAnsi="宋体" w:cs="Courier New"/>
          <w:color w:val="auto"/>
          <w:highlight w:val="none"/>
        </w:rPr>
        <w:t>第四章</w:t>
      </w:r>
      <w:r>
        <w:rPr>
          <w:rStyle w:val="54"/>
          <w:rFonts w:hAnsi="宋体" w:cs="Courier New"/>
          <w:color w:val="auto"/>
          <w:highlight w:val="none"/>
        </w:rPr>
        <w:t xml:space="preserve">  </w:t>
      </w:r>
      <w:r>
        <w:rPr>
          <w:rStyle w:val="54"/>
          <w:rFonts w:hint="eastAsia" w:hAnsi="宋体" w:cs="Courier New"/>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_Toc77516454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32"/>
        <w:tabs>
          <w:tab w:val="right" w:leader="dot" w:pos="9168"/>
        </w:tabs>
        <w:ind w:left="840"/>
        <w:rPr>
          <w:rFonts w:asciiTheme="minorHAnsi" w:hAnsiTheme="minorHAnsi" w:eastAsiaTheme="minorEastAsia" w:cstheme="minorBidi"/>
          <w:b w:val="0"/>
          <w:caps w:val="0"/>
          <w:color w:val="auto"/>
          <w:kern w:val="2"/>
          <w:sz w:val="21"/>
          <w:szCs w:val="22"/>
          <w:highlight w:val="none"/>
        </w:rPr>
      </w:pPr>
      <w:r>
        <w:rPr>
          <w:color w:val="auto"/>
          <w:highlight w:val="none"/>
        </w:rPr>
        <w:fldChar w:fldCharType="begin"/>
      </w:r>
      <w:r>
        <w:rPr>
          <w:color w:val="auto"/>
          <w:highlight w:val="none"/>
        </w:rPr>
        <w:instrText xml:space="preserve"> HYPERLINK \l "_Toc77516455" </w:instrText>
      </w:r>
      <w:r>
        <w:rPr>
          <w:color w:val="auto"/>
          <w:highlight w:val="none"/>
        </w:rPr>
        <w:fldChar w:fldCharType="separate"/>
      </w:r>
      <w:r>
        <w:rPr>
          <w:rStyle w:val="54"/>
          <w:rFonts w:hint="eastAsia" w:hAnsi="宋体" w:cs="Courier New"/>
          <w:color w:val="auto"/>
          <w:highlight w:val="none"/>
        </w:rPr>
        <w:t>第五章</w:t>
      </w:r>
      <w:r>
        <w:rPr>
          <w:rStyle w:val="54"/>
          <w:rFonts w:hAnsi="宋体" w:cs="Courier New"/>
          <w:color w:val="auto"/>
          <w:highlight w:val="none"/>
        </w:rPr>
        <w:t xml:space="preserve">  </w:t>
      </w:r>
      <w:r>
        <w:rPr>
          <w:rStyle w:val="54"/>
          <w:rFonts w:hint="eastAsia" w:hAnsi="宋体" w:cs="Courier New"/>
          <w:color w:val="auto"/>
          <w:highlight w:val="none"/>
        </w:rPr>
        <w:t>合同主要条款</w:t>
      </w:r>
      <w:r>
        <w:rPr>
          <w:color w:val="auto"/>
          <w:highlight w:val="none"/>
        </w:rPr>
        <w:tab/>
      </w:r>
      <w:r>
        <w:rPr>
          <w:color w:val="auto"/>
          <w:highlight w:val="none"/>
        </w:rPr>
        <w:fldChar w:fldCharType="begin"/>
      </w:r>
      <w:r>
        <w:rPr>
          <w:color w:val="auto"/>
          <w:highlight w:val="none"/>
        </w:rPr>
        <w:instrText xml:space="preserve"> PAGEREF _Toc77516455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32"/>
        <w:tabs>
          <w:tab w:val="right" w:leader="dot" w:pos="9168"/>
        </w:tabs>
        <w:ind w:left="840"/>
        <w:rPr>
          <w:rFonts w:asciiTheme="minorHAnsi" w:hAnsiTheme="minorHAnsi" w:eastAsiaTheme="minorEastAsia" w:cstheme="minorBidi"/>
          <w:b w:val="0"/>
          <w:caps w:val="0"/>
          <w:color w:val="auto"/>
          <w:kern w:val="2"/>
          <w:sz w:val="21"/>
          <w:szCs w:val="22"/>
          <w:highlight w:val="none"/>
        </w:rPr>
      </w:pPr>
      <w:r>
        <w:rPr>
          <w:color w:val="auto"/>
          <w:highlight w:val="none"/>
        </w:rPr>
        <w:fldChar w:fldCharType="begin"/>
      </w:r>
      <w:r>
        <w:rPr>
          <w:color w:val="auto"/>
          <w:highlight w:val="none"/>
        </w:rPr>
        <w:instrText xml:space="preserve"> HYPERLINK \l "_Toc77516456" </w:instrText>
      </w:r>
      <w:r>
        <w:rPr>
          <w:color w:val="auto"/>
          <w:highlight w:val="none"/>
        </w:rPr>
        <w:fldChar w:fldCharType="separate"/>
      </w:r>
      <w:r>
        <w:rPr>
          <w:rStyle w:val="54"/>
          <w:rFonts w:hint="eastAsia" w:hAnsi="宋体" w:cs="Courier New"/>
          <w:color w:val="auto"/>
          <w:highlight w:val="none"/>
        </w:rPr>
        <w:t>第六章</w:t>
      </w:r>
      <w:r>
        <w:rPr>
          <w:rStyle w:val="54"/>
          <w:rFonts w:hAnsi="宋体" w:cs="Courier New"/>
          <w:color w:val="auto"/>
          <w:highlight w:val="none"/>
        </w:rPr>
        <w:t xml:space="preserve">  </w:t>
      </w:r>
      <w:r>
        <w:rPr>
          <w:rStyle w:val="54"/>
          <w:rFonts w:hint="eastAsia" w:hAnsi="宋体" w:cs="Courier New"/>
          <w:color w:val="auto"/>
          <w:highlight w:val="none"/>
        </w:rPr>
        <w:t>评标办法及评分标准</w:t>
      </w:r>
      <w:r>
        <w:rPr>
          <w:color w:val="auto"/>
          <w:highlight w:val="none"/>
        </w:rPr>
        <w:tab/>
      </w:r>
      <w:r>
        <w:rPr>
          <w:color w:val="auto"/>
          <w:highlight w:val="none"/>
        </w:rPr>
        <w:fldChar w:fldCharType="begin"/>
      </w:r>
      <w:r>
        <w:rPr>
          <w:color w:val="auto"/>
          <w:highlight w:val="none"/>
        </w:rPr>
        <w:instrText xml:space="preserve"> PAGEREF _Toc77516456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widowControl/>
        <w:snapToGrid w:val="0"/>
        <w:spacing w:before="120" w:after="120" w:line="360" w:lineRule="auto"/>
        <w:ind w:firstLine="216"/>
        <w:rPr>
          <w:rFonts w:ascii="宋体" w:hAnsi="宋体" w:eastAsia="宋体" w:cs="Times New Roman"/>
          <w:b/>
          <w:color w:val="auto"/>
          <w:kern w:val="0"/>
          <w:sz w:val="44"/>
          <w:szCs w:val="44"/>
          <w:highlight w:val="none"/>
        </w:rPr>
      </w:pPr>
      <w:r>
        <w:rPr>
          <w:rFonts w:ascii="宋体" w:hAnsi="宋体" w:eastAsia="宋体" w:cs="Times New Roman"/>
          <w:color w:val="auto"/>
          <w:kern w:val="0"/>
          <w:szCs w:val="44"/>
          <w:highlight w:val="none"/>
        </w:rPr>
        <w:fldChar w:fldCharType="end"/>
      </w:r>
    </w:p>
    <w:p>
      <w:pPr>
        <w:widowControl/>
        <w:snapToGrid w:val="0"/>
        <w:spacing w:before="120" w:after="120" w:line="360" w:lineRule="auto"/>
        <w:ind w:firstLine="216"/>
        <w:rPr>
          <w:rFonts w:ascii="宋体" w:hAnsi="宋体" w:eastAsia="宋体" w:cs="Courier New"/>
          <w:b/>
          <w:color w:val="auto"/>
          <w:kern w:val="0"/>
          <w:sz w:val="32"/>
          <w:szCs w:val="32"/>
          <w:highlight w:val="none"/>
        </w:rPr>
        <w:sectPr>
          <w:footerReference r:id="rId3" w:type="default"/>
          <w:footerReference r:id="rId4" w:type="even"/>
          <w:pgSz w:w="11900" w:h="16841"/>
          <w:pgMar w:top="1304" w:right="1304" w:bottom="1304" w:left="1418" w:header="720" w:footer="720" w:gutter="0"/>
          <w:pgNumType w:start="0"/>
          <w:cols w:space="720" w:num="1"/>
          <w:titlePg/>
          <w:docGrid w:linePitch="286" w:charSpace="0"/>
        </w:sectPr>
      </w:pPr>
    </w:p>
    <w:p>
      <w:pPr>
        <w:widowControl/>
        <w:snapToGrid w:val="0"/>
        <w:spacing w:before="120" w:after="120"/>
        <w:jc w:val="center"/>
        <w:outlineLvl w:val="0"/>
        <w:rPr>
          <w:rFonts w:ascii="宋体" w:hAnsi="宋体" w:eastAsia="宋体" w:cs="Courier New"/>
          <w:b/>
          <w:color w:val="auto"/>
          <w:kern w:val="0"/>
          <w:sz w:val="32"/>
          <w:szCs w:val="32"/>
          <w:highlight w:val="none"/>
        </w:rPr>
      </w:pPr>
      <w:bookmarkStart w:id="0" w:name="_Toc77516451"/>
      <w:r>
        <w:rPr>
          <w:rFonts w:hint="eastAsia" w:ascii="宋体" w:hAnsi="宋体" w:eastAsia="宋体" w:cs="Courier New"/>
          <w:b/>
          <w:color w:val="auto"/>
          <w:kern w:val="0"/>
          <w:sz w:val="32"/>
          <w:szCs w:val="32"/>
          <w:highlight w:val="none"/>
        </w:rPr>
        <w:t>第一章  竞争性谈判公告</w:t>
      </w:r>
      <w:bookmarkEnd w:id="0"/>
    </w:p>
    <w:p>
      <w:pPr>
        <w:widowControl/>
        <w:spacing w:before="120" w:line="360" w:lineRule="auto"/>
        <w:ind w:left="630" w:leftChars="300" w:firstLine="964"/>
        <w:rPr>
          <w:rFonts w:ascii="宋体" w:hAnsi="宋体" w:eastAsia="宋体" w:cs="Courier New"/>
          <w:b/>
          <w:color w:val="auto"/>
          <w:kern w:val="0"/>
          <w:sz w:val="24"/>
          <w:szCs w:val="24"/>
          <w:highlight w:val="none"/>
        </w:rPr>
      </w:pPr>
      <w:r>
        <w:rPr>
          <w:rFonts w:hint="eastAsia" w:ascii="宋体" w:hAnsi="宋体" w:eastAsia="宋体" w:cs="Courier New"/>
          <w:b/>
          <w:color w:val="auto"/>
          <w:kern w:val="0"/>
          <w:sz w:val="24"/>
          <w:szCs w:val="24"/>
          <w:highlight w:val="none"/>
        </w:rPr>
        <w:t>2021年纸质图书采购[</w:t>
      </w:r>
      <w:r>
        <w:rPr>
          <w:rFonts w:hint="eastAsia" w:ascii="宋体" w:hAnsi="宋体" w:eastAsia="宋体" w:cs="Courier New"/>
          <w:b/>
          <w:color w:val="auto"/>
          <w:kern w:val="0"/>
          <w:sz w:val="24"/>
          <w:szCs w:val="24"/>
          <w:highlight w:val="none"/>
          <w:lang w:eastAsia="zh-CN"/>
        </w:rPr>
        <w:t>GXZC2021-J1-002891-JGJD</w:t>
      </w:r>
      <w:r>
        <w:rPr>
          <w:rFonts w:hint="eastAsia" w:ascii="宋体" w:hAnsi="宋体" w:eastAsia="宋体" w:cs="Courier New"/>
          <w:b/>
          <w:color w:val="auto"/>
          <w:kern w:val="0"/>
          <w:sz w:val="24"/>
          <w:szCs w:val="24"/>
          <w:highlight w:val="none"/>
        </w:rPr>
        <w:t>]竞争性谈判公告</w:t>
      </w:r>
    </w:p>
    <w:p>
      <w:pPr>
        <w:widowControl/>
        <w:pBdr>
          <w:top w:val="single" w:color="000000" w:sz="4" w:space="1"/>
          <w:left w:val="single" w:color="000000" w:sz="4" w:space="4"/>
          <w:bottom w:val="single" w:color="000000" w:sz="4" w:space="1"/>
          <w:right w:val="single" w:color="000000" w:sz="4" w:space="4"/>
        </w:pBdr>
        <w:spacing w:line="360" w:lineRule="auto"/>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项目概况：</w:t>
      </w:r>
    </w:p>
    <w:p>
      <w:pPr>
        <w:widowControl/>
        <w:pBdr>
          <w:top w:val="single" w:color="000000" w:sz="4" w:space="1"/>
          <w:left w:val="single" w:color="000000" w:sz="4" w:space="4"/>
          <w:bottom w:val="single" w:color="000000" w:sz="4" w:space="1"/>
          <w:right w:val="single" w:color="000000" w:sz="4" w:space="4"/>
        </w:pBdr>
        <w:spacing w:line="360" w:lineRule="auto"/>
        <w:ind w:firstLine="42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2021年纸质图书采购[</w:t>
      </w:r>
      <w:r>
        <w:rPr>
          <w:rFonts w:hint="eastAsia" w:ascii="宋体" w:hAnsi="宋体" w:eastAsia="宋体" w:cs="Courier New"/>
          <w:b/>
          <w:color w:val="auto"/>
          <w:kern w:val="0"/>
          <w:sz w:val="24"/>
          <w:szCs w:val="24"/>
          <w:highlight w:val="none"/>
          <w:lang w:eastAsia="zh-CN"/>
        </w:rPr>
        <w:t>GXZC2021-J1-002891-JGJD</w:t>
      </w:r>
      <w:r>
        <w:rPr>
          <w:rFonts w:hint="eastAsia" w:ascii="宋体" w:hAnsi="宋体" w:eastAsia="宋体" w:cs="Times New Roman"/>
          <w:color w:val="auto"/>
          <w:kern w:val="0"/>
          <w:szCs w:val="21"/>
          <w:highlight w:val="none"/>
        </w:rPr>
        <w:t>]的潜在供应商应在</w:t>
      </w:r>
      <w:r>
        <w:rPr>
          <w:rFonts w:hint="eastAsia" w:ascii="宋体" w:hAnsi="宋体" w:eastAsia="宋体" w:cs="Times New Roman"/>
          <w:color w:val="auto"/>
          <w:kern w:val="0"/>
          <w:szCs w:val="21"/>
          <w:highlight w:val="none"/>
          <w:u w:val="single"/>
        </w:rPr>
        <w:t>广西招标网（http：//www.guangxibid.com.cn/）投标人入口-广西国资交易电子招标采购平台</w:t>
      </w:r>
      <w:r>
        <w:rPr>
          <w:rFonts w:hint="eastAsia" w:ascii="宋体" w:hAnsi="宋体" w:eastAsia="宋体" w:cs="Times New Roman"/>
          <w:color w:val="auto"/>
          <w:kern w:val="0"/>
          <w:szCs w:val="21"/>
          <w:highlight w:val="none"/>
        </w:rPr>
        <w:t>获取采购文件，并于</w:t>
      </w:r>
      <w:r>
        <w:rPr>
          <w:rFonts w:hint="eastAsia" w:ascii="宋体" w:hAnsi="宋体" w:eastAsia="宋体" w:cs="Times New Roman"/>
          <w:b/>
          <w:color w:val="auto"/>
          <w:kern w:val="0"/>
          <w:szCs w:val="21"/>
          <w:highlight w:val="none"/>
          <w:u w:val="single"/>
        </w:rPr>
        <w:t>202</w:t>
      </w:r>
      <w:r>
        <w:rPr>
          <w:rFonts w:ascii="宋体" w:hAnsi="宋体" w:eastAsia="宋体" w:cs="Times New Roman"/>
          <w:b/>
          <w:color w:val="auto"/>
          <w:kern w:val="0"/>
          <w:szCs w:val="21"/>
          <w:highlight w:val="none"/>
          <w:u w:val="single"/>
        </w:rPr>
        <w:t>1</w:t>
      </w:r>
      <w:r>
        <w:rPr>
          <w:rFonts w:hint="eastAsia" w:ascii="宋体" w:hAnsi="宋体" w:eastAsia="宋体" w:cs="Times New Roman"/>
          <w:b/>
          <w:color w:val="auto"/>
          <w:kern w:val="0"/>
          <w:szCs w:val="21"/>
          <w:highlight w:val="none"/>
          <w:u w:val="single"/>
        </w:rPr>
        <w:t>年</w:t>
      </w:r>
      <w:r>
        <w:rPr>
          <w:rFonts w:hint="eastAsia" w:ascii="宋体" w:hAnsi="宋体" w:eastAsia="宋体" w:cs="Times New Roman"/>
          <w:b/>
          <w:color w:val="auto"/>
          <w:kern w:val="0"/>
          <w:szCs w:val="21"/>
          <w:highlight w:val="none"/>
          <w:u w:val="single"/>
          <w:lang w:val="en-US" w:eastAsia="zh-CN"/>
        </w:rPr>
        <w:t>8</w:t>
      </w:r>
      <w:r>
        <w:rPr>
          <w:rFonts w:hint="eastAsia" w:ascii="宋体" w:hAnsi="宋体" w:eastAsia="宋体" w:cs="Times New Roman"/>
          <w:b/>
          <w:color w:val="auto"/>
          <w:kern w:val="0"/>
          <w:szCs w:val="21"/>
          <w:highlight w:val="none"/>
          <w:u w:val="single"/>
        </w:rPr>
        <w:t>月</w:t>
      </w:r>
      <w:r>
        <w:rPr>
          <w:rFonts w:hint="eastAsia" w:ascii="宋体" w:hAnsi="宋体" w:eastAsia="宋体" w:cs="Times New Roman"/>
          <w:b/>
          <w:color w:val="auto"/>
          <w:kern w:val="0"/>
          <w:szCs w:val="21"/>
          <w:highlight w:val="none"/>
          <w:u w:val="single"/>
          <w:lang w:val="en-US" w:eastAsia="zh-CN"/>
        </w:rPr>
        <w:t>9</w:t>
      </w:r>
      <w:r>
        <w:rPr>
          <w:rFonts w:hint="eastAsia" w:ascii="宋体" w:hAnsi="宋体" w:eastAsia="宋体" w:cs="Times New Roman"/>
          <w:b/>
          <w:color w:val="auto"/>
          <w:kern w:val="0"/>
          <w:szCs w:val="21"/>
          <w:highlight w:val="none"/>
          <w:u w:val="single"/>
        </w:rPr>
        <w:t>日上午09时</w:t>
      </w:r>
      <w:r>
        <w:rPr>
          <w:rFonts w:hint="eastAsia" w:ascii="宋体" w:hAnsi="宋体" w:eastAsia="宋体" w:cs="Times New Roman"/>
          <w:b/>
          <w:color w:val="auto"/>
          <w:kern w:val="0"/>
          <w:szCs w:val="21"/>
          <w:highlight w:val="none"/>
          <w:u w:val="single"/>
          <w:lang w:val="en-US" w:eastAsia="zh-CN"/>
        </w:rPr>
        <w:t>3</w:t>
      </w:r>
      <w:r>
        <w:rPr>
          <w:rFonts w:hint="eastAsia" w:ascii="宋体" w:hAnsi="宋体" w:eastAsia="宋体" w:cs="Times New Roman"/>
          <w:b/>
          <w:color w:val="auto"/>
          <w:kern w:val="0"/>
          <w:szCs w:val="21"/>
          <w:highlight w:val="none"/>
          <w:u w:val="single"/>
        </w:rPr>
        <w:t>0分</w:t>
      </w:r>
      <w:r>
        <w:rPr>
          <w:rFonts w:hint="eastAsia"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rPr>
        <w:t>北京时间）前提交响应</w:t>
      </w:r>
      <w:r>
        <w:rPr>
          <w:rFonts w:ascii="宋体" w:hAnsi="宋体" w:eastAsia="宋体" w:cs="Times New Roman"/>
          <w:color w:val="auto"/>
          <w:kern w:val="0"/>
          <w:szCs w:val="21"/>
          <w:highlight w:val="none"/>
        </w:rPr>
        <w:t>文件</w:t>
      </w:r>
      <w:r>
        <w:rPr>
          <w:rFonts w:hint="eastAsia" w:ascii="宋体" w:hAnsi="宋体" w:eastAsia="宋体" w:cs="Times New Roman"/>
          <w:color w:val="auto"/>
          <w:kern w:val="0"/>
          <w:szCs w:val="21"/>
          <w:highlight w:val="none"/>
        </w:rPr>
        <w:t>。</w:t>
      </w:r>
    </w:p>
    <w:p>
      <w:pPr>
        <w:widowControl/>
        <w:spacing w:line="440" w:lineRule="exact"/>
        <w:jc w:val="left"/>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一、项目基本情况：</w:t>
      </w:r>
    </w:p>
    <w:p>
      <w:pPr>
        <w:widowControl/>
        <w:spacing w:line="440" w:lineRule="exact"/>
        <w:ind w:firstLine="422"/>
        <w:jc w:val="left"/>
        <w:rPr>
          <w:rFonts w:ascii="宋体" w:hAnsi="宋体" w:eastAsia="宋体" w:cs="Times New Roman"/>
          <w:color w:val="auto"/>
          <w:kern w:val="0"/>
          <w:szCs w:val="21"/>
          <w:highlight w:val="none"/>
        </w:rPr>
      </w:pPr>
      <w:r>
        <w:rPr>
          <w:rFonts w:hint="eastAsia" w:ascii="宋体" w:hAnsi="宋体" w:eastAsia="宋体" w:cs="Arial"/>
          <w:color w:val="auto"/>
          <w:kern w:val="0"/>
          <w:szCs w:val="21"/>
          <w:highlight w:val="none"/>
        </w:rPr>
        <w:t>项目编号</w:t>
      </w:r>
      <w:r>
        <w:rPr>
          <w:rFonts w:ascii="宋体" w:hAnsi="宋体" w:eastAsia="宋体" w:cs="Arial"/>
          <w:color w:val="auto"/>
          <w:kern w:val="0"/>
          <w:szCs w:val="21"/>
          <w:highlight w:val="none"/>
        </w:rPr>
        <w:t>：</w:t>
      </w:r>
      <w:r>
        <w:rPr>
          <w:rFonts w:hint="eastAsia" w:ascii="宋体" w:hAnsi="宋体" w:eastAsia="宋体" w:cs="Times New Roman"/>
          <w:color w:val="auto"/>
          <w:kern w:val="0"/>
          <w:szCs w:val="21"/>
          <w:highlight w:val="none"/>
          <w:lang w:eastAsia="zh-CN"/>
        </w:rPr>
        <w:t>GXZC2021-J1-002891-JGJD</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采购计划文号：</w:t>
      </w:r>
      <w:r>
        <w:rPr>
          <w:rFonts w:hint="eastAsia" w:ascii="宋体" w:hAnsi="宋体" w:eastAsia="宋体" w:cs="Times New Roman"/>
          <w:color w:val="auto"/>
          <w:kern w:val="0"/>
          <w:szCs w:val="21"/>
          <w:highlight w:val="none"/>
          <w:lang w:eastAsia="zh-CN"/>
        </w:rPr>
        <w:t>广西政采[2021]13026号</w:t>
      </w:r>
      <w:r>
        <w:rPr>
          <w:rFonts w:ascii="宋体" w:hAnsi="宋体" w:eastAsia="宋体" w:cs="Times New Roman"/>
          <w:color w:val="auto"/>
          <w:kern w:val="0"/>
          <w:szCs w:val="21"/>
          <w:highlight w:val="none"/>
        </w:rPr>
        <w:t>）</w:t>
      </w:r>
    </w:p>
    <w:p>
      <w:pPr>
        <w:widowControl/>
        <w:spacing w:line="440" w:lineRule="exact"/>
        <w:ind w:firstLine="422"/>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项目名称</w:t>
      </w:r>
      <w:r>
        <w:rPr>
          <w:rFonts w:ascii="宋体" w:hAnsi="宋体" w:eastAsia="宋体" w:cs="Arial"/>
          <w:color w:val="auto"/>
          <w:kern w:val="0"/>
          <w:szCs w:val="21"/>
          <w:highlight w:val="none"/>
        </w:rPr>
        <w:t>：</w:t>
      </w:r>
      <w:r>
        <w:rPr>
          <w:rFonts w:hint="eastAsia" w:ascii="宋体" w:hAnsi="宋体" w:eastAsia="宋体" w:cs="Arial"/>
          <w:color w:val="auto"/>
          <w:kern w:val="0"/>
          <w:szCs w:val="21"/>
          <w:highlight w:val="none"/>
        </w:rPr>
        <w:t>2021年纸质图书采购</w:t>
      </w:r>
    </w:p>
    <w:p>
      <w:pPr>
        <w:spacing w:line="440" w:lineRule="exact"/>
        <w:ind w:firstLine="422"/>
        <w:jc w:val="left"/>
        <w:rPr>
          <w:rFonts w:ascii="宋体" w:hAnsi="宋体" w:cs="Arial"/>
          <w:color w:val="auto"/>
          <w:highlight w:val="none"/>
        </w:rPr>
      </w:pPr>
      <w:r>
        <w:rPr>
          <w:rFonts w:hint="eastAsia" w:ascii="宋体" w:hAnsi="宋体" w:cs="Arial"/>
          <w:color w:val="auto"/>
          <w:highlight w:val="none"/>
        </w:rPr>
        <w:t>采购方式：</w:t>
      </w:r>
      <w:r>
        <w:rPr>
          <w:rFonts w:hint="eastAsia" w:ascii="MS Mincho" w:hAnsi="MS Mincho" w:eastAsia="MS Mincho" w:cs="MS Mincho"/>
          <w:color w:val="auto"/>
          <w:highlight w:val="none"/>
        </w:rPr>
        <w:t>☑</w:t>
      </w:r>
      <w:r>
        <w:rPr>
          <w:rFonts w:hint="eastAsia" w:ascii="宋体" w:hAnsi="宋体" w:cs="Arial"/>
          <w:color w:val="auto"/>
          <w:highlight w:val="none"/>
        </w:rPr>
        <w:t>竞争性谈判 □竞争性磋商</w:t>
      </w:r>
      <w:r>
        <w:rPr>
          <w:rFonts w:ascii="宋体" w:hAnsi="宋体" w:cs="Arial"/>
          <w:color w:val="auto"/>
          <w:highlight w:val="none"/>
        </w:rPr>
        <w:t xml:space="preserve"> </w:t>
      </w:r>
      <w:r>
        <w:rPr>
          <w:rFonts w:hint="eastAsia" w:ascii="宋体" w:hAnsi="宋体" w:cs="Arial"/>
          <w:color w:val="auto"/>
          <w:highlight w:val="none"/>
        </w:rPr>
        <w:t>□询价</w:t>
      </w:r>
    </w:p>
    <w:p>
      <w:pPr>
        <w:spacing w:line="440" w:lineRule="exact"/>
        <w:ind w:firstLine="422"/>
        <w:jc w:val="left"/>
        <w:rPr>
          <w:rFonts w:ascii="宋体" w:hAnsi="宋体" w:cs="Arial"/>
          <w:color w:val="auto"/>
          <w:highlight w:val="none"/>
        </w:rPr>
      </w:pPr>
      <w:r>
        <w:rPr>
          <w:rFonts w:hint="eastAsia" w:ascii="宋体" w:hAnsi="宋体" w:cs="Arial"/>
          <w:color w:val="auto"/>
          <w:highlight w:val="none"/>
        </w:rPr>
        <w:t>采预算金额（最高限价）：</w:t>
      </w:r>
      <w:r>
        <w:rPr>
          <w:rFonts w:hint="eastAsia" w:ascii="宋体" w:hAnsi="宋体" w:cs="Arial"/>
          <w:color w:val="auto"/>
          <w:highlight w:val="none"/>
          <w:u w:val="single"/>
        </w:rPr>
        <w:t>壹佰零壹万元整（¥1010000.00）</w:t>
      </w:r>
    </w:p>
    <w:p>
      <w:pPr>
        <w:widowControl/>
        <w:spacing w:line="440" w:lineRule="exact"/>
        <w:ind w:firstLine="422"/>
        <w:jc w:val="left"/>
        <w:rPr>
          <w:rFonts w:ascii="宋体" w:hAnsi="宋体" w:eastAsia="宋体" w:cs="Times New Roman"/>
          <w:color w:val="auto"/>
          <w:kern w:val="0"/>
          <w:szCs w:val="21"/>
          <w:highlight w:val="none"/>
        </w:rPr>
      </w:pPr>
      <w:r>
        <w:rPr>
          <w:rFonts w:hint="eastAsia" w:ascii="宋体" w:hAnsi="宋体" w:eastAsia="宋体" w:cs="Arial"/>
          <w:color w:val="auto"/>
          <w:kern w:val="0"/>
          <w:szCs w:val="21"/>
          <w:highlight w:val="none"/>
        </w:rPr>
        <w:t>采购需求</w:t>
      </w:r>
      <w:r>
        <w:rPr>
          <w:rFonts w:hint="eastAsia" w:ascii="宋体" w:hAnsi="宋体" w:eastAsia="宋体" w:cs="Times New Roman"/>
          <w:color w:val="auto"/>
          <w:kern w:val="0"/>
          <w:szCs w:val="21"/>
          <w:highlight w:val="none"/>
        </w:rPr>
        <w:t>：2021年纸质图书采购，采购纸质图书册数不少于3.5万册。</w:t>
      </w:r>
    </w:p>
    <w:p>
      <w:pPr>
        <w:widowControl/>
        <w:spacing w:line="440" w:lineRule="exact"/>
        <w:ind w:firstLine="422"/>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合同履行期限（交货上架验收合格时间）</w:t>
      </w:r>
      <w:r>
        <w:rPr>
          <w:rFonts w:ascii="宋体" w:hAnsi="宋体" w:eastAsia="宋体" w:cs="Times New Roman"/>
          <w:b/>
          <w:color w:val="auto"/>
          <w:kern w:val="0"/>
          <w:szCs w:val="21"/>
          <w:highlight w:val="none"/>
        </w:rPr>
        <w:t>:</w:t>
      </w:r>
      <w:r>
        <w:rPr>
          <w:rFonts w:hint="eastAsia" w:ascii="宋体" w:hAnsi="宋体" w:eastAsia="宋体" w:cs="Times New Roman"/>
          <w:color w:val="auto"/>
          <w:kern w:val="0"/>
          <w:szCs w:val="21"/>
          <w:highlight w:val="none"/>
        </w:rPr>
        <w:t>2021年</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月</w:t>
      </w:r>
      <w:r>
        <w:rPr>
          <w:rFonts w:ascii="宋体" w:hAnsi="宋体" w:eastAsia="宋体" w:cs="Times New Roman"/>
          <w:color w:val="auto"/>
          <w:kern w:val="0"/>
          <w:szCs w:val="21"/>
          <w:highlight w:val="none"/>
        </w:rPr>
        <w:t>30</w:t>
      </w:r>
      <w:r>
        <w:rPr>
          <w:rFonts w:hint="eastAsia" w:ascii="宋体" w:hAnsi="宋体" w:eastAsia="宋体" w:cs="Times New Roman"/>
          <w:color w:val="auto"/>
          <w:kern w:val="0"/>
          <w:szCs w:val="21"/>
          <w:highlight w:val="none"/>
        </w:rPr>
        <w:t>日前。</w:t>
      </w:r>
    </w:p>
    <w:p>
      <w:pPr>
        <w:widowControl/>
        <w:spacing w:line="440" w:lineRule="exact"/>
        <w:ind w:firstLine="422"/>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本项目不接受联合体投标。</w:t>
      </w:r>
    </w:p>
    <w:p>
      <w:pPr>
        <w:spacing w:line="440" w:lineRule="exact"/>
        <w:jc w:val="left"/>
        <w:rPr>
          <w:rFonts w:ascii="宋体" w:hAnsi="宋体" w:eastAsia="宋体" w:cs="Courier New"/>
          <w:b/>
          <w:color w:val="auto"/>
          <w:szCs w:val="21"/>
          <w:highlight w:val="none"/>
        </w:rPr>
      </w:pPr>
      <w:r>
        <w:rPr>
          <w:rFonts w:hint="eastAsia" w:ascii="宋体" w:hAnsi="宋体" w:eastAsia="宋体" w:cs="Courier New"/>
          <w:b/>
          <w:color w:val="auto"/>
          <w:szCs w:val="21"/>
          <w:highlight w:val="none"/>
        </w:rPr>
        <w:t>二、申请人的资格要求：</w:t>
      </w:r>
    </w:p>
    <w:p>
      <w:pPr>
        <w:spacing w:line="440" w:lineRule="exact"/>
        <w:ind w:firstLine="420" w:firstLineChars="200"/>
        <w:jc w:val="left"/>
        <w:rPr>
          <w:rFonts w:ascii="宋体" w:hAnsi="宋体" w:eastAsia="宋体" w:cs="Arial"/>
          <w:color w:val="auto"/>
          <w:szCs w:val="21"/>
          <w:highlight w:val="none"/>
        </w:rPr>
      </w:pPr>
      <w:r>
        <w:rPr>
          <w:rFonts w:hint="eastAsia" w:ascii="宋体" w:hAnsi="宋体" w:eastAsia="宋体" w:cs="Arial"/>
          <w:color w:val="auto"/>
          <w:szCs w:val="21"/>
          <w:highlight w:val="none"/>
        </w:rPr>
        <w:t xml:space="preserve">1.满足《中华人民共和国政府采购法》第二十二条规定； </w:t>
      </w:r>
    </w:p>
    <w:p>
      <w:pPr>
        <w:spacing w:line="440" w:lineRule="exact"/>
        <w:ind w:firstLine="420" w:firstLineChars="200"/>
        <w:jc w:val="left"/>
        <w:rPr>
          <w:rFonts w:ascii="宋体" w:hAnsi="宋体" w:eastAsia="宋体" w:cs="Arial"/>
          <w:color w:val="auto"/>
          <w:szCs w:val="21"/>
          <w:highlight w:val="none"/>
        </w:rPr>
      </w:pPr>
      <w:r>
        <w:rPr>
          <w:rFonts w:hint="eastAsia" w:ascii="宋体" w:hAnsi="宋体" w:eastAsia="宋体" w:cs="Arial"/>
          <w:color w:val="auto"/>
          <w:szCs w:val="21"/>
          <w:highlight w:val="none"/>
        </w:rPr>
        <w:t>2.落实政府采购政策需满足的资格要求</w:t>
      </w:r>
      <w:r>
        <w:rPr>
          <w:rFonts w:hint="eastAsia" w:ascii="宋体" w:hAnsi="宋体" w:cs="Arial"/>
          <w:color w:val="auto"/>
          <w:highlight w:val="none"/>
        </w:rPr>
        <w:t>：</w:t>
      </w:r>
      <w:r>
        <w:rPr>
          <w:rFonts w:ascii="宋体" w:hAnsi="宋体"/>
          <w:color w:val="auto"/>
          <w:highlight w:val="none"/>
        </w:rPr>
        <w:t>本项目非专门面向中小企业采购；</w:t>
      </w:r>
    </w:p>
    <w:p>
      <w:pPr>
        <w:spacing w:line="440" w:lineRule="exact"/>
        <w:ind w:firstLine="420" w:firstLineChars="200"/>
        <w:jc w:val="left"/>
        <w:rPr>
          <w:rFonts w:ascii="宋体" w:hAnsi="宋体" w:eastAsia="宋体" w:cs="Arial"/>
          <w:color w:val="auto"/>
          <w:szCs w:val="21"/>
          <w:highlight w:val="none"/>
        </w:rPr>
      </w:pPr>
      <w:r>
        <w:rPr>
          <w:rFonts w:hint="eastAsia" w:ascii="宋体" w:hAnsi="宋体" w:eastAsia="宋体" w:cs="Arial"/>
          <w:color w:val="auto"/>
          <w:szCs w:val="21"/>
          <w:highlight w:val="none"/>
        </w:rPr>
        <w:t>3.特定资格条件：具有有效的《中华人民共和国出版物经营许可证》且具备图书经营资格。</w:t>
      </w:r>
    </w:p>
    <w:p>
      <w:pPr>
        <w:spacing w:line="440" w:lineRule="exact"/>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三、获取采购文件：</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1.时间：</w:t>
      </w:r>
      <w:r>
        <w:rPr>
          <w:rFonts w:hint="eastAsia" w:ascii="宋体" w:hAnsi="宋体"/>
          <w:color w:val="auto"/>
          <w:highlight w:val="none"/>
          <w:u w:val="single"/>
        </w:rPr>
        <w:t>2021年</w:t>
      </w:r>
      <w:r>
        <w:rPr>
          <w:rFonts w:hint="eastAsia" w:ascii="宋体" w:hAnsi="宋体"/>
          <w:color w:val="auto"/>
          <w:highlight w:val="none"/>
          <w:u w:val="single"/>
          <w:lang w:val="en-US" w:eastAsia="zh-CN"/>
        </w:rPr>
        <w:t>8</w:t>
      </w:r>
      <w:r>
        <w:rPr>
          <w:rFonts w:hint="eastAsia" w:ascii="宋体" w:hAnsi="宋体"/>
          <w:color w:val="auto"/>
          <w:highlight w:val="none"/>
          <w:u w:val="single"/>
        </w:rPr>
        <w:t>月</w:t>
      </w:r>
      <w:r>
        <w:rPr>
          <w:rFonts w:hint="eastAsia" w:ascii="宋体" w:hAnsi="宋体"/>
          <w:color w:val="auto"/>
          <w:highlight w:val="none"/>
          <w:u w:val="single"/>
          <w:lang w:val="en-US" w:eastAsia="zh-CN"/>
        </w:rPr>
        <w:t>3</w:t>
      </w:r>
      <w:r>
        <w:rPr>
          <w:rFonts w:hint="eastAsia" w:ascii="宋体" w:hAnsi="宋体"/>
          <w:color w:val="auto"/>
          <w:highlight w:val="none"/>
          <w:u w:val="single"/>
        </w:rPr>
        <w:t>日</w:t>
      </w:r>
      <w:r>
        <w:rPr>
          <w:rFonts w:hint="eastAsia" w:ascii="宋体" w:hAnsi="宋体"/>
          <w:color w:val="auto"/>
          <w:highlight w:val="none"/>
        </w:rPr>
        <w:t>0时00分至</w:t>
      </w:r>
      <w:r>
        <w:rPr>
          <w:rFonts w:hint="eastAsia" w:ascii="宋体" w:hAnsi="宋体"/>
          <w:color w:val="auto"/>
          <w:highlight w:val="none"/>
          <w:u w:val="single"/>
        </w:rPr>
        <w:t>2021年</w:t>
      </w:r>
      <w:r>
        <w:rPr>
          <w:rFonts w:hint="eastAsia" w:ascii="宋体" w:hAnsi="宋体"/>
          <w:color w:val="auto"/>
          <w:highlight w:val="none"/>
          <w:u w:val="single"/>
          <w:lang w:val="en-US" w:eastAsia="zh-CN"/>
        </w:rPr>
        <w:t>8</w:t>
      </w:r>
      <w:r>
        <w:rPr>
          <w:rFonts w:hint="eastAsia" w:ascii="宋体" w:hAnsi="宋体"/>
          <w:color w:val="auto"/>
          <w:highlight w:val="none"/>
          <w:u w:val="single"/>
        </w:rPr>
        <w:t>月</w:t>
      </w:r>
      <w:r>
        <w:rPr>
          <w:rFonts w:hint="eastAsia" w:ascii="宋体" w:hAnsi="宋体"/>
          <w:color w:val="auto"/>
          <w:highlight w:val="none"/>
          <w:u w:val="single"/>
          <w:lang w:val="en-US" w:eastAsia="zh-CN"/>
        </w:rPr>
        <w:t>6</w:t>
      </w:r>
      <w:r>
        <w:rPr>
          <w:rFonts w:hint="eastAsia" w:ascii="宋体" w:hAnsi="宋体"/>
          <w:color w:val="auto"/>
          <w:highlight w:val="none"/>
          <w:u w:val="single"/>
        </w:rPr>
        <w:t>日</w:t>
      </w:r>
      <w:r>
        <w:rPr>
          <w:rFonts w:hint="eastAsia" w:ascii="宋体" w:hAnsi="宋体"/>
          <w:color w:val="auto"/>
          <w:highlight w:val="none"/>
        </w:rPr>
        <w:t>18时00分（北京时间）；</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2.地点：广西招标网（http：//www.guangxibid.com.cn/）→投标人入口→广西国资交易电子招标采购平台</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3.方式：</w:t>
      </w:r>
      <w:r>
        <w:rPr>
          <w:rFonts w:hint="eastAsia" w:ascii="宋体" w:hAnsi="宋体" w:eastAsia="宋体" w:cs="Times New Roman"/>
          <w:color w:val="auto"/>
          <w:szCs w:val="21"/>
          <w:highlight w:val="none"/>
          <w:lang w:val="zh-CN"/>
        </w:rPr>
        <w:t>在广西国资交易电子招标采购平台注册会员后，在线完成购买及下载采购文件（如有分标，投标人需按对应分标进行获取采购文件，否则投标无效），未办理网上购买采购文件的，投标无效；</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4.售价：采购文件</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5</w:t>
      </w:r>
      <w:r>
        <w:rPr>
          <w:rFonts w:ascii="宋体" w:hAnsi="宋体" w:eastAsia="宋体" w:cs="Times New Roman"/>
          <w:color w:val="auto"/>
          <w:szCs w:val="21"/>
          <w:highlight w:val="none"/>
        </w:rPr>
        <w:t>0</w:t>
      </w:r>
      <w:r>
        <w:rPr>
          <w:rFonts w:hint="eastAsia" w:ascii="宋体" w:hAnsi="宋体" w:eastAsia="宋体" w:cs="Times New Roman"/>
          <w:color w:val="auto"/>
          <w:szCs w:val="21"/>
          <w:highlight w:val="none"/>
        </w:rPr>
        <w:t>元（平台管理费），售后不退。</w:t>
      </w:r>
    </w:p>
    <w:p>
      <w:pPr>
        <w:spacing w:line="440" w:lineRule="exact"/>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注：1）广西国资交易电子招标采购平台注册会员具体流程请访问广</w:t>
      </w:r>
      <w:r>
        <w:rPr>
          <w:rFonts w:hint="eastAsia" w:ascii="宋体" w:hAnsi="宋体" w:eastAsia="宋体" w:cs="Times New Roman"/>
          <w:color w:val="auto"/>
          <w:kern w:val="0"/>
          <w:szCs w:val="21"/>
          <w:highlight w:val="none"/>
        </w:rPr>
        <w:t>西招标网首页的常用下载窗口进行查看；</w:t>
      </w:r>
    </w:p>
    <w:p>
      <w:pPr>
        <w:adjustRightInd w:val="0"/>
        <w:snapToGrid w:val="0"/>
        <w:spacing w:line="440" w:lineRule="exact"/>
        <w:ind w:firstLine="424" w:firstLine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2）用户注册及平台使用咨询：广西国资交易电子招标采购平台   电话：0771-5579209 </w:t>
      </w:r>
    </w:p>
    <w:p>
      <w:pPr>
        <w:adjustRightInd w:val="0"/>
        <w:snapToGrid w:val="0"/>
        <w:spacing w:line="440" w:lineRule="exact"/>
        <w:ind w:firstLine="424" w:firstLine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咨询时间：</w:t>
      </w:r>
      <w:r>
        <w:rPr>
          <w:rFonts w:hint="eastAsia" w:ascii="宋体" w:hAnsi="宋体" w:eastAsia="宋体" w:cs="Times New Roman"/>
          <w:color w:val="auto"/>
          <w:szCs w:val="21"/>
          <w:highlight w:val="none"/>
        </w:rPr>
        <w:t>每天上午08：00至12：00，下午15：00至18：00（北京时间，法定节假日除外）。</w:t>
      </w:r>
    </w:p>
    <w:p>
      <w:pPr>
        <w:spacing w:line="440" w:lineRule="exact"/>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四、响应文件提交：</w:t>
      </w:r>
    </w:p>
    <w:p>
      <w:pPr>
        <w:adjustRightInd w:val="0"/>
        <w:snapToGrid w:val="0"/>
        <w:spacing w:line="440" w:lineRule="exact"/>
        <w:ind w:firstLine="424" w:firstLineChars="202"/>
        <w:jc w:val="lef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1.截止时间：</w:t>
      </w:r>
      <w:r>
        <w:rPr>
          <w:rFonts w:ascii="宋体" w:hAnsi="宋体" w:eastAsia="宋体" w:cs="Times New Roman"/>
          <w:color w:val="auto"/>
          <w:kern w:val="0"/>
          <w:szCs w:val="21"/>
          <w:highlight w:val="none"/>
          <w:u w:val="single"/>
        </w:rPr>
        <w:t>2021年</w:t>
      </w:r>
      <w:r>
        <w:rPr>
          <w:rFonts w:hint="eastAsia" w:ascii="宋体" w:hAnsi="宋体" w:eastAsia="宋体" w:cs="Times New Roman"/>
          <w:color w:val="auto"/>
          <w:kern w:val="0"/>
          <w:szCs w:val="21"/>
          <w:highlight w:val="none"/>
          <w:u w:val="single"/>
          <w:lang w:val="en-US" w:eastAsia="zh-CN"/>
        </w:rPr>
        <w:t>8</w:t>
      </w:r>
      <w:r>
        <w:rPr>
          <w:rFonts w:ascii="宋体" w:hAnsi="宋体" w:eastAsia="宋体" w:cs="Times New Roman"/>
          <w:color w:val="auto"/>
          <w:kern w:val="0"/>
          <w:szCs w:val="21"/>
          <w:highlight w:val="none"/>
          <w:u w:val="single"/>
        </w:rPr>
        <w:t>月</w:t>
      </w:r>
      <w:r>
        <w:rPr>
          <w:rFonts w:hint="eastAsia" w:ascii="宋体" w:hAnsi="宋体" w:eastAsia="宋体" w:cs="Times New Roman"/>
          <w:color w:val="auto"/>
          <w:kern w:val="0"/>
          <w:szCs w:val="21"/>
          <w:highlight w:val="none"/>
          <w:u w:val="single"/>
          <w:lang w:val="en-US" w:eastAsia="zh-CN"/>
        </w:rPr>
        <w:t>9</w:t>
      </w:r>
      <w:r>
        <w:rPr>
          <w:rFonts w:hint="eastAsia" w:ascii="宋体" w:hAnsi="宋体" w:eastAsia="宋体" w:cs="Times New Roman"/>
          <w:color w:val="auto"/>
          <w:kern w:val="0"/>
          <w:szCs w:val="21"/>
          <w:highlight w:val="none"/>
          <w:u w:val="single"/>
        </w:rPr>
        <w:t>日上午09时</w:t>
      </w:r>
      <w:r>
        <w:rPr>
          <w:rFonts w:hint="eastAsia" w:ascii="宋体" w:hAnsi="宋体" w:eastAsia="宋体" w:cs="Times New Roman"/>
          <w:color w:val="auto"/>
          <w:kern w:val="0"/>
          <w:szCs w:val="21"/>
          <w:highlight w:val="none"/>
          <w:u w:val="single"/>
          <w:lang w:val="en-US" w:eastAsia="zh-CN"/>
        </w:rPr>
        <w:t>3</w:t>
      </w:r>
      <w:r>
        <w:rPr>
          <w:rFonts w:hint="eastAsia" w:ascii="宋体" w:hAnsi="宋体" w:eastAsia="宋体" w:cs="Times New Roman"/>
          <w:color w:val="auto"/>
          <w:kern w:val="0"/>
          <w:szCs w:val="21"/>
          <w:highlight w:val="none"/>
          <w:u w:val="single"/>
        </w:rPr>
        <w:t>0分</w:t>
      </w:r>
      <w:r>
        <w:rPr>
          <w:rFonts w:hint="eastAsia" w:ascii="宋体" w:hAnsi="宋体" w:eastAsia="宋体" w:cs="Times New Roman"/>
          <w:color w:val="auto"/>
          <w:kern w:val="0"/>
          <w:szCs w:val="21"/>
          <w:highlight w:val="none"/>
        </w:rPr>
        <w:t>（北京时间）；</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2.地点：</w:t>
      </w:r>
      <w:r>
        <w:rPr>
          <w:rFonts w:hint="eastAsia" w:ascii="宋体" w:hAnsi="宋体" w:eastAsia="宋体" w:cs="宋体"/>
          <w:color w:val="auto"/>
          <w:szCs w:val="21"/>
          <w:highlight w:val="none"/>
          <w:u w:val="single"/>
        </w:rPr>
        <w:t>广西建设工程机电设备招标中心有限公司开标室（南宁市青秀区金湖北路52-1号东方曼哈顿三楼广西国资招投标中心）（详见电子显示屏场地安排）。</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注：参加截标、开标的法定代表人</w:t>
      </w:r>
      <w:r>
        <w:rPr>
          <w:rFonts w:hint="eastAsia" w:ascii="宋体" w:hAnsi="宋体" w:eastAsia="宋体" w:cs="Times New Roman"/>
          <w:b/>
          <w:color w:val="auto"/>
          <w:szCs w:val="21"/>
          <w:highlight w:val="none"/>
          <w:u w:val="single"/>
        </w:rPr>
        <w:t>身份证明原件</w:t>
      </w:r>
      <w:r>
        <w:rPr>
          <w:rFonts w:hint="eastAsia" w:ascii="宋体" w:hAnsi="宋体" w:eastAsia="宋体" w:cs="Times New Roman"/>
          <w:color w:val="auto"/>
          <w:szCs w:val="21"/>
          <w:highlight w:val="none"/>
        </w:rPr>
        <w:t>或委托代理人须持有</w:t>
      </w:r>
      <w:r>
        <w:rPr>
          <w:rFonts w:hint="eastAsia" w:ascii="宋体" w:hAnsi="宋体" w:eastAsia="宋体" w:cs="Times New Roman"/>
          <w:b/>
          <w:color w:val="auto"/>
          <w:szCs w:val="21"/>
          <w:highlight w:val="none"/>
          <w:u w:val="single"/>
        </w:rPr>
        <w:t>授权代表资格证件（授权书、身份证复印件）、竞标保证金缴纳证明复印件</w:t>
      </w:r>
      <w:r>
        <w:rPr>
          <w:rFonts w:hint="eastAsia" w:ascii="宋体" w:hAnsi="宋体" w:eastAsia="宋体" w:cs="Times New Roman"/>
          <w:color w:val="auto"/>
          <w:szCs w:val="21"/>
          <w:highlight w:val="none"/>
        </w:rPr>
        <w:t>按时到达指定地点提交等候截标、开标；供应商应派法定代表人或其委托代理人参加开标会并签到，供应商的法定代表人或其委托代理人未按时签到的，视同放弃开标监督权利、认可开标结果。</w:t>
      </w:r>
    </w:p>
    <w:p>
      <w:pPr>
        <w:widowControl/>
        <w:spacing w:line="440" w:lineRule="exact"/>
        <w:jc w:val="left"/>
        <w:rPr>
          <w:rFonts w:ascii="宋体" w:hAnsi="宋体" w:eastAsia="宋体" w:cs="宋体"/>
          <w:color w:val="auto"/>
          <w:kern w:val="0"/>
          <w:szCs w:val="21"/>
          <w:highlight w:val="none"/>
        </w:rPr>
      </w:pPr>
      <w:r>
        <w:rPr>
          <w:rFonts w:hint="eastAsia" w:ascii="宋体" w:hAnsi="宋体" w:eastAsia="宋体" w:cs="宋体"/>
          <w:b/>
          <w:bCs/>
          <w:color w:val="auto"/>
          <w:kern w:val="0"/>
          <w:szCs w:val="24"/>
          <w:highlight w:val="none"/>
        </w:rPr>
        <w:t>五、</w:t>
      </w:r>
      <w:r>
        <w:rPr>
          <w:rFonts w:hint="eastAsia" w:ascii="宋体" w:hAnsi="宋体" w:eastAsia="宋体" w:cs="Times New Roman"/>
          <w:b/>
          <w:color w:val="auto"/>
          <w:szCs w:val="21"/>
          <w:highlight w:val="none"/>
        </w:rPr>
        <w:t>响应文件</w:t>
      </w:r>
      <w:r>
        <w:rPr>
          <w:rFonts w:hint="eastAsia" w:ascii="宋体" w:hAnsi="宋体" w:eastAsia="宋体" w:cs="宋体"/>
          <w:b/>
          <w:bCs/>
          <w:color w:val="auto"/>
          <w:kern w:val="0"/>
          <w:szCs w:val="24"/>
          <w:highlight w:val="none"/>
        </w:rPr>
        <w:t>开启：</w:t>
      </w:r>
    </w:p>
    <w:p>
      <w:pPr>
        <w:spacing w:line="44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1.时间</w:t>
      </w:r>
      <w:r>
        <w:rPr>
          <w:rFonts w:hint="eastAsia" w:ascii="宋体" w:hAnsi="宋体" w:eastAsia="宋体" w:cs="宋体"/>
          <w:b/>
          <w:bCs/>
          <w:color w:val="auto"/>
          <w:kern w:val="0"/>
          <w:szCs w:val="21"/>
          <w:highlight w:val="none"/>
        </w:rPr>
        <w:t>：</w:t>
      </w:r>
      <w:r>
        <w:rPr>
          <w:rFonts w:ascii="宋体" w:hAnsi="宋体" w:eastAsia="宋体" w:cs="Times New Roman"/>
          <w:color w:val="auto"/>
          <w:kern w:val="0"/>
          <w:szCs w:val="21"/>
          <w:highlight w:val="none"/>
          <w:u w:val="single"/>
        </w:rPr>
        <w:t>2021年</w:t>
      </w:r>
      <w:r>
        <w:rPr>
          <w:rFonts w:hint="eastAsia" w:ascii="宋体" w:hAnsi="宋体" w:eastAsia="宋体" w:cs="Times New Roman"/>
          <w:color w:val="auto"/>
          <w:kern w:val="0"/>
          <w:szCs w:val="21"/>
          <w:highlight w:val="none"/>
          <w:u w:val="single"/>
          <w:lang w:val="en-US" w:eastAsia="zh-CN"/>
        </w:rPr>
        <w:t>8</w:t>
      </w:r>
      <w:r>
        <w:rPr>
          <w:rFonts w:ascii="宋体" w:hAnsi="宋体" w:eastAsia="宋体" w:cs="Times New Roman"/>
          <w:color w:val="auto"/>
          <w:kern w:val="0"/>
          <w:szCs w:val="21"/>
          <w:highlight w:val="none"/>
          <w:u w:val="single"/>
        </w:rPr>
        <w:t>月</w:t>
      </w:r>
      <w:r>
        <w:rPr>
          <w:rFonts w:hint="eastAsia" w:ascii="宋体" w:hAnsi="宋体" w:eastAsia="宋体" w:cs="Times New Roman"/>
          <w:color w:val="auto"/>
          <w:kern w:val="0"/>
          <w:szCs w:val="21"/>
          <w:highlight w:val="none"/>
          <w:u w:val="single"/>
          <w:lang w:val="en-US" w:eastAsia="zh-CN"/>
        </w:rPr>
        <w:t>9</w:t>
      </w:r>
      <w:r>
        <w:rPr>
          <w:rFonts w:hint="eastAsia" w:ascii="宋体" w:hAnsi="宋体" w:eastAsia="宋体" w:cs="Times New Roman"/>
          <w:color w:val="auto"/>
          <w:kern w:val="0"/>
          <w:szCs w:val="21"/>
          <w:highlight w:val="none"/>
          <w:u w:val="single"/>
        </w:rPr>
        <w:t>日上午09时</w:t>
      </w:r>
      <w:r>
        <w:rPr>
          <w:rFonts w:hint="eastAsia" w:ascii="宋体" w:hAnsi="宋体" w:eastAsia="宋体" w:cs="Times New Roman"/>
          <w:color w:val="auto"/>
          <w:kern w:val="0"/>
          <w:szCs w:val="21"/>
          <w:highlight w:val="none"/>
          <w:u w:val="single"/>
          <w:lang w:val="en-US" w:eastAsia="zh-CN"/>
        </w:rPr>
        <w:t>3</w:t>
      </w:r>
      <w:r>
        <w:rPr>
          <w:rFonts w:hint="eastAsia" w:ascii="宋体" w:hAnsi="宋体" w:eastAsia="宋体" w:cs="Times New Roman"/>
          <w:color w:val="auto"/>
          <w:kern w:val="0"/>
          <w:szCs w:val="21"/>
          <w:highlight w:val="none"/>
          <w:u w:val="single"/>
        </w:rPr>
        <w:t>0分</w:t>
      </w:r>
      <w:r>
        <w:rPr>
          <w:rFonts w:hint="eastAsia" w:ascii="宋体" w:hAnsi="宋体" w:eastAsia="宋体" w:cs="宋体"/>
          <w:color w:val="auto"/>
          <w:kern w:val="0"/>
          <w:szCs w:val="21"/>
          <w:highlight w:val="none"/>
          <w:u w:val="single"/>
        </w:rPr>
        <w:t>后</w:t>
      </w:r>
      <w:r>
        <w:rPr>
          <w:rFonts w:hint="eastAsia" w:ascii="宋体" w:hAnsi="宋体" w:eastAsia="宋体" w:cs="宋体"/>
          <w:color w:val="auto"/>
          <w:kern w:val="0"/>
          <w:szCs w:val="21"/>
          <w:highlight w:val="none"/>
        </w:rPr>
        <w:t>（北京时间）；</w:t>
      </w:r>
    </w:p>
    <w:p>
      <w:pPr>
        <w:spacing w:line="44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2.地点</w:t>
      </w:r>
      <w:r>
        <w:rPr>
          <w:rFonts w:hint="eastAsia" w:ascii="宋体" w:hAnsi="宋体" w:eastAsia="宋体" w:cs="宋体"/>
          <w:b/>
          <w:bCs/>
          <w:color w:val="auto"/>
          <w:kern w:val="0"/>
          <w:szCs w:val="21"/>
          <w:highlight w:val="none"/>
        </w:rPr>
        <w:t>：</w:t>
      </w:r>
      <w:r>
        <w:rPr>
          <w:rFonts w:hint="eastAsia" w:ascii="宋体" w:hAnsi="宋体" w:eastAsia="宋体" w:cs="宋体"/>
          <w:color w:val="auto"/>
          <w:kern w:val="0"/>
          <w:szCs w:val="21"/>
          <w:highlight w:val="none"/>
          <w:u w:val="single"/>
        </w:rPr>
        <w:t>广西建设工程机电设备招标中心有限公司评标室（南宁市青秀区金湖北路52-1号东方曼哈顿三楼广西国资招投标中心）</w:t>
      </w:r>
      <w:r>
        <w:rPr>
          <w:rFonts w:hint="eastAsia" w:ascii="宋体" w:hAnsi="宋体" w:eastAsia="宋体" w:cs="宋体"/>
          <w:color w:val="auto"/>
          <w:kern w:val="0"/>
          <w:szCs w:val="21"/>
          <w:highlight w:val="none"/>
        </w:rPr>
        <w:t>（以具体通知为准）</w:t>
      </w:r>
    </w:p>
    <w:p>
      <w:pPr>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b/>
          <w:color w:val="auto"/>
          <w:szCs w:val="21"/>
          <w:highlight w:val="none"/>
        </w:rPr>
        <w:t>六、公告期限：</w:t>
      </w:r>
      <w:r>
        <w:rPr>
          <w:rFonts w:hint="eastAsia" w:ascii="宋体" w:hAnsi="宋体" w:eastAsia="宋体" w:cs="Times New Roman"/>
          <w:color w:val="auto"/>
          <w:kern w:val="0"/>
          <w:szCs w:val="21"/>
          <w:highlight w:val="none"/>
        </w:rPr>
        <w:t>自本公告发布之日起3个工作日。</w:t>
      </w:r>
    </w:p>
    <w:p>
      <w:pPr>
        <w:spacing w:line="440" w:lineRule="exact"/>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七、其他补充事宜：</w:t>
      </w:r>
    </w:p>
    <w:p>
      <w:pPr>
        <w:spacing w:line="440" w:lineRule="exact"/>
        <w:ind w:firstLine="420" w:firstLineChars="200"/>
        <w:jc w:val="left"/>
        <w:rPr>
          <w:rFonts w:ascii="宋体" w:hAnsi="宋体" w:eastAsia="宋体" w:cs="Times New Roman"/>
          <w:color w:val="auto"/>
          <w:szCs w:val="21"/>
          <w:highlight w:val="none"/>
          <w:shd w:val="clear" w:color="auto" w:fill="FFFFFF"/>
        </w:rPr>
      </w:pPr>
      <w:r>
        <w:rPr>
          <w:rFonts w:hint="eastAsia" w:ascii="宋体" w:hAnsi="宋体" w:eastAsia="宋体" w:cs="Times New Roman"/>
          <w:color w:val="auto"/>
          <w:szCs w:val="21"/>
          <w:highlight w:val="none"/>
        </w:rPr>
        <w:t>1. 本项目竞标保证金为：</w:t>
      </w:r>
      <w:r>
        <w:rPr>
          <w:rFonts w:hint="default" w:ascii="宋体" w:hAnsi="宋体" w:eastAsia="宋体" w:cs="Times New Roman"/>
          <w:color w:val="auto"/>
          <w:szCs w:val="21"/>
          <w:highlight w:val="none"/>
          <w:u w:val="single"/>
          <w:lang w:val="en-US"/>
        </w:rPr>
        <w:t>贰</w:t>
      </w:r>
      <w:r>
        <w:rPr>
          <w:rFonts w:hint="eastAsia" w:ascii="宋体" w:hAnsi="宋体" w:eastAsia="宋体" w:cs="Times New Roman"/>
          <w:color w:val="auto"/>
          <w:szCs w:val="21"/>
          <w:highlight w:val="none"/>
          <w:u w:val="single"/>
        </w:rPr>
        <w:t>万元</w:t>
      </w:r>
      <w:r>
        <w:rPr>
          <w:rFonts w:hint="eastAsia" w:ascii="宋体" w:hAnsi="宋体" w:eastAsia="宋体" w:cs="宋体"/>
          <w:b/>
          <w:color w:val="auto"/>
          <w:szCs w:val="21"/>
          <w:highlight w:val="none"/>
          <w:u w:val="single"/>
        </w:rPr>
        <w:t>整（¥</w:t>
      </w:r>
      <w:r>
        <w:rPr>
          <w:rFonts w:hint="default" w:ascii="宋体" w:hAnsi="宋体" w:eastAsia="宋体" w:cs="宋体"/>
          <w:b/>
          <w:color w:val="auto"/>
          <w:szCs w:val="21"/>
          <w:highlight w:val="none"/>
          <w:u w:val="single"/>
          <w:lang w:val="en-US"/>
        </w:rPr>
        <w:t>2</w:t>
      </w:r>
      <w:r>
        <w:rPr>
          <w:rFonts w:hint="eastAsia" w:ascii="宋体" w:hAnsi="宋体" w:eastAsia="宋体" w:cs="宋体"/>
          <w:b/>
          <w:color w:val="auto"/>
          <w:szCs w:val="21"/>
          <w:highlight w:val="none"/>
          <w:u w:val="single"/>
        </w:rPr>
        <w:t>0000.00）</w:t>
      </w:r>
      <w:r>
        <w:rPr>
          <w:rFonts w:hint="eastAsia" w:ascii="宋体" w:hAnsi="宋体" w:eastAsia="宋体" w:cs="Times New Roman"/>
          <w:b/>
          <w:color w:val="auto"/>
          <w:szCs w:val="21"/>
          <w:highlight w:val="none"/>
        </w:rPr>
        <w:t>（须足额交纳）</w:t>
      </w:r>
      <w:r>
        <w:rPr>
          <w:rFonts w:hint="eastAsia" w:ascii="宋体" w:hAnsi="宋体" w:eastAsia="宋体" w:cs="Times New Roman"/>
          <w:color w:val="auto"/>
          <w:szCs w:val="21"/>
          <w:highlight w:val="none"/>
        </w:rPr>
        <w:t>,竞标人应于投标截止时间前将竞标保证金以电汇、转帐等非现金形式交至以下</w:t>
      </w:r>
      <w:r>
        <w:rPr>
          <w:rFonts w:hint="eastAsia" w:ascii="宋体" w:hAnsi="宋体" w:eastAsia="宋体" w:cs="Times New Roman"/>
          <w:color w:val="auto"/>
          <w:szCs w:val="21"/>
          <w:highlight w:val="none"/>
          <w:shd w:val="clear" w:color="auto" w:fill="FFFFFF"/>
        </w:rPr>
        <w:t>保证金账户：</w:t>
      </w:r>
    </w:p>
    <w:p>
      <w:pPr>
        <w:spacing w:line="440" w:lineRule="exact"/>
        <w:ind w:firstLine="420" w:firstLineChars="200"/>
        <w:jc w:val="left"/>
        <w:rPr>
          <w:rFonts w:ascii="宋体" w:hAnsi="宋体" w:eastAsia="宋体" w:cs="Times New Roman"/>
          <w:color w:val="auto"/>
          <w:szCs w:val="21"/>
          <w:highlight w:val="none"/>
          <w:shd w:val="clear" w:color="auto" w:fill="FFFFFF"/>
        </w:rPr>
      </w:pPr>
      <w:r>
        <w:rPr>
          <w:rFonts w:hint="eastAsia" w:ascii="宋体" w:hAnsi="宋体" w:eastAsia="宋体" w:cs="Times New Roman"/>
          <w:color w:val="auto"/>
          <w:szCs w:val="21"/>
          <w:highlight w:val="none"/>
          <w:shd w:val="clear" w:color="auto" w:fill="FFFFFF"/>
        </w:rPr>
        <w:t>开户名称：广西建设工程机电设备招标中心有限公司</w:t>
      </w:r>
    </w:p>
    <w:p>
      <w:pPr>
        <w:spacing w:line="440" w:lineRule="exact"/>
        <w:ind w:firstLine="420" w:firstLineChars="200"/>
        <w:jc w:val="left"/>
        <w:rPr>
          <w:rFonts w:ascii="宋体" w:hAnsi="宋体" w:eastAsia="宋体" w:cs="Times New Roman"/>
          <w:color w:val="auto"/>
          <w:szCs w:val="21"/>
          <w:highlight w:val="none"/>
          <w:shd w:val="clear" w:color="auto" w:fill="FFFFFF"/>
        </w:rPr>
      </w:pPr>
      <w:r>
        <w:rPr>
          <w:rFonts w:hint="eastAsia" w:ascii="宋体" w:hAnsi="宋体" w:eastAsia="宋体" w:cs="Times New Roman"/>
          <w:color w:val="auto"/>
          <w:szCs w:val="21"/>
          <w:highlight w:val="none"/>
          <w:shd w:val="clear" w:color="auto" w:fill="FFFFFF"/>
        </w:rPr>
        <w:t>开户银行：招商银行南宁分行营业部</w:t>
      </w:r>
    </w:p>
    <w:p>
      <w:pPr>
        <w:spacing w:line="440" w:lineRule="exact"/>
        <w:ind w:firstLine="420" w:firstLineChars="200"/>
        <w:jc w:val="left"/>
        <w:rPr>
          <w:rFonts w:ascii="宋体" w:hAnsi="宋体" w:eastAsia="宋体" w:cs="Times New Roman"/>
          <w:color w:val="auto"/>
          <w:szCs w:val="21"/>
          <w:highlight w:val="none"/>
          <w:shd w:val="clear" w:color="auto" w:fill="FFFFFF"/>
        </w:rPr>
      </w:pPr>
      <w:r>
        <w:rPr>
          <w:rFonts w:hint="eastAsia" w:ascii="宋体" w:hAnsi="宋体" w:eastAsia="宋体" w:cs="Times New Roman"/>
          <w:color w:val="auto"/>
          <w:szCs w:val="21"/>
          <w:highlight w:val="none"/>
          <w:shd w:val="clear" w:color="auto" w:fill="FFFFFF"/>
        </w:rPr>
        <w:t>银行账号：7719 0142 3310 201</w:t>
      </w:r>
    </w:p>
    <w:p>
      <w:pPr>
        <w:spacing w:line="440" w:lineRule="exact"/>
        <w:ind w:firstLine="420" w:firstLineChars="200"/>
        <w:jc w:val="left"/>
        <w:rPr>
          <w:rFonts w:ascii="宋体" w:hAnsi="宋体" w:eastAsia="宋体" w:cs="宋体"/>
          <w:color w:val="auto"/>
          <w:szCs w:val="21"/>
          <w:highlight w:val="none"/>
        </w:rPr>
      </w:pPr>
      <w:r>
        <w:rPr>
          <w:rFonts w:hint="eastAsia" w:ascii="宋体" w:hAnsi="宋体" w:eastAsia="宋体" w:cs="宋体"/>
          <w:bCs/>
          <w:color w:val="auto"/>
          <w:szCs w:val="21"/>
          <w:highlight w:val="none"/>
        </w:rPr>
        <w:t>2.本项目落实的政府采购政策：</w:t>
      </w:r>
      <w:r>
        <w:rPr>
          <w:rFonts w:hint="eastAsia" w:ascii="宋体" w:hAnsi="宋体" w:eastAsia="宋体" w:cs="宋体"/>
          <w:color w:val="auto"/>
          <w:szCs w:val="21"/>
          <w:highlight w:val="none"/>
        </w:rPr>
        <w:t>政府采购促进中小企业发展；政府采购支持采用本国产品的政策；强制采购、优先采购环境标志产品、节能产品；《关于我区政府采购支持监狱企业发展有关问题的通知》（桂财采[2015]24号）；三部门联合发布关于促进残疾人就业政府采购政策的通知》（财库〔2017〕141号）。</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3.公告发布媒体：中国政府采购网（www.ccgp.gov.cn）、广西壮族自治区政府采购网（http：//zfcg.gxzf.gov.cn）、广西招标网（</w:t>
      </w:r>
      <w:r>
        <w:rPr>
          <w:color w:val="auto"/>
          <w:highlight w:val="none"/>
        </w:rPr>
        <w:fldChar w:fldCharType="begin"/>
      </w:r>
      <w:r>
        <w:rPr>
          <w:color w:val="auto"/>
          <w:highlight w:val="none"/>
        </w:rPr>
        <w:instrText xml:space="preserve"> HYPERLINK "http://www.guangxibid.com.cn" </w:instrText>
      </w:r>
      <w:r>
        <w:rPr>
          <w:color w:val="auto"/>
          <w:highlight w:val="none"/>
        </w:rPr>
        <w:fldChar w:fldCharType="separate"/>
      </w:r>
      <w:r>
        <w:rPr>
          <w:rFonts w:ascii="宋体" w:hAnsi="宋体" w:eastAsia="宋体" w:cs="Times New Roman"/>
          <w:color w:val="auto"/>
          <w:highlight w:val="none"/>
        </w:rPr>
        <w:t>www.guangxibid.com.cn</w:t>
      </w:r>
      <w:r>
        <w:rPr>
          <w:rFonts w:ascii="宋体" w:hAnsi="宋体" w:eastAsia="宋体" w:cs="Times New Roman"/>
          <w:color w:val="auto"/>
          <w:highlight w:val="none"/>
        </w:rPr>
        <w:fldChar w:fldCharType="end"/>
      </w:r>
      <w:r>
        <w:rPr>
          <w:rFonts w:hint="eastAsia" w:ascii="宋体" w:hAnsi="宋体" w:eastAsia="宋体" w:cs="Times New Roman"/>
          <w:color w:val="auto"/>
          <w:szCs w:val="21"/>
          <w:highlight w:val="none"/>
        </w:rPr>
        <w:t>）。</w:t>
      </w:r>
    </w:p>
    <w:p>
      <w:pPr>
        <w:spacing w:line="440" w:lineRule="exact"/>
        <w:ind w:firstLine="420" w:firstLineChars="200"/>
        <w:jc w:val="left"/>
        <w:rPr>
          <w:rFonts w:ascii="宋体" w:hAnsi="宋体" w:eastAsia="宋体" w:cs="Times New Roman"/>
          <w:color w:val="auto"/>
          <w:szCs w:val="21"/>
          <w:highlight w:val="none"/>
          <w:shd w:val="clear" w:color="auto" w:fill="FFFFFF"/>
        </w:rPr>
      </w:pPr>
      <w:r>
        <w:rPr>
          <w:rFonts w:hint="eastAsia" w:ascii="宋体" w:hAnsi="宋体" w:eastAsia="宋体" w:cs="Times New Roman"/>
          <w:color w:val="auto"/>
          <w:szCs w:val="21"/>
          <w:highlight w:val="none"/>
          <w:shd w:val="clear" w:color="auto" w:fill="FFFFFF"/>
        </w:rPr>
        <w:t>4.为避免供应商不良诚信记录的发生，配合采购单位政府采购项目执行和备案，未在政采云注册的供应商需登录政采云进行注册，如在操作过程中遇到问题或者需要技术支持，请致电政采云客服热线：400-881-7190。</w:t>
      </w:r>
    </w:p>
    <w:p>
      <w:pPr>
        <w:spacing w:line="440" w:lineRule="exact"/>
        <w:ind w:firstLine="420" w:firstLineChars="200"/>
        <w:jc w:val="left"/>
        <w:rPr>
          <w:rFonts w:ascii="宋体" w:hAnsi="宋体" w:eastAsia="宋体" w:cs="Arial"/>
          <w:color w:val="auto"/>
          <w:szCs w:val="21"/>
          <w:highlight w:val="none"/>
        </w:rPr>
      </w:pPr>
      <w:r>
        <w:rPr>
          <w:rFonts w:hint="eastAsia" w:ascii="宋体" w:hAnsi="宋体" w:eastAsia="宋体" w:cs="Arial"/>
          <w:color w:val="auto"/>
          <w:szCs w:val="21"/>
          <w:highlight w:val="none"/>
        </w:rPr>
        <w:t>5.</w:t>
      </w:r>
      <w:r>
        <w:rPr>
          <w:rFonts w:hint="eastAsia" w:ascii="Times New Roman" w:hAnsi="Times New Roman" w:eastAsia="宋体" w:cs="Times New Roman"/>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eastAsia="宋体" w:cs="Arial"/>
          <w:color w:val="auto"/>
          <w:szCs w:val="21"/>
          <w:highlight w:val="none"/>
        </w:rPr>
        <w:t>；</w:t>
      </w:r>
    </w:p>
    <w:p>
      <w:pPr>
        <w:spacing w:line="440" w:lineRule="exact"/>
        <w:ind w:firstLine="420" w:firstLineChars="200"/>
        <w:jc w:val="left"/>
        <w:rPr>
          <w:rFonts w:ascii="宋体" w:hAnsi="宋体" w:eastAsia="宋体" w:cs="Arial"/>
          <w:color w:val="auto"/>
          <w:szCs w:val="21"/>
          <w:highlight w:val="none"/>
        </w:rPr>
      </w:pPr>
      <w:r>
        <w:rPr>
          <w:rFonts w:hint="eastAsia" w:ascii="宋体" w:hAnsi="宋体" w:eastAsia="宋体" w:cs="Arial"/>
          <w:color w:val="auto"/>
          <w:szCs w:val="21"/>
          <w:highlight w:val="none"/>
        </w:rPr>
        <w:t>6.</w:t>
      </w:r>
      <w:r>
        <w:rPr>
          <w:rFonts w:hint="eastAsia" w:ascii="宋体" w:hAnsi="宋体" w:eastAsia="宋体" w:cs="Times New Roman"/>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Tahoma"/>
          <w:color w:val="auto"/>
          <w:kern w:val="0"/>
          <w:szCs w:val="21"/>
          <w:highlight w:val="none"/>
        </w:rPr>
        <w:t>；</w:t>
      </w:r>
    </w:p>
    <w:p>
      <w:pPr>
        <w:spacing w:line="440" w:lineRule="exact"/>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八、联系事项：</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spacing w:line="440" w:lineRule="exact"/>
        <w:ind w:firstLine="420" w:firstLineChars="200"/>
        <w:jc w:val="left"/>
        <w:rPr>
          <w:rFonts w:ascii="宋体" w:hAnsi="宋体" w:eastAsia="宋体" w:cs="Times New Roman"/>
          <w:color w:val="auto"/>
          <w:szCs w:val="21"/>
          <w:highlight w:val="none"/>
        </w:rPr>
      </w:pPr>
      <w:bookmarkStart w:id="1" w:name="_Toc22653_WPSOffice_Level2"/>
      <w:bookmarkStart w:id="2" w:name="_Toc21570_WPSOffice_Level2"/>
      <w:r>
        <w:rPr>
          <w:rFonts w:hint="eastAsia" w:ascii="宋体" w:hAnsi="宋体" w:eastAsia="宋体" w:cs="Times New Roman"/>
          <w:color w:val="auto"/>
          <w:szCs w:val="21"/>
          <w:highlight w:val="none"/>
        </w:rPr>
        <w:t>1.采购人名称：</w:t>
      </w:r>
      <w:bookmarkEnd w:id="1"/>
      <w:bookmarkEnd w:id="2"/>
      <w:r>
        <w:rPr>
          <w:rFonts w:hint="eastAsia" w:ascii="宋体" w:hAnsi="宋体" w:eastAsia="宋体" w:cs="Times New Roman"/>
          <w:color w:val="auto"/>
          <w:szCs w:val="21"/>
          <w:highlight w:val="none"/>
        </w:rPr>
        <w:t>广西幼儿师范高等专科学校</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地址：广西南宁市青秀区民族大道77号</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联系人及电话：</w:t>
      </w:r>
      <w:bookmarkStart w:id="23" w:name="_GoBack"/>
      <w:r>
        <w:rPr>
          <w:rFonts w:hint="eastAsia" w:ascii="宋体" w:hAnsi="宋体" w:eastAsia="宋体" w:cs="Times New Roman"/>
          <w:color w:val="auto"/>
          <w:szCs w:val="21"/>
          <w:highlight w:val="none"/>
        </w:rPr>
        <w:t>卢老师</w:t>
      </w:r>
      <w:bookmarkEnd w:id="23"/>
      <w:r>
        <w:rPr>
          <w:rFonts w:hint="eastAsia" w:ascii="宋体" w:hAnsi="宋体" w:eastAsia="宋体" w:cs="Times New Roman"/>
          <w:color w:val="auto"/>
          <w:szCs w:val="21"/>
          <w:highlight w:val="none"/>
        </w:rPr>
        <w:t xml:space="preserve">   0771-5712442</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名 称：广西建设工程机电设备招标中心有限公司       </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地址：广西南宁市青秀区纬武路165号</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联系人：莫莉             </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联系电话：</w:t>
      </w:r>
      <w:r>
        <w:rPr>
          <w:rFonts w:ascii="宋体" w:hAnsi="宋体" w:eastAsia="宋体" w:cs="Times New Roman"/>
          <w:color w:val="auto"/>
          <w:szCs w:val="21"/>
          <w:highlight w:val="none"/>
        </w:rPr>
        <w:t>0771-</w:t>
      </w:r>
      <w:r>
        <w:rPr>
          <w:rFonts w:hint="eastAsia" w:ascii="宋体" w:hAnsi="宋体" w:eastAsia="宋体" w:cs="Times New Roman"/>
          <w:color w:val="auto"/>
          <w:szCs w:val="21"/>
          <w:highlight w:val="none"/>
        </w:rPr>
        <w:t>2819799</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3.项目联系方式：</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联系人：莫莉             </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联系电话： </w:t>
      </w:r>
      <w:r>
        <w:rPr>
          <w:rFonts w:ascii="宋体" w:hAnsi="宋体" w:eastAsia="宋体" w:cs="Times New Roman"/>
          <w:color w:val="auto"/>
          <w:szCs w:val="21"/>
          <w:highlight w:val="none"/>
        </w:rPr>
        <w:t>0771-</w:t>
      </w:r>
      <w:r>
        <w:rPr>
          <w:rFonts w:hint="eastAsia" w:ascii="宋体" w:hAnsi="宋体" w:eastAsia="宋体" w:cs="Times New Roman"/>
          <w:color w:val="auto"/>
          <w:szCs w:val="21"/>
          <w:highlight w:val="none"/>
        </w:rPr>
        <w:t>2819799</w:t>
      </w:r>
    </w:p>
    <w:p>
      <w:pPr>
        <w:spacing w:line="440" w:lineRule="exact"/>
        <w:ind w:firstLine="200"/>
        <w:jc w:val="right"/>
        <w:rPr>
          <w:rFonts w:ascii="宋体" w:hAnsi="宋体" w:eastAsia="宋体" w:cs="Times New Roman"/>
          <w:color w:val="auto"/>
          <w:szCs w:val="21"/>
          <w:highlight w:val="none"/>
        </w:rPr>
      </w:pPr>
    </w:p>
    <w:p>
      <w:pPr>
        <w:spacing w:line="440" w:lineRule="exact"/>
        <w:ind w:firstLine="200"/>
        <w:jc w:val="righ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采购代理机构：广西建设工程机电设备招标中心有限公司</w:t>
      </w:r>
    </w:p>
    <w:p>
      <w:pPr>
        <w:wordWrap w:val="0"/>
        <w:spacing w:line="440" w:lineRule="exact"/>
        <w:jc w:val="right"/>
        <w:rPr>
          <w:rFonts w:ascii="宋体" w:hAnsi="宋体" w:eastAsia="宋体" w:cs="Courier New"/>
          <w:b/>
          <w:color w:val="auto"/>
          <w:sz w:val="24"/>
          <w:szCs w:val="24"/>
          <w:highlight w:val="none"/>
        </w:rPr>
      </w:pPr>
      <w:r>
        <w:rPr>
          <w:rFonts w:hint="eastAsia" w:ascii="宋体" w:hAnsi="宋体" w:eastAsia="宋体" w:cs="Times New Roman"/>
          <w:color w:val="auto"/>
          <w:szCs w:val="21"/>
          <w:highlight w:val="none"/>
        </w:rPr>
        <w:t>日期：</w:t>
      </w:r>
      <w:r>
        <w:rPr>
          <w:rFonts w:ascii="宋体" w:hAnsi="宋体" w:eastAsia="宋体" w:cs="Times New Roman"/>
          <w:color w:val="auto"/>
          <w:szCs w:val="21"/>
          <w:highlight w:val="none"/>
        </w:rPr>
        <w:t>2021年</w:t>
      </w:r>
      <w:r>
        <w:rPr>
          <w:rFonts w:hint="eastAsia" w:ascii="宋体" w:hAnsi="宋体" w:eastAsia="宋体" w:cs="Times New Roman"/>
          <w:color w:val="auto"/>
          <w:szCs w:val="21"/>
          <w:highlight w:val="none"/>
          <w:lang w:val="en-US" w:eastAsia="zh-CN"/>
        </w:rPr>
        <w:t>8</w:t>
      </w:r>
      <w:r>
        <w:rPr>
          <w:rFonts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日</w:t>
      </w:r>
    </w:p>
    <w:p>
      <w:pPr>
        <w:widowControl/>
        <w:snapToGrid w:val="0"/>
        <w:spacing w:before="120" w:after="120"/>
        <w:jc w:val="center"/>
        <w:outlineLvl w:val="0"/>
        <w:rPr>
          <w:rFonts w:ascii="宋体" w:hAnsi="Courier New" w:eastAsia="宋体" w:cs="Times New Roman"/>
          <w:b/>
          <w:color w:val="auto"/>
          <w:kern w:val="0"/>
          <w:sz w:val="32"/>
          <w:szCs w:val="32"/>
          <w:highlight w:val="none"/>
        </w:rPr>
      </w:pPr>
      <w:r>
        <w:rPr>
          <w:rFonts w:ascii="Times New Roman" w:hAnsi="Times New Roman" w:eastAsia="宋体" w:cs="Times New Roman"/>
          <w:color w:val="auto"/>
          <w:kern w:val="0"/>
          <w:szCs w:val="21"/>
          <w:highlight w:val="none"/>
        </w:rPr>
        <w:br w:type="page"/>
      </w:r>
      <w:bookmarkStart w:id="3" w:name="_Toc77516452"/>
      <w:r>
        <w:rPr>
          <w:rFonts w:hint="eastAsia" w:ascii="宋体" w:hAnsi="宋体" w:eastAsia="宋体" w:cs="Courier New"/>
          <w:b/>
          <w:color w:val="auto"/>
          <w:kern w:val="0"/>
          <w:sz w:val="32"/>
          <w:szCs w:val="32"/>
          <w:highlight w:val="none"/>
        </w:rPr>
        <w:t>第二章  竞标人须知</w:t>
      </w:r>
    </w:p>
    <w:p>
      <w:pPr>
        <w:widowControl/>
        <w:spacing w:before="120" w:line="360" w:lineRule="auto"/>
        <w:jc w:val="center"/>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竞标人须知前附表</w:t>
      </w:r>
    </w:p>
    <w:tbl>
      <w:tblPr>
        <w:tblStyle w:val="45"/>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82"/>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81" w:type="dxa"/>
            <w:vAlign w:val="center"/>
          </w:tcPr>
          <w:p>
            <w:pPr>
              <w:widowControl/>
              <w:spacing w:line="360" w:lineRule="exact"/>
              <w:jc w:val="center"/>
              <w:rPr>
                <w:rFonts w:ascii="宋体" w:hAnsi="宋体" w:eastAsia="宋体" w:cs="Courier New"/>
                <w:b/>
                <w:color w:val="auto"/>
                <w:kern w:val="0"/>
                <w:szCs w:val="21"/>
                <w:highlight w:val="none"/>
              </w:rPr>
            </w:pPr>
            <w:r>
              <w:rPr>
                <w:rFonts w:hint="eastAsia" w:ascii="宋体" w:hAnsi="宋体" w:eastAsia="宋体" w:cs="Courier New"/>
                <w:b/>
                <w:color w:val="auto"/>
                <w:kern w:val="0"/>
                <w:szCs w:val="21"/>
                <w:highlight w:val="none"/>
              </w:rPr>
              <w:t>序号</w:t>
            </w:r>
          </w:p>
        </w:tc>
        <w:tc>
          <w:tcPr>
            <w:tcW w:w="1582" w:type="dxa"/>
            <w:vAlign w:val="center"/>
          </w:tcPr>
          <w:p>
            <w:pPr>
              <w:widowControl/>
              <w:spacing w:line="360" w:lineRule="exact"/>
              <w:jc w:val="center"/>
              <w:rPr>
                <w:rFonts w:ascii="宋体" w:hAnsi="宋体" w:eastAsia="宋体" w:cs="Courier New"/>
                <w:b/>
                <w:color w:val="auto"/>
                <w:kern w:val="0"/>
                <w:szCs w:val="21"/>
                <w:highlight w:val="none"/>
              </w:rPr>
            </w:pPr>
            <w:r>
              <w:rPr>
                <w:rFonts w:hint="eastAsia" w:ascii="宋体" w:hAnsi="宋体" w:eastAsia="宋体" w:cs="Courier New"/>
                <w:b/>
                <w:color w:val="auto"/>
                <w:kern w:val="0"/>
                <w:szCs w:val="21"/>
                <w:highlight w:val="none"/>
              </w:rPr>
              <w:t>项目</w:t>
            </w:r>
          </w:p>
        </w:tc>
        <w:tc>
          <w:tcPr>
            <w:tcW w:w="7072" w:type="dxa"/>
            <w:vAlign w:val="center"/>
          </w:tcPr>
          <w:p>
            <w:pPr>
              <w:widowControl/>
              <w:spacing w:line="360" w:lineRule="exact"/>
              <w:ind w:firstLine="2951" w:firstLineChars="1400"/>
              <w:rPr>
                <w:rFonts w:ascii="宋体" w:hAnsi="宋体" w:eastAsia="宋体" w:cs="Courier New"/>
                <w:b/>
                <w:color w:val="auto"/>
                <w:kern w:val="0"/>
                <w:szCs w:val="21"/>
                <w:highlight w:val="none"/>
              </w:rPr>
            </w:pPr>
            <w:r>
              <w:rPr>
                <w:rFonts w:hint="eastAsia" w:ascii="宋体" w:hAnsi="宋体" w:eastAsia="宋体" w:cs="Courier New"/>
                <w:b/>
                <w:color w:val="auto"/>
                <w:kern w:val="0"/>
                <w:szCs w:val="21"/>
                <w:highlight w:val="none"/>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81" w:type="dxa"/>
            <w:vAlign w:val="center"/>
          </w:tcPr>
          <w:p>
            <w:pPr>
              <w:widowControl/>
              <w:spacing w:line="360" w:lineRule="exact"/>
              <w:jc w:val="center"/>
              <w:rPr>
                <w:rFonts w:ascii="宋体" w:hAnsi="宋体" w:eastAsia="宋体" w:cs="Courier New"/>
                <w:color w:val="auto"/>
                <w:kern w:val="0"/>
                <w:szCs w:val="21"/>
                <w:highlight w:val="none"/>
              </w:rPr>
            </w:pPr>
            <w:r>
              <w:rPr>
                <w:rFonts w:ascii="宋体" w:hAnsi="宋体" w:eastAsia="宋体" w:cs="Courier New"/>
                <w:color w:val="auto"/>
                <w:kern w:val="0"/>
                <w:szCs w:val="21"/>
                <w:highlight w:val="none"/>
              </w:rPr>
              <w:t>1</w:t>
            </w:r>
          </w:p>
        </w:tc>
        <w:tc>
          <w:tcPr>
            <w:tcW w:w="1582" w:type="dxa"/>
            <w:vAlign w:val="center"/>
          </w:tcPr>
          <w:p>
            <w:pPr>
              <w:widowControl/>
              <w:spacing w:line="360" w:lineRule="exact"/>
              <w:jc w:val="center"/>
              <w:rPr>
                <w:rFonts w:ascii="宋体" w:hAnsi="宋体" w:eastAsia="宋体" w:cs="Courier New"/>
                <w:color w:val="auto"/>
                <w:kern w:val="0"/>
                <w:szCs w:val="21"/>
                <w:highlight w:val="none"/>
              </w:rPr>
            </w:pPr>
            <w:r>
              <w:rPr>
                <w:rFonts w:hint="eastAsia" w:ascii="宋体" w:hAnsi="宋体" w:eastAsia="宋体" w:cs="Courier New"/>
                <w:color w:val="auto"/>
                <w:kern w:val="0"/>
                <w:szCs w:val="21"/>
                <w:highlight w:val="none"/>
              </w:rPr>
              <w:t>项目名称</w:t>
            </w:r>
          </w:p>
        </w:tc>
        <w:tc>
          <w:tcPr>
            <w:tcW w:w="7072" w:type="dxa"/>
            <w:vAlign w:val="center"/>
          </w:tcPr>
          <w:p>
            <w:pPr>
              <w:widowControl/>
              <w:spacing w:line="360" w:lineRule="exact"/>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2021年纸质图书采购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81" w:type="dxa"/>
            <w:vAlign w:val="center"/>
          </w:tcPr>
          <w:p>
            <w:pPr>
              <w:widowControl/>
              <w:spacing w:line="360" w:lineRule="exact"/>
              <w:jc w:val="center"/>
              <w:rPr>
                <w:rFonts w:ascii="宋体" w:hAnsi="宋体" w:eastAsia="宋体" w:cs="Courier New"/>
                <w:color w:val="auto"/>
                <w:kern w:val="0"/>
                <w:szCs w:val="21"/>
                <w:highlight w:val="none"/>
              </w:rPr>
            </w:pPr>
            <w:r>
              <w:rPr>
                <w:rFonts w:ascii="宋体" w:hAnsi="宋体" w:eastAsia="宋体" w:cs="Courier New"/>
                <w:color w:val="auto"/>
                <w:kern w:val="0"/>
                <w:szCs w:val="21"/>
                <w:highlight w:val="none"/>
              </w:rPr>
              <w:t>2</w:t>
            </w:r>
          </w:p>
        </w:tc>
        <w:tc>
          <w:tcPr>
            <w:tcW w:w="1582" w:type="dxa"/>
            <w:vAlign w:val="center"/>
          </w:tcPr>
          <w:p>
            <w:pPr>
              <w:widowControl/>
              <w:spacing w:line="360" w:lineRule="exact"/>
              <w:jc w:val="center"/>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竞标人资格</w:t>
            </w:r>
          </w:p>
        </w:tc>
        <w:tc>
          <w:tcPr>
            <w:tcW w:w="7072" w:type="dxa"/>
            <w:vAlign w:val="center"/>
          </w:tcPr>
          <w:p>
            <w:pPr>
              <w:widowControl/>
              <w:spacing w:line="360" w:lineRule="exact"/>
              <w:rPr>
                <w:rFonts w:hint="eastAsia" w:ascii="宋体" w:hAnsi="Times New Roman" w:eastAsia="宋体" w:cs="Times New Roman"/>
                <w:color w:val="auto"/>
                <w:kern w:val="0"/>
                <w:szCs w:val="21"/>
                <w:highlight w:val="none"/>
              </w:rPr>
            </w:pPr>
            <w:r>
              <w:rPr>
                <w:rFonts w:hint="eastAsia" w:ascii="宋体" w:hAnsi="Times New Roman" w:eastAsia="宋体" w:cs="Times New Roman"/>
                <w:color w:val="auto"/>
                <w:kern w:val="0"/>
                <w:szCs w:val="21"/>
                <w:highlight w:val="none"/>
              </w:rPr>
              <w:t xml:space="preserve">1.满足《中华人民共和国政府采购法》第二十二条规定； </w:t>
            </w:r>
          </w:p>
          <w:p>
            <w:pPr>
              <w:widowControl/>
              <w:spacing w:line="360" w:lineRule="exact"/>
              <w:rPr>
                <w:rFonts w:hint="eastAsia" w:ascii="宋体" w:hAnsi="Times New Roman" w:eastAsia="宋体" w:cs="Times New Roman"/>
                <w:color w:val="auto"/>
                <w:kern w:val="0"/>
                <w:szCs w:val="21"/>
                <w:highlight w:val="none"/>
              </w:rPr>
            </w:pPr>
            <w:r>
              <w:rPr>
                <w:rFonts w:hint="eastAsia" w:ascii="宋体" w:hAnsi="Times New Roman" w:eastAsia="宋体" w:cs="Times New Roman"/>
                <w:color w:val="auto"/>
                <w:kern w:val="0"/>
                <w:szCs w:val="21"/>
                <w:highlight w:val="none"/>
              </w:rPr>
              <w:t>2.落实政府采购政策需满足的资格要求：本项目非专门面向中小企业采购；</w:t>
            </w:r>
          </w:p>
          <w:p>
            <w:pPr>
              <w:widowControl/>
              <w:spacing w:line="360" w:lineRule="exact"/>
              <w:rPr>
                <w:rFonts w:ascii="宋体" w:hAnsi="Times New Roman" w:eastAsia="宋体" w:cs="Times New Roman"/>
                <w:color w:val="auto"/>
                <w:kern w:val="0"/>
                <w:szCs w:val="21"/>
                <w:highlight w:val="none"/>
              </w:rPr>
            </w:pPr>
            <w:r>
              <w:rPr>
                <w:rFonts w:hint="eastAsia" w:ascii="宋体" w:hAnsi="Times New Roman" w:eastAsia="宋体" w:cs="Times New Roman"/>
                <w:color w:val="auto"/>
                <w:kern w:val="0"/>
                <w:szCs w:val="21"/>
                <w:highlight w:val="none"/>
              </w:rPr>
              <w:t>3.特定资格条件：具有有效的《中华人民共和国出版物经营许可证》且具备图书经营资格。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1" w:type="dxa"/>
            <w:vAlign w:val="center"/>
          </w:tcPr>
          <w:p>
            <w:pPr>
              <w:widowControl/>
              <w:spacing w:line="360" w:lineRule="exact"/>
              <w:jc w:val="center"/>
              <w:rPr>
                <w:rFonts w:ascii="宋体" w:hAnsi="宋体" w:eastAsia="宋体" w:cs="Courier New"/>
                <w:color w:val="auto"/>
                <w:kern w:val="0"/>
                <w:szCs w:val="21"/>
                <w:highlight w:val="none"/>
              </w:rPr>
            </w:pPr>
            <w:r>
              <w:rPr>
                <w:rFonts w:ascii="宋体" w:hAnsi="宋体" w:eastAsia="宋体" w:cs="Courier New"/>
                <w:color w:val="auto"/>
                <w:kern w:val="0"/>
                <w:szCs w:val="21"/>
                <w:highlight w:val="none"/>
              </w:rPr>
              <w:t>3</w:t>
            </w:r>
          </w:p>
        </w:tc>
        <w:tc>
          <w:tcPr>
            <w:tcW w:w="1582" w:type="dxa"/>
            <w:vAlign w:val="center"/>
          </w:tcPr>
          <w:p>
            <w:pPr>
              <w:widowControl/>
              <w:spacing w:line="360" w:lineRule="exact"/>
              <w:jc w:val="center"/>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竞标费用</w:t>
            </w:r>
          </w:p>
        </w:tc>
        <w:tc>
          <w:tcPr>
            <w:tcW w:w="7072" w:type="dxa"/>
            <w:vAlign w:val="center"/>
          </w:tcPr>
          <w:p>
            <w:pPr>
              <w:widowControl/>
              <w:spacing w:line="360" w:lineRule="exact"/>
              <w:jc w:val="left"/>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不论</w:t>
            </w:r>
            <w:r>
              <w:rPr>
                <w:rFonts w:hint="eastAsia" w:ascii="宋体" w:hAnsi="宋体" w:eastAsia="宋体" w:cs="宋体"/>
                <w:color w:val="auto"/>
                <w:kern w:val="0"/>
                <w:szCs w:val="21"/>
                <w:highlight w:val="none"/>
              </w:rPr>
              <w:t>竞</w:t>
            </w:r>
            <w:r>
              <w:rPr>
                <w:rFonts w:hint="eastAsia" w:ascii="宋体" w:hAnsi="宋体" w:eastAsia="宋体" w:cs="Times New Roman"/>
                <w:color w:val="auto"/>
                <w:kern w:val="0"/>
                <w:szCs w:val="21"/>
                <w:highlight w:val="none"/>
              </w:rPr>
              <w:t>标结果如何，竞标人均应自行承担所有与竞标有关的全部费用。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1" w:type="dxa"/>
            <w:vAlign w:val="center"/>
          </w:tcPr>
          <w:p>
            <w:pPr>
              <w:widowControl/>
              <w:spacing w:line="360" w:lineRule="exact"/>
              <w:jc w:val="center"/>
              <w:rPr>
                <w:rFonts w:ascii="宋体" w:hAnsi="宋体" w:eastAsia="宋体" w:cs="Courier New"/>
                <w:color w:val="auto"/>
                <w:kern w:val="0"/>
                <w:szCs w:val="21"/>
                <w:highlight w:val="none"/>
              </w:rPr>
            </w:pPr>
            <w:r>
              <w:rPr>
                <w:rFonts w:hint="eastAsia" w:ascii="宋体" w:hAnsi="宋体" w:eastAsia="宋体" w:cs="Courier New"/>
                <w:color w:val="auto"/>
                <w:kern w:val="0"/>
                <w:szCs w:val="21"/>
                <w:highlight w:val="none"/>
              </w:rPr>
              <w:t>4</w:t>
            </w:r>
          </w:p>
        </w:tc>
        <w:tc>
          <w:tcPr>
            <w:tcW w:w="1582" w:type="dxa"/>
            <w:vAlign w:val="center"/>
          </w:tcPr>
          <w:p>
            <w:pPr>
              <w:widowControl/>
              <w:spacing w:line="36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竞争性谈判响应文件的组成</w:t>
            </w:r>
          </w:p>
        </w:tc>
        <w:tc>
          <w:tcPr>
            <w:tcW w:w="7072" w:type="dxa"/>
            <w:vAlign w:val="center"/>
          </w:tcPr>
          <w:p>
            <w:pPr>
              <w:widowControl/>
              <w:spacing w:line="400" w:lineRule="exact"/>
              <w:jc w:val="left"/>
              <w:rPr>
                <w:rFonts w:ascii="宋体" w:hAnsi="Times New Roman" w:eastAsia="宋体" w:cs="Times New Roman"/>
                <w:b/>
                <w:color w:val="auto"/>
                <w:kern w:val="0"/>
                <w:szCs w:val="21"/>
                <w:highlight w:val="none"/>
              </w:rPr>
            </w:pPr>
            <w:r>
              <w:rPr>
                <w:rFonts w:hint="eastAsia" w:ascii="宋体" w:hAnsi="宋体" w:eastAsia="宋体" w:cs="Times New Roman"/>
                <w:color w:val="auto"/>
                <w:kern w:val="0"/>
                <w:szCs w:val="21"/>
                <w:highlight w:val="none"/>
              </w:rPr>
              <w:t>竞争性谈判响应文件应分为价格部分、资信及商务部分、技术部分组成三个部分组成</w:t>
            </w:r>
            <w:r>
              <w:rPr>
                <w:rFonts w:hint="eastAsia" w:ascii="宋体" w:hAnsi="宋体" w:eastAsia="宋体" w:cs="Times New Roman"/>
                <w:b/>
                <w:color w:val="auto"/>
                <w:kern w:val="0"/>
                <w:szCs w:val="21"/>
                <w:highlight w:val="none"/>
              </w:rPr>
              <w:t>（三部分合并装订成一册，仅直接采用订书针装订或卡条、抽杆夹及其他活页形式装订的竞争性谈判响应文件将被拒绝），同时提供电子版响应文件一份（</w:t>
            </w:r>
            <w:r>
              <w:rPr>
                <w:rFonts w:ascii="宋体" w:hAnsi="宋体" w:eastAsia="宋体" w:cs="Times New Roman"/>
                <w:b/>
                <w:color w:val="auto"/>
                <w:kern w:val="0"/>
                <w:szCs w:val="21"/>
                <w:highlight w:val="none"/>
              </w:rPr>
              <w:t>U</w:t>
            </w:r>
            <w:r>
              <w:rPr>
                <w:rFonts w:hint="eastAsia" w:ascii="宋体" w:hAnsi="宋体" w:eastAsia="宋体" w:cs="Times New Roman"/>
                <w:b/>
                <w:color w:val="auto"/>
                <w:kern w:val="0"/>
                <w:szCs w:val="21"/>
                <w:highlight w:val="none"/>
              </w:rPr>
              <w:t>盘-可编辑word版本）。</w:t>
            </w:r>
          </w:p>
          <w:p>
            <w:pPr>
              <w:widowControl/>
              <w:spacing w:line="400" w:lineRule="exact"/>
              <w:jc w:val="left"/>
              <w:rPr>
                <w:rFonts w:ascii="宋体" w:hAnsi="Times New Roman" w:eastAsia="宋体" w:cs="Times New Roman"/>
                <w:b/>
                <w:color w:val="auto"/>
                <w:kern w:val="0"/>
                <w:szCs w:val="21"/>
                <w:highlight w:val="none"/>
              </w:rPr>
            </w:pPr>
            <w:r>
              <w:rPr>
                <w:rFonts w:hint="eastAsia" w:ascii="宋体" w:hAnsi="宋体" w:eastAsia="宋体" w:cs="Times New Roman"/>
                <w:b/>
                <w:color w:val="auto"/>
                <w:kern w:val="0"/>
                <w:szCs w:val="21"/>
                <w:highlight w:val="none"/>
              </w:rPr>
              <w:t>7</w:t>
            </w:r>
            <w:r>
              <w:rPr>
                <w:rFonts w:ascii="宋体" w:hAnsi="宋体" w:eastAsia="宋体" w:cs="Times New Roman"/>
                <w:b/>
                <w:color w:val="auto"/>
                <w:kern w:val="0"/>
                <w:szCs w:val="21"/>
                <w:highlight w:val="none"/>
              </w:rPr>
              <w:t>.6.1</w:t>
            </w:r>
            <w:r>
              <w:rPr>
                <w:rFonts w:hint="eastAsia" w:ascii="宋体" w:hAnsi="宋体" w:eastAsia="宋体" w:cs="Times New Roman"/>
                <w:b/>
                <w:color w:val="auto"/>
                <w:kern w:val="0"/>
                <w:szCs w:val="21"/>
                <w:highlight w:val="none"/>
              </w:rPr>
              <w:t>价格部分</w:t>
            </w:r>
          </w:p>
          <w:p>
            <w:pPr>
              <w:widowControl/>
              <w:spacing w:line="400" w:lineRule="exact"/>
              <w:jc w:val="left"/>
              <w:rPr>
                <w:rFonts w:ascii="宋体" w:hAnsi="Times New Roman" w:eastAsia="宋体" w:cs="Times New Roman"/>
                <w:color w:val="auto"/>
                <w:kern w:val="0"/>
                <w:szCs w:val="21"/>
                <w:highlight w:val="none"/>
              </w:rPr>
            </w:pP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）竞标报价明细表；（详见附件）</w:t>
            </w:r>
            <w:r>
              <w:rPr>
                <w:rFonts w:hint="eastAsia" w:ascii="宋体" w:hAnsi="宋体" w:eastAsia="宋体" w:cs="Times New Roman"/>
                <w:b/>
                <w:color w:val="auto"/>
                <w:kern w:val="0"/>
                <w:szCs w:val="21"/>
                <w:highlight w:val="none"/>
              </w:rPr>
              <w:t>[必须提供]</w:t>
            </w:r>
          </w:p>
          <w:p>
            <w:pPr>
              <w:widowControl/>
              <w:spacing w:line="400" w:lineRule="exact"/>
              <w:jc w:val="left"/>
              <w:rPr>
                <w:rFonts w:ascii="宋体" w:hAnsi="Times New Roman" w:eastAsia="宋体" w:cs="Times New Roman"/>
                <w:color w:val="auto"/>
                <w:kern w:val="0"/>
                <w:szCs w:val="21"/>
                <w:highlight w:val="none"/>
              </w:rPr>
            </w:pPr>
            <w:r>
              <w:rPr>
                <w:rFonts w:hint="eastAsia" w:ascii="宋体" w:hAnsi="宋体" w:eastAsia="宋体" w:cs="Times New Roman"/>
                <w:b/>
                <w:color w:val="auto"/>
                <w:kern w:val="0"/>
                <w:szCs w:val="21"/>
                <w:highlight w:val="none"/>
              </w:rPr>
              <w:t>7</w:t>
            </w:r>
            <w:r>
              <w:rPr>
                <w:rFonts w:ascii="宋体" w:hAnsi="宋体" w:eastAsia="宋体" w:cs="Times New Roman"/>
                <w:b/>
                <w:color w:val="auto"/>
                <w:kern w:val="0"/>
                <w:szCs w:val="21"/>
                <w:highlight w:val="none"/>
              </w:rPr>
              <w:t xml:space="preserve">.6.2 </w:t>
            </w:r>
            <w:r>
              <w:rPr>
                <w:rFonts w:hint="eastAsia" w:ascii="宋体" w:hAnsi="宋体" w:eastAsia="宋体" w:cs="Times New Roman"/>
                <w:b/>
                <w:color w:val="auto"/>
                <w:kern w:val="0"/>
                <w:szCs w:val="21"/>
                <w:highlight w:val="none"/>
              </w:rPr>
              <w:t>资信及商务部分</w:t>
            </w:r>
            <w:r>
              <w:rPr>
                <w:rFonts w:hint="eastAsia" w:ascii="宋体" w:hAnsi="宋体" w:eastAsia="宋体" w:cs="Times New Roman"/>
                <w:color w:val="auto"/>
                <w:kern w:val="0"/>
                <w:szCs w:val="21"/>
                <w:highlight w:val="none"/>
              </w:rPr>
              <w:t>（以下第</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至</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项必须提供以及第</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项必须符合相关要求</w:t>
            </w:r>
            <w:r>
              <w:rPr>
                <w:rFonts w:ascii="宋体" w:hAnsi="Times New Roman" w:eastAsia="宋体" w:cs="Times New Roman"/>
                <w:color w:val="auto"/>
                <w:kern w:val="0"/>
                <w:szCs w:val="21"/>
                <w:highlight w:val="none"/>
              </w:rPr>
              <w:t>,</w:t>
            </w:r>
            <w:r>
              <w:rPr>
                <w:rFonts w:hint="eastAsia" w:ascii="宋体" w:hAnsi="宋体" w:eastAsia="宋体" w:cs="Times New Roman"/>
                <w:color w:val="auto"/>
                <w:kern w:val="0"/>
                <w:szCs w:val="21"/>
                <w:highlight w:val="none"/>
              </w:rPr>
              <w:t>否则</w:t>
            </w:r>
            <w:r>
              <w:rPr>
                <w:rFonts w:ascii="宋体" w:hAnsi="Times New Roman" w:eastAsia="宋体" w:cs="Times New Roman"/>
                <w:color w:val="auto"/>
                <w:kern w:val="0"/>
                <w:szCs w:val="21"/>
                <w:highlight w:val="none"/>
              </w:rPr>
              <w:t>,</w:t>
            </w:r>
            <w:r>
              <w:rPr>
                <w:rFonts w:hint="eastAsia" w:ascii="宋体" w:hAnsi="宋体" w:eastAsia="宋体" w:cs="Times New Roman"/>
                <w:color w:val="auto"/>
                <w:kern w:val="0"/>
                <w:szCs w:val="21"/>
                <w:highlight w:val="none"/>
              </w:rPr>
              <w:t>谈判小组有权拒绝其竞争性谈判响应文件，所有复印件或扫描打印件须加盖竞标人公章方为有效）</w:t>
            </w:r>
          </w:p>
          <w:p>
            <w:pPr>
              <w:widowControl/>
              <w:spacing w:line="400" w:lineRule="exact"/>
              <w:jc w:val="left"/>
              <w:rPr>
                <w:rFonts w:ascii="宋体" w:hAnsi="Times New Roman" w:eastAsia="宋体" w:cs="Times New Roman"/>
                <w:color w:val="auto"/>
                <w:kern w:val="0"/>
                <w:szCs w:val="21"/>
                <w:highlight w:val="none"/>
              </w:rPr>
            </w:pP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）谈判书；（详见附件）</w:t>
            </w:r>
            <w:r>
              <w:rPr>
                <w:rFonts w:hint="eastAsia" w:ascii="宋体" w:hAnsi="宋体" w:eastAsia="宋体" w:cs="Times New Roman"/>
                <w:b/>
                <w:color w:val="auto"/>
                <w:kern w:val="0"/>
                <w:szCs w:val="21"/>
                <w:highlight w:val="none"/>
              </w:rPr>
              <w:t>[必须提供]</w:t>
            </w:r>
          </w:p>
          <w:p>
            <w:pPr>
              <w:widowControl/>
              <w:spacing w:line="400" w:lineRule="exact"/>
              <w:jc w:val="left"/>
              <w:rPr>
                <w:rFonts w:ascii="宋体" w:hAnsi="Times New Roman" w:eastAsia="宋体" w:cs="Times New Roman"/>
                <w:color w:val="auto"/>
                <w:kern w:val="0"/>
                <w:szCs w:val="21"/>
                <w:highlight w:val="none"/>
              </w:rPr>
            </w:pP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）有效的营业执照及特定资格条件要求的证明文件复印件，同时要加盖单位公章；</w:t>
            </w:r>
            <w:r>
              <w:rPr>
                <w:rFonts w:hint="eastAsia" w:ascii="宋体" w:hAnsi="宋体" w:eastAsia="宋体" w:cs="Times New Roman"/>
                <w:b/>
                <w:color w:val="auto"/>
                <w:kern w:val="0"/>
                <w:szCs w:val="21"/>
                <w:highlight w:val="none"/>
              </w:rPr>
              <w:t>[必须提供]</w:t>
            </w:r>
          </w:p>
          <w:p>
            <w:pPr>
              <w:widowControl/>
              <w:spacing w:line="400" w:lineRule="exact"/>
              <w:jc w:val="left"/>
              <w:rPr>
                <w:rFonts w:ascii="宋体" w:hAnsi="Times New Roman" w:eastAsia="宋体" w:cs="Times New Roman"/>
                <w:color w:val="auto"/>
                <w:kern w:val="0"/>
                <w:szCs w:val="21"/>
                <w:highlight w:val="none"/>
              </w:rPr>
            </w:pP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）竞标声明书；（详见附件）</w:t>
            </w:r>
            <w:r>
              <w:rPr>
                <w:rFonts w:hint="eastAsia" w:ascii="宋体" w:hAnsi="宋体" w:eastAsia="宋体" w:cs="Times New Roman"/>
                <w:b/>
                <w:color w:val="auto"/>
                <w:kern w:val="0"/>
                <w:szCs w:val="21"/>
                <w:highlight w:val="none"/>
              </w:rPr>
              <w:t>[必须提供]</w:t>
            </w:r>
          </w:p>
          <w:p>
            <w:pPr>
              <w:widowControl/>
              <w:spacing w:line="400" w:lineRule="exact"/>
              <w:jc w:val="left"/>
              <w:rPr>
                <w:rFonts w:ascii="宋体" w:hAnsi="Times New Roman" w:eastAsia="宋体" w:cs="Times New Roman"/>
                <w:color w:val="auto"/>
                <w:kern w:val="0"/>
                <w:szCs w:val="21"/>
                <w:highlight w:val="none"/>
              </w:rPr>
            </w:pP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）法定代表人身份证正反两面复印件；</w:t>
            </w:r>
            <w:r>
              <w:rPr>
                <w:rFonts w:hint="eastAsia" w:ascii="宋体" w:hAnsi="宋体" w:eastAsia="宋体" w:cs="Times New Roman"/>
                <w:b/>
                <w:color w:val="auto"/>
                <w:kern w:val="0"/>
                <w:szCs w:val="21"/>
                <w:highlight w:val="none"/>
              </w:rPr>
              <w:t>[必须提供]</w:t>
            </w:r>
          </w:p>
          <w:p>
            <w:pPr>
              <w:widowControl/>
              <w:spacing w:line="400" w:lineRule="exact"/>
              <w:jc w:val="left"/>
              <w:rPr>
                <w:rFonts w:ascii="宋体" w:hAnsi="Times New Roman" w:eastAsia="宋体" w:cs="Times New Roman"/>
                <w:b/>
                <w:color w:val="auto"/>
                <w:kern w:val="0"/>
                <w:szCs w:val="21"/>
                <w:highlight w:val="none"/>
              </w:rPr>
            </w:pP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）法定代表人授权书原件及委托代理人身份证正反两面复印件；（详见附件）</w:t>
            </w:r>
            <w:r>
              <w:rPr>
                <w:rFonts w:hint="eastAsia" w:ascii="宋体" w:hAnsi="宋体" w:eastAsia="宋体" w:cs="Times New Roman"/>
                <w:b/>
                <w:color w:val="auto"/>
                <w:kern w:val="0"/>
                <w:szCs w:val="21"/>
                <w:highlight w:val="none"/>
              </w:rPr>
              <w:t>（委托代理时必须提供）</w:t>
            </w:r>
          </w:p>
          <w:p>
            <w:pPr>
              <w:widowControl/>
              <w:spacing w:line="400" w:lineRule="exact"/>
              <w:jc w:val="left"/>
              <w:rPr>
                <w:rFonts w:ascii="宋体" w:hAnsi="Times New Roman" w:eastAsia="宋体" w:cs="Times New Roman"/>
                <w:color w:val="auto"/>
                <w:kern w:val="0"/>
                <w:szCs w:val="21"/>
                <w:highlight w:val="none"/>
              </w:rPr>
            </w:pP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）竞标人2021年1月至今任意连续三个月依法缴纳税收的凭证复印件</w:t>
            </w:r>
            <w:r>
              <w:rPr>
                <w:rFonts w:hint="eastAsia" w:ascii="宋体" w:hAnsi="宋体" w:eastAsia="宋体" w:cs="Times New Roman"/>
                <w:b/>
                <w:color w:val="auto"/>
                <w:kern w:val="0"/>
                <w:szCs w:val="21"/>
                <w:highlight w:val="none"/>
              </w:rPr>
              <w:t>（如税务机关开具的完税证、银行缴税付款凭证或缴款回单等；如为非税务机关开具的凭证或回单的（如纳税申请表），需完整反映：付款人名称（并按要求盖章）、帐号，征收机关名称，缴款金额，税种名称，</w:t>
            </w:r>
            <w:r>
              <w:rPr>
                <w:rFonts w:ascii="宋体" w:hAnsi="宋体" w:eastAsia="宋体" w:cs="Times New Roman"/>
                <w:b/>
                <w:bCs/>
                <w:color w:val="auto"/>
                <w:kern w:val="0"/>
                <w:szCs w:val="21"/>
                <w:highlight w:val="none"/>
              </w:rPr>
              <w:t>反映纳税月份</w:t>
            </w:r>
            <w:r>
              <w:rPr>
                <w:rFonts w:hint="eastAsia" w:ascii="宋体" w:hAnsi="宋体" w:eastAsia="宋体" w:cs="Times New Roman"/>
                <w:b/>
                <w:color w:val="auto"/>
                <w:kern w:val="0"/>
                <w:szCs w:val="21"/>
                <w:highlight w:val="none"/>
              </w:rPr>
              <w:t>等内容）</w:t>
            </w:r>
            <w:r>
              <w:rPr>
                <w:rFonts w:hint="eastAsia" w:ascii="宋体" w:hAnsi="宋体" w:eastAsia="宋体" w:cs="Times New Roman"/>
                <w:color w:val="auto"/>
                <w:kern w:val="0"/>
                <w:szCs w:val="21"/>
                <w:highlight w:val="none"/>
              </w:rPr>
              <w:t>（成立不足3个月的供应商按实际情况提供,如无缴纳记录则提供相关成立证明；无纳税记录的，应提供投标人所在地的税务部门出具的依法纳税或依法免税证明复印件。）；</w:t>
            </w:r>
            <w:r>
              <w:rPr>
                <w:rFonts w:hint="eastAsia" w:ascii="宋体" w:hAnsi="宋体" w:eastAsia="宋体" w:cs="Times New Roman"/>
                <w:b/>
                <w:color w:val="auto"/>
                <w:kern w:val="0"/>
                <w:szCs w:val="21"/>
                <w:highlight w:val="none"/>
              </w:rPr>
              <w:t>[必须提供]</w:t>
            </w:r>
          </w:p>
          <w:p>
            <w:pPr>
              <w:widowControl/>
              <w:spacing w:line="400" w:lineRule="exact"/>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）竞标人2021年1月至今任意连续三个月依法缴纳社保的缴费证明复印件</w:t>
            </w: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需社保部门出具的收款凭证或人员参保证明等，</w:t>
            </w:r>
            <w:r>
              <w:rPr>
                <w:rFonts w:hint="eastAsia" w:ascii="宋体" w:hAnsi="宋体" w:eastAsia="宋体" w:cs="Times New Roman"/>
                <w:b/>
                <w:color w:val="auto"/>
                <w:kern w:val="0"/>
                <w:szCs w:val="21"/>
                <w:highlight w:val="none"/>
              </w:rPr>
              <w:t>如为非社保部门开具的凭证或回单的，需完整反映：付款人名称（并在指定位置盖章）、帐号，社保机关名称，缴款金额，</w:t>
            </w:r>
            <w:r>
              <w:rPr>
                <w:rFonts w:ascii="宋体" w:hAnsi="宋体" w:eastAsia="宋体" w:cs="Times New Roman"/>
                <w:b/>
                <w:bCs/>
                <w:color w:val="auto"/>
                <w:kern w:val="0"/>
                <w:szCs w:val="21"/>
                <w:highlight w:val="none"/>
              </w:rPr>
              <w:t>反映参保月份</w:t>
            </w:r>
            <w:r>
              <w:rPr>
                <w:rFonts w:hint="eastAsia" w:ascii="宋体" w:hAnsi="宋体" w:eastAsia="宋体" w:cs="Times New Roman"/>
                <w:b/>
                <w:color w:val="auto"/>
                <w:kern w:val="0"/>
                <w:szCs w:val="21"/>
                <w:highlight w:val="none"/>
              </w:rPr>
              <w:t>等内容，</w:t>
            </w:r>
            <w:r>
              <w:rPr>
                <w:rFonts w:ascii="宋体" w:hAnsi="宋体" w:eastAsia="宋体" w:cs="Times New Roman"/>
                <w:b/>
                <w:bCs/>
                <w:color w:val="auto"/>
                <w:kern w:val="0"/>
                <w:szCs w:val="21"/>
                <w:highlight w:val="none"/>
              </w:rPr>
              <w:t>须反映参保月份</w:t>
            </w:r>
            <w:r>
              <w:rPr>
                <w:rFonts w:hint="eastAsia" w:ascii="宋体" w:hAnsi="宋体" w:eastAsia="宋体" w:cs="Times New Roman"/>
                <w:b/>
                <w:bCs/>
                <w:color w:val="auto"/>
                <w:kern w:val="0"/>
                <w:szCs w:val="21"/>
                <w:highlight w:val="none"/>
              </w:rPr>
              <w:t>）</w:t>
            </w:r>
            <w:r>
              <w:rPr>
                <w:rFonts w:hint="eastAsia" w:ascii="宋体" w:hAnsi="宋体" w:eastAsia="宋体" w:cs="Times New Roman"/>
                <w:color w:val="auto"/>
                <w:kern w:val="0"/>
                <w:szCs w:val="21"/>
                <w:highlight w:val="none"/>
              </w:rPr>
              <w:t>（成立不足3个月的供应商按实际情况提供,如无缴纳记录则提供相关成立证明）；</w:t>
            </w:r>
            <w:r>
              <w:rPr>
                <w:rFonts w:hint="eastAsia" w:ascii="宋体" w:hAnsi="宋体" w:eastAsia="宋体" w:cs="Times New Roman"/>
                <w:b/>
                <w:color w:val="auto"/>
                <w:kern w:val="0"/>
                <w:szCs w:val="21"/>
                <w:highlight w:val="none"/>
              </w:rPr>
              <w:t>[必须提供]</w:t>
            </w:r>
          </w:p>
          <w:p>
            <w:pPr>
              <w:widowControl/>
              <w:spacing w:line="400" w:lineRule="exact"/>
              <w:outlineLvl w:val="1"/>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8）竞标人须提供2020年的年度财务报表复印件或银行出具的资信证明复印件；</w:t>
            </w:r>
            <w:r>
              <w:rPr>
                <w:rFonts w:hint="eastAsia" w:ascii="宋体" w:hAnsi="宋体" w:eastAsia="宋体" w:cs="Times New Roman"/>
                <w:b/>
                <w:color w:val="auto"/>
                <w:kern w:val="0"/>
                <w:szCs w:val="21"/>
                <w:highlight w:val="none"/>
              </w:rPr>
              <w:t>[必须提供，新成立的公司按实际提供]</w:t>
            </w:r>
          </w:p>
          <w:p>
            <w:pPr>
              <w:widowControl/>
              <w:spacing w:line="400" w:lineRule="exact"/>
              <w:jc w:val="left"/>
              <w:rPr>
                <w:rFonts w:ascii="宋体" w:hAnsi="宋体" w:eastAsia="宋体" w:cs="Times New Roman"/>
                <w:color w:val="auto"/>
                <w:kern w:val="0"/>
                <w:szCs w:val="20"/>
                <w:highlight w:val="none"/>
              </w:rPr>
            </w:pPr>
            <w:r>
              <w:rPr>
                <w:rFonts w:hint="eastAsia" w:ascii="宋体" w:hAnsi="宋体" w:eastAsia="宋体" w:cs="Times New Roman"/>
                <w:color w:val="auto"/>
                <w:kern w:val="0"/>
                <w:szCs w:val="20"/>
                <w:highlight w:val="none"/>
              </w:rPr>
              <w:t>9）竞标保证金缴纳凭证复印件；</w:t>
            </w:r>
            <w:r>
              <w:rPr>
                <w:rFonts w:hint="eastAsia" w:ascii="宋体" w:hAnsi="宋体" w:eastAsia="宋体" w:cs="Times New Roman"/>
                <w:b/>
                <w:color w:val="auto"/>
                <w:kern w:val="0"/>
                <w:szCs w:val="21"/>
                <w:highlight w:val="none"/>
              </w:rPr>
              <w:t>[必须提供]</w:t>
            </w:r>
          </w:p>
          <w:p>
            <w:pPr>
              <w:widowControl/>
              <w:spacing w:line="400" w:lineRule="exact"/>
              <w:jc w:val="left"/>
              <w:rPr>
                <w:rFonts w:ascii="宋体" w:hAnsi="Times New Roman" w:eastAsia="宋体" w:cs="Times New Roman"/>
                <w:bCs/>
                <w:color w:val="auto"/>
                <w:kern w:val="0"/>
                <w:szCs w:val="21"/>
                <w:highlight w:val="none"/>
              </w:rPr>
            </w:pPr>
            <w:r>
              <w:rPr>
                <w:rFonts w:hint="eastAsia" w:ascii="宋体" w:hAnsi="宋体" w:eastAsia="宋体" w:cs="Times New Roman"/>
                <w:bCs/>
                <w:color w:val="auto"/>
                <w:kern w:val="0"/>
                <w:szCs w:val="21"/>
                <w:highlight w:val="none"/>
              </w:rPr>
              <w:t>10）商务偏离表；</w:t>
            </w:r>
            <w:r>
              <w:rPr>
                <w:rFonts w:hint="eastAsia" w:ascii="宋体" w:hAnsi="宋体" w:eastAsia="宋体" w:cs="Times New Roman"/>
                <w:color w:val="auto"/>
                <w:kern w:val="0"/>
                <w:szCs w:val="21"/>
                <w:highlight w:val="none"/>
              </w:rPr>
              <w:t>（详见附件）</w:t>
            </w:r>
            <w:r>
              <w:rPr>
                <w:rFonts w:hint="eastAsia" w:ascii="宋体" w:hAnsi="宋体" w:eastAsia="宋体" w:cs="Times New Roman"/>
                <w:b/>
                <w:color w:val="auto"/>
                <w:kern w:val="0"/>
                <w:szCs w:val="21"/>
                <w:highlight w:val="none"/>
              </w:rPr>
              <w:t>[必须提供]</w:t>
            </w:r>
          </w:p>
          <w:p>
            <w:pPr>
              <w:widowControl/>
              <w:spacing w:line="400" w:lineRule="exact"/>
              <w:jc w:val="left"/>
              <w:rPr>
                <w:rFonts w:ascii="宋体" w:hAnsi="Times New Roman" w:eastAsia="宋体" w:cs="Times New Roman"/>
                <w:color w:val="auto"/>
                <w:kern w:val="0"/>
                <w:szCs w:val="21"/>
                <w:highlight w:val="none"/>
              </w:rPr>
            </w:pP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1）售后服务承诺书；</w:t>
            </w:r>
            <w:r>
              <w:rPr>
                <w:rFonts w:hint="eastAsia" w:ascii="宋体" w:hAnsi="宋体" w:eastAsia="宋体" w:cs="Times New Roman"/>
                <w:b/>
                <w:color w:val="auto"/>
                <w:kern w:val="0"/>
                <w:szCs w:val="21"/>
                <w:highlight w:val="none"/>
              </w:rPr>
              <w:t>[必须提供]</w:t>
            </w:r>
          </w:p>
          <w:p>
            <w:pPr>
              <w:widowControl/>
              <w:spacing w:line="400" w:lineRule="exact"/>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2）供应商参加政府采购活动近三年内，在经营活动中没有重大事故、违法记录的声明</w:t>
            </w:r>
            <w:r>
              <w:rPr>
                <w:rFonts w:hint="eastAsia" w:ascii="宋体" w:hAnsi="宋体" w:eastAsia="宋体" w:cs="Times New Roman"/>
                <w:b/>
                <w:color w:val="auto"/>
                <w:kern w:val="0"/>
                <w:szCs w:val="21"/>
                <w:highlight w:val="none"/>
              </w:rPr>
              <w:t>[必须提供]</w:t>
            </w:r>
          </w:p>
          <w:p>
            <w:pPr>
              <w:widowControl/>
              <w:spacing w:line="400" w:lineRule="exact"/>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13）供应商在“信用中国”(www.creditchina.gov.cn)、中国政府采购网(www.ccgp.gov.cn)”渠道查询（本项目公告后至</w:t>
            </w:r>
            <w:r>
              <w:rPr>
                <w:rFonts w:hint="eastAsia" w:ascii="宋体" w:hAnsi="宋体" w:eastAsia="宋体" w:cs="Times New Roman"/>
                <w:bCs/>
                <w:color w:val="auto"/>
                <w:kern w:val="0"/>
                <w:szCs w:val="21"/>
                <w:highlight w:val="none"/>
              </w:rPr>
              <w:t>截标日期之前</w:t>
            </w:r>
            <w:r>
              <w:rPr>
                <w:rFonts w:hint="eastAsia" w:ascii="宋体" w:hAnsi="宋体" w:eastAsia="宋体" w:cs="Times New Roman"/>
                <w:color w:val="auto"/>
                <w:kern w:val="0"/>
                <w:szCs w:val="21"/>
                <w:highlight w:val="none"/>
              </w:rPr>
              <w:t>）相关信用记录查询记录、截图（必须符合政府采购相关要求）</w:t>
            </w:r>
            <w:r>
              <w:rPr>
                <w:rFonts w:hint="eastAsia" w:ascii="Times New Roman" w:hAnsi="Times New Roman" w:eastAsia="宋体" w:cs="Times New Roman"/>
                <w:color w:val="auto"/>
                <w:kern w:val="0"/>
                <w:szCs w:val="24"/>
                <w:highlight w:val="none"/>
              </w:rPr>
              <w:t>；</w:t>
            </w:r>
            <w:r>
              <w:rPr>
                <w:rFonts w:hint="eastAsia" w:ascii="宋体" w:hAnsi="宋体" w:eastAsia="宋体" w:cs="Times New Roman"/>
                <w:b/>
                <w:color w:val="auto"/>
                <w:kern w:val="0"/>
                <w:szCs w:val="21"/>
                <w:highlight w:val="none"/>
              </w:rPr>
              <w:t>(提交查询结果截图，加盖公章)</w:t>
            </w:r>
          </w:p>
          <w:p>
            <w:pPr>
              <w:widowControl/>
              <w:snapToGrid w:val="0"/>
              <w:spacing w:line="400" w:lineRule="exact"/>
              <w:jc w:val="left"/>
              <w:rPr>
                <w:rFonts w:ascii="宋体" w:hAnsi="Times New Roman" w:eastAsia="宋体" w:cs="Times New Roman"/>
                <w:color w:val="auto"/>
                <w:kern w:val="0"/>
                <w:szCs w:val="21"/>
                <w:highlight w:val="none"/>
              </w:rPr>
            </w:pP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4）采购文件要求的其他文件（具体按第三章要求</w:t>
            </w:r>
            <w:r>
              <w:rPr>
                <w:rFonts w:ascii="宋体" w:hAnsi="Times New Roman" w:eastAsia="宋体" w:cs="Times New Roman"/>
                <w:color w:val="auto"/>
                <w:kern w:val="0"/>
                <w:szCs w:val="21"/>
                <w:highlight w:val="none"/>
              </w:rPr>
              <w:t>,</w:t>
            </w:r>
            <w:r>
              <w:rPr>
                <w:rFonts w:hint="eastAsia" w:ascii="宋体" w:hAnsi="宋体" w:eastAsia="宋体" w:cs="Times New Roman"/>
                <w:color w:val="auto"/>
                <w:kern w:val="0"/>
                <w:szCs w:val="21"/>
                <w:highlight w:val="none"/>
              </w:rPr>
              <w:t>如有要求必须提供的则必须提供，否则竞标无效）或竞标人认为有必要提交的其他文件资料。</w:t>
            </w:r>
          </w:p>
          <w:p>
            <w:pPr>
              <w:widowControl/>
              <w:spacing w:line="400" w:lineRule="exact"/>
              <w:jc w:val="left"/>
              <w:rPr>
                <w:rFonts w:ascii="宋体" w:hAnsi="Times New Roman" w:eastAsia="宋体" w:cs="Times New Roman"/>
                <w:b/>
                <w:color w:val="auto"/>
                <w:kern w:val="0"/>
                <w:szCs w:val="21"/>
                <w:highlight w:val="none"/>
              </w:rPr>
            </w:pPr>
            <w:r>
              <w:rPr>
                <w:rFonts w:hint="eastAsia" w:ascii="宋体" w:hAnsi="宋体" w:eastAsia="宋体" w:cs="Times New Roman"/>
                <w:b/>
                <w:color w:val="auto"/>
                <w:kern w:val="0"/>
                <w:szCs w:val="21"/>
                <w:highlight w:val="none"/>
              </w:rPr>
              <w:t>7</w:t>
            </w:r>
            <w:r>
              <w:rPr>
                <w:rFonts w:ascii="宋体" w:hAnsi="宋体" w:eastAsia="宋体" w:cs="Times New Roman"/>
                <w:b/>
                <w:color w:val="auto"/>
                <w:kern w:val="0"/>
                <w:szCs w:val="21"/>
                <w:highlight w:val="none"/>
              </w:rPr>
              <w:t>.6.3</w:t>
            </w:r>
            <w:r>
              <w:rPr>
                <w:rFonts w:hint="eastAsia" w:ascii="宋体" w:hAnsi="宋体" w:eastAsia="宋体" w:cs="Times New Roman"/>
                <w:b/>
                <w:color w:val="auto"/>
                <w:kern w:val="0"/>
                <w:szCs w:val="21"/>
                <w:highlight w:val="none"/>
              </w:rPr>
              <w:t>技术部分</w:t>
            </w:r>
            <w:r>
              <w:rPr>
                <w:rFonts w:hint="eastAsia" w:ascii="宋体" w:hAnsi="宋体" w:eastAsia="宋体" w:cs="Times New Roman"/>
                <w:color w:val="auto"/>
                <w:kern w:val="0"/>
                <w:szCs w:val="21"/>
                <w:highlight w:val="none"/>
              </w:rPr>
              <w:t>（所有复印件或扫描打印件须加盖竞标人公章方为有效）</w:t>
            </w:r>
          </w:p>
          <w:p>
            <w:pPr>
              <w:widowControl/>
              <w:spacing w:line="400" w:lineRule="exact"/>
              <w:jc w:val="left"/>
              <w:rPr>
                <w:rFonts w:ascii="宋体" w:hAnsi="Times New Roman" w:eastAsia="宋体" w:cs="Times New Roman"/>
                <w:color w:val="auto"/>
                <w:kern w:val="0"/>
                <w:szCs w:val="21"/>
                <w:highlight w:val="none"/>
              </w:rPr>
            </w:pP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）技术偏离表；（详见附件）</w:t>
            </w:r>
            <w:r>
              <w:rPr>
                <w:rFonts w:hint="eastAsia" w:ascii="宋体" w:hAnsi="宋体" w:eastAsia="宋体" w:cs="宋体"/>
                <w:b/>
                <w:color w:val="auto"/>
                <w:kern w:val="0"/>
                <w:szCs w:val="21"/>
                <w:highlight w:val="none"/>
              </w:rPr>
              <w:t>（必须提供，否则竞标无效）</w:t>
            </w:r>
            <w:r>
              <w:rPr>
                <w:rFonts w:hint="eastAsia" w:ascii="宋体" w:hAnsi="宋体" w:eastAsia="宋体" w:cs="宋体"/>
                <w:color w:val="auto"/>
                <w:kern w:val="0"/>
                <w:szCs w:val="21"/>
                <w:highlight w:val="none"/>
              </w:rPr>
              <w:t>；</w:t>
            </w:r>
          </w:p>
          <w:p>
            <w:pPr>
              <w:widowControl/>
              <w:spacing w:line="400" w:lineRule="exact"/>
              <w:jc w:val="left"/>
              <w:rPr>
                <w:rFonts w:ascii="宋体" w:hAnsi="Times New Roman" w:eastAsia="宋体" w:cs="Times New Roman"/>
                <w:color w:val="auto"/>
                <w:kern w:val="0"/>
                <w:szCs w:val="21"/>
                <w:highlight w:val="none"/>
              </w:rPr>
            </w:pP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）能够真实反映其它竞标产品技术参数、性能指标的相关资料；</w:t>
            </w:r>
          </w:p>
          <w:p>
            <w:pPr>
              <w:widowControl/>
              <w:spacing w:line="400" w:lineRule="exact"/>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）采购文件要求（具体按第三章要求</w:t>
            </w:r>
            <w:r>
              <w:rPr>
                <w:rFonts w:ascii="宋体" w:hAnsi="Times New Roman" w:eastAsia="宋体" w:cs="Times New Roman"/>
                <w:color w:val="auto"/>
                <w:kern w:val="0"/>
                <w:szCs w:val="21"/>
                <w:highlight w:val="none"/>
              </w:rPr>
              <w:t>,</w:t>
            </w:r>
            <w:r>
              <w:rPr>
                <w:rFonts w:hint="eastAsia" w:ascii="宋体" w:hAnsi="宋体" w:eastAsia="宋体" w:cs="Times New Roman"/>
                <w:color w:val="auto"/>
                <w:kern w:val="0"/>
                <w:szCs w:val="21"/>
                <w:highlight w:val="none"/>
              </w:rPr>
              <w:t>如有要求必须提供的则必须提供，否则竞标无效）或谈判供应商认为需要提供的有关技术资料。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81" w:type="dxa"/>
            <w:vAlign w:val="center"/>
          </w:tcPr>
          <w:p>
            <w:pPr>
              <w:widowControl/>
              <w:spacing w:line="360" w:lineRule="exact"/>
              <w:jc w:val="center"/>
              <w:rPr>
                <w:rFonts w:ascii="宋体" w:hAnsi="宋体" w:eastAsia="宋体" w:cs="Courier New"/>
                <w:color w:val="auto"/>
                <w:kern w:val="0"/>
                <w:szCs w:val="21"/>
                <w:highlight w:val="none"/>
              </w:rPr>
            </w:pPr>
            <w:r>
              <w:rPr>
                <w:rFonts w:ascii="宋体" w:hAnsi="宋体" w:eastAsia="宋体" w:cs="Courier New"/>
                <w:color w:val="auto"/>
                <w:kern w:val="0"/>
                <w:szCs w:val="21"/>
                <w:highlight w:val="none"/>
              </w:rPr>
              <w:t>5</w:t>
            </w:r>
          </w:p>
        </w:tc>
        <w:tc>
          <w:tcPr>
            <w:tcW w:w="1582" w:type="dxa"/>
            <w:vAlign w:val="center"/>
          </w:tcPr>
          <w:p>
            <w:pPr>
              <w:widowControl/>
              <w:spacing w:line="360" w:lineRule="exact"/>
              <w:jc w:val="center"/>
              <w:rPr>
                <w:rFonts w:ascii="宋体" w:hAnsi="Times New Roman" w:eastAsia="宋体" w:cs="Times New Roman"/>
                <w:color w:val="auto"/>
                <w:kern w:val="0"/>
                <w:position w:val="-2"/>
                <w:szCs w:val="21"/>
                <w:highlight w:val="none"/>
              </w:rPr>
            </w:pPr>
            <w:r>
              <w:rPr>
                <w:rFonts w:hint="eastAsia" w:ascii="宋体" w:hAnsi="宋体" w:eastAsia="宋体" w:cs="Times New Roman"/>
                <w:color w:val="auto"/>
                <w:kern w:val="0"/>
                <w:szCs w:val="21"/>
                <w:highlight w:val="none"/>
              </w:rPr>
              <w:t>竞标报价</w:t>
            </w:r>
          </w:p>
        </w:tc>
        <w:tc>
          <w:tcPr>
            <w:tcW w:w="7072" w:type="dxa"/>
            <w:vAlign w:val="center"/>
          </w:tcPr>
          <w:p>
            <w:pPr>
              <w:widowControl/>
              <w:spacing w:line="360" w:lineRule="exact"/>
              <w:rPr>
                <w:rFonts w:ascii="宋体" w:hAnsi="Times New Roman" w:eastAsia="宋体" w:cs="Times New Roman"/>
                <w:color w:val="auto"/>
                <w:kern w:val="0"/>
                <w:szCs w:val="21"/>
                <w:highlight w:val="none"/>
              </w:rPr>
            </w:pPr>
            <w:r>
              <w:rPr>
                <w:rFonts w:hint="eastAsia"/>
                <w:color w:val="auto"/>
                <w:highlight w:val="none"/>
              </w:rPr>
              <w:t>供应商须就项目需求和说明中的所有分标货物内容作完整唯一报价。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81" w:type="dxa"/>
            <w:vAlign w:val="center"/>
          </w:tcPr>
          <w:p>
            <w:pPr>
              <w:widowControl/>
              <w:spacing w:line="360" w:lineRule="exact"/>
              <w:jc w:val="center"/>
              <w:rPr>
                <w:rFonts w:ascii="宋体" w:hAnsi="宋体" w:eastAsia="宋体" w:cs="Courier New"/>
                <w:color w:val="auto"/>
                <w:kern w:val="0"/>
                <w:szCs w:val="21"/>
                <w:highlight w:val="none"/>
              </w:rPr>
            </w:pPr>
            <w:r>
              <w:rPr>
                <w:rFonts w:ascii="宋体" w:hAnsi="宋体" w:eastAsia="宋体" w:cs="Courier New"/>
                <w:color w:val="auto"/>
                <w:kern w:val="0"/>
                <w:szCs w:val="21"/>
                <w:highlight w:val="none"/>
              </w:rPr>
              <w:t>6</w:t>
            </w:r>
          </w:p>
        </w:tc>
        <w:tc>
          <w:tcPr>
            <w:tcW w:w="1582" w:type="dxa"/>
            <w:vAlign w:val="center"/>
          </w:tcPr>
          <w:p>
            <w:pPr>
              <w:widowControl/>
              <w:spacing w:line="360" w:lineRule="exact"/>
              <w:jc w:val="center"/>
              <w:rPr>
                <w:rFonts w:ascii="宋体" w:hAnsi="Times New Roman" w:eastAsia="宋体" w:cs="Times New Roman"/>
                <w:color w:val="auto"/>
                <w:kern w:val="0"/>
                <w:position w:val="-2"/>
                <w:szCs w:val="21"/>
                <w:highlight w:val="none"/>
              </w:rPr>
            </w:pPr>
            <w:r>
              <w:rPr>
                <w:rFonts w:hint="eastAsia" w:ascii="宋体" w:hAnsi="宋体" w:eastAsia="宋体" w:cs="Times New Roman"/>
                <w:color w:val="auto"/>
                <w:kern w:val="0"/>
                <w:position w:val="-2"/>
                <w:szCs w:val="21"/>
                <w:highlight w:val="none"/>
              </w:rPr>
              <w:t>竞标有效期</w:t>
            </w:r>
          </w:p>
        </w:tc>
        <w:tc>
          <w:tcPr>
            <w:tcW w:w="7072" w:type="dxa"/>
            <w:vAlign w:val="center"/>
          </w:tcPr>
          <w:p>
            <w:pPr>
              <w:widowControl/>
              <w:tabs>
                <w:tab w:val="left" w:pos="1305"/>
              </w:tabs>
              <w:spacing w:line="360" w:lineRule="exact"/>
              <w:jc w:val="left"/>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竞标截止之日起</w:t>
            </w:r>
            <w:r>
              <w:rPr>
                <w:rFonts w:ascii="宋体" w:hAnsi="宋体" w:eastAsia="宋体" w:cs="Times New Roman"/>
                <w:color w:val="auto"/>
                <w:kern w:val="0"/>
                <w:szCs w:val="21"/>
                <w:highlight w:val="none"/>
                <w:u w:val="single"/>
              </w:rPr>
              <w:t>60</w:t>
            </w:r>
            <w:r>
              <w:rPr>
                <w:rFonts w:hint="eastAsia" w:ascii="宋体" w:hAnsi="宋体" w:eastAsia="宋体" w:cs="Times New Roman"/>
                <w:color w:val="auto"/>
                <w:kern w:val="0"/>
                <w:szCs w:val="21"/>
                <w:highlight w:val="none"/>
                <w:u w:val="single"/>
              </w:rPr>
              <w:t>天</w:t>
            </w:r>
            <w:r>
              <w:rPr>
                <w:rFonts w:hint="eastAsia" w:ascii="宋体" w:hAnsi="宋体" w:eastAsia="宋体" w:cs="Times New Roman"/>
                <w:color w:val="auto"/>
                <w:kern w:val="0"/>
                <w:szCs w:val="21"/>
                <w:highlight w:val="none"/>
              </w:rPr>
              <w:t>，有效期不足的响应文件将被拒绝。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81" w:type="dxa"/>
            <w:vAlign w:val="center"/>
          </w:tcPr>
          <w:p>
            <w:pPr>
              <w:widowControl/>
              <w:spacing w:line="360" w:lineRule="exact"/>
              <w:jc w:val="center"/>
              <w:rPr>
                <w:rFonts w:ascii="宋体" w:hAnsi="宋体" w:eastAsia="宋体" w:cs="Courier New"/>
                <w:color w:val="auto"/>
                <w:kern w:val="0"/>
                <w:szCs w:val="21"/>
                <w:highlight w:val="none"/>
              </w:rPr>
            </w:pPr>
            <w:r>
              <w:rPr>
                <w:rFonts w:ascii="宋体" w:hAnsi="宋体" w:eastAsia="宋体" w:cs="Courier New"/>
                <w:color w:val="auto"/>
                <w:kern w:val="0"/>
                <w:szCs w:val="21"/>
                <w:highlight w:val="none"/>
              </w:rPr>
              <w:t>7</w:t>
            </w:r>
          </w:p>
        </w:tc>
        <w:tc>
          <w:tcPr>
            <w:tcW w:w="1582" w:type="dxa"/>
            <w:vAlign w:val="center"/>
          </w:tcPr>
          <w:p>
            <w:pPr>
              <w:widowControl/>
              <w:spacing w:line="360" w:lineRule="exact"/>
              <w:jc w:val="center"/>
              <w:rPr>
                <w:rFonts w:ascii="宋体" w:hAnsi="Times New Roman" w:eastAsia="宋体" w:cs="Times New Roman"/>
                <w:color w:val="auto"/>
                <w:kern w:val="0"/>
                <w:position w:val="-2"/>
                <w:szCs w:val="21"/>
                <w:highlight w:val="none"/>
              </w:rPr>
            </w:pPr>
            <w:r>
              <w:rPr>
                <w:rFonts w:hint="eastAsia" w:ascii="宋体" w:hAnsi="宋体" w:eastAsia="宋体" w:cs="Times New Roman"/>
                <w:color w:val="auto"/>
                <w:kern w:val="0"/>
                <w:position w:val="-2"/>
                <w:szCs w:val="21"/>
                <w:highlight w:val="none"/>
              </w:rPr>
              <w:t>竞标保证金</w:t>
            </w:r>
          </w:p>
        </w:tc>
        <w:tc>
          <w:tcPr>
            <w:tcW w:w="7072" w:type="dxa"/>
          </w:tcPr>
          <w:p>
            <w:pPr>
              <w:widowControl/>
              <w:spacing w:line="360" w:lineRule="exact"/>
              <w:jc w:val="left"/>
              <w:rPr>
                <w:rFonts w:ascii="宋体" w:hAnsi="Times New Roman" w:eastAsia="宋体" w:cs="Times New Roman"/>
                <w:b/>
                <w:color w:val="auto"/>
                <w:kern w:val="0"/>
                <w:szCs w:val="21"/>
                <w:highlight w:val="none"/>
              </w:rPr>
            </w:pPr>
            <w:r>
              <w:rPr>
                <w:rFonts w:hint="eastAsia" w:ascii="宋体" w:hAnsi="宋体" w:eastAsia="宋体" w:cs="Times New Roman"/>
                <w:color w:val="auto"/>
                <w:szCs w:val="21"/>
                <w:highlight w:val="none"/>
              </w:rPr>
              <w:t>本项目竞标保证金为：</w:t>
            </w:r>
            <w:r>
              <w:rPr>
                <w:rFonts w:hint="eastAsia" w:ascii="宋体" w:hAnsi="宋体" w:eastAsia="宋体" w:cs="宋体"/>
                <w:b/>
                <w:color w:val="auto"/>
                <w:szCs w:val="21"/>
                <w:highlight w:val="none"/>
                <w:u w:val="single"/>
              </w:rPr>
              <w:t>贰万元整（¥20000.00）（须足额交纳）</w:t>
            </w:r>
            <w:r>
              <w:rPr>
                <w:rFonts w:hint="eastAsia" w:ascii="宋体" w:hAnsi="宋体" w:eastAsia="宋体" w:cs="Times New Roman"/>
                <w:color w:val="auto"/>
                <w:szCs w:val="21"/>
                <w:highlight w:val="none"/>
              </w:rPr>
              <w:t>,</w:t>
            </w:r>
            <w:r>
              <w:rPr>
                <w:rFonts w:hint="eastAsia" w:ascii="宋体" w:hAnsi="宋体" w:eastAsia="宋体" w:cs="Times New Roman"/>
                <w:color w:val="auto"/>
                <w:kern w:val="0"/>
                <w:szCs w:val="21"/>
                <w:highlight w:val="none"/>
              </w:rPr>
              <w:t>保证金必须从竞标人银行账户以电汇、转帐、汇票等非现金形式转出，并于截标前到达保证金账户：</w:t>
            </w:r>
          </w:p>
          <w:p>
            <w:pPr>
              <w:widowControl/>
              <w:spacing w:line="360" w:lineRule="exact"/>
              <w:rPr>
                <w:rFonts w:ascii="宋体" w:hAnsi="Times New Roman"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w:t>
            </w:r>
            <w:r>
              <w:rPr>
                <w:rFonts w:hint="eastAsia" w:ascii="宋体" w:hAnsi="宋体" w:eastAsia="宋体" w:cs="Times New Roman"/>
                <w:color w:val="auto"/>
                <w:kern w:val="0"/>
                <w:szCs w:val="21"/>
                <w:highlight w:val="none"/>
              </w:rPr>
              <w:t>广西建设工程机电设备招标中心有限公司</w:t>
            </w:r>
          </w:p>
          <w:p>
            <w:pPr>
              <w:widowControl/>
              <w:spacing w:line="360" w:lineRule="exact"/>
              <w:rPr>
                <w:rFonts w:ascii="宋体" w:hAnsi="Times New Roman" w:eastAsia="宋体" w:cs="Times New Roman"/>
                <w:color w:val="auto"/>
                <w:kern w:val="0"/>
                <w:szCs w:val="21"/>
                <w:highlight w:val="none"/>
              </w:rPr>
            </w:pPr>
            <w:r>
              <w:rPr>
                <w:rFonts w:hint="eastAsia" w:ascii="宋体" w:hAnsi="宋体" w:eastAsia="宋体" w:cs="Times New Roman"/>
                <w:b/>
                <w:color w:val="auto"/>
                <w:kern w:val="0"/>
                <w:szCs w:val="21"/>
                <w:highlight w:val="none"/>
              </w:rPr>
              <w:t>开户银行：</w:t>
            </w:r>
            <w:r>
              <w:rPr>
                <w:rFonts w:hint="eastAsia" w:ascii="宋体" w:hAnsi="宋体" w:eastAsia="宋体" w:cs="Times New Roman"/>
                <w:color w:val="auto"/>
                <w:kern w:val="0"/>
                <w:szCs w:val="21"/>
                <w:highlight w:val="none"/>
              </w:rPr>
              <w:t xml:space="preserve">招商银行南宁分行营业部   </w:t>
            </w:r>
            <w:r>
              <w:rPr>
                <w:rFonts w:hint="eastAsia" w:ascii="宋体" w:hAnsi="宋体" w:eastAsia="宋体" w:cs="Times New Roman"/>
                <w:b/>
                <w:color w:val="auto"/>
                <w:kern w:val="0"/>
                <w:szCs w:val="21"/>
                <w:highlight w:val="none"/>
              </w:rPr>
              <w:t>银行账号：</w:t>
            </w:r>
            <w:r>
              <w:rPr>
                <w:rFonts w:ascii="宋体" w:hAnsi="宋体" w:eastAsia="宋体" w:cs="Times New Roman"/>
                <w:color w:val="auto"/>
                <w:kern w:val="0"/>
                <w:szCs w:val="21"/>
                <w:highlight w:val="none"/>
              </w:rPr>
              <w:t>7719 0142 3310 201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vAlign w:val="center"/>
          </w:tcPr>
          <w:p>
            <w:pPr>
              <w:widowControl/>
              <w:spacing w:line="360" w:lineRule="exact"/>
              <w:jc w:val="center"/>
              <w:rPr>
                <w:rFonts w:ascii="宋体" w:hAnsi="宋体" w:eastAsia="宋体" w:cs="Courier New"/>
                <w:color w:val="auto"/>
                <w:kern w:val="0"/>
                <w:szCs w:val="21"/>
                <w:highlight w:val="none"/>
              </w:rPr>
            </w:pPr>
            <w:r>
              <w:rPr>
                <w:rFonts w:ascii="宋体" w:hAnsi="宋体" w:eastAsia="宋体" w:cs="Courier New"/>
                <w:color w:val="auto"/>
                <w:kern w:val="0"/>
                <w:szCs w:val="21"/>
                <w:highlight w:val="none"/>
              </w:rPr>
              <w:t>8</w:t>
            </w:r>
          </w:p>
        </w:tc>
        <w:tc>
          <w:tcPr>
            <w:tcW w:w="1582" w:type="dxa"/>
            <w:vAlign w:val="center"/>
          </w:tcPr>
          <w:p>
            <w:pPr>
              <w:widowControl/>
              <w:spacing w:line="360" w:lineRule="exact"/>
              <w:jc w:val="center"/>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响应文件份数</w:t>
            </w:r>
          </w:p>
        </w:tc>
        <w:tc>
          <w:tcPr>
            <w:tcW w:w="7072" w:type="dxa"/>
            <w:vAlign w:val="center"/>
          </w:tcPr>
          <w:p>
            <w:pPr>
              <w:widowControl/>
              <w:spacing w:line="360" w:lineRule="exact"/>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正本壹册，副本肆册</w:t>
            </w:r>
            <w:r>
              <w:rPr>
                <w:rFonts w:ascii="宋体" w:hAnsi="Times New Roman" w:eastAsia="宋体" w:cs="Times New Roman"/>
                <w:color w:val="auto"/>
                <w:kern w:val="0"/>
                <w:szCs w:val="21"/>
                <w:highlight w:val="none"/>
              </w:rPr>
              <w:t>,</w:t>
            </w:r>
            <w:r>
              <w:rPr>
                <w:rFonts w:hint="eastAsia" w:ascii="宋体" w:hAnsi="宋体" w:eastAsia="宋体" w:cs="Times New Roman"/>
                <w:color w:val="auto"/>
                <w:kern w:val="0"/>
                <w:szCs w:val="21"/>
                <w:highlight w:val="none"/>
              </w:rPr>
              <w:t>电子版响应文件壹份（</w:t>
            </w:r>
            <w:r>
              <w:rPr>
                <w:rFonts w:ascii="宋体" w:hAnsi="宋体" w:eastAsia="宋体" w:cs="Times New Roman"/>
                <w:color w:val="auto"/>
                <w:kern w:val="0"/>
                <w:szCs w:val="21"/>
                <w:highlight w:val="none"/>
              </w:rPr>
              <w:t>U</w:t>
            </w:r>
            <w:r>
              <w:rPr>
                <w:rFonts w:hint="eastAsia" w:ascii="宋体" w:hAnsi="宋体" w:eastAsia="宋体" w:cs="Times New Roman"/>
                <w:color w:val="auto"/>
                <w:kern w:val="0"/>
                <w:szCs w:val="21"/>
                <w:highlight w:val="none"/>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1" w:type="dxa"/>
            <w:vAlign w:val="center"/>
          </w:tcPr>
          <w:p>
            <w:pPr>
              <w:widowControl/>
              <w:spacing w:line="360" w:lineRule="exact"/>
              <w:jc w:val="center"/>
              <w:rPr>
                <w:rFonts w:ascii="宋体" w:hAnsi="宋体" w:eastAsia="宋体" w:cs="Courier New"/>
                <w:color w:val="auto"/>
                <w:kern w:val="0"/>
                <w:szCs w:val="21"/>
                <w:highlight w:val="none"/>
              </w:rPr>
            </w:pPr>
            <w:r>
              <w:rPr>
                <w:rFonts w:ascii="宋体" w:hAnsi="宋体" w:eastAsia="宋体" w:cs="Courier New"/>
                <w:color w:val="auto"/>
                <w:kern w:val="0"/>
                <w:szCs w:val="21"/>
                <w:highlight w:val="none"/>
              </w:rPr>
              <w:t>9</w:t>
            </w:r>
          </w:p>
        </w:tc>
        <w:tc>
          <w:tcPr>
            <w:tcW w:w="1582" w:type="dxa"/>
            <w:vAlign w:val="center"/>
          </w:tcPr>
          <w:p>
            <w:pPr>
              <w:widowControl/>
              <w:spacing w:line="360" w:lineRule="exact"/>
              <w:jc w:val="center"/>
              <w:rPr>
                <w:rFonts w:ascii="宋体" w:hAnsi="Times New Roman" w:eastAsia="宋体" w:cs="Times New Roman"/>
                <w:color w:val="auto"/>
                <w:kern w:val="0"/>
                <w:position w:val="10"/>
                <w:szCs w:val="21"/>
                <w:highlight w:val="none"/>
              </w:rPr>
            </w:pPr>
            <w:r>
              <w:rPr>
                <w:rFonts w:hint="eastAsia" w:ascii="宋体" w:hAnsi="宋体" w:eastAsia="宋体" w:cs="Times New Roman"/>
                <w:color w:val="auto"/>
                <w:kern w:val="0"/>
                <w:szCs w:val="21"/>
                <w:highlight w:val="none"/>
              </w:rPr>
              <w:t>响应文件装订要求</w:t>
            </w:r>
          </w:p>
        </w:tc>
        <w:tc>
          <w:tcPr>
            <w:tcW w:w="7072" w:type="dxa"/>
            <w:vAlign w:val="center"/>
          </w:tcPr>
          <w:p>
            <w:pPr>
              <w:widowControl/>
              <w:spacing w:line="360" w:lineRule="exact"/>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竞标人应按竞标人须知“响应文件组成”规定的顺序自编目录及页码，响应文件的“正本”、“副本”应当单独装订成册并标注页码，装订应牢固，不易拆散和换页。封面应注明“正本”、“副本”字样，封面上写明项目名称、项目编号、采购代理机构、竞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1" w:type="dxa"/>
            <w:vAlign w:val="center"/>
          </w:tcPr>
          <w:p>
            <w:pPr>
              <w:widowControl/>
              <w:spacing w:line="360" w:lineRule="exact"/>
              <w:jc w:val="center"/>
              <w:rPr>
                <w:rFonts w:ascii="宋体" w:hAnsi="宋体" w:eastAsia="宋体" w:cs="Courier New"/>
                <w:color w:val="auto"/>
                <w:kern w:val="0"/>
                <w:szCs w:val="21"/>
                <w:highlight w:val="none"/>
              </w:rPr>
            </w:pPr>
            <w:r>
              <w:rPr>
                <w:rFonts w:ascii="宋体" w:hAnsi="宋体" w:eastAsia="宋体" w:cs="Courier New"/>
                <w:color w:val="auto"/>
                <w:kern w:val="0"/>
                <w:szCs w:val="21"/>
                <w:highlight w:val="none"/>
              </w:rPr>
              <w:t>10</w:t>
            </w:r>
          </w:p>
        </w:tc>
        <w:tc>
          <w:tcPr>
            <w:tcW w:w="1582" w:type="dxa"/>
            <w:vAlign w:val="center"/>
          </w:tcPr>
          <w:p>
            <w:pPr>
              <w:widowControl/>
              <w:spacing w:line="360" w:lineRule="exact"/>
              <w:jc w:val="center"/>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响应文件包装、密封、标记</w:t>
            </w:r>
          </w:p>
        </w:tc>
        <w:tc>
          <w:tcPr>
            <w:tcW w:w="7072" w:type="dxa"/>
            <w:vAlign w:val="center"/>
          </w:tcPr>
          <w:p>
            <w:pPr>
              <w:widowControl/>
              <w:spacing w:line="360" w:lineRule="exact"/>
              <w:rPr>
                <w:rFonts w:ascii="宋体" w:hAnsi="Times New Roman" w:eastAsia="宋体" w:cs="Times New Roman"/>
                <w:color w:val="auto"/>
                <w:kern w:val="0"/>
                <w:szCs w:val="21"/>
                <w:highlight w:val="none"/>
              </w:rPr>
            </w:pPr>
            <w:r>
              <w:rPr>
                <w:rFonts w:hint="eastAsia" w:ascii="宋体" w:hAnsi="宋体" w:eastAsia="宋体" w:cs="Times New Roman"/>
                <w:b/>
                <w:color w:val="auto"/>
                <w:kern w:val="0"/>
                <w:szCs w:val="21"/>
                <w:highlight w:val="none"/>
              </w:rPr>
              <w:t>响应文件包装、密封：</w:t>
            </w:r>
            <w:r>
              <w:rPr>
                <w:rFonts w:hint="eastAsia" w:ascii="宋体" w:hAnsi="宋体" w:eastAsia="宋体" w:cs="宋体"/>
                <w:color w:val="auto"/>
                <w:kern w:val="0"/>
                <w:szCs w:val="21"/>
                <w:highlight w:val="none"/>
              </w:rPr>
              <w:t>竞标人须将响应文件“正本”、“副本”以及电子版响应文件一并装入并密封在一个响应文件袋（盒、箱）中，并在密封处密封签章（公章、密封章、法定代表人或其授权委托代理人签字均可）。</w:t>
            </w:r>
          </w:p>
          <w:p>
            <w:pPr>
              <w:widowControl/>
              <w:spacing w:line="360" w:lineRule="exact"/>
              <w:rPr>
                <w:rFonts w:ascii="宋体" w:hAnsi="Times New Roman" w:eastAsia="宋体" w:cs="Times New Roman"/>
                <w:color w:val="auto"/>
                <w:kern w:val="0"/>
                <w:szCs w:val="21"/>
                <w:highlight w:val="none"/>
              </w:rPr>
            </w:pPr>
            <w:r>
              <w:rPr>
                <w:rFonts w:hint="eastAsia" w:ascii="宋体" w:hAnsi="宋体" w:eastAsia="宋体" w:cs="Times New Roman"/>
                <w:b/>
                <w:color w:val="auto"/>
                <w:kern w:val="0"/>
                <w:szCs w:val="21"/>
                <w:highlight w:val="none"/>
              </w:rPr>
              <w:t>响应文件袋标记：</w:t>
            </w:r>
            <w:r>
              <w:rPr>
                <w:rFonts w:hint="eastAsia" w:ascii="宋体" w:hAnsi="宋体" w:eastAsia="宋体" w:cs="Times New Roman"/>
                <w:color w:val="auto"/>
                <w:kern w:val="0"/>
                <w:szCs w:val="21"/>
                <w:highlight w:val="none"/>
              </w:rPr>
              <w:t>详见竞标人须知  11.2</w:t>
            </w:r>
            <w:r>
              <w:rPr>
                <w:rFonts w:ascii="宋体" w:hAnsi="宋体" w:eastAsia="宋体" w:cs="Times New Roman"/>
                <w:b/>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81" w:type="dxa"/>
            <w:vAlign w:val="center"/>
          </w:tcPr>
          <w:p>
            <w:pPr>
              <w:widowControl/>
              <w:spacing w:line="360" w:lineRule="exact"/>
              <w:jc w:val="center"/>
              <w:rPr>
                <w:rFonts w:ascii="宋体" w:hAnsi="宋体" w:eastAsia="宋体" w:cs="Courier New"/>
                <w:color w:val="auto"/>
                <w:kern w:val="0"/>
                <w:szCs w:val="21"/>
                <w:highlight w:val="none"/>
              </w:rPr>
            </w:pPr>
            <w:r>
              <w:rPr>
                <w:rFonts w:ascii="宋体" w:hAnsi="宋体" w:eastAsia="宋体" w:cs="Courier New"/>
                <w:color w:val="auto"/>
                <w:kern w:val="0"/>
                <w:szCs w:val="21"/>
                <w:highlight w:val="none"/>
              </w:rPr>
              <w:t>11</w:t>
            </w:r>
          </w:p>
        </w:tc>
        <w:tc>
          <w:tcPr>
            <w:tcW w:w="1582" w:type="dxa"/>
            <w:vAlign w:val="center"/>
          </w:tcPr>
          <w:p>
            <w:pPr>
              <w:widowControl/>
              <w:spacing w:line="360" w:lineRule="exact"/>
              <w:jc w:val="center"/>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竞标人公章</w:t>
            </w:r>
          </w:p>
        </w:tc>
        <w:tc>
          <w:tcPr>
            <w:tcW w:w="7072" w:type="dxa"/>
            <w:vAlign w:val="center"/>
          </w:tcPr>
          <w:p>
            <w:pPr>
              <w:widowControl/>
              <w:spacing w:line="360" w:lineRule="exact"/>
              <w:rPr>
                <w:rFonts w:ascii="宋体" w:hAnsi="Times New Roman" w:eastAsia="宋体" w:cs="Times New Roman"/>
                <w:color w:val="auto"/>
                <w:kern w:val="0"/>
                <w:szCs w:val="21"/>
                <w:highlight w:val="none"/>
              </w:rPr>
            </w:pPr>
            <w:r>
              <w:rPr>
                <w:rFonts w:hint="eastAsia" w:ascii="宋体" w:hAnsi="宋体" w:eastAsia="宋体" w:cs="宋体"/>
                <w:color w:val="auto"/>
                <w:kern w:val="0"/>
                <w:szCs w:val="21"/>
                <w:highlight w:val="none"/>
              </w:rPr>
              <w:t>本竞争性谈判采购文件中描述竞标人的</w:t>
            </w:r>
            <w:r>
              <w:rPr>
                <w:rFonts w:hint="eastAsia" w:ascii="宋体" w:hAnsi="Times New Roman" w:eastAsia="宋体" w:cs="宋体"/>
                <w:color w:val="auto"/>
                <w:kern w:val="0"/>
                <w:szCs w:val="21"/>
                <w:highlight w:val="none"/>
              </w:rPr>
              <w:t>“</w:t>
            </w:r>
            <w:r>
              <w:rPr>
                <w:rFonts w:hint="eastAsia" w:ascii="宋体" w:hAnsi="宋体" w:eastAsia="宋体" w:cs="宋体"/>
                <w:color w:val="auto"/>
                <w:kern w:val="0"/>
                <w:szCs w:val="21"/>
                <w:highlight w:val="none"/>
              </w:rPr>
              <w:t>公章</w:t>
            </w:r>
            <w:r>
              <w:rPr>
                <w:rFonts w:hint="eastAsia" w:ascii="宋体" w:hAnsi="Times New Roman" w:eastAsia="宋体" w:cs="宋体"/>
                <w:color w:val="auto"/>
                <w:kern w:val="0"/>
                <w:szCs w:val="21"/>
                <w:highlight w:val="none"/>
              </w:rPr>
              <w:t>”</w:t>
            </w:r>
            <w:r>
              <w:rPr>
                <w:rFonts w:hint="eastAsia" w:ascii="宋体" w:hAnsi="宋体" w:eastAsia="宋体" w:cs="宋体"/>
                <w:color w:val="auto"/>
                <w:kern w:val="0"/>
                <w:szCs w:val="21"/>
                <w:highlight w:val="none"/>
              </w:rPr>
              <w:t>是指根据我国对公章的管理规定，用竞标人法定主体行为名称制作的印章，除本文件有特殊规定外，竞标人的财务章、部门章、分公司章、工会章、合同章、投标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81" w:type="dxa"/>
            <w:vAlign w:val="center"/>
          </w:tcPr>
          <w:p>
            <w:pPr>
              <w:widowControl/>
              <w:spacing w:line="360" w:lineRule="exact"/>
              <w:jc w:val="center"/>
              <w:rPr>
                <w:rFonts w:ascii="宋体" w:hAnsi="宋体" w:eastAsia="宋体" w:cs="Courier New"/>
                <w:color w:val="auto"/>
                <w:kern w:val="0"/>
                <w:szCs w:val="21"/>
                <w:highlight w:val="none"/>
              </w:rPr>
            </w:pPr>
            <w:r>
              <w:rPr>
                <w:rFonts w:ascii="宋体" w:hAnsi="宋体" w:eastAsia="宋体" w:cs="Courier New"/>
                <w:color w:val="auto"/>
                <w:kern w:val="0"/>
                <w:szCs w:val="21"/>
                <w:highlight w:val="none"/>
              </w:rPr>
              <w:t>12</w:t>
            </w:r>
          </w:p>
        </w:tc>
        <w:tc>
          <w:tcPr>
            <w:tcW w:w="1582" w:type="dxa"/>
            <w:vAlign w:val="center"/>
          </w:tcPr>
          <w:p>
            <w:pPr>
              <w:widowControl/>
              <w:spacing w:line="360" w:lineRule="exact"/>
              <w:jc w:val="center"/>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响应文件提交截止时间、地点</w:t>
            </w:r>
          </w:p>
        </w:tc>
        <w:tc>
          <w:tcPr>
            <w:tcW w:w="7072" w:type="dxa"/>
            <w:vAlign w:val="center"/>
          </w:tcPr>
          <w:p>
            <w:pPr>
              <w:widowControl/>
              <w:spacing w:line="360" w:lineRule="exact"/>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时间及地点：</w:t>
            </w:r>
            <w:r>
              <w:rPr>
                <w:rFonts w:hint="eastAsia" w:ascii="宋体" w:hAnsi="宋体" w:eastAsia="宋体" w:cs="Times New Roman"/>
                <w:color w:val="auto"/>
                <w:kern w:val="0"/>
                <w:szCs w:val="21"/>
                <w:highlight w:val="none"/>
                <w:u w:val="single"/>
              </w:rPr>
              <w:t>详见竞争性谈判公告。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81" w:type="dxa"/>
            <w:vAlign w:val="center"/>
          </w:tcPr>
          <w:p>
            <w:pPr>
              <w:widowControl/>
              <w:spacing w:line="360" w:lineRule="exact"/>
              <w:jc w:val="center"/>
              <w:rPr>
                <w:rFonts w:ascii="宋体" w:hAnsi="宋体" w:eastAsia="宋体" w:cs="Courier New"/>
                <w:color w:val="auto"/>
                <w:kern w:val="0"/>
                <w:szCs w:val="21"/>
                <w:highlight w:val="none"/>
              </w:rPr>
            </w:pPr>
            <w:r>
              <w:rPr>
                <w:rFonts w:ascii="宋体" w:hAnsi="宋体" w:eastAsia="宋体" w:cs="Courier New"/>
                <w:color w:val="auto"/>
                <w:kern w:val="0"/>
                <w:szCs w:val="21"/>
                <w:highlight w:val="none"/>
              </w:rPr>
              <w:t>1</w:t>
            </w:r>
            <w:r>
              <w:rPr>
                <w:rFonts w:hint="eastAsia" w:ascii="宋体" w:hAnsi="宋体" w:eastAsia="宋体" w:cs="Courier New"/>
                <w:color w:val="auto"/>
                <w:kern w:val="0"/>
                <w:szCs w:val="21"/>
                <w:highlight w:val="none"/>
              </w:rPr>
              <w:t>3</w:t>
            </w:r>
          </w:p>
        </w:tc>
        <w:tc>
          <w:tcPr>
            <w:tcW w:w="1582" w:type="dxa"/>
            <w:vAlign w:val="center"/>
          </w:tcPr>
          <w:p>
            <w:pPr>
              <w:widowControl/>
              <w:spacing w:line="360" w:lineRule="exact"/>
              <w:jc w:val="center"/>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谈判时间、地点、人员</w:t>
            </w:r>
          </w:p>
        </w:tc>
        <w:tc>
          <w:tcPr>
            <w:tcW w:w="7072" w:type="dxa"/>
          </w:tcPr>
          <w:p>
            <w:pPr>
              <w:widowControl/>
              <w:spacing w:line="360" w:lineRule="exact"/>
              <w:ind w:left="315" w:hanging="315" w:hangingChars="150"/>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谈判时间：竞标截止时间后，具体时间由采购代理机构另行通知。</w:t>
            </w:r>
          </w:p>
          <w:p>
            <w:pPr>
              <w:widowControl/>
              <w:tabs>
                <w:tab w:val="left" w:pos="1140"/>
              </w:tabs>
              <w:spacing w:line="360" w:lineRule="exact"/>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谈判地点：</w:t>
            </w:r>
            <w:r>
              <w:rPr>
                <w:rFonts w:hint="eastAsia" w:ascii="宋体" w:hAnsi="宋体" w:eastAsia="宋体" w:cs="宋体"/>
                <w:color w:val="auto"/>
                <w:kern w:val="0"/>
                <w:szCs w:val="21"/>
                <w:highlight w:val="none"/>
                <w:u w:val="single"/>
              </w:rPr>
              <w:t>广西建设工程机电设备招标中心有限公司评标室（南宁市青秀区金湖北路52-1号东方曼哈顿三楼广西国资招投标中心）</w:t>
            </w:r>
            <w:r>
              <w:rPr>
                <w:rFonts w:hint="eastAsia" w:ascii="宋体" w:hAnsi="宋体" w:eastAsia="宋体" w:cs="Times New Roman"/>
                <w:color w:val="auto"/>
                <w:kern w:val="0"/>
                <w:szCs w:val="24"/>
                <w:highlight w:val="none"/>
                <w:u w:val="single"/>
              </w:rPr>
              <w:t>（以具体通知为准）</w:t>
            </w:r>
          </w:p>
          <w:p>
            <w:pPr>
              <w:widowControl/>
              <w:spacing w:line="360" w:lineRule="exact"/>
              <w:rPr>
                <w:rFonts w:ascii="宋体" w:hAnsi="Times New Roman" w:eastAsia="宋体" w:cs="Times New Roman"/>
                <w:b/>
                <w:color w:val="auto"/>
                <w:kern w:val="0"/>
                <w:szCs w:val="21"/>
                <w:highlight w:val="none"/>
              </w:rPr>
            </w:pPr>
            <w:r>
              <w:rPr>
                <w:rFonts w:hint="eastAsia" w:ascii="宋体" w:hAnsi="宋体" w:eastAsia="宋体" w:cs="Times New Roman"/>
                <w:color w:val="auto"/>
                <w:kern w:val="0"/>
                <w:szCs w:val="21"/>
                <w:highlight w:val="none"/>
              </w:rPr>
              <w:t>谈判参加人员：竞标人法定代表人或委托代理人持有效身份证原件参加谈判。请竞标人按时到达指定地点等候当面谈判。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81" w:type="dxa"/>
            <w:vAlign w:val="center"/>
          </w:tcPr>
          <w:p>
            <w:pPr>
              <w:widowControl/>
              <w:spacing w:line="360" w:lineRule="exact"/>
              <w:jc w:val="center"/>
              <w:rPr>
                <w:rFonts w:ascii="宋体" w:hAnsi="宋体" w:eastAsia="宋体" w:cs="Courier New"/>
                <w:color w:val="auto"/>
                <w:kern w:val="0"/>
                <w:szCs w:val="21"/>
                <w:highlight w:val="none"/>
              </w:rPr>
            </w:pPr>
            <w:r>
              <w:rPr>
                <w:rFonts w:hint="eastAsia" w:ascii="宋体" w:hAnsi="宋体" w:eastAsia="宋体" w:cs="Courier New"/>
                <w:color w:val="auto"/>
                <w:kern w:val="0"/>
                <w:szCs w:val="21"/>
                <w:highlight w:val="none"/>
              </w:rPr>
              <w:t>14</w:t>
            </w:r>
          </w:p>
        </w:tc>
        <w:tc>
          <w:tcPr>
            <w:tcW w:w="1582" w:type="dxa"/>
            <w:vAlign w:val="center"/>
          </w:tcPr>
          <w:p>
            <w:pPr>
              <w:widowControl/>
              <w:spacing w:line="360" w:lineRule="exact"/>
              <w:jc w:val="center"/>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澄清或者修改</w:t>
            </w:r>
          </w:p>
        </w:tc>
        <w:tc>
          <w:tcPr>
            <w:tcW w:w="7072" w:type="dxa"/>
          </w:tcPr>
          <w:p>
            <w:pPr>
              <w:widowControl/>
              <w:spacing w:line="360" w:lineRule="exact"/>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澄清或者修改的内容可能影响响应文件编制的，采购人、采购代理机构应当在提交首次响应文件截止时间至少</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个工作日前，以书面形式通知所有获取谈判文件的供应商，不足</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个工作日的，将顺延提交首次响应文件截止时间。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81" w:type="dxa"/>
            <w:vAlign w:val="center"/>
          </w:tcPr>
          <w:p>
            <w:pPr>
              <w:widowControl/>
              <w:spacing w:line="360" w:lineRule="exact"/>
              <w:jc w:val="center"/>
              <w:rPr>
                <w:rFonts w:ascii="宋体" w:hAnsi="宋体" w:eastAsia="宋体" w:cs="Courier New"/>
                <w:color w:val="auto"/>
                <w:kern w:val="0"/>
                <w:szCs w:val="21"/>
                <w:highlight w:val="none"/>
              </w:rPr>
            </w:pPr>
            <w:r>
              <w:rPr>
                <w:rFonts w:ascii="宋体" w:hAnsi="宋体" w:eastAsia="宋体" w:cs="Courier New"/>
                <w:color w:val="auto"/>
                <w:kern w:val="0"/>
                <w:szCs w:val="21"/>
                <w:highlight w:val="none"/>
              </w:rPr>
              <w:t>15</w:t>
            </w:r>
          </w:p>
        </w:tc>
        <w:tc>
          <w:tcPr>
            <w:tcW w:w="1582" w:type="dxa"/>
            <w:vAlign w:val="center"/>
          </w:tcPr>
          <w:p>
            <w:pPr>
              <w:widowControl/>
              <w:spacing w:line="360" w:lineRule="exact"/>
              <w:jc w:val="center"/>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签订合同时间</w:t>
            </w:r>
          </w:p>
        </w:tc>
        <w:tc>
          <w:tcPr>
            <w:tcW w:w="7072" w:type="dxa"/>
          </w:tcPr>
          <w:p>
            <w:pPr>
              <w:widowControl/>
              <w:spacing w:line="360" w:lineRule="exact"/>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成交通知书发出之日起25个日历日内。成交供应商领取成交通知书后，应按规定与采购人签订合同。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81" w:type="dxa"/>
            <w:vAlign w:val="center"/>
          </w:tcPr>
          <w:p>
            <w:pPr>
              <w:widowControl/>
              <w:spacing w:line="360" w:lineRule="exact"/>
              <w:jc w:val="center"/>
              <w:rPr>
                <w:rFonts w:ascii="宋体" w:hAnsi="宋体" w:eastAsia="宋体" w:cs="Courier New"/>
                <w:color w:val="auto"/>
                <w:kern w:val="0"/>
                <w:szCs w:val="21"/>
                <w:highlight w:val="none"/>
              </w:rPr>
            </w:pPr>
            <w:r>
              <w:rPr>
                <w:rFonts w:ascii="宋体" w:hAnsi="宋体" w:eastAsia="宋体" w:cs="Courier New"/>
                <w:color w:val="auto"/>
                <w:kern w:val="0"/>
                <w:szCs w:val="21"/>
                <w:highlight w:val="none"/>
              </w:rPr>
              <w:t>16</w:t>
            </w:r>
          </w:p>
        </w:tc>
        <w:tc>
          <w:tcPr>
            <w:tcW w:w="1582" w:type="dxa"/>
            <w:vAlign w:val="center"/>
          </w:tcPr>
          <w:p>
            <w:pPr>
              <w:widowControl/>
              <w:spacing w:line="360" w:lineRule="exact"/>
              <w:jc w:val="center"/>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代理服务费</w:t>
            </w:r>
          </w:p>
        </w:tc>
        <w:tc>
          <w:tcPr>
            <w:tcW w:w="7072" w:type="dxa"/>
            <w:vAlign w:val="center"/>
          </w:tcPr>
          <w:p>
            <w:pPr>
              <w:widowControl/>
              <w:spacing w:line="360" w:lineRule="exact"/>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本项目代理服务费按本项目代理协议书约定向成交供应商收取，领取成交通知书前，成交供应商应向采购代理机构一次付清代理服务费，否则，采购人将视之为违约，取消该成交结果并不予退还成交供应商已提交的全部竞标保证金，代理服务费账户：</w:t>
            </w:r>
          </w:p>
          <w:p>
            <w:pPr>
              <w:widowControl/>
              <w:spacing w:line="360" w:lineRule="exact"/>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开户名称：广西建设工程机电设备招标中心有限公司</w:t>
            </w:r>
          </w:p>
          <w:p>
            <w:pPr>
              <w:widowControl/>
              <w:spacing w:line="360" w:lineRule="exact"/>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开户银行：招商银行南宁分行营业部    银行账号：</w:t>
            </w:r>
            <w:r>
              <w:rPr>
                <w:rFonts w:ascii="宋体" w:hAnsi="宋体" w:eastAsia="宋体" w:cs="Times New Roman"/>
                <w:color w:val="auto"/>
                <w:kern w:val="0"/>
                <w:szCs w:val="21"/>
                <w:highlight w:val="none"/>
              </w:rPr>
              <w:t>7719 0142 3310 201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81" w:type="dxa"/>
            <w:vAlign w:val="center"/>
          </w:tcPr>
          <w:p>
            <w:pPr>
              <w:widowControl/>
              <w:spacing w:line="360" w:lineRule="exact"/>
              <w:jc w:val="center"/>
              <w:rPr>
                <w:rFonts w:ascii="宋体" w:hAnsi="宋体" w:eastAsia="宋体" w:cs="Courier New"/>
                <w:color w:val="auto"/>
                <w:kern w:val="0"/>
                <w:szCs w:val="21"/>
                <w:highlight w:val="none"/>
              </w:rPr>
            </w:pPr>
            <w:r>
              <w:rPr>
                <w:rFonts w:ascii="宋体" w:hAnsi="宋体" w:eastAsia="宋体" w:cs="Courier New"/>
                <w:color w:val="auto"/>
                <w:kern w:val="0"/>
                <w:szCs w:val="21"/>
                <w:highlight w:val="none"/>
              </w:rPr>
              <w:t>17</w:t>
            </w:r>
          </w:p>
        </w:tc>
        <w:tc>
          <w:tcPr>
            <w:tcW w:w="1582" w:type="dxa"/>
            <w:vAlign w:val="center"/>
          </w:tcPr>
          <w:p>
            <w:pPr>
              <w:widowControl/>
              <w:autoSpaceDE w:val="0"/>
              <w:autoSpaceDN w:val="0"/>
              <w:spacing w:line="360" w:lineRule="exact"/>
              <w:jc w:val="center"/>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需要补充的其他内容</w:t>
            </w:r>
          </w:p>
        </w:tc>
        <w:tc>
          <w:tcPr>
            <w:tcW w:w="7072" w:type="dxa"/>
            <w:vAlign w:val="center"/>
          </w:tcPr>
          <w:p>
            <w:pPr>
              <w:widowControl/>
              <w:spacing w:line="360" w:lineRule="exact"/>
              <w:rPr>
                <w:rFonts w:ascii="宋体" w:hAnsi="宋体" w:eastAsia="宋体" w:cs="Courier New"/>
                <w:color w:val="auto"/>
                <w:kern w:val="0"/>
                <w:szCs w:val="21"/>
                <w:highlight w:val="none"/>
              </w:rPr>
            </w:pPr>
            <w:r>
              <w:rPr>
                <w:rFonts w:hint="eastAsia" w:ascii="宋体" w:hAnsi="宋体" w:eastAsia="宋体" w:cs="Courier New"/>
                <w:color w:val="auto"/>
                <w:kern w:val="0"/>
                <w:szCs w:val="21"/>
                <w:highlight w:val="none"/>
              </w:rPr>
              <w:t>谈判小组可能对技术服务、合同条款、价格等实质性内容进行谈判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1" w:type="dxa"/>
            <w:vAlign w:val="center"/>
          </w:tcPr>
          <w:p>
            <w:pPr>
              <w:widowControl/>
              <w:spacing w:line="360" w:lineRule="exact"/>
              <w:jc w:val="center"/>
              <w:rPr>
                <w:rFonts w:ascii="宋体" w:hAnsi="宋体" w:eastAsia="宋体" w:cs="Courier New"/>
                <w:color w:val="auto"/>
                <w:kern w:val="0"/>
                <w:szCs w:val="21"/>
                <w:highlight w:val="none"/>
              </w:rPr>
            </w:pPr>
            <w:r>
              <w:rPr>
                <w:rFonts w:ascii="宋体" w:hAnsi="宋体" w:eastAsia="宋体" w:cs="Courier New"/>
                <w:color w:val="auto"/>
                <w:kern w:val="0"/>
                <w:szCs w:val="21"/>
                <w:highlight w:val="none"/>
              </w:rPr>
              <w:t>18</w:t>
            </w:r>
          </w:p>
        </w:tc>
        <w:tc>
          <w:tcPr>
            <w:tcW w:w="1582" w:type="dxa"/>
            <w:vAlign w:val="center"/>
          </w:tcPr>
          <w:p>
            <w:pPr>
              <w:widowControl/>
              <w:spacing w:line="360" w:lineRule="exact"/>
              <w:jc w:val="center"/>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解释权</w:t>
            </w:r>
          </w:p>
        </w:tc>
        <w:tc>
          <w:tcPr>
            <w:tcW w:w="7072" w:type="dxa"/>
            <w:vAlign w:val="center"/>
          </w:tcPr>
          <w:p>
            <w:pPr>
              <w:widowControl/>
              <w:spacing w:line="360" w:lineRule="exact"/>
              <w:jc w:val="left"/>
              <w:rPr>
                <w:rFonts w:ascii="宋体"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本竞争性谈判文件的解释权属于招标代理机构。</w:t>
            </w:r>
          </w:p>
        </w:tc>
      </w:tr>
    </w:tbl>
    <w:p>
      <w:pPr>
        <w:widowControl/>
        <w:rPr>
          <w:rFonts w:ascii="Times New Roman" w:hAnsi="Times New Roman" w:eastAsia="宋体" w:cs="Times New Roman"/>
          <w:color w:val="auto"/>
          <w:kern w:val="0"/>
          <w:szCs w:val="21"/>
          <w:highlight w:val="none"/>
        </w:rPr>
      </w:pPr>
    </w:p>
    <w:p>
      <w:pPr>
        <w:keepNext/>
        <w:keepLines/>
        <w:widowControl/>
        <w:spacing w:before="120" w:beforeLines="50" w:after="120" w:afterLines="50" w:line="460" w:lineRule="exact"/>
        <w:jc w:val="center"/>
        <w:outlineLvl w:val="1"/>
        <w:rPr>
          <w:rFonts w:ascii="宋体" w:hAnsi="宋体" w:eastAsia="宋体" w:cs="Times New Roman"/>
          <w:b/>
          <w:bCs/>
          <w:color w:val="auto"/>
          <w:kern w:val="0"/>
          <w:sz w:val="24"/>
          <w:szCs w:val="32"/>
          <w:highlight w:val="none"/>
        </w:rPr>
      </w:pPr>
      <w:r>
        <w:rPr>
          <w:rFonts w:ascii="Times New Roman" w:hAnsi="Times New Roman" w:eastAsia="宋体" w:cs="Times New Roman"/>
          <w:color w:val="auto"/>
          <w:kern w:val="0"/>
          <w:szCs w:val="21"/>
          <w:highlight w:val="none"/>
        </w:rPr>
        <w:br w:type="page"/>
      </w:r>
      <w:r>
        <w:rPr>
          <w:rFonts w:hint="eastAsia" w:ascii="宋体" w:hAnsi="宋体" w:eastAsia="宋体" w:cs="Times New Roman"/>
          <w:b/>
          <w:bCs/>
          <w:color w:val="auto"/>
          <w:kern w:val="0"/>
          <w:sz w:val="24"/>
          <w:szCs w:val="32"/>
          <w:highlight w:val="none"/>
        </w:rPr>
        <w:t>一、总则</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1、适用范围</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1.1</w:t>
      </w:r>
      <w:r>
        <w:rPr>
          <w:rFonts w:ascii="宋体" w:hAnsi="宋体" w:eastAsia="宋体" w:cs="Times New Roman"/>
          <w:bCs/>
          <w:color w:val="auto"/>
          <w:szCs w:val="21"/>
          <w:highlight w:val="none"/>
        </w:rPr>
        <w:t>适用范围：本文件仅适用于本文件中所叙述的货物、服务类采购项目。</w:t>
      </w:r>
    </w:p>
    <w:p>
      <w:pPr>
        <w:spacing w:line="440" w:lineRule="exact"/>
        <w:ind w:firstLine="422" w:firstLineChars="200"/>
        <w:jc w:val="left"/>
        <w:rPr>
          <w:rFonts w:ascii="宋体" w:hAnsi="宋体" w:eastAsia="宋体" w:cs="Times New Roman"/>
          <w:color w:val="auto"/>
          <w:szCs w:val="21"/>
          <w:highlight w:val="none"/>
        </w:rPr>
      </w:pPr>
      <w:r>
        <w:rPr>
          <w:rFonts w:ascii="宋体" w:hAnsi="宋体" w:eastAsia="宋体" w:cs="Times New Roman"/>
          <w:b/>
          <w:color w:val="auto"/>
          <w:szCs w:val="21"/>
          <w:highlight w:val="none"/>
        </w:rPr>
        <w:t>2、定义</w:t>
      </w:r>
    </w:p>
    <w:p>
      <w:pPr>
        <w:spacing w:line="440" w:lineRule="exact"/>
        <w:ind w:firstLine="420" w:firstLineChars="200"/>
        <w:jc w:val="left"/>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2.1“采购人”是指组织本次采购的采购人。</w:t>
      </w:r>
    </w:p>
    <w:p>
      <w:pPr>
        <w:spacing w:line="440" w:lineRule="exact"/>
        <w:ind w:firstLine="420" w:firstLineChars="200"/>
        <w:jc w:val="left"/>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2.2“政府采购代理机构”是指组织本次采购的代理机构。</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2.3“谈判供应商（竞标人）”是指响应本文件要求，参加谈判的法人或者其他组织。如果该供应商在本次谈判中成交,即成为“成交供应商（成交供应商）”。</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2.4“货物”是指各种形态和种类的物品，包括原材料、燃料、设备、产品等。</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2.5“服务”是指除货物和工程以外的其他政府采购对象。</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2.6“竞争性谈判响应文件（竞标文件）”是指：供应商根据本文件要求，编制包含报价、技术和服务等所有内容的文件。</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2.7 有下列情形之一的视为竞标人相互串通，响应文件将视为无效：</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（1）不同“谈判供应商”的“竞争性谈判响应文件”由同一单位或者个人编制；</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（2）不同“谈判供应商”委托同一单位或者个人办理竞标事宜；</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（3）不同的“谈判供应商”的“竞争性谈判响应文件”载明的项目管理员为同一个人；</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（4）不同“谈判供应商”的“竞争性谈判响应文件”异常一致或竞标报价呈规律性差异；</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（5）不同“谈判供应商”的“竞争性谈判响应文件”相互混装；</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（6）不同“谈判供应商”的竞标保证金从同一单位或者个人账户转出。</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3、谈判供应商的基本条件</w:t>
      </w:r>
    </w:p>
    <w:p>
      <w:pPr>
        <w:spacing w:line="440" w:lineRule="exact"/>
        <w:ind w:firstLine="420" w:firstLineChars="200"/>
        <w:jc w:val="left"/>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详见竞标人须知前附表。</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4、谈判费用及其他事项</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4.1 谈判供应商应自行承担所有与编写和提交竞争性谈判响应文件有关的费用，不论谈判结果如何，采购人和采购代理机构在任何情况下无义务和责任承担此类费用。</w:t>
      </w:r>
    </w:p>
    <w:p>
      <w:pPr>
        <w:spacing w:line="440" w:lineRule="exact"/>
        <w:ind w:firstLine="420" w:firstLineChars="200"/>
        <w:jc w:val="left"/>
        <w:rPr>
          <w:rFonts w:ascii="宋体" w:hAnsi="宋体" w:eastAsia="宋体" w:cs="Times New Roman"/>
          <w:color w:val="auto"/>
          <w:szCs w:val="20"/>
          <w:highlight w:val="none"/>
        </w:rPr>
      </w:pPr>
      <w:r>
        <w:rPr>
          <w:rFonts w:ascii="宋体" w:hAnsi="宋体" w:eastAsia="宋体" w:cs="Times New Roman"/>
          <w:color w:val="auto"/>
          <w:szCs w:val="20"/>
          <w:highlight w:val="none"/>
        </w:rPr>
        <w:t>4.2竞标截止时间结束后参加竞标的供应商不足三家的,将按广西政府采购有关规定进行办理。</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0"/>
          <w:highlight w:val="none"/>
        </w:rPr>
        <w:t>在评标期间，出现符合专业条件的供应商或者对采购文件作出实质响应的供应商不足三家情形的将</w:t>
      </w:r>
      <w:r>
        <w:rPr>
          <w:rFonts w:ascii="宋体" w:hAnsi="宋体" w:eastAsia="宋体" w:cs="Times New Roman"/>
          <w:color w:val="auto"/>
          <w:szCs w:val="21"/>
          <w:highlight w:val="none"/>
        </w:rPr>
        <w:t>按广西政府采购有关规定执行。</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4.3多家供应商参加同一标段竞标，如核心产品（单一产品采购时，该产品也作为核心产品）提供相同品牌产品的不同竞标人参加同一合同项下竞标的，以其中通过资格审查、符合性审查且报价最低的参加评标，报价相同的，由采购人自主选择确定一个参加评标的竞标人，其他投标无效；</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非单一产品采购项目中，多家竞标人提供的核心产品品牌相同的，视为提供相同品牌产品。</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4.4生产厂商授权给供应商后自己不得参加同一合同项下的政府采购活动；生产厂商对同一品牌的货物，仅能委托一个代理商参加竞标。</w:t>
      </w:r>
    </w:p>
    <w:p>
      <w:pPr>
        <w:keepNext/>
        <w:keepLines/>
        <w:spacing w:before="120" w:beforeLines="50" w:after="120" w:afterLines="50" w:line="460" w:lineRule="exact"/>
        <w:jc w:val="center"/>
        <w:outlineLvl w:val="1"/>
        <w:rPr>
          <w:rFonts w:ascii="宋体" w:hAnsi="宋体" w:eastAsia="宋体" w:cs="Times New Roman"/>
          <w:b/>
          <w:bCs/>
          <w:color w:val="auto"/>
          <w:kern w:val="0"/>
          <w:sz w:val="24"/>
          <w:szCs w:val="32"/>
          <w:highlight w:val="none"/>
        </w:rPr>
      </w:pPr>
      <w:r>
        <w:rPr>
          <w:rFonts w:ascii="宋体" w:hAnsi="宋体" w:eastAsia="宋体" w:cs="Times New Roman"/>
          <w:b/>
          <w:bCs/>
          <w:color w:val="auto"/>
          <w:kern w:val="0"/>
          <w:sz w:val="24"/>
          <w:szCs w:val="32"/>
          <w:highlight w:val="none"/>
        </w:rPr>
        <w:t>二、竞争性谈判采购文件</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5、采购文件的构成</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第一章  竞争性谈判公告  第二章  竞标人须知</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第三章  项目需求        第四章  响应文件格式</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第五章  合同主要条款    第六章  评审办法及评审标准</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6、谈判文件的澄清与修改</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6.1提交首次响应文件截止之日前，采购代理机构可以对已发出的谈判文件进行必要澄清或者修改，澄清或者修改的内容可能影响响应文件编制的，采购代理机构应当在提交首次响应文件递交截止时间3个工作日前在本项目竞争性谈判公告发布的同一媒体上发布更正公告，不足3个工作日的，应当顺延首次响应文件递交截止时间。</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6.2供应商下载竞争性谈判文件后应实时关注相关网站了解澄清、修改等与项目有关的内容，如因供应商未及时登录相关网站了解澄清、修改等与项目有关的内容，从而导致竞标无效的，由供应商自行承担责任。</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6.3澄清或者修改的内容为谈判文件的组成部分。当澄清或者修改通知就同一内容的表述不一致时，以最后发出的文件为准。</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6.4谈判文件的澄清或者修改都应该通过本项目采购代理机构以法定形式发布，采购人非通过本机构，不得擅自澄清或者修改谈判文件。</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6.5采购代理机构可以视采购具体情况，延长首次响应文件递交截止时间和谈判时间，并将变更时间在本项目竞争性谈判公告发布的同一媒体上发布变更公告。</w:t>
      </w:r>
    </w:p>
    <w:p>
      <w:pPr>
        <w:keepNext/>
        <w:keepLines/>
        <w:spacing w:before="120" w:beforeLines="50" w:after="120" w:afterLines="50" w:line="460" w:lineRule="exact"/>
        <w:jc w:val="center"/>
        <w:outlineLvl w:val="1"/>
        <w:rPr>
          <w:rFonts w:ascii="宋体" w:hAnsi="宋体" w:eastAsia="宋体" w:cs="Times New Roman"/>
          <w:b/>
          <w:bCs/>
          <w:color w:val="auto"/>
          <w:kern w:val="0"/>
          <w:sz w:val="24"/>
          <w:szCs w:val="32"/>
          <w:highlight w:val="none"/>
        </w:rPr>
      </w:pPr>
      <w:r>
        <w:rPr>
          <w:rFonts w:ascii="宋体" w:hAnsi="宋体" w:eastAsia="宋体" w:cs="Times New Roman"/>
          <w:b/>
          <w:bCs/>
          <w:color w:val="auto"/>
          <w:kern w:val="0"/>
          <w:sz w:val="24"/>
          <w:szCs w:val="32"/>
          <w:highlight w:val="none"/>
        </w:rPr>
        <w:t>三、竞争性谈判响应文件的编制</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7、竞争性谈判响应文件编制基本要求</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7.1谈判供应商对竞争性谈判响应文件的编制应按要求装订和封装，响应文件的字迹及印章应当清晰，如因响应文件的装订、封装不合格或响应文件的字迹、印章不清晰，</w:t>
      </w:r>
      <w:r>
        <w:rPr>
          <w:rFonts w:ascii="宋体" w:hAnsi="宋体" w:eastAsia="宋体" w:cs="Times New Roman"/>
          <w:bCs/>
          <w:color w:val="auto"/>
          <w:szCs w:val="21"/>
          <w:highlight w:val="none"/>
        </w:rPr>
        <w:t>而给评审造成困难，其可能导致的结果和责任由谈判供应商自行承担</w:t>
      </w:r>
      <w:r>
        <w:rPr>
          <w:rFonts w:ascii="宋体" w:hAnsi="宋体" w:eastAsia="宋体" w:cs="Times New Roman"/>
          <w:color w:val="auto"/>
          <w:szCs w:val="21"/>
          <w:highlight w:val="none"/>
        </w:rPr>
        <w:t>。</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7.2谈判供应商提交的竞争性谈判响应文件以及谈判供应商与广西建设工程机电设备招标中心有限公司（以下简称“本公司”）和采购人就有关谈判的所有来往函电均应使用中文。谈判供应商提交的支持文件和印刷的文件可以使用别的语言，但其相应内容必须附有中文翻译文本，在解释竞争性谈判响应文件时以翻译文本为主。</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7.3谈判供应商应认真阅读、并充分理解本文件的全部内容（包括所有的补充、修改内容），承诺并履行本文件中各项条款规定及要求。</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7.4竞争性谈判响应文件必须按本文件的全部内容，包括所有的补充通知及附件进行编制。</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7.5如因谈判供应商只填写和提供了本文件要求的部分内容和附件，而给评审造成困难，其可能导致的结果和责任由谈判供应商自行承担。</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7.6竞争性谈判响应文件的组成</w:t>
      </w:r>
    </w:p>
    <w:p>
      <w:pPr>
        <w:spacing w:line="440" w:lineRule="exact"/>
        <w:ind w:firstLine="420" w:firstLineChars="200"/>
        <w:jc w:val="left"/>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详见竞标人须知前附表。</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8、计量单位</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除技术要求中另有规定外，本文件所要求使用的计量单位均应采用国家法定计量单位。</w:t>
      </w:r>
    </w:p>
    <w:p>
      <w:pPr>
        <w:keepNext/>
        <w:keepLines/>
        <w:spacing w:before="120" w:beforeLines="50" w:after="120" w:afterLines="50" w:line="460" w:lineRule="exact"/>
        <w:jc w:val="center"/>
        <w:outlineLvl w:val="1"/>
        <w:rPr>
          <w:rFonts w:ascii="宋体" w:hAnsi="宋体" w:eastAsia="宋体" w:cs="Times New Roman"/>
          <w:b/>
          <w:bCs/>
          <w:color w:val="auto"/>
          <w:kern w:val="0"/>
          <w:sz w:val="24"/>
          <w:szCs w:val="32"/>
          <w:highlight w:val="none"/>
        </w:rPr>
      </w:pPr>
      <w:r>
        <w:rPr>
          <w:rFonts w:ascii="宋体" w:hAnsi="宋体" w:eastAsia="宋体" w:cs="Times New Roman"/>
          <w:b/>
          <w:bCs/>
          <w:color w:val="auto"/>
          <w:kern w:val="0"/>
          <w:sz w:val="24"/>
          <w:szCs w:val="32"/>
          <w:highlight w:val="none"/>
        </w:rPr>
        <w:t>四、谈判报价要求</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9、谈判报价</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9.1竞标人须就《项目需求和说明》中的所有货物和服务内容作完整唯一报价。如大写金额和小写金额不一致时，以大写金额为准，总价金额与单价汇总金额不一致时，以单价金额为准。</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9.2对于本文件中未列明，而谈判供应商认为必需的费用也需列入总报价。在合同实施时，采购人将不予支付成交供应商没有列入的项目费用，并认为此项目的费用已包括在总报价中。</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9.3成交供应商负责本项目所需货物的制造、运输、安装调试验及售后服务等全部工作。</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9.4响应文件有效期：响应文件递交截止时间之日起</w:t>
      </w:r>
      <w:r>
        <w:rPr>
          <w:rFonts w:ascii="宋体" w:hAnsi="宋体" w:eastAsia="宋体" w:cs="Times New Roman"/>
          <w:color w:val="auto"/>
          <w:szCs w:val="21"/>
          <w:highlight w:val="none"/>
          <w:u w:val="single"/>
        </w:rPr>
        <w:t>60日</w:t>
      </w:r>
      <w:r>
        <w:rPr>
          <w:rFonts w:ascii="宋体" w:hAnsi="宋体" w:eastAsia="宋体" w:cs="Times New Roman"/>
          <w:color w:val="auto"/>
          <w:szCs w:val="21"/>
          <w:highlight w:val="none"/>
        </w:rPr>
        <w:t>，有效期不足的响应文件将被拒绝。</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9.5出现特殊情况下，需要延长响应文件有效期的，采购代理机构通知供应商延长响应文件有效期。供应商同意延长的，但不能修改响应文件。供应商拒绝延长的，其响应文件无效。</w:t>
      </w:r>
    </w:p>
    <w:p>
      <w:pPr>
        <w:keepNext/>
        <w:keepLines/>
        <w:spacing w:before="120" w:beforeLines="50" w:after="120" w:afterLines="50" w:line="460" w:lineRule="exact"/>
        <w:jc w:val="center"/>
        <w:outlineLvl w:val="1"/>
        <w:rPr>
          <w:rFonts w:ascii="宋体" w:hAnsi="宋体" w:eastAsia="宋体" w:cs="Times New Roman"/>
          <w:b/>
          <w:bCs/>
          <w:color w:val="auto"/>
          <w:kern w:val="0"/>
          <w:sz w:val="24"/>
          <w:szCs w:val="32"/>
          <w:highlight w:val="none"/>
        </w:rPr>
      </w:pPr>
      <w:r>
        <w:rPr>
          <w:rFonts w:ascii="宋体" w:hAnsi="宋体" w:eastAsia="宋体" w:cs="Times New Roman"/>
          <w:b/>
          <w:bCs/>
          <w:color w:val="auto"/>
          <w:kern w:val="0"/>
          <w:sz w:val="24"/>
          <w:szCs w:val="32"/>
          <w:highlight w:val="none"/>
        </w:rPr>
        <w:t>五、竞标保证金</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10、竞标保证金</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10.1竞标人须按规定提交竞标保证金。否则，其竞标将被拒绝。</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10.2竞标保证金：</w:t>
      </w:r>
      <w:r>
        <w:rPr>
          <w:rFonts w:ascii="宋体" w:hAnsi="宋体" w:eastAsia="宋体" w:cs="Times New Roman"/>
          <w:bCs/>
          <w:color w:val="auto"/>
          <w:szCs w:val="21"/>
          <w:highlight w:val="none"/>
        </w:rPr>
        <w:t>按竞标人须知前附表规定金额足额缴纳</w:t>
      </w:r>
      <w:r>
        <w:rPr>
          <w:rFonts w:ascii="宋体" w:hAnsi="宋体" w:eastAsia="宋体" w:cs="Times New Roman"/>
          <w:color w:val="auto"/>
          <w:szCs w:val="21"/>
          <w:highlight w:val="none"/>
        </w:rPr>
        <w:t>；保证金形式：竞标人应于竞标截止时间将竞标保证金从竞标人帐户以转帐、电汇、网银</w:t>
      </w:r>
      <w:r>
        <w:rPr>
          <w:rFonts w:ascii="宋体" w:hAnsi="宋体" w:eastAsia="宋体" w:cs="Times New Roman"/>
          <w:bCs/>
          <w:color w:val="auto"/>
          <w:szCs w:val="21"/>
          <w:highlight w:val="none"/>
        </w:rPr>
        <w:t>等</w:t>
      </w:r>
      <w:r>
        <w:rPr>
          <w:rFonts w:ascii="宋体" w:hAnsi="宋体" w:eastAsia="宋体" w:cs="Times New Roman"/>
          <w:color w:val="auto"/>
          <w:szCs w:val="21"/>
          <w:highlight w:val="none"/>
        </w:rPr>
        <w:t>非现金形式交至指定帐户，缴款后将银行单据复印件按要求放入响应文件中。</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10.3竞标保证金应竞标有效期内保持有效。</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10.4未成交供应商的竞标保证金在成交通知书发出后</w:t>
      </w:r>
      <w:r>
        <w:rPr>
          <w:rFonts w:ascii="宋体" w:hAnsi="宋体" w:eastAsia="宋体" w:cs="Times New Roman"/>
          <w:color w:val="auto"/>
          <w:szCs w:val="21"/>
          <w:highlight w:val="none"/>
          <w:u w:val="single"/>
        </w:rPr>
        <w:t>5</w:t>
      </w:r>
      <w:r>
        <w:rPr>
          <w:rFonts w:ascii="宋体" w:hAnsi="宋体" w:eastAsia="宋体" w:cs="Times New Roman"/>
          <w:color w:val="auto"/>
          <w:szCs w:val="21"/>
          <w:highlight w:val="none"/>
        </w:rPr>
        <w:t>个工作日内退还，成交供应商的竞标保证金在合同签订后</w:t>
      </w:r>
      <w:r>
        <w:rPr>
          <w:rFonts w:ascii="宋体" w:hAnsi="宋体" w:eastAsia="宋体" w:cs="Times New Roman"/>
          <w:color w:val="auto"/>
          <w:szCs w:val="21"/>
          <w:highlight w:val="none"/>
          <w:u w:val="single"/>
        </w:rPr>
        <w:t>5</w:t>
      </w:r>
      <w:r>
        <w:rPr>
          <w:rFonts w:ascii="宋体" w:hAnsi="宋体" w:eastAsia="宋体" w:cs="Times New Roman"/>
          <w:color w:val="auto"/>
          <w:szCs w:val="21"/>
          <w:highlight w:val="none"/>
        </w:rPr>
        <w:t>个工作日内退还。（成交供应商必须在合同签订后二天内将合同送达代理机构，否则由此造成延误退付竞标保证金的责任由成交供应商自负））</w:t>
      </w:r>
    </w:p>
    <w:p>
      <w:pPr>
        <w:spacing w:line="440" w:lineRule="exact"/>
        <w:ind w:firstLine="420" w:firstLineChars="200"/>
        <w:jc w:val="left"/>
        <w:rPr>
          <w:rFonts w:ascii="宋体" w:hAnsi="宋体" w:eastAsia="宋体" w:cs="Times New Roman"/>
          <w:bCs/>
          <w:color w:val="auto"/>
          <w:szCs w:val="21"/>
          <w:highlight w:val="none"/>
        </w:rPr>
      </w:pPr>
      <w:r>
        <w:rPr>
          <w:rFonts w:ascii="宋体" w:hAnsi="宋体" w:eastAsia="宋体" w:cs="Times New Roman"/>
          <w:color w:val="auto"/>
          <w:szCs w:val="21"/>
          <w:highlight w:val="none"/>
        </w:rPr>
        <w:t>10.5竞</w:t>
      </w:r>
      <w:r>
        <w:rPr>
          <w:rFonts w:ascii="宋体" w:hAnsi="宋体" w:eastAsia="宋体" w:cs="Times New Roman"/>
          <w:bCs/>
          <w:color w:val="auto"/>
          <w:szCs w:val="21"/>
          <w:highlight w:val="none"/>
        </w:rPr>
        <w:t>标人有下列情形之一的，</w:t>
      </w:r>
      <w:r>
        <w:rPr>
          <w:rFonts w:ascii="宋体" w:hAnsi="宋体" w:eastAsia="宋体" w:cs="Times New Roman"/>
          <w:color w:val="auto"/>
          <w:szCs w:val="21"/>
          <w:highlight w:val="none"/>
        </w:rPr>
        <w:t>竞</w:t>
      </w:r>
      <w:r>
        <w:rPr>
          <w:rFonts w:ascii="宋体" w:hAnsi="宋体" w:eastAsia="宋体" w:cs="Times New Roman"/>
          <w:bCs/>
          <w:color w:val="auto"/>
          <w:szCs w:val="21"/>
          <w:highlight w:val="none"/>
        </w:rPr>
        <w:t>标保证金将不予退还：</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（1）竞标人在竞标有效期内撤回响应文件的；</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（2）竞标人在竞标过程中弄虚作假，提供虚假材料的；</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ascii="宋体" w:hAnsi="宋体" w:eastAsia="宋体" w:cs="Times New Roman"/>
          <w:bCs/>
          <w:color w:val="auto"/>
          <w:szCs w:val="21"/>
          <w:highlight w:val="none"/>
        </w:rPr>
        <w:t>将</w:t>
      </w:r>
      <w:r>
        <w:rPr>
          <w:rFonts w:ascii="宋体" w:hAnsi="宋体" w:eastAsia="宋体" w:cs="Times New Roman"/>
          <w:color w:val="auto"/>
          <w:szCs w:val="21"/>
          <w:highlight w:val="none"/>
        </w:rPr>
        <w:t>成交</w:t>
      </w:r>
      <w:r>
        <w:rPr>
          <w:rFonts w:ascii="宋体" w:hAnsi="宋体" w:eastAsia="宋体" w:cs="Times New Roman"/>
          <w:bCs/>
          <w:color w:val="auto"/>
          <w:szCs w:val="21"/>
          <w:highlight w:val="none"/>
        </w:rPr>
        <w:t>项目转让给他人或者在</w:t>
      </w:r>
      <w:r>
        <w:rPr>
          <w:rFonts w:ascii="宋体" w:hAnsi="宋体" w:eastAsia="宋体" w:cs="Times New Roman"/>
          <w:color w:val="auto"/>
          <w:szCs w:val="21"/>
          <w:highlight w:val="none"/>
        </w:rPr>
        <w:t>竞</w:t>
      </w:r>
      <w:r>
        <w:rPr>
          <w:rFonts w:ascii="宋体" w:hAnsi="宋体" w:eastAsia="宋体" w:cs="Times New Roman"/>
          <w:bCs/>
          <w:color w:val="auto"/>
          <w:szCs w:val="21"/>
          <w:highlight w:val="none"/>
        </w:rPr>
        <w:t>标文件中未说明且未经采购单位同意，将</w:t>
      </w:r>
      <w:r>
        <w:rPr>
          <w:rFonts w:ascii="宋体" w:hAnsi="宋体" w:eastAsia="宋体" w:cs="Times New Roman"/>
          <w:color w:val="auto"/>
          <w:szCs w:val="21"/>
          <w:highlight w:val="none"/>
        </w:rPr>
        <w:t>成交</w:t>
      </w:r>
      <w:r>
        <w:rPr>
          <w:rFonts w:ascii="宋体" w:hAnsi="宋体" w:eastAsia="宋体" w:cs="Times New Roman"/>
          <w:bCs/>
          <w:color w:val="auto"/>
          <w:szCs w:val="21"/>
          <w:highlight w:val="none"/>
        </w:rPr>
        <w:t>项目分包给他人的；</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（4）拒绝缴纳代理服务费，拒绝履行合同义务的；</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（5）其他严重扰乱采购标程序的。</w:t>
      </w:r>
    </w:p>
    <w:p>
      <w:pPr>
        <w:keepNext/>
        <w:keepLines/>
        <w:spacing w:before="120" w:beforeLines="50" w:after="120" w:afterLines="50" w:line="460" w:lineRule="exact"/>
        <w:jc w:val="center"/>
        <w:outlineLvl w:val="1"/>
        <w:rPr>
          <w:rFonts w:ascii="宋体" w:hAnsi="宋体" w:eastAsia="宋体" w:cs="Times New Roman"/>
          <w:b/>
          <w:bCs/>
          <w:color w:val="auto"/>
          <w:kern w:val="0"/>
          <w:sz w:val="24"/>
          <w:szCs w:val="32"/>
          <w:highlight w:val="none"/>
        </w:rPr>
      </w:pPr>
      <w:r>
        <w:rPr>
          <w:rFonts w:ascii="宋体" w:hAnsi="宋体" w:eastAsia="宋体" w:cs="Times New Roman"/>
          <w:b/>
          <w:bCs/>
          <w:color w:val="auto"/>
          <w:kern w:val="0"/>
          <w:sz w:val="24"/>
          <w:szCs w:val="32"/>
          <w:highlight w:val="none"/>
        </w:rPr>
        <w:t>六、竞争性谈判响应文件的份数、封装和递交</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11、谈判响应文件的份数和封装</w:t>
      </w:r>
    </w:p>
    <w:p>
      <w:pPr>
        <w:spacing w:line="440" w:lineRule="exact"/>
        <w:ind w:firstLine="420" w:firstLineChars="200"/>
        <w:jc w:val="left"/>
        <w:rPr>
          <w:rFonts w:ascii="宋体" w:hAnsi="宋体" w:eastAsia="宋体" w:cs="Times New Roman"/>
          <w:color w:val="auto"/>
          <w:szCs w:val="20"/>
          <w:highlight w:val="none"/>
        </w:rPr>
      </w:pPr>
      <w:r>
        <w:rPr>
          <w:rFonts w:ascii="宋体" w:hAnsi="宋体" w:eastAsia="宋体" w:cs="Times New Roman"/>
          <w:color w:val="auto"/>
          <w:szCs w:val="20"/>
          <w:highlight w:val="none"/>
        </w:rPr>
        <w:t>11.1谈判供应商应将竞争性谈判响应文件</w:t>
      </w:r>
      <w:r>
        <w:rPr>
          <w:rFonts w:ascii="宋体" w:hAnsi="宋体" w:eastAsia="宋体" w:cs="Times New Roman"/>
          <w:color w:val="auto"/>
          <w:szCs w:val="20"/>
          <w:highlight w:val="none"/>
          <w:u w:val="single"/>
        </w:rPr>
        <w:t>正本一份，副本</w:t>
      </w:r>
      <w:r>
        <w:rPr>
          <w:rFonts w:hint="eastAsia" w:ascii="宋体" w:hAnsi="宋体" w:eastAsia="宋体" w:cs="Times New Roman"/>
          <w:color w:val="auto"/>
          <w:szCs w:val="20"/>
          <w:highlight w:val="none"/>
          <w:u w:val="single"/>
        </w:rPr>
        <w:t>四</w:t>
      </w:r>
      <w:r>
        <w:rPr>
          <w:rFonts w:ascii="宋体" w:hAnsi="宋体" w:eastAsia="宋体" w:cs="Times New Roman"/>
          <w:color w:val="auto"/>
          <w:szCs w:val="20"/>
          <w:highlight w:val="none"/>
          <w:u w:val="single"/>
        </w:rPr>
        <w:t>份</w:t>
      </w:r>
      <w:r>
        <w:rPr>
          <w:rFonts w:ascii="宋体" w:hAnsi="宋体" w:eastAsia="宋体" w:cs="Times New Roman"/>
          <w:color w:val="auto"/>
          <w:szCs w:val="20"/>
          <w:highlight w:val="none"/>
        </w:rPr>
        <w:t>（详见须知前附表）以及电子文档（U盘）一并密封在一个封装袋内，并在每一封贴处密封签章（公章或密封章或法定代表人或委托代理人签字均可）。电子文档或竞争性谈判响应文件副本与竞争性谈判响应文件正本不符时，以竞争性谈判响应文件正本为准。</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11.2竞争性谈判响应文件的信封上应写明：</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响应文件袋标记：</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1）项目名称：</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2）项目编号：</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3）分标： </w:t>
      </w:r>
      <w:r>
        <w:rPr>
          <w:rFonts w:ascii="宋体" w:hAnsi="宋体" w:eastAsia="宋体" w:cs="Times New Roman"/>
          <w:color w:val="auto"/>
          <w:szCs w:val="21"/>
          <w:highlight w:val="none"/>
          <w:u w:val="single"/>
        </w:rPr>
        <w:t>（如有）</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4）竞标单位名称：</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5）法定代表人或授权代表签字：</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6）竞标单位地址：</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7）联系电话：</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在</w:t>
      </w:r>
      <w:r>
        <w:rPr>
          <w:rFonts w:ascii="宋体" w:hAnsi="宋体" w:eastAsia="宋体" w:cs="Times New Roman"/>
          <w:color w:val="auto"/>
          <w:szCs w:val="21"/>
          <w:highlight w:val="none"/>
          <w:u w:val="single"/>
        </w:rPr>
        <w:t xml:space="preserve">  年  月  日   时 分</w:t>
      </w:r>
      <w:r>
        <w:rPr>
          <w:rFonts w:ascii="宋体" w:hAnsi="宋体" w:eastAsia="宋体" w:cs="Times New Roman"/>
          <w:color w:val="auto"/>
          <w:szCs w:val="21"/>
          <w:highlight w:val="none"/>
        </w:rPr>
        <w:t xml:space="preserve">前不得开启(此处竞标人填写竞标截止时间) </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12、竞争性谈判响应文件的递交</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12.1所有竞争性谈判响应文件必须按“竞标人须知前附表”规定的时间和地点密封递交。</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12.2未按规定密封或标记的竞争性谈判响应文件将被拒绝，不予接收或作无效响应文件处理，由此造成的风险由谈判供应商承担。</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13、迟交的竞争性谈判响应文件</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按《政府采购法》的规定，本公司将拒绝或原封退回在其规定的递交竞争性谈判响应文件截止时间之后收到的任何竞争性谈判响应文件。</w:t>
      </w:r>
    </w:p>
    <w:p>
      <w:pPr>
        <w:keepNext/>
        <w:keepLines/>
        <w:spacing w:before="120" w:beforeLines="50" w:after="120" w:afterLines="50" w:line="460" w:lineRule="exact"/>
        <w:jc w:val="center"/>
        <w:outlineLvl w:val="1"/>
        <w:rPr>
          <w:rFonts w:ascii="宋体" w:hAnsi="宋体" w:eastAsia="宋体" w:cs="Times New Roman"/>
          <w:b/>
          <w:bCs/>
          <w:color w:val="auto"/>
          <w:kern w:val="0"/>
          <w:sz w:val="24"/>
          <w:szCs w:val="32"/>
          <w:highlight w:val="none"/>
        </w:rPr>
      </w:pPr>
      <w:r>
        <w:rPr>
          <w:rFonts w:ascii="宋体" w:hAnsi="宋体" w:eastAsia="宋体" w:cs="Times New Roman"/>
          <w:b/>
          <w:bCs/>
          <w:color w:val="auto"/>
          <w:kern w:val="0"/>
          <w:sz w:val="24"/>
          <w:szCs w:val="32"/>
          <w:highlight w:val="none"/>
        </w:rPr>
        <w:t>七、竞争性谈判（简称谈判）与评审</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14、谈判小组组成及谈判时间、地点、人员</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14.1 谈判小组组成：</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谈判及评审工作由采购代理机构负责组织，具体谈判、评审工作由依法组建的谈判小组负责，谈判小组由采购人代表和有关方面的专家组成。</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14.2 谈判时间、地点、人员：</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kern w:val="0"/>
          <w:szCs w:val="21"/>
          <w:highlight w:val="none"/>
        </w:rPr>
        <w:t>（1）</w:t>
      </w:r>
      <w:r>
        <w:rPr>
          <w:rFonts w:ascii="宋体" w:hAnsi="宋体" w:eastAsia="宋体" w:cs="Times New Roman"/>
          <w:color w:val="auto"/>
          <w:szCs w:val="21"/>
          <w:highlight w:val="none"/>
        </w:rPr>
        <w:t>谈判时间：</w:t>
      </w:r>
      <w:r>
        <w:rPr>
          <w:rFonts w:ascii="宋体" w:hAnsi="宋体" w:eastAsia="宋体" w:cs="Times New Roman"/>
          <w:color w:val="auto"/>
          <w:szCs w:val="21"/>
          <w:highlight w:val="none"/>
          <w:u w:val="single"/>
        </w:rPr>
        <w:t>响应文件递交截止时间后。</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w:t>
      </w:r>
      <w:r>
        <w:rPr>
          <w:rFonts w:ascii="宋体" w:hAnsi="宋体" w:eastAsia="宋体" w:cs="Times New Roman"/>
          <w:color w:val="auto"/>
          <w:szCs w:val="21"/>
          <w:highlight w:val="none"/>
        </w:rPr>
        <w:t>谈判地点：</w:t>
      </w:r>
      <w:r>
        <w:rPr>
          <w:rFonts w:ascii="宋体" w:hAnsi="宋体" w:eastAsia="宋体" w:cs="Times New Roman"/>
          <w:color w:val="auto"/>
          <w:szCs w:val="21"/>
          <w:highlight w:val="none"/>
          <w:u w:val="single"/>
        </w:rPr>
        <w:t>详见谈判公告。</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rPr>
        <w:t>）</w:t>
      </w:r>
      <w:r>
        <w:rPr>
          <w:rFonts w:ascii="宋体" w:hAnsi="宋体" w:eastAsia="宋体" w:cs="Times New Roman"/>
          <w:color w:val="auto"/>
          <w:szCs w:val="21"/>
          <w:highlight w:val="none"/>
        </w:rPr>
        <w:t xml:space="preserve"> 谈判参加人员：供应商法定代表人（供应商若为其他组织形式无法定代表人的为机构负责人，供应商若为自然人的为自然人）或相应的委托代理人持有效身份证原件参加谈判。请供应商按时到达指定地点等候当面谈判。</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w:t>
      </w:r>
      <w:r>
        <w:rPr>
          <w:rFonts w:ascii="宋体" w:hAnsi="宋体" w:eastAsia="宋体" w:cs="Times New Roman"/>
          <w:color w:val="auto"/>
          <w:szCs w:val="21"/>
          <w:highlight w:val="none"/>
        </w:rPr>
        <w:t xml:space="preserve">响应文件递交截止时间后，由谈判小组在评标室内开启响应文件。  </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15、评审原则和评审办法</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15.1 谈判小组必须坚持公平、公正、科学和择优的原则。</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15.2 评审办法：具体详见评审办法及评审标准。</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15.3 谈判小组应按谈判文件进行评审，不得擅自更改评审办法。</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15.4 在评审过程中，谈判小组任何人不得对某个供应商发表任何倾向性意见，不得向其他谈判小组成员明示或者暗示自己的评审意见。</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15.5谈判小组成员对需要共同认定的事项存在争议的，按照少数服从多数的原则作出结论。持不同意见的谈判小组成员应当在评审报告上签署不同意见并说明理由，否则视为同意。</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16、评审程序及谈判要求</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16.1 采购代理机构核实谈判小组成员身份，告知回避要求，宣布评审工作纪律和程序，统一保管通讯工具或相关电子设备，推选谈判小组组长。</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16.2 谈判小组应当对发布公告的竞争性谈判文件（简称谈判文件）进行确认，审查供应商的响应文件并作出评价；要求供应商解释或者澄清其响应文件；编写评审报告；告知采购人、采购代理机构在评审过程中发现的供应商的违法违规行为。</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16.3谈判小组依据法律法规和竞争性谈判文件的规定，首先对响应文件进行资格性审查，以确定供应商是否具备本项目谈判资格；再对通过资格性审查的供应商响应文件的有效性、完整性和对谈判文件的响应程度进行符合性审查，以确定是否对谈判文件的实质性要求做出响应。</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16.4谈判小组如发现供应商提供的证明文件不齐全或不符合规定格式的，应一次性告知供应商，供应商应在规定的时间内当场补正或更正。</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16.5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20" w:firstLineChars="20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判小组要求供应商澄清、说明或者更正响应文件以书面形式作出。供应商的澄清、说明或者更正应当由法定代表人或其授权代表签字或者加盖公章。</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根据谈判文件规定的程序、评定成交的标准等事项与实质性响应竞争性谈判文件要求的供应商进行谈判。未实质性响应谈判文件的响应文件按无效处理，谈判小组应当告知有关供应商。</w:t>
      </w:r>
    </w:p>
    <w:p>
      <w:pPr>
        <w:spacing w:line="440" w:lineRule="exact"/>
        <w:ind w:firstLine="420" w:firstLineChars="20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16.6第一轮谈判</w:t>
      </w:r>
    </w:p>
    <w:p>
      <w:pPr>
        <w:widowControl/>
        <w:shd w:val="clear" w:color="auto" w:fill="FFFFFF"/>
        <w:spacing w:line="440" w:lineRule="exact"/>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谈判小组所有成员应当集中与单一供应商分别进行谈判，并给予所有参加谈判的供应商平等的谈判机会。</w:t>
      </w:r>
    </w:p>
    <w:p>
      <w:pPr>
        <w:widowControl/>
        <w:tabs>
          <w:tab w:val="left" w:pos="540"/>
        </w:tabs>
        <w:spacing w:line="440" w:lineRule="exact"/>
        <w:ind w:firstLine="424" w:firstLineChars="202"/>
        <w:jc w:val="left"/>
        <w:rPr>
          <w:rFonts w:ascii="宋体" w:hAnsi="宋体"/>
          <w:color w:val="auto"/>
          <w:szCs w:val="21"/>
          <w:highlight w:val="none"/>
        </w:rPr>
      </w:pPr>
      <w:r>
        <w:rPr>
          <w:rFonts w:hint="eastAsia" w:ascii="宋体" w:hAnsi="宋体"/>
          <w:color w:val="auto"/>
          <w:szCs w:val="21"/>
          <w:highlight w:val="none"/>
        </w:rPr>
        <w:t>（2）</w:t>
      </w:r>
      <w:r>
        <w:rPr>
          <w:rFonts w:ascii="宋体" w:hAnsi="宋体" w:cs="宋体"/>
          <w:color w:val="auto"/>
          <w:kern w:val="0"/>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w:t>
      </w:r>
    </w:p>
    <w:p>
      <w:pPr>
        <w:pStyle w:val="25"/>
        <w:spacing w:line="440" w:lineRule="exact"/>
        <w:ind w:firstLine="404" w:firstLineChars="202"/>
        <w:rPr>
          <w:rFonts w:hAnsi="宋体" w:cs="宋体"/>
          <w:color w:val="auto"/>
          <w:highlight w:val="none"/>
        </w:rPr>
      </w:pPr>
      <w:r>
        <w:rPr>
          <w:rFonts w:hint="eastAsia" w:hAnsi="宋体"/>
          <w:color w:val="auto"/>
          <w:highlight w:val="none"/>
        </w:rPr>
        <w:t>（3）</w:t>
      </w:r>
      <w:r>
        <w:rPr>
          <w:rFonts w:hAnsi="宋体" w:cs="宋体"/>
          <w:color w:val="auto"/>
          <w:highlight w:val="none"/>
        </w:rPr>
        <w:t>对谈判文件作出的实质性变动是谈判文件的有效组成部分，谈判小组应当及时以书面形式同时通知所有参加谈判的供应商。</w:t>
      </w:r>
    </w:p>
    <w:p>
      <w:pPr>
        <w:pStyle w:val="25"/>
        <w:spacing w:line="440" w:lineRule="exact"/>
        <w:ind w:firstLine="404" w:firstLineChars="202"/>
        <w:rPr>
          <w:rFonts w:hAnsi="宋体"/>
          <w:color w:val="auto"/>
          <w:highlight w:val="none"/>
        </w:rPr>
      </w:pPr>
      <w:r>
        <w:rPr>
          <w:rFonts w:hint="eastAsia" w:hAnsi="宋体" w:cs="宋体"/>
          <w:color w:val="auto"/>
          <w:highlight w:val="none"/>
        </w:rPr>
        <w:t>（4）</w:t>
      </w:r>
      <w:r>
        <w:rPr>
          <w:rFonts w:hAnsi="宋体" w:cs="宋体"/>
          <w:color w:val="auto"/>
          <w:highlight w:val="non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widowControl/>
        <w:tabs>
          <w:tab w:val="left" w:pos="540"/>
        </w:tabs>
        <w:spacing w:line="440" w:lineRule="exact"/>
        <w:ind w:firstLine="424" w:firstLineChars="202"/>
        <w:jc w:val="left"/>
        <w:rPr>
          <w:rFonts w:ascii="宋体" w:hAnsi="宋体" w:eastAsia="宋体" w:cs="Times New Roman"/>
          <w:color w:val="auto"/>
          <w:szCs w:val="21"/>
          <w:highlight w:val="none"/>
        </w:rPr>
      </w:pPr>
      <w:r>
        <w:rPr>
          <w:rFonts w:hint="eastAsia" w:ascii="宋体" w:hAnsi="宋体" w:cs="宋体"/>
          <w:color w:val="auto"/>
          <w:kern w:val="0"/>
          <w:szCs w:val="21"/>
          <w:highlight w:val="none"/>
        </w:rPr>
        <w:t>（5）</w:t>
      </w:r>
      <w:r>
        <w:rPr>
          <w:rFonts w:hint="eastAsia" w:ascii="宋体" w:hAnsi="宋体"/>
          <w:color w:val="auto"/>
          <w:szCs w:val="21"/>
          <w:highlight w:val="none"/>
        </w:rPr>
        <w:t>谈判评审在严格保密的情况下进行，谈判的任何一方不得透露与谈判有关的其他供应商的技术资料、价格和其他信息。本公司对谈判过程和重要谈判内容进行记录，谈判双方在记录上签字确认。</w:t>
      </w:r>
    </w:p>
    <w:p>
      <w:pPr>
        <w:widowControl/>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16.7谈判文件修正</w:t>
      </w:r>
    </w:p>
    <w:p>
      <w:pPr>
        <w:widowControl/>
        <w:spacing w:line="440" w:lineRule="exact"/>
        <w:ind w:firstLine="420" w:firstLineChars="20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（1）第一轮谈判结束后，各响应供应商退场等候，谈判小组进行合议。根据第一轮谈判掌握的情况，谈判小组经采购人代表确认后可以实质性变动采购需求中的技术、服务要求以及合同草案条款。</w:t>
      </w:r>
    </w:p>
    <w:p>
      <w:pPr>
        <w:widowControl/>
        <w:spacing w:line="440" w:lineRule="exact"/>
        <w:ind w:firstLine="420" w:firstLineChars="20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（2）代理机构通知响应供应商集中，谈判小组强调调整后的采购要求，将谈判文件的修改结果以书面形式通知响应供应商，向响应供应商提供较充分的修正时间。</w:t>
      </w:r>
    </w:p>
    <w:p>
      <w:pPr>
        <w:widowControl/>
        <w:spacing w:line="440" w:lineRule="exact"/>
        <w:ind w:firstLine="420" w:firstLineChars="20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（3）响应供应商根据第一轮谈判情况和谈判文件修改书面通知，对原响应文件进行修正，并将修正文件签字（盖章）后密封送交谈判小组。逾时不交的，视同放弃谈判。修正文件与响应文件同具法律效应。</w:t>
      </w:r>
    </w:p>
    <w:p>
      <w:pPr>
        <w:widowControl/>
        <w:spacing w:line="440" w:lineRule="exact"/>
        <w:ind w:firstLine="420" w:firstLineChars="20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16.8第二轮谈判</w:t>
      </w:r>
    </w:p>
    <w:p>
      <w:pPr>
        <w:widowControl/>
        <w:tabs>
          <w:tab w:val="left" w:pos="540"/>
        </w:tabs>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kern w:val="0"/>
          <w:szCs w:val="21"/>
          <w:highlight w:val="none"/>
        </w:rPr>
        <w:t>谈判小组就修正后的响应文件与响应供应商分别进行谈判。</w:t>
      </w:r>
      <w:r>
        <w:rPr>
          <w:rFonts w:ascii="宋体" w:hAnsi="宋体" w:eastAsia="宋体" w:cs="Times New Roman"/>
          <w:color w:val="auto"/>
          <w:szCs w:val="21"/>
          <w:highlight w:val="none"/>
        </w:rPr>
        <w:t>代理机构对谈判过程和重要谈判内容进行记录，谈判双方在记录上签字确认。谈判小组按谈判文件设定的方法和标准确定成交候选人。</w:t>
      </w:r>
    </w:p>
    <w:p>
      <w:pPr>
        <w:widowControl/>
        <w:tabs>
          <w:tab w:val="left" w:pos="540"/>
        </w:tabs>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第二轮谈判谈判小组未能确定成交候选人的，对谈判文件修正后进行第三轮谈判。以此类推。</w:t>
      </w:r>
    </w:p>
    <w:p>
      <w:pPr>
        <w:widowControl/>
        <w:tabs>
          <w:tab w:val="left" w:pos="540"/>
        </w:tabs>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16.9最后报价</w:t>
      </w:r>
    </w:p>
    <w:p>
      <w:pPr>
        <w:widowControl/>
        <w:tabs>
          <w:tab w:val="left" w:pos="540"/>
        </w:tabs>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成交候选人作最后报价，密封递交谈判小组。谈判小组按评标价从低到高排序，推荐成交候选人顺序，形成评审（谈判）报告。</w:t>
      </w:r>
    </w:p>
    <w:p>
      <w:pPr>
        <w:widowControl/>
        <w:tabs>
          <w:tab w:val="left" w:pos="540"/>
        </w:tabs>
        <w:spacing w:line="440" w:lineRule="exact"/>
        <w:ind w:firstLine="424" w:firstLineChars="202"/>
        <w:jc w:val="left"/>
        <w:rPr>
          <w:rFonts w:ascii="宋体" w:hAnsi="宋体"/>
          <w:color w:val="auto"/>
          <w:szCs w:val="21"/>
          <w:highlight w:val="none"/>
        </w:rPr>
      </w:pPr>
      <w:r>
        <w:rPr>
          <w:rFonts w:ascii="宋体" w:hAnsi="宋体" w:eastAsia="宋体" w:cs="Times New Roman"/>
          <w:color w:val="auto"/>
          <w:szCs w:val="21"/>
          <w:highlight w:val="none"/>
        </w:rPr>
        <w:t>16.</w:t>
      </w: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0</w:t>
      </w:r>
      <w:r>
        <w:rPr>
          <w:rFonts w:hint="eastAsia" w:ascii="宋体" w:hAnsi="宋体"/>
          <w:color w:val="auto"/>
          <w:szCs w:val="21"/>
          <w:highlight w:val="none"/>
        </w:rPr>
        <w:t>评审与比较</w:t>
      </w:r>
    </w:p>
    <w:p>
      <w:pPr>
        <w:widowControl/>
        <w:tabs>
          <w:tab w:val="left" w:pos="540"/>
        </w:tabs>
        <w:spacing w:line="440" w:lineRule="exact"/>
        <w:ind w:firstLine="424" w:firstLineChars="202"/>
        <w:jc w:val="left"/>
        <w:rPr>
          <w:rFonts w:ascii="宋体" w:hAnsi="宋体"/>
          <w:color w:val="auto"/>
          <w:szCs w:val="21"/>
          <w:highlight w:val="none"/>
        </w:rPr>
      </w:pPr>
      <w:r>
        <w:rPr>
          <w:rFonts w:hint="eastAsia" w:ascii="宋体" w:hAnsi="宋体"/>
          <w:color w:val="auto"/>
          <w:highlight w:val="none"/>
        </w:rPr>
        <w:t>（1）本采购项目的评标依据为谈判文件和响应文件，采用的评分标准为最低评标价法。</w:t>
      </w:r>
    </w:p>
    <w:p>
      <w:pPr>
        <w:widowControl/>
        <w:tabs>
          <w:tab w:val="left" w:pos="540"/>
        </w:tabs>
        <w:spacing w:line="440" w:lineRule="exact"/>
        <w:ind w:firstLine="424" w:firstLineChars="202"/>
        <w:jc w:val="left"/>
        <w:rPr>
          <w:rFonts w:ascii="宋体" w:hAnsi="宋体"/>
          <w:color w:val="auto"/>
          <w:szCs w:val="21"/>
          <w:highlight w:val="none"/>
        </w:rPr>
      </w:pPr>
      <w:r>
        <w:rPr>
          <w:rFonts w:hint="eastAsia" w:ascii="宋体" w:hAnsi="宋体"/>
          <w:color w:val="auto"/>
          <w:szCs w:val="21"/>
          <w:highlight w:val="none"/>
        </w:rPr>
        <w:t>（2）</w:t>
      </w:r>
      <w:r>
        <w:rPr>
          <w:rFonts w:ascii="宋体" w:hAnsi="宋体" w:cs="宋体"/>
          <w:color w:val="auto"/>
          <w:kern w:val="0"/>
          <w:szCs w:val="21"/>
          <w:highlight w:val="none"/>
        </w:rPr>
        <w:t>谈判小组应当从质量和服务均能满足采购文件实质性响应要求的供应商中，按照</w:t>
      </w:r>
      <w:r>
        <w:rPr>
          <w:rFonts w:hint="eastAsia" w:ascii="宋体" w:hAnsi="宋体" w:cs="宋体"/>
          <w:color w:val="auto"/>
          <w:kern w:val="0"/>
          <w:szCs w:val="21"/>
          <w:highlight w:val="none"/>
        </w:rPr>
        <w:t>最后评标系数（最后评标系数计算方法=1-最后评标折扣率）</w:t>
      </w:r>
      <w:r>
        <w:rPr>
          <w:rFonts w:ascii="宋体" w:hAnsi="宋体" w:cs="宋体"/>
          <w:color w:val="auto"/>
          <w:kern w:val="0"/>
          <w:szCs w:val="21"/>
          <w:highlight w:val="none"/>
        </w:rPr>
        <w:t>由低到高的顺序提出3名以上成交候选人，并编写评审报告。</w:t>
      </w:r>
    </w:p>
    <w:p>
      <w:pPr>
        <w:widowControl/>
        <w:tabs>
          <w:tab w:val="left" w:pos="540"/>
        </w:tabs>
        <w:spacing w:line="440" w:lineRule="exact"/>
        <w:ind w:firstLine="424" w:firstLineChars="202"/>
        <w:jc w:val="left"/>
        <w:rPr>
          <w:rFonts w:ascii="宋体" w:hAnsi="宋体" w:eastAsia="宋体" w:cs="Times New Roman"/>
          <w:color w:val="auto"/>
          <w:szCs w:val="21"/>
          <w:highlight w:val="none"/>
        </w:rPr>
      </w:pPr>
      <w:r>
        <w:rPr>
          <w:rFonts w:hint="eastAsia" w:ascii="宋体" w:hAnsi="宋体" w:cs="宋体"/>
          <w:color w:val="auto"/>
          <w:kern w:val="0"/>
          <w:szCs w:val="21"/>
          <w:highlight w:val="none"/>
        </w:rPr>
        <w:t>（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idowControl/>
        <w:tabs>
          <w:tab w:val="left" w:pos="540"/>
        </w:tabs>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16.11</w:t>
      </w:r>
      <w:r>
        <w:rPr>
          <w:rFonts w:ascii="宋体" w:hAnsi="宋体" w:eastAsia="宋体" w:cs="Times New Roman"/>
          <w:color w:val="auto"/>
          <w:szCs w:val="21"/>
          <w:highlight w:val="none"/>
        </w:rPr>
        <w:t>响应供应商的报价均超过了政府采购预算或最高限价的，采购人不能支付的，谈判活动终止；终止后，采购人需要采取调整采购预算或项目配置标准等，或采取其他采购方式的，应当在采购活动开始前获得财政部门批准。</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16.</w:t>
      </w:r>
      <w:r>
        <w:rPr>
          <w:rFonts w:hint="eastAsia" w:ascii="宋体" w:hAnsi="宋体" w:eastAsia="宋体" w:cs="Times New Roman"/>
          <w:color w:val="auto"/>
          <w:szCs w:val="21"/>
          <w:highlight w:val="none"/>
        </w:rPr>
        <w:t>12</w:t>
      </w:r>
      <w:r>
        <w:rPr>
          <w:rFonts w:ascii="宋体" w:hAnsi="宋体" w:eastAsia="宋体" w:cs="Times New Roman"/>
          <w:color w:val="auto"/>
          <w:szCs w:val="21"/>
          <w:highlight w:val="none"/>
        </w:rPr>
        <w:t>采购代理机构发现谈判小组有明显的违规倾向或歧视现象，或不按评审办法进行，或其他不正常行为的，应当及时制止。如制止无效，应及时向政府采购监督管理机构报告。</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17、确定成交供应商</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7</w:t>
      </w:r>
      <w:r>
        <w:rPr>
          <w:rFonts w:ascii="宋体" w:hAnsi="宋体" w:eastAsia="宋体" w:cs="Times New Roman"/>
          <w:color w:val="auto"/>
          <w:szCs w:val="21"/>
          <w:highlight w:val="none"/>
        </w:rPr>
        <w:t>.1谈判小组只要求符合性审查合格、未被谈判小组拒绝并且商务评审和技术（服务）评审合格的谈判供应商在规定的时间内进行报价。</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7</w:t>
      </w:r>
      <w:r>
        <w:rPr>
          <w:rFonts w:ascii="宋体" w:hAnsi="宋体" w:eastAsia="宋体" w:cs="Times New Roman"/>
          <w:color w:val="auto"/>
          <w:szCs w:val="21"/>
          <w:highlight w:val="none"/>
        </w:rPr>
        <w:t>.2谈判小组将根据需要决定是否要求所有合格的谈判供应商在规定时间内进行第二次或最后报价，该最后报价将作为谈判小组评比的最终依据。</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7</w:t>
      </w:r>
      <w:r>
        <w:rPr>
          <w:rFonts w:ascii="宋体" w:hAnsi="宋体" w:eastAsia="宋体" w:cs="Times New Roman"/>
          <w:color w:val="auto"/>
          <w:szCs w:val="21"/>
          <w:highlight w:val="none"/>
        </w:rPr>
        <w:t>.3根据以下原则确定成交供应商：</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1）采购单位应当确定谈判小组推荐排名第一的成交候选人为成交供应商。</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2）排名第一的成交候选人放弃中标、因不可抗力提出不能履行合同或因复核、质疑等其他引起的竞标无效情形，采购单位可以确定排名第二的成交候选人为成交供应商。采购人也可以重新采购。</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3）排名第二的成交候选人因前款规定的同样原因不能签订合同的，采购单位可以确定排名第三的成交候选人为成交供应商。采购人也可以重新采购。</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18、竞标无效的情形</w:t>
      </w:r>
    </w:p>
    <w:p>
      <w:pPr>
        <w:spacing w:line="440" w:lineRule="exact"/>
        <w:ind w:firstLine="420" w:firstLineChars="200"/>
        <w:jc w:val="left"/>
        <w:rPr>
          <w:rFonts w:ascii="宋体" w:hAnsi="宋体" w:eastAsia="宋体" w:cs="Times New Roman"/>
          <w:b/>
          <w:color w:val="auto"/>
          <w:szCs w:val="21"/>
          <w:highlight w:val="none"/>
        </w:rPr>
      </w:pPr>
      <w:r>
        <w:rPr>
          <w:rFonts w:ascii="宋体" w:hAnsi="宋体" w:eastAsia="宋体" w:cs="Times New Roman"/>
          <w:color w:val="auto"/>
          <w:szCs w:val="21"/>
          <w:highlight w:val="none"/>
        </w:rPr>
        <w:t>18.1实质上没有响应采购文件要求的竞标将被视为无效竞标。但经谈判小组认定属于竞标人疏忽、笔误所造成的差错，在谈判小组集体讨论同意后可以允许其进行澄清、说明或修改或者补正（补正可以是复印件、传真件等）。澄清、说明或修改或者补正响应文件必须以书面形式进行，并应在成交结果公告之前查核原件。限期内不补正或经补正后仍不符合竞争性谈判采购文件要求的，应认定其竞标无效。</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在符合性审查时，如存在下列情形之一的，视为符合性审查不合格，竞标将被视为无效：</w:t>
      </w:r>
    </w:p>
    <w:p>
      <w:pPr>
        <w:spacing w:line="440" w:lineRule="exact"/>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color w:val="auto"/>
          <w:szCs w:val="21"/>
          <w:highlight w:val="none"/>
        </w:rPr>
        <w:t>（1）竞争性谈判响应文件无法定代表人签字, 或为非</w:t>
      </w:r>
      <w:r>
        <w:rPr>
          <w:rFonts w:ascii="宋体" w:hAnsi="宋体" w:eastAsia="宋体" w:cs="Times New Roman"/>
          <w:bCs/>
          <w:color w:val="auto"/>
          <w:kern w:val="0"/>
          <w:szCs w:val="21"/>
          <w:highlight w:val="none"/>
        </w:rPr>
        <w:t>法定代表人签字时但</w:t>
      </w:r>
      <w:r>
        <w:rPr>
          <w:rFonts w:ascii="宋体" w:hAnsi="宋体" w:eastAsia="宋体" w:cs="Times New Roman"/>
          <w:color w:val="auto"/>
          <w:szCs w:val="21"/>
          <w:highlight w:val="none"/>
        </w:rPr>
        <w:t>未</w:t>
      </w:r>
      <w:r>
        <w:rPr>
          <w:rFonts w:ascii="宋体" w:hAnsi="宋体" w:eastAsia="宋体" w:cs="Times New Roman"/>
          <w:bCs/>
          <w:color w:val="auto"/>
          <w:kern w:val="0"/>
          <w:szCs w:val="21"/>
          <w:highlight w:val="none"/>
        </w:rPr>
        <w:t>提供法定代表人授权委托书、</w:t>
      </w:r>
      <w:r>
        <w:rPr>
          <w:rFonts w:ascii="宋体" w:hAnsi="宋体" w:eastAsia="宋体" w:cs="Times New Roman"/>
          <w:color w:val="auto"/>
          <w:szCs w:val="21"/>
          <w:highlight w:val="none"/>
        </w:rPr>
        <w:t>无</w:t>
      </w:r>
      <w:r>
        <w:rPr>
          <w:rFonts w:ascii="宋体" w:hAnsi="宋体" w:eastAsia="宋体" w:cs="Times New Roman"/>
          <w:bCs/>
          <w:color w:val="auto"/>
          <w:kern w:val="0"/>
          <w:szCs w:val="21"/>
          <w:highlight w:val="none"/>
        </w:rPr>
        <w:t>谈判书的；</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（2）未按竞争性谈判采购文件要求编制竞争性谈判响应文件及提交竞标保证金的；</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（3）竞标有效期、交货时间、质保期等商务条款不能满足竞争性谈判采购文件要求的；</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（4）响应文件未按采购文件的内容和要求编制（含签字、盖章），或提供虚假材料的；</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（5）</w:t>
      </w:r>
      <w:r>
        <w:rPr>
          <w:rFonts w:ascii="宋体" w:hAnsi="宋体" w:eastAsia="宋体" w:cs="Times New Roman"/>
          <w:snapToGrid w:val="0"/>
          <w:color w:val="auto"/>
          <w:szCs w:val="21"/>
          <w:highlight w:val="none"/>
        </w:rPr>
        <w:t>明显不符合</w:t>
      </w:r>
      <w:r>
        <w:rPr>
          <w:rFonts w:ascii="宋体" w:hAnsi="宋体" w:eastAsia="宋体" w:cs="Times New Roman"/>
          <w:color w:val="auto"/>
          <w:kern w:val="0"/>
          <w:szCs w:val="21"/>
          <w:highlight w:val="none"/>
        </w:rPr>
        <w:t>竞争性谈判</w:t>
      </w:r>
      <w:r>
        <w:rPr>
          <w:rFonts w:ascii="宋体" w:hAnsi="宋体" w:eastAsia="宋体" w:cs="Times New Roman"/>
          <w:color w:val="auto"/>
          <w:szCs w:val="21"/>
          <w:highlight w:val="none"/>
        </w:rPr>
        <w:t>采购文件</w:t>
      </w:r>
      <w:r>
        <w:rPr>
          <w:rFonts w:ascii="宋体" w:hAnsi="宋体" w:eastAsia="宋体" w:cs="Times New Roman"/>
          <w:snapToGrid w:val="0"/>
          <w:color w:val="auto"/>
          <w:szCs w:val="21"/>
          <w:highlight w:val="none"/>
        </w:rPr>
        <w:t>要求的规格型号、质量标准，或者与</w:t>
      </w:r>
      <w:r>
        <w:rPr>
          <w:rFonts w:ascii="宋体" w:hAnsi="宋体" w:eastAsia="宋体" w:cs="Times New Roman"/>
          <w:color w:val="auto"/>
          <w:kern w:val="0"/>
          <w:szCs w:val="21"/>
          <w:highlight w:val="none"/>
        </w:rPr>
        <w:t>竞争性谈判</w:t>
      </w:r>
      <w:r>
        <w:rPr>
          <w:rFonts w:ascii="宋体" w:hAnsi="宋体" w:eastAsia="宋体" w:cs="Times New Roman"/>
          <w:color w:val="auto"/>
          <w:szCs w:val="21"/>
          <w:highlight w:val="none"/>
        </w:rPr>
        <w:t>采购文件中标注“</w:t>
      </w:r>
      <w:r>
        <w:rPr>
          <w:rFonts w:ascii="宋体" w:hAnsi="宋体" w:eastAsia="宋体" w:cs="Segoe UI Symbol"/>
          <w:color w:val="auto"/>
          <w:szCs w:val="21"/>
          <w:highlight w:val="none"/>
        </w:rPr>
        <w:t>★</w:t>
      </w:r>
      <w:r>
        <w:rPr>
          <w:rFonts w:ascii="宋体" w:hAnsi="宋体" w:eastAsia="宋体" w:cs="Times New Roman"/>
          <w:color w:val="auto"/>
          <w:szCs w:val="21"/>
          <w:highlight w:val="none"/>
        </w:rPr>
        <w:t>”的任何一项技术指标或要求发生实质性负偏离的；</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（6）单个项号的货物允许偏离的非实质性技术指标或要求发生负偏离的项数达</w:t>
      </w:r>
      <w:r>
        <w:rPr>
          <w:rFonts w:ascii="宋体" w:hAnsi="宋体" w:eastAsia="宋体" w:cs="Times New Roman"/>
          <w:color w:val="auto"/>
          <w:szCs w:val="21"/>
          <w:highlight w:val="none"/>
          <w:u w:val="single"/>
        </w:rPr>
        <w:t>2</w:t>
      </w:r>
      <w:r>
        <w:rPr>
          <w:rFonts w:ascii="宋体" w:hAnsi="宋体" w:eastAsia="宋体" w:cs="Times New Roman"/>
          <w:color w:val="auto"/>
          <w:szCs w:val="21"/>
          <w:highlight w:val="none"/>
        </w:rPr>
        <w:t>项（含</w:t>
      </w:r>
      <w:r>
        <w:rPr>
          <w:rFonts w:ascii="宋体" w:hAnsi="宋体" w:eastAsia="宋体" w:cs="Times New Roman"/>
          <w:color w:val="auto"/>
          <w:szCs w:val="21"/>
          <w:highlight w:val="none"/>
          <w:u w:val="single"/>
        </w:rPr>
        <w:t>2</w:t>
      </w:r>
      <w:r>
        <w:rPr>
          <w:rFonts w:ascii="宋体" w:hAnsi="宋体" w:eastAsia="宋体" w:cs="Times New Roman"/>
          <w:color w:val="auto"/>
          <w:szCs w:val="21"/>
          <w:highlight w:val="none"/>
        </w:rPr>
        <w:t>项）以上的；</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（7）存在竞争性谈判采购文件规定的“竞标无效”的情形或有采购方不能接受的附加条件的；</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（8）存在不符合竞标人须知7.6规定的其他情形的。</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18.2在报价评审时，如发现下列情形之一的，竞标将被视为无效：</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（1）未采用人民币报价或者未按照竞争性谈判文件标明的币种报价的；</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（2）最后报价超出最高限价，或者超出采购预算金额，采购人不能支付的：</w:t>
      </w:r>
    </w:p>
    <w:p>
      <w:pPr>
        <w:spacing w:line="440" w:lineRule="exact"/>
        <w:ind w:firstLine="420" w:firstLineChars="200"/>
        <w:jc w:val="left"/>
        <w:rPr>
          <w:rFonts w:ascii="宋体" w:hAnsi="宋体" w:eastAsia="宋体" w:cs="Times New Roman"/>
          <w:color w:val="auto"/>
          <w:szCs w:val="20"/>
          <w:highlight w:val="none"/>
        </w:rPr>
      </w:pPr>
      <w:r>
        <w:rPr>
          <w:rFonts w:ascii="宋体" w:hAnsi="宋体" w:eastAsia="宋体" w:cs="Times New Roman"/>
          <w:color w:val="auto"/>
          <w:szCs w:val="20"/>
          <w:highlight w:val="none"/>
        </w:rPr>
        <w:t>（3）最后报价具有选择性；</w:t>
      </w:r>
    </w:p>
    <w:p>
      <w:pPr>
        <w:spacing w:line="440" w:lineRule="exact"/>
        <w:ind w:firstLine="422" w:firstLineChars="200"/>
        <w:jc w:val="left"/>
        <w:rPr>
          <w:rFonts w:ascii="宋体" w:hAnsi="宋体" w:eastAsia="宋体" w:cs="Times New Roman"/>
          <w:b/>
          <w:color w:val="auto"/>
          <w:szCs w:val="20"/>
          <w:highlight w:val="none"/>
        </w:rPr>
      </w:pPr>
      <w:r>
        <w:rPr>
          <w:rFonts w:ascii="宋体" w:hAnsi="宋体" w:eastAsia="宋体" w:cs="Times New Roman"/>
          <w:b/>
          <w:color w:val="auto"/>
          <w:szCs w:val="20"/>
          <w:highlight w:val="none"/>
        </w:rPr>
        <w:t>（4）</w:t>
      </w:r>
      <w:r>
        <w:rPr>
          <w:rFonts w:ascii="宋体" w:hAnsi="宋体" w:eastAsia="宋体" w:cs="Times New Roman"/>
          <w:b/>
          <w:color w:val="auto"/>
          <w:kern w:val="0"/>
          <w:szCs w:val="20"/>
          <w:highlight w:val="none"/>
        </w:rPr>
        <w:t>谈判小组认为竞标人的报价明显低于其他通过符合性审查竞标人的报价，有可能影响产品质量或者不能诚信履约的，应当要求其在谈判现场合理的时间内提供书面说明，必要时提交相关证明材料；竞标人不能证明其报价合理性的，评标委员会应当将其作为无效竞标处理。</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18.3有下列情形之一的视为关联供应商参加同一合同项下政府采购活动，响应文件将被视为无效：</w:t>
      </w:r>
    </w:p>
    <w:p>
      <w:pPr>
        <w:spacing w:line="440" w:lineRule="exact"/>
        <w:ind w:firstLine="420" w:firstLineChars="200"/>
        <w:jc w:val="left"/>
        <w:rPr>
          <w:rFonts w:ascii="宋体" w:hAnsi="宋体" w:eastAsia="宋体" w:cs="Times New Roman"/>
          <w:bCs/>
          <w:color w:val="auto"/>
          <w:szCs w:val="21"/>
          <w:highlight w:val="none"/>
        </w:rPr>
      </w:pPr>
      <w:r>
        <w:rPr>
          <w:rFonts w:ascii="宋体" w:hAnsi="宋体" w:eastAsia="宋体" w:cs="Times New Roman"/>
          <w:bCs/>
          <w:color w:val="auto"/>
          <w:szCs w:val="21"/>
          <w:highlight w:val="none"/>
        </w:rPr>
        <w:t>（1）单位负责人为同一人或者存在直接控股、管理关系的不同供应商，参加同一合同项下的政府采购活动；</w:t>
      </w:r>
    </w:p>
    <w:p>
      <w:pPr>
        <w:spacing w:line="440" w:lineRule="exact"/>
        <w:ind w:firstLine="420" w:firstLineChars="200"/>
        <w:jc w:val="left"/>
        <w:rPr>
          <w:rFonts w:ascii="宋体" w:hAnsi="宋体" w:eastAsia="宋体" w:cs="Times New Roman"/>
          <w:bCs/>
          <w:color w:val="auto"/>
          <w:szCs w:val="21"/>
          <w:highlight w:val="none"/>
        </w:rPr>
      </w:pPr>
      <w:r>
        <w:rPr>
          <w:rFonts w:ascii="宋体" w:hAnsi="宋体" w:eastAsia="宋体" w:cs="Times New Roman"/>
          <w:bCs/>
          <w:color w:val="auto"/>
          <w:szCs w:val="21"/>
          <w:highlight w:val="none"/>
        </w:rPr>
        <w:t>（2）生产厂商授权给供应商后又参加同一合同项下的政府采购活动；生产厂商对同一品牌同一型号的货物委托多个代理商参加竞标。</w:t>
      </w:r>
    </w:p>
    <w:p>
      <w:pPr>
        <w:spacing w:line="440" w:lineRule="exact"/>
        <w:ind w:firstLine="420" w:firstLineChars="200"/>
        <w:jc w:val="left"/>
        <w:rPr>
          <w:rFonts w:ascii="宋体" w:hAnsi="宋体" w:eastAsia="宋体" w:cs="Times New Roman"/>
          <w:bCs/>
          <w:color w:val="auto"/>
          <w:szCs w:val="20"/>
          <w:highlight w:val="none"/>
        </w:rPr>
      </w:pPr>
      <w:r>
        <w:rPr>
          <w:rFonts w:ascii="宋体" w:hAnsi="宋体" w:eastAsia="宋体" w:cs="Times New Roman"/>
          <w:bCs/>
          <w:color w:val="auto"/>
          <w:szCs w:val="20"/>
          <w:highlight w:val="none"/>
        </w:rPr>
        <w:t>18.4被谈判小组拒绝的响应文件为无效：</w:t>
      </w:r>
    </w:p>
    <w:p>
      <w:pPr>
        <w:spacing w:line="440" w:lineRule="exact"/>
        <w:ind w:firstLine="420" w:firstLineChars="200"/>
        <w:jc w:val="left"/>
        <w:rPr>
          <w:rFonts w:ascii="宋体" w:hAnsi="宋体" w:eastAsia="宋体" w:cs="Times New Roman"/>
          <w:bCs/>
          <w:color w:val="auto"/>
          <w:szCs w:val="20"/>
          <w:highlight w:val="none"/>
        </w:rPr>
      </w:pPr>
      <w:r>
        <w:rPr>
          <w:rFonts w:ascii="宋体" w:hAnsi="宋体" w:eastAsia="宋体" w:cs="Times New Roman"/>
          <w:bCs/>
          <w:color w:val="auto"/>
          <w:szCs w:val="20"/>
          <w:highlight w:val="none"/>
        </w:rPr>
        <w:t>被视为无效的竞争性谈判响应文件或者谈判代表人未能出具身份证明（法定代表人凭法定代表人身份证原件或委托代理人凭法人授权委托书原件和身份证原件）的，将不得进入谈判或作最后报价。（已作最后报价的也将视为无效报价）</w:t>
      </w:r>
    </w:p>
    <w:p>
      <w:pPr>
        <w:spacing w:line="440" w:lineRule="exact"/>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19、谈判过程的监控</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本项目谈判过程实行全程录音、录像监控，供应商在谈判过程中所进行的试图影响谈判结果的不公正活动，可能导致其谈判被拒绝。</w:t>
      </w:r>
    </w:p>
    <w:p>
      <w:pPr>
        <w:spacing w:line="440" w:lineRule="exact"/>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20、确定成交人</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20.1采购代理机构于谈判结束后两个工作日内将评审报告送交采购人，采购人应当自收到评审报告五个工作日内在评审报告推荐的成交候选人中按顺序确定成交供应商，</w:t>
      </w:r>
      <w:r>
        <w:rPr>
          <w:rFonts w:hint="eastAsia" w:ascii="宋体" w:hAnsi="宋体" w:eastAsia="宋体" w:cs="Times New Roman"/>
          <w:color w:val="auto"/>
          <w:kern w:val="0"/>
          <w:szCs w:val="21"/>
          <w:highlight w:val="none"/>
          <w:shd w:val="clear" w:color="auto" w:fill="FFFFFF"/>
        </w:rPr>
        <w:t>采购人逾期未确定成交人且不提出异议的，视为确定</w:t>
      </w:r>
      <w:r>
        <w:rPr>
          <w:rFonts w:hint="eastAsia" w:ascii="宋体" w:hAnsi="宋体" w:eastAsia="宋体" w:cs="Times New Roman"/>
          <w:color w:val="auto"/>
          <w:szCs w:val="21"/>
          <w:highlight w:val="none"/>
        </w:rPr>
        <w:t>评审报告推荐的成交候选人</w:t>
      </w:r>
      <w:r>
        <w:rPr>
          <w:rFonts w:hint="eastAsia" w:ascii="宋体" w:hAnsi="宋体" w:eastAsia="宋体" w:cs="Times New Roman"/>
          <w:color w:val="auto"/>
          <w:kern w:val="0"/>
          <w:szCs w:val="21"/>
          <w:highlight w:val="none"/>
          <w:shd w:val="clear" w:color="auto" w:fill="FFFFFF"/>
        </w:rPr>
        <w:t>为</w:t>
      </w:r>
      <w:r>
        <w:rPr>
          <w:rFonts w:hint="eastAsia" w:ascii="宋体" w:hAnsi="宋体" w:eastAsia="宋体" w:cs="Times New Roman"/>
          <w:color w:val="auto"/>
          <w:szCs w:val="21"/>
          <w:highlight w:val="none"/>
        </w:rPr>
        <w:t>成交供应商</w:t>
      </w:r>
      <w:r>
        <w:rPr>
          <w:rFonts w:hint="eastAsia" w:ascii="宋体" w:hAnsi="宋体" w:eastAsia="宋体" w:cs="Times New Roman"/>
          <w:color w:val="auto"/>
          <w:kern w:val="0"/>
          <w:szCs w:val="21"/>
          <w:highlight w:val="none"/>
          <w:shd w:val="clear" w:color="auto" w:fill="FFFFFF"/>
        </w:rPr>
        <w:t>。</w:t>
      </w:r>
    </w:p>
    <w:p>
      <w:pPr>
        <w:spacing w:line="440" w:lineRule="exact"/>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21、成交公告及成交通知书</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21.1采购代理机构在成交供应商确定之日起两个工作日内发出成交通知书，并在指定媒体上公告成交信息。</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21.2在发布成交公告的同时，采购代理机构向成交供应商发出成交通知书。如成交供应商自接到通知之日起七个工作日内，不办理成交通知书领取手续的，按违约处理。采购单位将取消其成交资格，从谈判小组推荐的成交候选人中按顺序重新确定成交供应商。</w:t>
      </w:r>
    </w:p>
    <w:p>
      <w:pPr>
        <w:spacing w:line="44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21.2采购代理机构无义务向未成交的供应商解释未成交原因和退还响应文件。</w:t>
      </w:r>
    </w:p>
    <w:p>
      <w:pPr>
        <w:keepNext/>
        <w:keepLines/>
        <w:spacing w:before="120" w:beforeLines="50" w:after="120" w:afterLines="50" w:line="460" w:lineRule="exact"/>
        <w:jc w:val="center"/>
        <w:outlineLvl w:val="1"/>
        <w:rPr>
          <w:rFonts w:ascii="宋体" w:hAnsi="宋体" w:eastAsia="宋体" w:cs="Times New Roman"/>
          <w:b/>
          <w:bCs/>
          <w:color w:val="auto"/>
          <w:kern w:val="0"/>
          <w:sz w:val="24"/>
          <w:szCs w:val="32"/>
          <w:highlight w:val="none"/>
        </w:rPr>
      </w:pPr>
      <w:r>
        <w:rPr>
          <w:rFonts w:ascii="宋体" w:hAnsi="宋体" w:eastAsia="宋体" w:cs="Times New Roman"/>
          <w:b/>
          <w:bCs/>
          <w:color w:val="auto"/>
          <w:kern w:val="0"/>
          <w:sz w:val="24"/>
          <w:szCs w:val="32"/>
          <w:highlight w:val="none"/>
        </w:rPr>
        <w:t>八、质疑与投诉</w:t>
      </w:r>
    </w:p>
    <w:p>
      <w:pPr>
        <w:spacing w:line="440" w:lineRule="exact"/>
        <w:ind w:firstLine="422" w:firstLineChars="200"/>
        <w:jc w:val="left"/>
        <w:rPr>
          <w:rFonts w:ascii="宋体" w:hAnsi="宋体" w:eastAsia="宋体" w:cs="Times New Roman"/>
          <w:b/>
          <w:color w:val="auto"/>
          <w:szCs w:val="20"/>
          <w:highlight w:val="none"/>
        </w:rPr>
      </w:pPr>
      <w:r>
        <w:rPr>
          <w:rFonts w:ascii="宋体" w:hAnsi="宋体" w:eastAsia="宋体" w:cs="Times New Roman"/>
          <w:b/>
          <w:color w:val="auto"/>
          <w:szCs w:val="20"/>
          <w:highlight w:val="none"/>
        </w:rPr>
        <w:t>22、质疑</w:t>
      </w:r>
    </w:p>
    <w:p>
      <w:pPr>
        <w:spacing w:line="440" w:lineRule="exact"/>
        <w:ind w:firstLine="420" w:firstLineChars="200"/>
        <w:jc w:val="left"/>
        <w:rPr>
          <w:rFonts w:ascii="宋体" w:hAnsi="宋体" w:eastAsia="宋体" w:cs="Times New Roman"/>
          <w:b/>
          <w:color w:val="auto"/>
          <w:szCs w:val="21"/>
          <w:highlight w:val="none"/>
        </w:rPr>
      </w:pPr>
      <w:r>
        <w:rPr>
          <w:rFonts w:ascii="宋体" w:hAnsi="宋体" w:eastAsia="宋体" w:cs="Times New Roman"/>
          <w:color w:val="auto"/>
          <w:szCs w:val="21"/>
          <w:highlight w:val="none"/>
        </w:rPr>
        <w:t>22.1在向成交供应商发出成交通知书的同时，采购代理机构将成交结果在公告发布媒体上发布成交公告。</w:t>
      </w:r>
    </w:p>
    <w:p>
      <w:pPr>
        <w:spacing w:line="440" w:lineRule="exact"/>
        <w:ind w:firstLine="420" w:firstLineChars="200"/>
        <w:jc w:val="left"/>
        <w:rPr>
          <w:rFonts w:ascii="宋体" w:hAnsi="宋体" w:eastAsia="宋体" w:cs="Times New Roman"/>
          <w:color w:val="auto"/>
          <w:kern w:val="0"/>
          <w:szCs w:val="20"/>
          <w:highlight w:val="none"/>
          <w:lang w:val="zh-CN"/>
        </w:rPr>
      </w:pPr>
      <w:r>
        <w:rPr>
          <w:rFonts w:ascii="宋体" w:hAnsi="宋体" w:eastAsia="宋体" w:cs="Times New Roman"/>
          <w:color w:val="auto"/>
          <w:szCs w:val="20"/>
          <w:highlight w:val="none"/>
        </w:rPr>
        <w:t>22.2竞标人对评审过程、成交结果有异议的，可以在知道或者应知其权益受到损害之日起7个工作日内，以书面形式向采购人、采购代理机构提出质疑。</w:t>
      </w:r>
      <w:r>
        <w:rPr>
          <w:rFonts w:ascii="宋体" w:hAnsi="宋体" w:eastAsia="宋体" w:cs="Times New Roman"/>
          <w:color w:val="auto"/>
          <w:kern w:val="0"/>
          <w:szCs w:val="20"/>
          <w:highlight w:val="none"/>
        </w:rPr>
        <w:t>质疑</w:t>
      </w:r>
      <w:r>
        <w:rPr>
          <w:rFonts w:ascii="宋体" w:hAnsi="宋体" w:eastAsia="宋体" w:cs="Times New Roman"/>
          <w:color w:val="auto"/>
          <w:kern w:val="0"/>
          <w:szCs w:val="20"/>
          <w:highlight w:val="none"/>
          <w:lang w:val="zh-CN"/>
        </w:rPr>
        <w:t>书应当包括下列主要内容：</w:t>
      </w:r>
    </w:p>
    <w:p>
      <w:pPr>
        <w:spacing w:line="440" w:lineRule="exact"/>
        <w:ind w:firstLine="420" w:firstLineChars="200"/>
        <w:jc w:val="left"/>
        <w:rPr>
          <w:rFonts w:ascii="宋体" w:hAnsi="宋体" w:eastAsia="宋体" w:cs="Times New Roman"/>
          <w:color w:val="auto"/>
          <w:szCs w:val="20"/>
          <w:highlight w:val="none"/>
        </w:rPr>
      </w:pPr>
      <w:r>
        <w:rPr>
          <w:rFonts w:ascii="宋体" w:hAnsi="宋体" w:eastAsia="宋体" w:cs="Times New Roman"/>
          <w:color w:val="auto"/>
          <w:szCs w:val="20"/>
          <w:highlight w:val="none"/>
        </w:rPr>
        <w:t>（1）供应商的姓名或者名称、地址、邮编、联系人及联系电话；</w:t>
      </w:r>
    </w:p>
    <w:p>
      <w:pPr>
        <w:spacing w:line="440" w:lineRule="exact"/>
        <w:ind w:firstLine="420" w:firstLineChars="200"/>
        <w:jc w:val="left"/>
        <w:rPr>
          <w:rFonts w:ascii="宋体" w:hAnsi="宋体" w:eastAsia="宋体" w:cs="Times New Roman"/>
          <w:color w:val="auto"/>
          <w:szCs w:val="20"/>
          <w:highlight w:val="none"/>
        </w:rPr>
      </w:pPr>
      <w:r>
        <w:rPr>
          <w:rFonts w:ascii="宋体" w:hAnsi="宋体" w:eastAsia="宋体" w:cs="Times New Roman"/>
          <w:color w:val="auto"/>
          <w:szCs w:val="20"/>
          <w:highlight w:val="none"/>
        </w:rPr>
        <w:t>（2）质疑项目的名称、编号；</w:t>
      </w:r>
    </w:p>
    <w:p>
      <w:pPr>
        <w:spacing w:line="440" w:lineRule="exact"/>
        <w:ind w:firstLine="420" w:firstLineChars="200"/>
        <w:jc w:val="left"/>
        <w:rPr>
          <w:rFonts w:ascii="宋体" w:hAnsi="宋体" w:eastAsia="宋体" w:cs="Times New Roman"/>
          <w:color w:val="auto"/>
          <w:szCs w:val="20"/>
          <w:highlight w:val="none"/>
        </w:rPr>
      </w:pPr>
      <w:r>
        <w:rPr>
          <w:rFonts w:ascii="宋体" w:hAnsi="宋体" w:eastAsia="宋体" w:cs="Times New Roman"/>
          <w:color w:val="auto"/>
          <w:szCs w:val="20"/>
          <w:highlight w:val="none"/>
        </w:rPr>
        <w:t>（3）具体、明确的质疑事项和与质疑事项相关的请求；</w:t>
      </w:r>
    </w:p>
    <w:p>
      <w:pPr>
        <w:spacing w:line="440" w:lineRule="exact"/>
        <w:ind w:firstLine="420" w:firstLineChars="200"/>
        <w:jc w:val="left"/>
        <w:rPr>
          <w:rFonts w:ascii="宋体" w:hAnsi="宋体" w:eastAsia="宋体" w:cs="Times New Roman"/>
          <w:color w:val="auto"/>
          <w:szCs w:val="20"/>
          <w:highlight w:val="none"/>
        </w:rPr>
      </w:pPr>
      <w:r>
        <w:rPr>
          <w:rFonts w:ascii="宋体" w:hAnsi="宋体" w:eastAsia="宋体" w:cs="Times New Roman"/>
          <w:color w:val="auto"/>
          <w:szCs w:val="20"/>
          <w:highlight w:val="none"/>
        </w:rPr>
        <w:t>（4）事实依据；</w:t>
      </w:r>
    </w:p>
    <w:p>
      <w:pPr>
        <w:spacing w:line="440" w:lineRule="exact"/>
        <w:ind w:firstLine="420" w:firstLineChars="200"/>
        <w:jc w:val="left"/>
        <w:rPr>
          <w:rFonts w:ascii="宋体" w:hAnsi="宋体" w:eastAsia="宋体" w:cs="Times New Roman"/>
          <w:color w:val="auto"/>
          <w:szCs w:val="20"/>
          <w:highlight w:val="none"/>
        </w:rPr>
      </w:pPr>
      <w:r>
        <w:rPr>
          <w:rFonts w:ascii="宋体" w:hAnsi="宋体" w:eastAsia="宋体" w:cs="Times New Roman"/>
          <w:color w:val="auto"/>
          <w:szCs w:val="20"/>
          <w:highlight w:val="none"/>
        </w:rPr>
        <w:t>（5）必要的法律依据；</w:t>
      </w:r>
    </w:p>
    <w:p>
      <w:pPr>
        <w:spacing w:line="440" w:lineRule="exact"/>
        <w:ind w:firstLine="420" w:firstLineChars="200"/>
        <w:jc w:val="left"/>
        <w:rPr>
          <w:rFonts w:ascii="宋体" w:hAnsi="宋体" w:eastAsia="宋体" w:cs="Times New Roman"/>
          <w:color w:val="auto"/>
          <w:szCs w:val="20"/>
          <w:highlight w:val="none"/>
        </w:rPr>
      </w:pPr>
      <w:r>
        <w:rPr>
          <w:rFonts w:ascii="宋体" w:hAnsi="宋体" w:eastAsia="宋体" w:cs="Times New Roman"/>
          <w:color w:val="auto"/>
          <w:szCs w:val="20"/>
          <w:highlight w:val="none"/>
        </w:rPr>
        <w:t>（6）提出质疑的日期；</w:t>
      </w:r>
    </w:p>
    <w:p>
      <w:pPr>
        <w:spacing w:line="440" w:lineRule="exact"/>
        <w:ind w:firstLine="420" w:firstLineChars="200"/>
        <w:jc w:val="left"/>
        <w:rPr>
          <w:rFonts w:ascii="宋体" w:hAnsi="宋体" w:eastAsia="宋体" w:cs="Times New Roman"/>
          <w:color w:val="auto"/>
          <w:szCs w:val="20"/>
          <w:highlight w:val="none"/>
        </w:rPr>
      </w:pPr>
      <w:r>
        <w:rPr>
          <w:rFonts w:ascii="宋体" w:hAnsi="宋体" w:eastAsia="宋体" w:cs="Times New Roman"/>
          <w:color w:val="auto"/>
          <w:szCs w:val="20"/>
          <w:highlight w:val="none"/>
        </w:rPr>
        <w:t>（7）供应商为自然人的，应当由本人签字；供应商为法人或者其他组织的，应当由法定代表人、主要负责人，或者其授权代表签字或者盖章，并加盖公章；</w:t>
      </w:r>
    </w:p>
    <w:p>
      <w:pPr>
        <w:spacing w:line="440" w:lineRule="exact"/>
        <w:ind w:firstLine="420" w:firstLineChars="200"/>
        <w:jc w:val="left"/>
        <w:rPr>
          <w:rFonts w:ascii="宋体" w:hAnsi="宋体" w:eastAsia="宋体" w:cs="Times New Roman"/>
          <w:color w:val="auto"/>
          <w:szCs w:val="20"/>
          <w:highlight w:val="none"/>
        </w:rPr>
      </w:pPr>
      <w:r>
        <w:rPr>
          <w:rFonts w:ascii="宋体" w:hAnsi="宋体" w:eastAsia="宋体" w:cs="Times New Roman"/>
          <w:color w:val="auto"/>
          <w:szCs w:val="20"/>
          <w:highlight w:val="none"/>
        </w:rPr>
        <w:t>（8）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pPr>
        <w:spacing w:line="440" w:lineRule="exact"/>
        <w:ind w:firstLine="420" w:firstLineChars="200"/>
        <w:jc w:val="left"/>
        <w:rPr>
          <w:rFonts w:ascii="宋体" w:hAnsi="宋体" w:eastAsia="宋体" w:cs="Times New Roman"/>
          <w:color w:val="auto"/>
          <w:szCs w:val="20"/>
          <w:highlight w:val="none"/>
        </w:rPr>
      </w:pPr>
      <w:r>
        <w:rPr>
          <w:rFonts w:ascii="宋体" w:hAnsi="宋体" w:eastAsia="宋体" w:cs="Times New Roman"/>
          <w:color w:val="auto"/>
          <w:szCs w:val="20"/>
          <w:highlight w:val="none"/>
        </w:rPr>
        <w:t>（9）</w:t>
      </w:r>
      <w:r>
        <w:rPr>
          <w:rFonts w:ascii="宋体" w:hAnsi="宋体" w:eastAsia="宋体" w:cs="Times New Roman"/>
          <w:bCs/>
          <w:color w:val="auto"/>
          <w:spacing w:val="-4"/>
          <w:szCs w:val="21"/>
          <w:highlight w:val="none"/>
        </w:rPr>
        <w:t>质疑投标人可以委托代理人办理质疑事务。委托代理人应为质疑投标人的正式员工并熟悉相关业务情况。代理人办理质疑事务时，除提交质疑书外，还应当提交质疑投标人的授权委托书，授权委托书应当载明委托代理的具体权限和事项；提交委托代理人身份证明复印件和近期三个月社保缴费证明复印件。</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具体程序按《政府采购质疑和投诉办法》（中华人民共和国财政部令第94号）进行。</w:t>
      </w:r>
    </w:p>
    <w:p>
      <w:pPr>
        <w:spacing w:line="440" w:lineRule="exact"/>
        <w:ind w:firstLine="420" w:firstLineChars="200"/>
        <w:jc w:val="left"/>
        <w:rPr>
          <w:rFonts w:ascii="宋体" w:hAnsi="宋体" w:eastAsia="宋体" w:cs="Times New Roman"/>
          <w:color w:val="auto"/>
          <w:szCs w:val="20"/>
          <w:highlight w:val="none"/>
        </w:rPr>
      </w:pPr>
      <w:r>
        <w:rPr>
          <w:rFonts w:ascii="宋体" w:hAnsi="宋体" w:eastAsia="宋体" w:cs="Times New Roman"/>
          <w:color w:val="auto"/>
          <w:szCs w:val="20"/>
          <w:highlight w:val="none"/>
        </w:rPr>
        <w:t>22.3采购代理机构将就采购人委托授权范围内的事项在收到竞标人的书面质疑后七个工作日内做出答复，但答复的内容不得涉及商业秘密。</w:t>
      </w:r>
    </w:p>
    <w:p>
      <w:pPr>
        <w:spacing w:line="440" w:lineRule="exact"/>
        <w:ind w:firstLine="420" w:firstLineChars="200"/>
        <w:jc w:val="left"/>
        <w:rPr>
          <w:rFonts w:ascii="宋体" w:hAnsi="宋体" w:eastAsia="宋体" w:cs="Times New Roman"/>
          <w:color w:val="auto"/>
          <w:szCs w:val="20"/>
          <w:highlight w:val="none"/>
          <w:u w:val="single"/>
        </w:rPr>
      </w:pPr>
      <w:r>
        <w:rPr>
          <w:rFonts w:ascii="宋体" w:hAnsi="宋体" w:eastAsia="宋体" w:cs="Times New Roman"/>
          <w:color w:val="auto"/>
          <w:szCs w:val="20"/>
          <w:highlight w:val="none"/>
        </w:rPr>
        <w:t>22.4质疑电话：0771-</w:t>
      </w:r>
      <w:r>
        <w:rPr>
          <w:rFonts w:hint="eastAsia" w:ascii="宋体" w:hAnsi="宋体" w:eastAsia="宋体" w:cs="Times New Roman"/>
          <w:color w:val="auto"/>
          <w:szCs w:val="20"/>
          <w:highlight w:val="none"/>
        </w:rPr>
        <w:t>2819799</w:t>
      </w:r>
      <w:r>
        <w:rPr>
          <w:rFonts w:ascii="宋体" w:hAnsi="宋体" w:eastAsia="宋体" w:cs="Times New Roman"/>
          <w:color w:val="auto"/>
          <w:szCs w:val="20"/>
          <w:highlight w:val="none"/>
        </w:rPr>
        <w:t>（广西建设工程机电设备招标中心有限公司）。</w:t>
      </w:r>
    </w:p>
    <w:p>
      <w:pPr>
        <w:spacing w:line="440" w:lineRule="exact"/>
        <w:ind w:firstLine="422" w:firstLineChars="200"/>
        <w:jc w:val="left"/>
        <w:rPr>
          <w:rFonts w:ascii="宋体" w:hAnsi="宋体" w:eastAsia="宋体" w:cs="Times New Roman"/>
          <w:color w:val="auto"/>
          <w:szCs w:val="20"/>
          <w:highlight w:val="none"/>
        </w:rPr>
      </w:pPr>
      <w:r>
        <w:rPr>
          <w:rFonts w:ascii="宋体" w:hAnsi="宋体" w:eastAsia="宋体" w:cs="Times New Roman"/>
          <w:b/>
          <w:color w:val="auto"/>
          <w:szCs w:val="20"/>
          <w:highlight w:val="none"/>
        </w:rPr>
        <w:t>23、投诉</w:t>
      </w:r>
    </w:p>
    <w:p>
      <w:pPr>
        <w:spacing w:line="440" w:lineRule="exact"/>
        <w:ind w:firstLine="420" w:firstLineChars="200"/>
        <w:jc w:val="left"/>
        <w:rPr>
          <w:rFonts w:ascii="宋体" w:hAnsi="宋体" w:eastAsia="宋体" w:cs="Times New Roman"/>
          <w:color w:val="auto"/>
          <w:szCs w:val="20"/>
          <w:highlight w:val="none"/>
        </w:rPr>
      </w:pPr>
      <w:r>
        <w:rPr>
          <w:rFonts w:ascii="宋体" w:hAnsi="宋体" w:eastAsia="宋体" w:cs="Times New Roman"/>
          <w:color w:val="auto"/>
          <w:szCs w:val="20"/>
          <w:highlight w:val="none"/>
        </w:rPr>
        <w:t>23.1投诉人必须首先经过质疑程序，在对采购代理机构的答复不满意或者本公司未在规定的时间内做出答复的，可以在答复期满后十五个工作日内按《政府采购质疑和投诉办法》（中华人民共和国财政部令第94号）的要求书面向政府采购监督处投诉。</w:t>
      </w:r>
    </w:p>
    <w:p>
      <w:pPr>
        <w:spacing w:line="440" w:lineRule="exact"/>
        <w:ind w:firstLine="420" w:firstLineChars="200"/>
        <w:jc w:val="left"/>
        <w:rPr>
          <w:rFonts w:ascii="宋体" w:hAnsi="宋体" w:eastAsia="宋体" w:cs="Times New Roman"/>
          <w:color w:val="auto"/>
          <w:szCs w:val="20"/>
          <w:highlight w:val="none"/>
        </w:rPr>
      </w:pPr>
      <w:r>
        <w:rPr>
          <w:rFonts w:ascii="宋体" w:hAnsi="宋体" w:eastAsia="宋体" w:cs="Times New Roman"/>
          <w:color w:val="auto"/>
          <w:szCs w:val="20"/>
          <w:highlight w:val="none"/>
        </w:rPr>
        <w:t>23.2政府采购监督管理部门在处理投诉事项期间，可以视具体情况书面通知采购人暂停采购活动。</w:t>
      </w:r>
    </w:p>
    <w:p>
      <w:pPr>
        <w:spacing w:line="440" w:lineRule="exact"/>
        <w:ind w:firstLine="420" w:firstLineChars="200"/>
        <w:jc w:val="left"/>
        <w:rPr>
          <w:rFonts w:ascii="宋体" w:hAnsi="宋体" w:eastAsia="宋体" w:cs="Times New Roman"/>
          <w:color w:val="auto"/>
          <w:szCs w:val="20"/>
          <w:highlight w:val="none"/>
        </w:rPr>
      </w:pPr>
      <w:r>
        <w:rPr>
          <w:rFonts w:ascii="宋体" w:hAnsi="宋体" w:eastAsia="宋体" w:cs="Times New Roman"/>
          <w:color w:val="auto"/>
          <w:szCs w:val="20"/>
          <w:highlight w:val="none"/>
        </w:rPr>
        <w:t>2</w:t>
      </w:r>
      <w:r>
        <w:rPr>
          <w:rFonts w:hint="eastAsia" w:ascii="宋体" w:hAnsi="宋体" w:eastAsia="宋体" w:cs="Times New Roman"/>
          <w:color w:val="auto"/>
          <w:szCs w:val="20"/>
          <w:highlight w:val="none"/>
        </w:rPr>
        <w:t>3.3</w:t>
      </w:r>
      <w:r>
        <w:rPr>
          <w:rFonts w:ascii="宋体" w:hAnsi="宋体" w:eastAsia="宋体" w:cs="Times New Roman"/>
          <w:color w:val="auto"/>
          <w:szCs w:val="20"/>
          <w:highlight w:val="none"/>
        </w:rPr>
        <w:t>投诉电话：0771-5331544（广西壮族自治区财政厅政府采购监督管理处）。</w:t>
      </w:r>
    </w:p>
    <w:p>
      <w:pPr>
        <w:keepNext/>
        <w:keepLines/>
        <w:spacing w:before="120" w:beforeLines="50" w:after="120" w:afterLines="50" w:line="460" w:lineRule="exact"/>
        <w:jc w:val="center"/>
        <w:outlineLvl w:val="1"/>
        <w:rPr>
          <w:rFonts w:ascii="宋体" w:hAnsi="宋体" w:eastAsia="宋体" w:cs="Times New Roman"/>
          <w:b/>
          <w:bCs/>
          <w:color w:val="auto"/>
          <w:kern w:val="0"/>
          <w:sz w:val="24"/>
          <w:szCs w:val="32"/>
          <w:highlight w:val="none"/>
        </w:rPr>
      </w:pPr>
      <w:r>
        <w:rPr>
          <w:rFonts w:ascii="宋体" w:hAnsi="宋体" w:eastAsia="宋体" w:cs="Times New Roman"/>
          <w:b/>
          <w:bCs/>
          <w:color w:val="auto"/>
          <w:kern w:val="0"/>
          <w:sz w:val="24"/>
          <w:szCs w:val="32"/>
          <w:highlight w:val="none"/>
        </w:rPr>
        <w:t>九、签订合同及履约保证金</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24、签订合同</w:t>
      </w:r>
    </w:p>
    <w:p>
      <w:pPr>
        <w:spacing w:line="440" w:lineRule="exact"/>
        <w:ind w:firstLine="420" w:firstLineChars="200"/>
        <w:rPr>
          <w:rFonts w:ascii="宋体" w:hAnsi="宋体" w:eastAsia="宋体" w:cs="Times New Roman"/>
          <w:color w:val="auto"/>
          <w:szCs w:val="20"/>
          <w:highlight w:val="none"/>
        </w:rPr>
      </w:pPr>
      <w:r>
        <w:rPr>
          <w:rFonts w:ascii="宋体" w:hAnsi="宋体" w:eastAsia="宋体" w:cs="Times New Roman"/>
          <w:color w:val="auto"/>
          <w:szCs w:val="20"/>
          <w:highlight w:val="none"/>
        </w:rPr>
        <w:t>24.1成交供应商在收到成交通知书后，按规定与采购人签订供货服务合同。</w:t>
      </w:r>
    </w:p>
    <w:p>
      <w:pPr>
        <w:spacing w:line="440" w:lineRule="exact"/>
        <w:ind w:firstLine="420" w:firstLineChars="200"/>
        <w:rPr>
          <w:rFonts w:ascii="宋体" w:hAnsi="宋体" w:eastAsia="宋体" w:cs="Times New Roman"/>
          <w:color w:val="auto"/>
          <w:szCs w:val="20"/>
          <w:highlight w:val="none"/>
        </w:rPr>
      </w:pPr>
      <w:r>
        <w:rPr>
          <w:rFonts w:ascii="宋体" w:hAnsi="宋体" w:eastAsia="宋体" w:cs="Times New Roman"/>
          <w:color w:val="auto"/>
          <w:szCs w:val="20"/>
          <w:highlight w:val="none"/>
        </w:rPr>
        <w:t>24.2如果成交供应商不按成交通知书中规定签订合同，则按成交供应商违约处理。采购代理机构将不予退还成交供应商提交的全部竞标保证金并上缴同级财政国库。</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0"/>
          <w:highlight w:val="none"/>
        </w:rPr>
        <w:t>24.3成交供应商因不可抗力或者自身原因不能履行政府采购合同的，采购人可以与成交供应商</w:t>
      </w:r>
      <w:r>
        <w:rPr>
          <w:rFonts w:ascii="宋体" w:hAnsi="宋体" w:eastAsia="宋体" w:cs="Times New Roman"/>
          <w:color w:val="auto"/>
          <w:szCs w:val="21"/>
          <w:highlight w:val="none"/>
        </w:rPr>
        <w:t>之后排名第一的成交候选供应商签订采购合同，以此类推。采购人也可以重新开展采购活动。</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24.4成交供应商拒绝签订政府采购合同的，采购人可以根据谈判评审报告确定成交供应商之后排名第一的成交候选人作为成交供应商并签订政府采购合同，也可以重新开展采购活动。拒绝签订政府采购合同的成交供应商不得参加对该项目重新开展的采购活动。</w:t>
      </w:r>
    </w:p>
    <w:p>
      <w:pPr>
        <w:spacing w:line="440" w:lineRule="exact"/>
        <w:ind w:firstLine="422" w:firstLineChars="200"/>
        <w:jc w:val="left"/>
        <w:rPr>
          <w:rFonts w:ascii="宋体" w:hAnsi="宋体" w:eastAsia="宋体" w:cs="Times New Roman"/>
          <w:b/>
          <w:color w:val="auto"/>
          <w:szCs w:val="20"/>
          <w:highlight w:val="none"/>
        </w:rPr>
      </w:pPr>
      <w:r>
        <w:rPr>
          <w:rFonts w:ascii="宋体" w:hAnsi="宋体" w:eastAsia="宋体" w:cs="Times New Roman"/>
          <w:b/>
          <w:color w:val="auto"/>
          <w:szCs w:val="20"/>
          <w:highlight w:val="none"/>
        </w:rPr>
        <w:t>25、履约保证金</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履约保证金是否收取详见项目采购需求，如收取，要求如下：</w:t>
      </w:r>
    </w:p>
    <w:p>
      <w:pPr>
        <w:spacing w:line="44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ascii="宋体" w:hAnsi="宋体" w:eastAsia="宋体" w:cs="Times New Roman"/>
          <w:color w:val="auto"/>
          <w:szCs w:val="21"/>
          <w:highlight w:val="none"/>
        </w:rPr>
        <w:t>中标(成交)人须于签订合同前</w:t>
      </w:r>
      <w:r>
        <w:rPr>
          <w:rFonts w:hint="eastAsia" w:ascii="宋体" w:hAnsi="宋体" w:eastAsia="宋体" w:cs="Times New Roman"/>
          <w:color w:val="auto"/>
          <w:szCs w:val="21"/>
          <w:highlight w:val="none"/>
          <w:lang w:eastAsia="zh-CN"/>
        </w:rPr>
        <w:t>向采购</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eastAsia="zh-CN"/>
        </w:rPr>
        <w:t>支付总合同金额的5%做为本项目的履约保证金，质保期满后，如产品无质量问题的，履约保证金待质量保证期过后十五个工作日内一次性无息返还给</w:t>
      </w:r>
      <w:r>
        <w:rPr>
          <w:rFonts w:ascii="宋体" w:hAnsi="宋体" w:eastAsia="宋体" w:cs="Times New Roman"/>
          <w:color w:val="auto"/>
          <w:szCs w:val="21"/>
          <w:highlight w:val="none"/>
        </w:rPr>
        <w:t>中标(成交)人</w:t>
      </w:r>
      <w:r>
        <w:rPr>
          <w:rFonts w:hint="eastAsia" w:ascii="宋体" w:hAnsi="宋体" w:eastAsia="宋体" w:cs="Times New Roman"/>
          <w:color w:val="auto"/>
          <w:szCs w:val="21"/>
          <w:highlight w:val="none"/>
          <w:lang w:eastAsia="zh-CN"/>
        </w:rPr>
        <w:t>。</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ascii="宋体" w:hAnsi="宋体" w:eastAsia="宋体" w:cs="Times New Roman"/>
          <w:color w:val="auto"/>
          <w:szCs w:val="21"/>
          <w:highlight w:val="none"/>
        </w:rPr>
        <w:t>）中标(成交)人须于签订合同前，按项目商务条款约定将履约保证金直接缴入采购人指定账户。否则不予办理签订合同。</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ascii="宋体" w:hAnsi="宋体" w:eastAsia="宋体" w:cs="Times New Roman"/>
          <w:color w:val="auto"/>
          <w:szCs w:val="21"/>
          <w:highlight w:val="none"/>
        </w:rPr>
        <w:t>）签订合同后，如中标(成交)人不按双方签订的合同规定履约，则其全部履约保证金不予退还，履约保证金不足以赔偿损失的，按实际损失赔偿。</w:t>
      </w:r>
    </w:p>
    <w:p>
      <w:pPr>
        <w:spacing w:line="44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ascii="宋体" w:hAnsi="宋体" w:eastAsia="宋体" w:cs="Times New Roman"/>
          <w:color w:val="auto"/>
          <w:szCs w:val="21"/>
          <w:highlight w:val="none"/>
        </w:rPr>
        <w:t>）中标(成交)人按合同约定履约，项目验收合格之日其按照采购文件约定时间内，提交政府采购项目合同验收报告，</w:t>
      </w:r>
      <w:r>
        <w:rPr>
          <w:rFonts w:hint="eastAsia" w:ascii="宋体" w:hAnsi="宋体" w:eastAsia="宋体" w:cs="Times New Roman"/>
          <w:color w:val="auto"/>
          <w:szCs w:val="21"/>
          <w:highlight w:val="none"/>
          <w:lang w:eastAsia="zh-CN"/>
        </w:rPr>
        <w:t>质量保证期</w:t>
      </w:r>
      <w:r>
        <w:rPr>
          <w:rFonts w:hint="eastAsia" w:ascii="宋体" w:hAnsi="宋体" w:eastAsia="宋体" w:cs="Times New Roman"/>
          <w:color w:val="auto"/>
          <w:szCs w:val="21"/>
          <w:highlight w:val="none"/>
          <w:lang w:val="en-US" w:eastAsia="zh-CN"/>
        </w:rPr>
        <w:t>满后</w:t>
      </w:r>
      <w:r>
        <w:rPr>
          <w:rFonts w:ascii="宋体" w:hAnsi="宋体" w:eastAsia="宋体" w:cs="Times New Roman"/>
          <w:color w:val="auto"/>
          <w:szCs w:val="21"/>
          <w:highlight w:val="none"/>
        </w:rPr>
        <w:t>填写履约保证金退付意见书并经采购人确认后，履约保证金按照采购文件约定方式退还（不计利息）。</w:t>
      </w:r>
    </w:p>
    <w:p>
      <w:pPr>
        <w:keepNext/>
        <w:keepLines/>
        <w:spacing w:before="120" w:beforeLines="50" w:after="120" w:afterLines="50" w:line="460" w:lineRule="exact"/>
        <w:jc w:val="center"/>
        <w:outlineLvl w:val="1"/>
        <w:rPr>
          <w:rFonts w:ascii="宋体" w:hAnsi="宋体" w:eastAsia="宋体" w:cs="Times New Roman"/>
          <w:b/>
          <w:bCs/>
          <w:color w:val="auto"/>
          <w:kern w:val="0"/>
          <w:sz w:val="24"/>
          <w:szCs w:val="32"/>
          <w:highlight w:val="none"/>
        </w:rPr>
      </w:pPr>
      <w:r>
        <w:rPr>
          <w:rFonts w:ascii="宋体" w:hAnsi="宋体" w:eastAsia="宋体" w:cs="Times New Roman"/>
          <w:b/>
          <w:bCs/>
          <w:color w:val="auto"/>
          <w:kern w:val="0"/>
          <w:sz w:val="24"/>
          <w:szCs w:val="32"/>
          <w:highlight w:val="none"/>
        </w:rPr>
        <w:t>十、其他条款</w:t>
      </w:r>
    </w:p>
    <w:p>
      <w:pPr>
        <w:spacing w:line="440" w:lineRule="exact"/>
        <w:ind w:firstLine="422" w:firstLineChars="200"/>
        <w:jc w:val="left"/>
        <w:rPr>
          <w:rFonts w:ascii="宋体" w:hAnsi="宋体" w:eastAsia="宋体" w:cs="Times New Roman"/>
          <w:b/>
          <w:color w:val="auto"/>
          <w:szCs w:val="20"/>
          <w:highlight w:val="none"/>
        </w:rPr>
      </w:pPr>
      <w:r>
        <w:rPr>
          <w:rFonts w:ascii="宋体" w:hAnsi="宋体" w:eastAsia="宋体" w:cs="Times New Roman"/>
          <w:b/>
          <w:color w:val="auto"/>
          <w:szCs w:val="20"/>
          <w:highlight w:val="none"/>
        </w:rPr>
        <w:t>26、采购代理服务费</w:t>
      </w:r>
    </w:p>
    <w:p>
      <w:pPr>
        <w:spacing w:line="440" w:lineRule="exact"/>
        <w:ind w:firstLine="42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26.1本项目招标代理服务费按本项目代理协议书规定标准向成交供应商收取，领取中标（成交）通知书前，中标（成交）应向采购代理机构一次付清招标代理服务费，否则，采购人将视之为违约，取消该中标（成交）结果并不予退还成交供应商已提交的全部竞标保证金。</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代理服务费账户：</w:t>
      </w:r>
    </w:p>
    <w:p>
      <w:pPr>
        <w:spacing w:line="440" w:lineRule="exact"/>
        <w:ind w:firstLine="420" w:firstLineChars="200"/>
        <w:jc w:val="left"/>
        <w:rPr>
          <w:rFonts w:ascii="宋体" w:hAnsi="宋体" w:eastAsia="宋体" w:cs="Times New Roman"/>
          <w:color w:val="auto"/>
          <w:szCs w:val="21"/>
          <w:highlight w:val="none"/>
          <w:shd w:val="clear" w:color="auto" w:fill="FFFFFF"/>
        </w:rPr>
      </w:pPr>
      <w:r>
        <w:rPr>
          <w:rFonts w:ascii="宋体" w:hAnsi="宋体" w:eastAsia="宋体" w:cs="Times New Roman"/>
          <w:color w:val="auto"/>
          <w:szCs w:val="21"/>
          <w:highlight w:val="none"/>
          <w:shd w:val="clear" w:color="auto" w:fill="FFFFFF"/>
        </w:rPr>
        <w:t>开户名称：广西建设工程机电设备招标中心有限公司</w:t>
      </w:r>
    </w:p>
    <w:p>
      <w:pPr>
        <w:spacing w:line="440" w:lineRule="exact"/>
        <w:ind w:firstLine="420" w:firstLineChars="200"/>
        <w:jc w:val="left"/>
        <w:rPr>
          <w:rFonts w:ascii="宋体" w:hAnsi="宋体" w:eastAsia="宋体" w:cs="Times New Roman"/>
          <w:color w:val="auto"/>
          <w:szCs w:val="21"/>
          <w:highlight w:val="none"/>
          <w:shd w:val="clear" w:color="auto" w:fill="FFFFFF"/>
        </w:rPr>
      </w:pPr>
      <w:r>
        <w:rPr>
          <w:rFonts w:ascii="宋体" w:hAnsi="宋体" w:eastAsia="宋体" w:cs="Times New Roman"/>
          <w:color w:val="auto"/>
          <w:szCs w:val="21"/>
          <w:highlight w:val="none"/>
          <w:shd w:val="clear" w:color="auto" w:fill="FFFFFF"/>
        </w:rPr>
        <w:t>开户银行：招商银行南宁分行营业部</w:t>
      </w:r>
    </w:p>
    <w:p>
      <w:pPr>
        <w:spacing w:line="440" w:lineRule="exact"/>
        <w:ind w:firstLine="420" w:firstLineChars="200"/>
        <w:jc w:val="left"/>
        <w:rPr>
          <w:rFonts w:ascii="宋体" w:hAnsi="宋体" w:eastAsia="宋体" w:cs="Times New Roman"/>
          <w:color w:val="auto"/>
          <w:szCs w:val="21"/>
          <w:highlight w:val="none"/>
          <w:shd w:val="clear" w:color="auto" w:fill="FFFFFF"/>
        </w:rPr>
      </w:pPr>
      <w:r>
        <w:rPr>
          <w:rFonts w:ascii="宋体" w:hAnsi="宋体" w:eastAsia="宋体" w:cs="Times New Roman"/>
          <w:color w:val="auto"/>
          <w:szCs w:val="21"/>
          <w:highlight w:val="none"/>
          <w:shd w:val="clear" w:color="auto" w:fill="FFFFFF"/>
        </w:rPr>
        <w:t>银行账号：7719 0142 3310 201</w:t>
      </w:r>
    </w:p>
    <w:p>
      <w:pPr>
        <w:spacing w:line="440" w:lineRule="exact"/>
        <w:ind w:firstLine="42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26.2至发出中标（成交）通知书后，招标代理流程即完成，后续由成交供应商（含原成交供应商）原因导致质疑、投诉、投标提供虚假材料、合同履约引起的项目废标，该费用不予退还。</w:t>
      </w:r>
    </w:p>
    <w:p>
      <w:pPr>
        <w:spacing w:line="440" w:lineRule="exact"/>
        <w:ind w:firstLine="420"/>
        <w:jc w:val="left"/>
        <w:rPr>
          <w:rFonts w:ascii="宋体" w:hAnsi="宋体" w:eastAsia="宋体" w:cs="Times New Roman"/>
          <w:b/>
          <w:color w:val="auto"/>
          <w:szCs w:val="21"/>
          <w:highlight w:val="none"/>
        </w:rPr>
      </w:pPr>
      <w:r>
        <w:rPr>
          <w:rFonts w:ascii="宋体" w:hAnsi="宋体" w:eastAsia="宋体" w:cs="Times New Roman"/>
          <w:color w:val="auto"/>
          <w:szCs w:val="20"/>
          <w:highlight w:val="none"/>
        </w:rPr>
        <w:t>27、采购当事人的一切活动均适用于《中华人民共和国政府采购法》及相关规定。</w:t>
      </w:r>
    </w:p>
    <w:p>
      <w:pPr>
        <w:spacing w:line="440" w:lineRule="exact"/>
        <w:ind w:firstLine="422" w:firstLineChars="20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最终谈判结束后，谈判小组不得再与竞标人进行任何形式的商谈。</w:t>
      </w:r>
    </w:p>
    <w:bookmarkEnd w:id="3"/>
    <w:p>
      <w:pPr>
        <w:spacing w:line="440" w:lineRule="exact"/>
        <w:ind w:firstLine="422" w:firstLineChars="200"/>
        <w:jc w:val="left"/>
        <w:rPr>
          <w:rFonts w:ascii="宋体" w:hAnsi="宋体" w:eastAsia="宋体" w:cs="Times New Roman"/>
          <w:b/>
          <w:color w:val="auto"/>
          <w:szCs w:val="21"/>
          <w:highlight w:val="none"/>
        </w:rPr>
      </w:pPr>
    </w:p>
    <w:p>
      <w:pPr>
        <w:spacing w:line="440" w:lineRule="exact"/>
        <w:ind w:firstLine="422" w:firstLineChars="200"/>
        <w:jc w:val="left"/>
        <w:rPr>
          <w:rFonts w:ascii="宋体" w:hAnsi="Times New Roman" w:eastAsia="宋体" w:cs="Times New Roman"/>
          <w:b/>
          <w:color w:val="auto"/>
          <w:szCs w:val="21"/>
          <w:highlight w:val="none"/>
        </w:rPr>
      </w:pPr>
    </w:p>
    <w:p>
      <w:pPr>
        <w:widowControl/>
        <w:snapToGrid w:val="0"/>
        <w:spacing w:before="120" w:after="120"/>
        <w:jc w:val="center"/>
        <w:outlineLvl w:val="0"/>
        <w:rPr>
          <w:rFonts w:ascii="宋体" w:hAnsi="Courier New" w:eastAsia="宋体" w:cs="Times New Roman"/>
          <w:b/>
          <w:color w:val="auto"/>
          <w:kern w:val="0"/>
          <w:sz w:val="32"/>
          <w:szCs w:val="32"/>
          <w:highlight w:val="none"/>
        </w:rPr>
      </w:pPr>
      <w:r>
        <w:rPr>
          <w:rFonts w:ascii="宋体" w:hAnsi="宋体" w:eastAsia="宋体" w:cs="Times New Roman"/>
          <w:b/>
          <w:color w:val="auto"/>
          <w:sz w:val="32"/>
          <w:szCs w:val="32"/>
          <w:highlight w:val="none"/>
        </w:rPr>
        <w:br w:type="page"/>
      </w:r>
      <w:bookmarkStart w:id="4" w:name="_Toc77516453"/>
      <w:r>
        <w:rPr>
          <w:rFonts w:hint="eastAsia" w:ascii="宋体" w:hAnsi="宋体" w:eastAsia="宋体" w:cs="Courier New"/>
          <w:b/>
          <w:color w:val="auto"/>
          <w:kern w:val="0"/>
          <w:sz w:val="32"/>
          <w:szCs w:val="32"/>
          <w:highlight w:val="none"/>
        </w:rPr>
        <w:t>第三章  项目采购需求</w:t>
      </w:r>
      <w:bookmarkEnd w:id="4"/>
    </w:p>
    <w:p>
      <w:pPr>
        <w:tabs>
          <w:tab w:val="left" w:pos="1620"/>
        </w:tabs>
        <w:spacing w:line="440" w:lineRule="exact"/>
        <w:rPr>
          <w:rFonts w:ascii="宋体" w:hAnsi="宋体"/>
          <w:color w:val="auto"/>
          <w:highlight w:val="none"/>
          <w:u w:val="single"/>
        </w:rPr>
      </w:pPr>
      <w:r>
        <w:rPr>
          <w:rFonts w:hint="eastAsia" w:ascii="宋体" w:hAnsi="宋体"/>
          <w:b/>
          <w:color w:val="auto"/>
          <w:highlight w:val="none"/>
        </w:rPr>
        <w:t>一、项目类别：</w:t>
      </w:r>
      <w:r>
        <w:rPr>
          <w:rFonts w:hint="eastAsia" w:ascii="宋体" w:hAnsi="宋体"/>
          <w:color w:val="auto"/>
          <w:highlight w:val="none"/>
          <w:u w:val="single"/>
        </w:rPr>
        <w:t xml:space="preserve">   货物  ；</w:t>
      </w:r>
    </w:p>
    <w:p>
      <w:pPr>
        <w:tabs>
          <w:tab w:val="left" w:pos="1620"/>
        </w:tabs>
        <w:spacing w:line="440" w:lineRule="exact"/>
        <w:rPr>
          <w:rFonts w:ascii="宋体" w:hAnsi="宋体"/>
          <w:color w:val="auto"/>
          <w:highlight w:val="none"/>
        </w:rPr>
      </w:pPr>
      <w:r>
        <w:rPr>
          <w:rFonts w:hint="eastAsia" w:ascii="宋体" w:hAnsi="宋体"/>
          <w:b/>
          <w:color w:val="auto"/>
          <w:highlight w:val="none"/>
        </w:rPr>
        <w:t>二、项目标的所属行业为：批发、零售业</w:t>
      </w:r>
      <w:r>
        <w:rPr>
          <w:rFonts w:hint="eastAsia" w:ascii="宋体" w:hAnsi="宋体"/>
          <w:color w:val="auto"/>
          <w:highlight w:val="none"/>
        </w:rPr>
        <w:t>；</w:t>
      </w:r>
    </w:p>
    <w:p>
      <w:pPr>
        <w:tabs>
          <w:tab w:val="left" w:pos="1620"/>
        </w:tabs>
        <w:spacing w:line="440" w:lineRule="exact"/>
        <w:rPr>
          <w:rFonts w:ascii="宋体" w:hAnsi="宋体"/>
          <w:color w:val="auto"/>
          <w:highlight w:val="none"/>
        </w:rPr>
      </w:pPr>
      <w:r>
        <w:rPr>
          <w:rFonts w:hint="eastAsia" w:ascii="宋体" w:hAnsi="宋体"/>
          <w:b/>
          <w:color w:val="auto"/>
          <w:highlight w:val="none"/>
        </w:rPr>
        <w:t>三、项目需求一览表：</w:t>
      </w:r>
    </w:p>
    <w:tbl>
      <w:tblPr>
        <w:tblStyle w:val="45"/>
        <w:tblW w:w="871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332"/>
        <w:gridCol w:w="1145"/>
        <w:gridCol w:w="1105"/>
        <w:gridCol w:w="513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133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left"/>
              <w:rPr>
                <w:rFonts w:ascii="宋体" w:hAnsi="宋体" w:eastAsia="宋体"/>
                <w:b/>
                <w:color w:val="auto"/>
                <w:szCs w:val="21"/>
                <w:highlight w:val="none"/>
              </w:rPr>
            </w:pPr>
            <w:r>
              <w:rPr>
                <w:rFonts w:hint="eastAsia" w:ascii="宋体" w:hAnsi="宋体" w:eastAsia="宋体"/>
                <w:b/>
                <w:color w:val="auto"/>
                <w:szCs w:val="21"/>
                <w:highlight w:val="none"/>
              </w:rPr>
              <w:t>项号</w:t>
            </w:r>
          </w:p>
        </w:tc>
        <w:tc>
          <w:tcPr>
            <w:tcW w:w="114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left"/>
              <w:rPr>
                <w:rFonts w:ascii="宋体" w:hAnsi="宋体" w:eastAsia="宋体"/>
                <w:b/>
                <w:color w:val="auto"/>
                <w:szCs w:val="21"/>
                <w:highlight w:val="none"/>
              </w:rPr>
            </w:pPr>
            <w:r>
              <w:rPr>
                <w:rFonts w:hint="eastAsia" w:ascii="宋体" w:hAnsi="宋体" w:eastAsia="宋体"/>
                <w:b/>
                <w:color w:val="auto"/>
                <w:szCs w:val="21"/>
                <w:highlight w:val="none"/>
              </w:rPr>
              <w:t>货物名称</w:t>
            </w:r>
          </w:p>
        </w:tc>
        <w:tc>
          <w:tcPr>
            <w:tcW w:w="110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left"/>
              <w:rPr>
                <w:rFonts w:ascii="宋体" w:hAnsi="宋体" w:eastAsia="宋体"/>
                <w:b/>
                <w:color w:val="auto"/>
                <w:szCs w:val="21"/>
                <w:highlight w:val="none"/>
              </w:rPr>
            </w:pPr>
            <w:r>
              <w:rPr>
                <w:rFonts w:hint="eastAsia" w:ascii="宋体" w:hAnsi="宋体" w:eastAsia="宋体"/>
                <w:b/>
                <w:color w:val="auto"/>
                <w:szCs w:val="21"/>
                <w:highlight w:val="none"/>
              </w:rPr>
              <w:t>数量</w:t>
            </w:r>
          </w:p>
        </w:tc>
        <w:tc>
          <w:tcPr>
            <w:tcW w:w="5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r>
              <w:rPr>
                <w:rFonts w:ascii="宋体" w:hAnsi="宋体" w:eastAsia="宋体"/>
                <w:color w:val="auto"/>
                <w:szCs w:val="21"/>
                <w:highlight w:val="none"/>
              </w:rPr>
              <w:t>采购要求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133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114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2021纸质图书</w:t>
            </w:r>
          </w:p>
        </w:tc>
        <w:tc>
          <w:tcPr>
            <w:tcW w:w="110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不少于</w:t>
            </w:r>
            <w:r>
              <w:rPr>
                <w:rFonts w:ascii="宋体" w:hAnsi="宋体" w:eastAsia="宋体"/>
                <w:color w:val="auto"/>
                <w:szCs w:val="21"/>
                <w:highlight w:val="none"/>
              </w:rPr>
              <w:t>3.5</w:t>
            </w:r>
            <w:r>
              <w:rPr>
                <w:rFonts w:hint="eastAsia" w:ascii="宋体" w:hAnsi="宋体" w:eastAsia="宋体"/>
                <w:color w:val="auto"/>
                <w:szCs w:val="21"/>
                <w:highlight w:val="none"/>
              </w:rPr>
              <w:t>万册</w:t>
            </w:r>
          </w:p>
        </w:tc>
        <w:tc>
          <w:tcPr>
            <w:tcW w:w="5135"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eastAsia="宋体"/>
                <w:color w:val="auto"/>
                <w:szCs w:val="21"/>
                <w:highlight w:val="none"/>
              </w:rPr>
            </w:pPr>
            <w:r>
              <w:rPr>
                <w:rFonts w:hint="eastAsia" w:ascii="宋体" w:hAnsi="宋体" w:eastAsia="宋体"/>
                <w:b/>
                <w:color w:val="auto"/>
                <w:szCs w:val="21"/>
                <w:highlight w:val="none"/>
              </w:rPr>
              <w:t xml:space="preserve"> </w:t>
            </w:r>
            <w:r>
              <w:rPr>
                <w:rFonts w:hint="eastAsia" w:ascii="宋体" w:hAnsi="宋体" w:eastAsia="宋体"/>
                <w:color w:val="auto"/>
                <w:szCs w:val="21"/>
                <w:highlight w:val="none"/>
              </w:rPr>
              <w:t xml:space="preserve"> （一）总体要求</w:t>
            </w:r>
          </w:p>
          <w:p>
            <w:pPr>
              <w:spacing w:line="400" w:lineRule="exact"/>
              <w:jc w:val="left"/>
              <w:rPr>
                <w:color w:val="auto"/>
                <w:highlight w:val="none"/>
              </w:rPr>
            </w:pPr>
            <w:r>
              <w:rPr>
                <w:rFonts w:hint="eastAsia" w:ascii="宋体" w:hAnsi="宋体" w:eastAsia="宋体"/>
                <w:color w:val="auto"/>
                <w:szCs w:val="21"/>
                <w:highlight w:val="none"/>
              </w:rPr>
              <w:t>1.采购方式：采购方式包括各种类型的现场采购、书目报订、专题采购、补订增订等方式。采购书源、采购方式、采购图书的品种和出版社等完全根据采购人图书馆需要，成交人不得对采购人图书馆的采购设置任何障碍。</w:t>
            </w:r>
          </w:p>
          <w:p>
            <w:pPr>
              <w:spacing w:line="360" w:lineRule="exact"/>
              <w:rPr>
                <w:rFonts w:ascii="宋体" w:hAnsi="宋体" w:eastAsia="宋体"/>
                <w:color w:val="auto"/>
                <w:szCs w:val="21"/>
                <w:highlight w:val="none"/>
              </w:rPr>
            </w:pPr>
            <w:r>
              <w:rPr>
                <w:rFonts w:hint="eastAsia" w:ascii="宋体" w:hAnsi="宋体" w:eastAsia="宋体"/>
                <w:color w:val="auto"/>
                <w:szCs w:val="21"/>
                <w:highlight w:val="none"/>
              </w:rPr>
              <w:t>2.采购类别：要求以教育类为主，兼顾人文、社科。根据学校专业设置，教育类图书占比60%以上，重点采购学前教育、特殊教育类图书，为建设特色资源库做准备。</w:t>
            </w:r>
          </w:p>
          <w:p>
            <w:pPr>
              <w:spacing w:line="360" w:lineRule="exact"/>
              <w:rPr>
                <w:rFonts w:ascii="宋体" w:hAnsi="宋体"/>
                <w:color w:val="auto"/>
                <w:szCs w:val="21"/>
                <w:highlight w:val="none"/>
              </w:rPr>
            </w:pPr>
            <w:r>
              <w:rPr>
                <w:rFonts w:hint="eastAsia" w:ascii="宋体" w:hAnsi="宋体"/>
                <w:color w:val="auto"/>
                <w:szCs w:val="21"/>
                <w:highlight w:val="none"/>
              </w:rPr>
              <w:t>3.出版社要求：</w:t>
            </w:r>
            <w:r>
              <w:rPr>
                <w:rFonts w:hint="eastAsia"/>
                <w:color w:val="auto"/>
                <w:szCs w:val="21"/>
                <w:highlight w:val="none"/>
              </w:rPr>
              <w:t>提供2018年以来投标人与正规国内出版物出版社合作证明材料（</w:t>
            </w:r>
            <w:r>
              <w:rPr>
                <w:rFonts w:hint="eastAsia" w:ascii="宋体" w:hAnsi="宋体" w:cs="宋体"/>
                <w:color w:val="auto"/>
                <w:szCs w:val="21"/>
                <w:highlight w:val="none"/>
              </w:rPr>
              <w:t>以出版社合作授权书或合同</w:t>
            </w:r>
            <w:r>
              <w:rPr>
                <w:rFonts w:ascii="宋体" w:hAnsi="宋体" w:cs="宋体"/>
                <w:color w:val="auto"/>
                <w:szCs w:val="21"/>
                <w:highlight w:val="none"/>
              </w:rPr>
              <w:t>复印件</w:t>
            </w:r>
            <w:r>
              <w:rPr>
                <w:rFonts w:hint="eastAsia" w:ascii="宋体" w:hAnsi="宋体" w:cs="宋体"/>
                <w:color w:val="auto"/>
                <w:szCs w:val="21"/>
                <w:highlight w:val="none"/>
              </w:rPr>
              <w:t>为准）。</w:t>
            </w:r>
          </w:p>
          <w:p>
            <w:pPr>
              <w:snapToGrid w:val="0"/>
              <w:spacing w:line="460" w:lineRule="exact"/>
              <w:jc w:val="left"/>
              <w:rPr>
                <w:color w:val="auto"/>
                <w:highlight w:val="none"/>
              </w:rPr>
            </w:pPr>
            <w:r>
              <w:rPr>
                <w:rFonts w:hint="eastAsia" w:ascii="宋体" w:hAnsi="宋体"/>
                <w:bCs/>
                <w:color w:val="auto"/>
                <w:kern w:val="0"/>
                <w:szCs w:val="21"/>
                <w:highlight w:val="none"/>
              </w:rPr>
              <w:t>4.采访数据要求每月更新，采访书目数据量不得少于10万条。</w:t>
            </w:r>
          </w:p>
          <w:p>
            <w:pPr>
              <w:spacing w:line="400" w:lineRule="exact"/>
              <w:jc w:val="left"/>
              <w:rPr>
                <w:rFonts w:ascii="宋体" w:hAnsi="宋体" w:eastAsia="宋体"/>
                <w:color w:val="auto"/>
                <w:szCs w:val="21"/>
                <w:highlight w:val="none"/>
              </w:rPr>
            </w:pPr>
            <w:r>
              <w:rPr>
                <w:rFonts w:hint="eastAsia" w:ascii="宋体" w:hAnsi="宋体" w:eastAsia="宋体"/>
                <w:color w:val="auto"/>
                <w:szCs w:val="21"/>
                <w:highlight w:val="none"/>
              </w:rPr>
              <w:t>5.图书质量要求：图书为国家正式出版发行的正版图书，除采购方另有要求外，不得采购小于32开本的出版物、页数少于150页的薄册子和活页装订或散页形式的出版物、装订成书的记事本、记账本等，严禁采购盗版图书、伪劣图书及非法出版物。其图书质量的内容、编校、设计、印刷四项均需合格，符合国家《图书质量管理规定》中的要求，否则因此给采购单位造成经济损失或不良社会影响，由成交人负责，采购方有权终止合同，没收履约保证金，并交由新闻出版部门处理。</w:t>
            </w:r>
          </w:p>
          <w:p>
            <w:pPr>
              <w:spacing w:line="400" w:lineRule="exact"/>
              <w:jc w:val="left"/>
              <w:rPr>
                <w:rFonts w:ascii="宋体" w:hAnsi="宋体" w:eastAsia="宋体"/>
                <w:color w:val="auto"/>
                <w:szCs w:val="21"/>
                <w:highlight w:val="none"/>
              </w:rPr>
            </w:pPr>
            <w:r>
              <w:rPr>
                <w:rFonts w:hint="eastAsia" w:ascii="宋体" w:hAnsi="宋体" w:eastAsia="宋体"/>
                <w:color w:val="auto"/>
                <w:szCs w:val="21"/>
                <w:highlight w:val="none"/>
              </w:rPr>
              <w:t>6.普通图书复本为2册，丛书、百科全书、工具书、大型画册、地方志、艺术欣赏类图书、单种码洋超过150元图书，为1册（套）。特殊类别图书复本以采购方指定为准。</w:t>
            </w:r>
          </w:p>
          <w:p>
            <w:pPr>
              <w:spacing w:line="400" w:lineRule="exact"/>
              <w:jc w:val="left"/>
              <w:rPr>
                <w:rFonts w:ascii="宋体" w:hAnsi="宋体" w:eastAsia="宋体"/>
                <w:color w:val="auto"/>
                <w:szCs w:val="21"/>
                <w:highlight w:val="none"/>
              </w:rPr>
            </w:pPr>
            <w:r>
              <w:rPr>
                <w:rFonts w:hint="eastAsia" w:ascii="宋体" w:hAnsi="宋体" w:eastAsia="宋体"/>
                <w:color w:val="auto"/>
                <w:szCs w:val="21"/>
                <w:highlight w:val="none"/>
              </w:rPr>
              <w:t>7.对出版信息变更及实际书价超出订单书价15%的订单认真审核，要求及时与采购方沟通并二次确认。</w:t>
            </w:r>
          </w:p>
          <w:p>
            <w:pPr>
              <w:spacing w:line="400" w:lineRule="exact"/>
              <w:jc w:val="left"/>
              <w:rPr>
                <w:rFonts w:ascii="宋体" w:hAnsi="宋体" w:eastAsia="宋体"/>
                <w:color w:val="auto"/>
                <w:szCs w:val="21"/>
                <w:highlight w:val="none"/>
              </w:rPr>
            </w:pPr>
            <w:r>
              <w:rPr>
                <w:rFonts w:hint="eastAsia" w:ascii="宋体" w:hAnsi="宋体" w:eastAsia="宋体"/>
                <w:color w:val="auto"/>
                <w:szCs w:val="21"/>
                <w:highlight w:val="none"/>
              </w:rPr>
              <w:t>8.每个月统计采到率，2个月以上无法采到的图书，需及时提供未采到图书清单，并说明原因，以便采购人及时退订。</w:t>
            </w:r>
          </w:p>
          <w:p>
            <w:pPr>
              <w:spacing w:line="360" w:lineRule="auto"/>
              <w:rPr>
                <w:rFonts w:ascii="宋体" w:hAnsi="宋体" w:eastAsia="宋体"/>
                <w:color w:val="auto"/>
                <w:szCs w:val="21"/>
                <w:highlight w:val="none"/>
              </w:rPr>
            </w:pPr>
            <w:r>
              <w:rPr>
                <w:rFonts w:hint="eastAsia"/>
                <w:color w:val="auto"/>
                <w:highlight w:val="none"/>
              </w:rPr>
              <w:t>9.本次采购需包含</w:t>
            </w:r>
            <w:r>
              <w:rPr>
                <w:rFonts w:hint="eastAsia" w:ascii="宋体" w:hAnsi="宋体" w:eastAsia="宋体"/>
                <w:color w:val="auto"/>
                <w:szCs w:val="21"/>
                <w:highlight w:val="none"/>
              </w:rPr>
              <w:t>电子图书一批，并提供电子图书远程使用，相关参数如下：</w:t>
            </w:r>
          </w:p>
          <w:p>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系统设置：</w:t>
            </w:r>
          </w:p>
          <w:p>
            <w:pPr>
              <w:spacing w:line="360"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color w:val="auto"/>
                <w:szCs w:val="21"/>
                <w:highlight w:val="none"/>
              </w:rPr>
              <w:t>）</w:t>
            </w:r>
            <w:r>
              <w:rPr>
                <w:rFonts w:ascii="宋体" w:hAnsi="宋体" w:eastAsia="宋体"/>
                <w:color w:val="auto"/>
                <w:szCs w:val="21"/>
                <w:highlight w:val="none"/>
              </w:rPr>
              <w:t xml:space="preserve"> 权限管理：可以添加权限节点亦可对权限节点进行修改操作</w:t>
            </w:r>
          </w:p>
          <w:p>
            <w:pPr>
              <w:spacing w:line="360"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color w:val="auto"/>
                <w:szCs w:val="21"/>
                <w:highlight w:val="none"/>
              </w:rPr>
              <w:t>）</w:t>
            </w:r>
            <w:r>
              <w:rPr>
                <w:rFonts w:ascii="宋体" w:hAnsi="宋体" w:eastAsia="宋体"/>
                <w:color w:val="auto"/>
                <w:szCs w:val="21"/>
                <w:highlight w:val="none"/>
              </w:rPr>
              <w:t xml:space="preserve"> 角色管理：系统管理员为可以自定义划分组别，将不同用户划分到不同组别，不同的组别有不同的资源访问权限。</w:t>
            </w:r>
          </w:p>
          <w:p>
            <w:pPr>
              <w:spacing w:line="360" w:lineRule="auto"/>
              <w:rPr>
                <w:rFonts w:ascii="宋体" w:hAnsi="宋体" w:eastAsia="宋体"/>
                <w:color w:val="auto"/>
                <w:szCs w:val="21"/>
                <w:highlight w:val="none"/>
              </w:rPr>
            </w:pPr>
            <w:r>
              <w:rPr>
                <w:rFonts w:ascii="宋体" w:hAnsi="宋体" w:eastAsia="宋体"/>
                <w:color w:val="auto"/>
                <w:szCs w:val="21"/>
                <w:highlight w:val="none"/>
              </w:rPr>
              <w:t>3</w:t>
            </w:r>
            <w:r>
              <w:rPr>
                <w:rFonts w:hint="eastAsia" w:ascii="宋体" w:hAnsi="宋体"/>
                <w:color w:val="auto"/>
                <w:szCs w:val="21"/>
                <w:highlight w:val="none"/>
              </w:rPr>
              <w:t>）</w:t>
            </w:r>
            <w:r>
              <w:rPr>
                <w:rFonts w:ascii="宋体" w:hAnsi="宋体" w:eastAsia="宋体"/>
                <w:color w:val="auto"/>
                <w:szCs w:val="21"/>
                <w:highlight w:val="none"/>
              </w:rPr>
              <w:t xml:space="preserve"> 用户管理：管理员可以自动添加用户，也可以审核不同的用户</w:t>
            </w:r>
          </w:p>
          <w:p>
            <w:pPr>
              <w:spacing w:line="360" w:lineRule="auto"/>
              <w:rPr>
                <w:rFonts w:ascii="宋体" w:hAnsi="宋体" w:eastAsia="宋体"/>
                <w:color w:val="auto"/>
                <w:szCs w:val="21"/>
                <w:highlight w:val="none"/>
              </w:rPr>
            </w:pPr>
            <w:r>
              <w:rPr>
                <w:rFonts w:ascii="宋体" w:hAnsi="宋体" w:eastAsia="宋体"/>
                <w:color w:val="auto"/>
                <w:szCs w:val="21"/>
                <w:highlight w:val="none"/>
              </w:rPr>
              <w:t>4</w:t>
            </w:r>
            <w:r>
              <w:rPr>
                <w:rFonts w:hint="eastAsia" w:ascii="宋体" w:hAnsi="宋体"/>
                <w:color w:val="auto"/>
                <w:szCs w:val="21"/>
                <w:highlight w:val="none"/>
              </w:rPr>
              <w:t>）</w:t>
            </w:r>
            <w:r>
              <w:rPr>
                <w:rFonts w:ascii="宋体" w:hAnsi="宋体" w:eastAsia="宋体"/>
                <w:color w:val="auto"/>
                <w:szCs w:val="21"/>
                <w:highlight w:val="none"/>
              </w:rPr>
              <w:t xml:space="preserve"> 公告管理：管理员可及时发布相关最新资源消息，读者就可以在系统的界面看到发送的公告。</w:t>
            </w:r>
          </w:p>
          <w:p>
            <w:pPr>
              <w:spacing w:line="360" w:lineRule="auto"/>
              <w:rPr>
                <w:rFonts w:ascii="宋体" w:hAnsi="宋体" w:eastAsia="宋体"/>
                <w:color w:val="auto"/>
                <w:szCs w:val="21"/>
                <w:highlight w:val="none"/>
              </w:rPr>
            </w:pPr>
            <w:r>
              <w:rPr>
                <w:rFonts w:ascii="宋体" w:hAnsi="宋体" w:eastAsia="宋体"/>
                <w:color w:val="auto"/>
                <w:szCs w:val="21"/>
                <w:highlight w:val="none"/>
              </w:rPr>
              <w:t>5</w:t>
            </w:r>
            <w:r>
              <w:rPr>
                <w:rFonts w:hint="eastAsia" w:ascii="宋体" w:hAnsi="宋体"/>
                <w:color w:val="auto"/>
                <w:szCs w:val="21"/>
                <w:highlight w:val="none"/>
              </w:rPr>
              <w:t>）</w:t>
            </w:r>
            <w:r>
              <w:rPr>
                <w:rFonts w:ascii="宋体" w:hAnsi="宋体" w:eastAsia="宋体"/>
                <w:color w:val="auto"/>
                <w:szCs w:val="21"/>
                <w:highlight w:val="none"/>
              </w:rPr>
              <w:t>分类管理：管理员可自行添加或者删除图书分类。</w:t>
            </w:r>
          </w:p>
          <w:p>
            <w:pPr>
              <w:spacing w:line="360" w:lineRule="auto"/>
              <w:rPr>
                <w:rFonts w:ascii="宋体" w:hAnsi="宋体" w:eastAsia="宋体"/>
                <w:color w:val="auto"/>
                <w:szCs w:val="21"/>
                <w:highlight w:val="none"/>
              </w:rPr>
            </w:pPr>
            <w:r>
              <w:rPr>
                <w:rFonts w:ascii="宋体" w:hAnsi="宋体" w:eastAsia="宋体"/>
                <w:color w:val="auto"/>
                <w:szCs w:val="21"/>
                <w:highlight w:val="none"/>
              </w:rPr>
              <w:t>6</w:t>
            </w:r>
            <w:r>
              <w:rPr>
                <w:rFonts w:hint="eastAsia" w:ascii="宋体" w:hAnsi="宋体"/>
                <w:color w:val="auto"/>
                <w:szCs w:val="21"/>
                <w:highlight w:val="none"/>
              </w:rPr>
              <w:t>）</w:t>
            </w:r>
            <w:r>
              <w:rPr>
                <w:rFonts w:ascii="宋体" w:hAnsi="宋体" w:eastAsia="宋体"/>
                <w:color w:val="auto"/>
                <w:szCs w:val="21"/>
                <w:highlight w:val="none"/>
              </w:rPr>
              <w:t xml:space="preserve"> 统计分析：可以图书的阅读量，下载量以及收藏量进行统计。</w:t>
            </w:r>
          </w:p>
          <w:p>
            <w:pPr>
              <w:spacing w:line="360" w:lineRule="auto"/>
              <w:rPr>
                <w:rFonts w:ascii="宋体" w:hAnsi="宋体" w:eastAsia="宋体"/>
                <w:color w:val="auto"/>
                <w:szCs w:val="21"/>
                <w:highlight w:val="none"/>
              </w:rPr>
            </w:pPr>
            <w:r>
              <w:rPr>
                <w:rFonts w:ascii="宋体" w:hAnsi="宋体" w:eastAsia="宋体"/>
                <w:color w:val="auto"/>
                <w:szCs w:val="21"/>
                <w:highlight w:val="none"/>
              </w:rPr>
              <w:t>7</w:t>
            </w:r>
            <w:r>
              <w:rPr>
                <w:rFonts w:hint="eastAsia" w:ascii="宋体" w:hAnsi="宋体"/>
                <w:color w:val="auto"/>
                <w:szCs w:val="21"/>
                <w:highlight w:val="none"/>
              </w:rPr>
              <w:t>）</w:t>
            </w:r>
            <w:r>
              <w:rPr>
                <w:rFonts w:ascii="宋体" w:hAnsi="宋体" w:eastAsia="宋体"/>
                <w:color w:val="auto"/>
                <w:szCs w:val="21"/>
                <w:highlight w:val="none"/>
              </w:rPr>
              <w:t xml:space="preserve"> 图书：添加，删除，编辑图书，查看对应图书评论等。</w:t>
            </w:r>
          </w:p>
          <w:p>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平台功能</w:t>
            </w:r>
          </w:p>
          <w:p>
            <w:pPr>
              <w:spacing w:line="360"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color w:val="auto"/>
                <w:szCs w:val="21"/>
                <w:highlight w:val="none"/>
              </w:rPr>
              <w:t>）</w:t>
            </w:r>
            <w:r>
              <w:rPr>
                <w:rFonts w:ascii="宋体" w:hAnsi="宋体" w:eastAsia="宋体"/>
                <w:color w:val="auto"/>
                <w:szCs w:val="21"/>
                <w:highlight w:val="none"/>
              </w:rPr>
              <w:t>读者可以根据需要可以对显示书页放大缩小、自动滚屏翻页、文字及书页颜色等进行个性化设置，贴近读者阅读习惯</w:t>
            </w:r>
          </w:p>
          <w:p>
            <w:pPr>
              <w:spacing w:line="360"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color w:val="auto"/>
                <w:szCs w:val="21"/>
                <w:highlight w:val="none"/>
              </w:rPr>
              <w:t>）</w:t>
            </w:r>
            <w:r>
              <w:rPr>
                <w:rFonts w:ascii="宋体" w:hAnsi="宋体" w:eastAsia="宋体"/>
                <w:color w:val="auto"/>
                <w:szCs w:val="21"/>
                <w:highlight w:val="none"/>
              </w:rPr>
              <w:t>对图书中的文字可以通过文本识别工具进行摘录使用，对图表、图片内容可通过图象剪贴进行使用</w:t>
            </w:r>
          </w:p>
          <w:p>
            <w:pPr>
              <w:spacing w:line="360" w:lineRule="auto"/>
              <w:rPr>
                <w:rFonts w:ascii="宋体" w:hAnsi="宋体" w:eastAsia="宋体"/>
                <w:color w:val="auto"/>
                <w:szCs w:val="21"/>
                <w:highlight w:val="none"/>
              </w:rPr>
            </w:pPr>
            <w:r>
              <w:rPr>
                <w:rFonts w:ascii="宋体" w:hAnsi="宋体" w:eastAsia="宋体"/>
                <w:color w:val="auto"/>
                <w:szCs w:val="21"/>
                <w:highlight w:val="none"/>
              </w:rPr>
              <w:t>3</w:t>
            </w:r>
            <w:r>
              <w:rPr>
                <w:rFonts w:hint="eastAsia" w:ascii="宋体" w:hAnsi="宋体"/>
                <w:color w:val="auto"/>
                <w:szCs w:val="21"/>
                <w:highlight w:val="none"/>
              </w:rPr>
              <w:t>）</w:t>
            </w:r>
            <w:r>
              <w:rPr>
                <w:rFonts w:ascii="宋体" w:hAnsi="宋体" w:eastAsia="宋体"/>
                <w:color w:val="auto"/>
                <w:szCs w:val="21"/>
                <w:highlight w:val="none"/>
              </w:rPr>
              <w:t>平台图书以通过html、内嵌PDF等方式显示任何符合标准的数字图书</w:t>
            </w:r>
          </w:p>
          <w:p>
            <w:pPr>
              <w:spacing w:line="360" w:lineRule="auto"/>
              <w:rPr>
                <w:rFonts w:ascii="宋体" w:hAnsi="宋体" w:eastAsia="宋体"/>
                <w:color w:val="auto"/>
                <w:szCs w:val="21"/>
                <w:highlight w:val="none"/>
              </w:rPr>
            </w:pPr>
            <w:r>
              <w:rPr>
                <w:rFonts w:ascii="宋体" w:hAnsi="宋体" w:eastAsia="宋体"/>
                <w:color w:val="auto"/>
                <w:szCs w:val="21"/>
                <w:highlight w:val="none"/>
              </w:rPr>
              <w:t>4</w:t>
            </w:r>
            <w:r>
              <w:rPr>
                <w:rFonts w:hint="eastAsia" w:ascii="宋体" w:hAnsi="宋体"/>
                <w:color w:val="auto"/>
                <w:szCs w:val="21"/>
                <w:highlight w:val="none"/>
              </w:rPr>
              <w:t>）</w:t>
            </w:r>
            <w:r>
              <w:rPr>
                <w:rFonts w:ascii="宋体" w:hAnsi="宋体" w:eastAsia="宋体"/>
                <w:color w:val="auto"/>
                <w:szCs w:val="21"/>
                <w:highlight w:val="none"/>
              </w:rPr>
              <w:t>图书数据满足网上访问速度快，采用多线程下载等技术</w:t>
            </w:r>
          </w:p>
          <w:p>
            <w:pPr>
              <w:spacing w:line="360" w:lineRule="auto"/>
              <w:rPr>
                <w:rFonts w:ascii="宋体" w:hAnsi="宋体" w:eastAsia="宋体"/>
                <w:color w:val="auto"/>
                <w:szCs w:val="21"/>
                <w:highlight w:val="none"/>
              </w:rPr>
            </w:pPr>
            <w:r>
              <w:rPr>
                <w:rFonts w:ascii="宋体" w:hAnsi="宋体" w:eastAsia="宋体"/>
                <w:color w:val="auto"/>
                <w:szCs w:val="21"/>
                <w:highlight w:val="none"/>
              </w:rPr>
              <w:t>5</w:t>
            </w:r>
            <w:r>
              <w:rPr>
                <w:rFonts w:hint="eastAsia" w:ascii="宋体" w:hAnsi="宋体"/>
                <w:color w:val="auto"/>
                <w:szCs w:val="21"/>
                <w:highlight w:val="none"/>
              </w:rPr>
              <w:t>）</w:t>
            </w:r>
            <w:r>
              <w:rPr>
                <w:rFonts w:ascii="宋体" w:hAnsi="宋体" w:eastAsia="宋体"/>
                <w:color w:val="auto"/>
                <w:szCs w:val="21"/>
                <w:highlight w:val="none"/>
              </w:rPr>
              <w:t>兼容普通网页浏览器,满足直接连接到城域网主页,用户可以在城域网上利用IE浏览器进行阅读，同时，数字图书馆具备强大的网络传输功能，支持数字资源的异地访问和使用</w:t>
            </w:r>
          </w:p>
          <w:p>
            <w:pPr>
              <w:spacing w:line="360" w:lineRule="auto"/>
              <w:rPr>
                <w:rFonts w:ascii="宋体" w:hAnsi="宋体" w:eastAsia="宋体"/>
                <w:color w:val="auto"/>
                <w:szCs w:val="21"/>
                <w:highlight w:val="none"/>
              </w:rPr>
            </w:pPr>
            <w:r>
              <w:rPr>
                <w:rFonts w:ascii="宋体" w:hAnsi="宋体" w:eastAsia="宋体"/>
                <w:color w:val="auto"/>
                <w:szCs w:val="21"/>
                <w:highlight w:val="none"/>
              </w:rPr>
              <w:t>6</w:t>
            </w:r>
            <w:r>
              <w:rPr>
                <w:rFonts w:hint="eastAsia" w:ascii="宋体" w:hAnsi="宋体"/>
                <w:color w:val="auto"/>
                <w:szCs w:val="21"/>
                <w:highlight w:val="none"/>
              </w:rPr>
              <w:t>）</w:t>
            </w:r>
            <w:r>
              <w:rPr>
                <w:rFonts w:ascii="宋体" w:hAnsi="宋体" w:eastAsia="宋体"/>
                <w:color w:val="auto"/>
                <w:szCs w:val="21"/>
                <w:highlight w:val="none"/>
              </w:rPr>
              <w:t>平台功能：平台内置5万册电子图书，内容严格按照《中国图书馆分类法》分类，分为马列主义、社会科学总论、政治法律、军事、经济、历史、文学科学、语言文学、艺术、历史地理、自然科学总论等22个分类。该分库的电子图书要求全部采用国际通用的非加密的纯文本PDF格式。</w:t>
            </w:r>
          </w:p>
          <w:p>
            <w:pPr>
              <w:spacing w:line="360" w:lineRule="auto"/>
              <w:rPr>
                <w:rFonts w:ascii="宋体" w:hAnsi="宋体" w:eastAsia="宋体"/>
                <w:color w:val="auto"/>
                <w:szCs w:val="21"/>
                <w:highlight w:val="none"/>
              </w:rPr>
            </w:pPr>
            <w:r>
              <w:rPr>
                <w:rFonts w:ascii="宋体" w:hAnsi="宋体" w:eastAsia="宋体"/>
                <w:color w:val="auto"/>
                <w:szCs w:val="21"/>
                <w:highlight w:val="none"/>
              </w:rPr>
              <w:t>7</w:t>
            </w:r>
            <w:r>
              <w:rPr>
                <w:rFonts w:hint="eastAsia" w:ascii="宋体" w:hAnsi="宋体"/>
                <w:color w:val="auto"/>
                <w:szCs w:val="21"/>
                <w:highlight w:val="none"/>
              </w:rPr>
              <w:t>）</w:t>
            </w:r>
            <w:r>
              <w:rPr>
                <w:rFonts w:ascii="宋体" w:hAnsi="宋体" w:eastAsia="宋体"/>
                <w:color w:val="auto"/>
                <w:szCs w:val="21"/>
                <w:highlight w:val="none"/>
              </w:rPr>
              <w:t xml:space="preserve"> 图书阅读：下载图书图书内容放大、缩小、图书中插图截取，用户可对喜欢的图书进行推荐、收藏、下载。</w:t>
            </w:r>
          </w:p>
          <w:p>
            <w:pPr>
              <w:spacing w:line="360" w:lineRule="auto"/>
              <w:rPr>
                <w:rFonts w:ascii="宋体" w:hAnsi="宋体" w:eastAsia="宋体"/>
                <w:color w:val="auto"/>
                <w:szCs w:val="21"/>
                <w:highlight w:val="none"/>
              </w:rPr>
            </w:pPr>
            <w:r>
              <w:rPr>
                <w:rFonts w:ascii="宋体" w:hAnsi="宋体" w:eastAsia="宋体"/>
                <w:color w:val="auto"/>
                <w:szCs w:val="21"/>
                <w:highlight w:val="none"/>
              </w:rPr>
              <w:t>8</w:t>
            </w:r>
            <w:r>
              <w:rPr>
                <w:rFonts w:hint="eastAsia" w:ascii="宋体" w:hAnsi="宋体"/>
                <w:color w:val="auto"/>
                <w:szCs w:val="21"/>
                <w:highlight w:val="none"/>
              </w:rPr>
              <w:t>）</w:t>
            </w:r>
            <w:r>
              <w:rPr>
                <w:rFonts w:ascii="宋体" w:hAnsi="宋体" w:eastAsia="宋体"/>
                <w:color w:val="auto"/>
                <w:szCs w:val="21"/>
                <w:highlight w:val="none"/>
              </w:rPr>
              <w:t xml:space="preserve"> 图书信息检索：模糊检索：系统可以根据书名，作者检索出系统自带的图书资源，同时平台支持高级检索，可输入书名、作者、ISBN、出版社等信息进行检索查询。同时支持查看热门检索关键词查看</w:t>
            </w:r>
          </w:p>
          <w:p>
            <w:pPr>
              <w:spacing w:line="360" w:lineRule="auto"/>
              <w:rPr>
                <w:rFonts w:ascii="宋体" w:hAnsi="宋体" w:eastAsia="宋体"/>
                <w:color w:val="auto"/>
                <w:szCs w:val="21"/>
                <w:highlight w:val="none"/>
              </w:rPr>
            </w:pPr>
            <w:r>
              <w:rPr>
                <w:rFonts w:ascii="宋体" w:hAnsi="宋体" w:eastAsia="宋体"/>
                <w:color w:val="auto"/>
                <w:szCs w:val="21"/>
                <w:highlight w:val="none"/>
              </w:rPr>
              <w:t>9</w:t>
            </w:r>
            <w:r>
              <w:rPr>
                <w:rFonts w:hint="eastAsia" w:ascii="宋体" w:hAnsi="宋体"/>
                <w:color w:val="auto"/>
                <w:szCs w:val="21"/>
                <w:highlight w:val="none"/>
              </w:rPr>
              <w:t>）</w:t>
            </w:r>
            <w:r>
              <w:rPr>
                <w:rFonts w:ascii="宋体" w:hAnsi="宋体" w:eastAsia="宋体"/>
                <w:color w:val="auto"/>
                <w:szCs w:val="21"/>
                <w:highlight w:val="none"/>
              </w:rPr>
              <w:t xml:space="preserve"> 选择相应的标签跳转到对应的目录页。查看图书的书评并可以添加书评。</w:t>
            </w:r>
          </w:p>
          <w:p>
            <w:pPr>
              <w:spacing w:line="360" w:lineRule="auto"/>
              <w:rPr>
                <w:rFonts w:ascii="宋体" w:hAnsi="宋体" w:eastAsia="宋体"/>
                <w:color w:val="auto"/>
                <w:szCs w:val="21"/>
                <w:highlight w:val="none"/>
              </w:rPr>
            </w:pPr>
            <w:r>
              <w:rPr>
                <w:rFonts w:ascii="宋体" w:hAnsi="宋体" w:eastAsia="宋体"/>
                <w:color w:val="auto"/>
                <w:szCs w:val="21"/>
                <w:highlight w:val="none"/>
              </w:rPr>
              <w:t>10</w:t>
            </w:r>
            <w:r>
              <w:rPr>
                <w:rFonts w:hint="eastAsia" w:ascii="宋体" w:hAnsi="宋体"/>
                <w:color w:val="auto"/>
                <w:szCs w:val="21"/>
                <w:highlight w:val="none"/>
              </w:rPr>
              <w:t>）</w:t>
            </w:r>
            <w:r>
              <w:rPr>
                <w:rFonts w:ascii="宋体" w:hAnsi="宋体" w:eastAsia="宋体"/>
                <w:color w:val="auto"/>
                <w:szCs w:val="21"/>
                <w:highlight w:val="none"/>
              </w:rPr>
              <w:t>阅读图书支持检索查询，用户可通过缩略图进行查看正本图书内容，同时也可以通过文档大纲快速跳转到相关内容页，同时图书支持全文内容检索用户只需要输入相关信息即可查询到自己想要的内容，为提升用户使用全文检索中可以展示高亮显示、区分大小写。</w:t>
            </w:r>
          </w:p>
          <w:p>
            <w:pPr>
              <w:spacing w:line="360" w:lineRule="auto"/>
              <w:rPr>
                <w:rFonts w:ascii="宋体" w:hAnsi="宋体" w:eastAsia="宋体"/>
                <w:color w:val="auto"/>
                <w:szCs w:val="21"/>
                <w:highlight w:val="none"/>
              </w:rPr>
            </w:pPr>
            <w:r>
              <w:rPr>
                <w:rFonts w:ascii="宋体" w:hAnsi="宋体" w:eastAsia="宋体"/>
                <w:color w:val="auto"/>
                <w:szCs w:val="21"/>
                <w:highlight w:val="none"/>
              </w:rPr>
              <w:t>11</w:t>
            </w:r>
            <w:r>
              <w:rPr>
                <w:rFonts w:hint="eastAsia" w:ascii="宋体" w:hAnsi="宋体"/>
                <w:color w:val="auto"/>
                <w:szCs w:val="21"/>
                <w:highlight w:val="none"/>
              </w:rPr>
              <w:t>）</w:t>
            </w:r>
            <w:r>
              <w:rPr>
                <w:rFonts w:ascii="宋体" w:hAnsi="宋体" w:eastAsia="宋体"/>
                <w:color w:val="auto"/>
                <w:szCs w:val="21"/>
                <w:highlight w:val="none"/>
              </w:rPr>
              <w:t xml:space="preserve"> 图书阅读中可根据用户需要自动缩放，适合页面，适合页宽等操作</w:t>
            </w:r>
          </w:p>
          <w:p>
            <w:pPr>
              <w:spacing w:line="360" w:lineRule="auto"/>
              <w:rPr>
                <w:rFonts w:ascii="宋体" w:hAnsi="宋体" w:eastAsia="宋体"/>
                <w:color w:val="auto"/>
                <w:szCs w:val="21"/>
                <w:highlight w:val="none"/>
              </w:rPr>
            </w:pPr>
            <w:r>
              <w:rPr>
                <w:rFonts w:ascii="宋体" w:hAnsi="宋体" w:eastAsia="宋体"/>
                <w:color w:val="auto"/>
                <w:szCs w:val="21"/>
                <w:highlight w:val="none"/>
              </w:rPr>
              <w:t>12</w:t>
            </w:r>
            <w:r>
              <w:rPr>
                <w:rFonts w:hint="eastAsia" w:ascii="宋体" w:hAnsi="宋体"/>
                <w:color w:val="auto"/>
                <w:szCs w:val="21"/>
                <w:highlight w:val="none"/>
              </w:rPr>
              <w:t>）</w:t>
            </w:r>
            <w:r>
              <w:rPr>
                <w:rFonts w:ascii="宋体" w:hAnsi="宋体" w:eastAsia="宋体"/>
                <w:color w:val="auto"/>
                <w:szCs w:val="21"/>
                <w:highlight w:val="none"/>
              </w:rPr>
              <w:t xml:space="preserve"> 同时支持用户选择相应的标签跳转到对应的目录页，输入页数跳转到对应的页数。</w:t>
            </w:r>
          </w:p>
          <w:p>
            <w:pPr>
              <w:spacing w:line="360" w:lineRule="auto"/>
              <w:rPr>
                <w:rFonts w:ascii="宋体" w:hAnsi="宋体" w:eastAsia="宋体"/>
                <w:color w:val="auto"/>
                <w:szCs w:val="21"/>
                <w:highlight w:val="none"/>
              </w:rPr>
            </w:pPr>
            <w:r>
              <w:rPr>
                <w:rFonts w:ascii="宋体" w:hAnsi="宋体" w:eastAsia="宋体"/>
                <w:color w:val="auto"/>
                <w:szCs w:val="21"/>
                <w:highlight w:val="none"/>
              </w:rPr>
              <w:t>13</w:t>
            </w:r>
            <w:r>
              <w:rPr>
                <w:rFonts w:hint="eastAsia" w:ascii="宋体" w:hAnsi="宋体"/>
                <w:color w:val="auto"/>
                <w:szCs w:val="21"/>
                <w:highlight w:val="none"/>
              </w:rPr>
              <w:t>）</w:t>
            </w:r>
            <w:r>
              <w:rPr>
                <w:rFonts w:ascii="宋体" w:hAnsi="宋体" w:eastAsia="宋体"/>
                <w:color w:val="auto"/>
                <w:szCs w:val="21"/>
                <w:highlight w:val="none"/>
              </w:rPr>
              <w:t>平台支持用户自行下载平台内容，所下载内容不受厂商控制，用户可随意通过PDF阅读器和IE浏览器直接打开。</w:t>
            </w:r>
          </w:p>
          <w:p>
            <w:pPr>
              <w:spacing w:line="360" w:lineRule="auto"/>
              <w:rPr>
                <w:rFonts w:ascii="宋体" w:hAnsi="宋体" w:eastAsia="宋体"/>
                <w:color w:val="auto"/>
                <w:szCs w:val="21"/>
                <w:highlight w:val="none"/>
              </w:rPr>
            </w:pPr>
            <w:r>
              <w:rPr>
                <w:rFonts w:ascii="宋体" w:hAnsi="宋体" w:eastAsia="宋体"/>
                <w:color w:val="auto"/>
                <w:szCs w:val="21"/>
                <w:highlight w:val="none"/>
              </w:rPr>
              <w:t>14</w:t>
            </w:r>
            <w:r>
              <w:rPr>
                <w:rFonts w:hint="eastAsia" w:ascii="宋体" w:hAnsi="宋体"/>
                <w:color w:val="auto"/>
                <w:szCs w:val="21"/>
                <w:highlight w:val="none"/>
              </w:rPr>
              <w:t>）</w:t>
            </w:r>
            <w:r>
              <w:rPr>
                <w:rFonts w:ascii="宋体" w:hAnsi="宋体" w:eastAsia="宋体"/>
                <w:color w:val="auto"/>
                <w:szCs w:val="21"/>
                <w:highlight w:val="none"/>
              </w:rPr>
              <w:t xml:space="preserve"> 平台支持用户自主上传文件，用户可通过阅读平台上传自己喜欢的文件内容，通过阅读系统进行图书资料文献的查阅。</w:t>
            </w:r>
          </w:p>
          <w:p>
            <w:pPr>
              <w:spacing w:line="360" w:lineRule="auto"/>
              <w:rPr>
                <w:rFonts w:ascii="宋体" w:hAnsi="宋体" w:eastAsia="宋体"/>
                <w:color w:val="auto"/>
                <w:szCs w:val="21"/>
                <w:highlight w:val="none"/>
              </w:rPr>
            </w:pPr>
            <w:r>
              <w:rPr>
                <w:rFonts w:ascii="宋体" w:hAnsi="宋体" w:eastAsia="宋体"/>
                <w:color w:val="auto"/>
                <w:szCs w:val="21"/>
                <w:highlight w:val="none"/>
              </w:rPr>
              <w:t>15</w:t>
            </w:r>
            <w:r>
              <w:rPr>
                <w:rFonts w:hint="eastAsia" w:ascii="宋体" w:hAnsi="宋体"/>
                <w:color w:val="auto"/>
                <w:szCs w:val="21"/>
                <w:highlight w:val="none"/>
              </w:rPr>
              <w:t>）</w:t>
            </w:r>
            <w:r>
              <w:rPr>
                <w:rFonts w:ascii="宋体" w:hAnsi="宋体" w:eastAsia="宋体"/>
                <w:color w:val="auto"/>
                <w:szCs w:val="21"/>
                <w:highlight w:val="none"/>
              </w:rPr>
              <w:t xml:space="preserve"> 图书资源可进行快速阅读跳转查询，用户可通过快捷工具快速查看第一页和最后一页内容，同时支持用户做顺时针和逆时针查看。</w:t>
            </w:r>
          </w:p>
          <w:p>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图书资源：</w:t>
            </w:r>
          </w:p>
          <w:p>
            <w:pPr>
              <w:spacing w:line="360"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color w:val="auto"/>
                <w:szCs w:val="21"/>
                <w:highlight w:val="none"/>
              </w:rPr>
              <w:t>）</w:t>
            </w:r>
            <w:r>
              <w:rPr>
                <w:rFonts w:ascii="宋体" w:hAnsi="宋体" w:eastAsia="宋体"/>
                <w:color w:val="auto"/>
                <w:szCs w:val="21"/>
                <w:highlight w:val="none"/>
              </w:rPr>
              <w:t>提供的电子图书，保持资源原有的版式和原貌，包括复杂的图表、公式等</w:t>
            </w:r>
          </w:p>
          <w:p>
            <w:pPr>
              <w:spacing w:line="360"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color w:val="auto"/>
                <w:szCs w:val="21"/>
                <w:highlight w:val="none"/>
              </w:rPr>
              <w:t>）</w:t>
            </w:r>
            <w:r>
              <w:rPr>
                <w:rFonts w:ascii="宋体" w:hAnsi="宋体" w:eastAsia="宋体"/>
                <w:color w:val="auto"/>
                <w:szCs w:val="21"/>
                <w:highlight w:val="none"/>
              </w:rPr>
              <w:t>提供的电子图书无副本和并发数限制：所有图书均无副本量和并发量限制，避免该因素发生的服务压力；（注：方便多用户、多终端同时使用相同资源）</w:t>
            </w:r>
          </w:p>
          <w:p>
            <w:pPr>
              <w:spacing w:line="360" w:lineRule="auto"/>
              <w:rPr>
                <w:rFonts w:ascii="宋体" w:hAnsi="宋体" w:eastAsia="宋体"/>
                <w:color w:val="auto"/>
                <w:szCs w:val="21"/>
                <w:highlight w:val="none"/>
              </w:rPr>
            </w:pPr>
            <w:r>
              <w:rPr>
                <w:rFonts w:ascii="宋体" w:hAnsi="宋体" w:eastAsia="宋体"/>
                <w:color w:val="auto"/>
                <w:szCs w:val="21"/>
                <w:highlight w:val="none"/>
              </w:rPr>
              <w:t>3</w:t>
            </w:r>
            <w:r>
              <w:rPr>
                <w:rFonts w:hint="eastAsia" w:ascii="宋体" w:hAnsi="宋体"/>
                <w:color w:val="auto"/>
                <w:szCs w:val="21"/>
                <w:highlight w:val="none"/>
              </w:rPr>
              <w:t>）</w:t>
            </w:r>
            <w:r>
              <w:rPr>
                <w:rFonts w:ascii="宋体" w:hAnsi="宋体" w:eastAsia="宋体"/>
                <w:color w:val="auto"/>
                <w:szCs w:val="21"/>
                <w:highlight w:val="none"/>
              </w:rPr>
              <w:t>提供全方位服务：数据备份、产品售后、维修、备用服务器等</w:t>
            </w:r>
          </w:p>
          <w:p>
            <w:pPr>
              <w:spacing w:line="360" w:lineRule="auto"/>
              <w:rPr>
                <w:rFonts w:ascii="宋体" w:hAnsi="宋体" w:eastAsia="宋体"/>
                <w:color w:val="auto"/>
                <w:szCs w:val="21"/>
                <w:highlight w:val="none"/>
              </w:rPr>
            </w:pPr>
            <w:r>
              <w:rPr>
                <w:rFonts w:ascii="宋体" w:hAnsi="宋体" w:eastAsia="宋体"/>
                <w:color w:val="auto"/>
                <w:szCs w:val="21"/>
                <w:highlight w:val="none"/>
              </w:rPr>
              <w:t>4</w:t>
            </w:r>
            <w:r>
              <w:rPr>
                <w:rFonts w:hint="eastAsia" w:ascii="宋体" w:hAnsi="宋体"/>
                <w:color w:val="auto"/>
                <w:szCs w:val="21"/>
                <w:highlight w:val="none"/>
              </w:rPr>
              <w:t>）</w:t>
            </w:r>
            <w:r>
              <w:rPr>
                <w:rFonts w:ascii="宋体" w:hAnsi="宋体" w:eastAsia="宋体"/>
                <w:color w:val="auto"/>
                <w:szCs w:val="21"/>
                <w:highlight w:val="none"/>
              </w:rPr>
              <w:t>有完善的产品保护系统，能够通过相关的加密技术实现对数据的加密，保护采购方的数据安全</w:t>
            </w:r>
          </w:p>
          <w:p>
            <w:pPr>
              <w:spacing w:line="360" w:lineRule="auto"/>
              <w:rPr>
                <w:rFonts w:ascii="宋体" w:hAnsi="宋体" w:eastAsia="宋体"/>
                <w:color w:val="auto"/>
                <w:szCs w:val="21"/>
                <w:highlight w:val="none"/>
              </w:rPr>
            </w:pPr>
            <w:r>
              <w:rPr>
                <w:rFonts w:ascii="宋体" w:hAnsi="宋体" w:eastAsia="宋体"/>
                <w:color w:val="auto"/>
                <w:szCs w:val="21"/>
                <w:highlight w:val="none"/>
              </w:rPr>
              <w:t>5</w:t>
            </w:r>
            <w:r>
              <w:rPr>
                <w:rFonts w:hint="eastAsia" w:ascii="宋体" w:hAnsi="宋体"/>
                <w:color w:val="auto"/>
                <w:szCs w:val="21"/>
                <w:highlight w:val="none"/>
              </w:rPr>
              <w:t>）</w:t>
            </w:r>
            <w:r>
              <w:rPr>
                <w:rFonts w:ascii="宋体" w:hAnsi="宋体" w:eastAsia="宋体"/>
                <w:color w:val="auto"/>
                <w:szCs w:val="21"/>
                <w:highlight w:val="none"/>
              </w:rPr>
              <w:t>支持IE在线阅读、阅览器下载阅读等多种阅读方式</w:t>
            </w:r>
          </w:p>
          <w:p>
            <w:pPr>
              <w:spacing w:line="360" w:lineRule="auto"/>
              <w:rPr>
                <w:rFonts w:ascii="宋体" w:hAnsi="宋体" w:eastAsia="宋体"/>
                <w:color w:val="auto"/>
                <w:szCs w:val="21"/>
                <w:highlight w:val="none"/>
              </w:rPr>
            </w:pPr>
            <w:r>
              <w:rPr>
                <w:rFonts w:ascii="宋体" w:hAnsi="宋体" w:eastAsia="宋体"/>
                <w:color w:val="auto"/>
                <w:szCs w:val="21"/>
                <w:highlight w:val="none"/>
              </w:rPr>
              <w:t>6</w:t>
            </w:r>
            <w:r>
              <w:rPr>
                <w:rFonts w:hint="eastAsia" w:ascii="宋体" w:hAnsi="宋体"/>
                <w:color w:val="auto"/>
                <w:szCs w:val="21"/>
                <w:highlight w:val="none"/>
              </w:rPr>
              <w:t>）</w:t>
            </w:r>
            <w:r>
              <w:rPr>
                <w:rFonts w:ascii="宋体" w:hAnsi="宋体" w:eastAsia="宋体"/>
                <w:color w:val="auto"/>
                <w:szCs w:val="21"/>
                <w:highlight w:val="none"/>
              </w:rPr>
              <w:t>采用图像压缩技术----小波变换 (wavelet)，传输速度快,存储容量小，图象压缩比应达到1：200</w:t>
            </w:r>
          </w:p>
          <w:p>
            <w:pPr>
              <w:spacing w:line="360" w:lineRule="auto"/>
              <w:rPr>
                <w:rFonts w:ascii="宋体" w:hAnsi="宋体" w:eastAsia="宋体"/>
                <w:color w:val="auto"/>
                <w:szCs w:val="21"/>
                <w:highlight w:val="none"/>
              </w:rPr>
            </w:pPr>
            <w:r>
              <w:rPr>
                <w:rFonts w:ascii="宋体" w:hAnsi="宋体" w:eastAsia="宋体"/>
                <w:color w:val="auto"/>
                <w:szCs w:val="21"/>
                <w:highlight w:val="none"/>
              </w:rPr>
              <w:t>7</w:t>
            </w:r>
            <w:r>
              <w:rPr>
                <w:rFonts w:hint="eastAsia" w:ascii="宋体" w:hAnsi="宋体"/>
                <w:color w:val="auto"/>
                <w:szCs w:val="21"/>
                <w:highlight w:val="none"/>
              </w:rPr>
              <w:t>）</w:t>
            </w:r>
            <w:r>
              <w:rPr>
                <w:rFonts w:ascii="宋体" w:hAnsi="宋体" w:eastAsia="宋体"/>
                <w:color w:val="auto"/>
                <w:szCs w:val="21"/>
                <w:highlight w:val="none"/>
              </w:rPr>
              <w:t>在本地安装的数字资源，采购人拥有永久使用权</w:t>
            </w:r>
          </w:p>
          <w:p>
            <w:pPr>
              <w:spacing w:line="360" w:lineRule="auto"/>
              <w:rPr>
                <w:rFonts w:ascii="宋体" w:hAnsi="宋体" w:eastAsia="宋体"/>
                <w:color w:val="auto"/>
                <w:szCs w:val="21"/>
                <w:highlight w:val="none"/>
              </w:rPr>
            </w:pPr>
            <w:r>
              <w:rPr>
                <w:rFonts w:ascii="宋体" w:hAnsi="宋体" w:eastAsia="宋体"/>
                <w:color w:val="auto"/>
                <w:szCs w:val="21"/>
                <w:highlight w:val="none"/>
              </w:rPr>
              <w:t>8</w:t>
            </w:r>
            <w:r>
              <w:rPr>
                <w:rFonts w:hint="eastAsia" w:ascii="宋体" w:hAnsi="宋体"/>
                <w:color w:val="auto"/>
                <w:szCs w:val="21"/>
                <w:highlight w:val="none"/>
              </w:rPr>
              <w:t>）</w:t>
            </w:r>
            <w:r>
              <w:rPr>
                <w:rFonts w:ascii="宋体" w:hAnsi="宋体" w:eastAsia="宋体"/>
                <w:color w:val="auto"/>
                <w:szCs w:val="21"/>
                <w:highlight w:val="none"/>
              </w:rPr>
              <w:t xml:space="preserve"> 图书分类：诗词歌赋·散文随笔·中国文学·外国文学·家庭教育·青年励志·军事/历史·智力才艺·科普百科·企业管理·经济金融·市场营销·社会学·心理学·宗教哲学·军事学·期刊·历史学·语言学·文学·艺术学·新闻传播学·政治学·法学·教育学·数学·物理学·化学·地理学·环境科学·机械·电子电气及自动化·农业林业·土木建筑·水利水电·交通运输·计算机科学与通信工程·财会学·工商管理·旅游服务·电工电子·农业/林业·计算机网络技术·建筑与土木工程·设计与制作·艺术类·汽车检测与维修·印刷出版·幼儿师范教育·物理</w:t>
            </w:r>
            <w:r>
              <w:rPr>
                <w:rFonts w:hint="eastAsia" w:ascii="宋体" w:hAnsi="宋体" w:eastAsia="宋体"/>
                <w:color w:val="auto"/>
                <w:szCs w:val="21"/>
                <w:highlight w:val="none"/>
              </w:rPr>
              <w:t>管理·酒店管理与服务·工商企业管理·市场营销·电子商务·商务英语·财会·美容美发·烹饪工艺与营养·城市轨道交通运营管理·航空服务·环境保护与监测可根据用户需求在上述分类中选取适合用户单位的图书资源。</w:t>
            </w:r>
          </w:p>
          <w:p>
            <w:pPr>
              <w:spacing w:line="360" w:lineRule="auto"/>
              <w:rPr>
                <w:rFonts w:ascii="宋体" w:hAnsi="宋体" w:eastAsia="宋体"/>
                <w:color w:val="auto"/>
                <w:szCs w:val="21"/>
                <w:highlight w:val="none"/>
              </w:rPr>
            </w:pPr>
            <w:r>
              <w:rPr>
                <w:rFonts w:ascii="宋体" w:hAnsi="宋体" w:eastAsia="宋体"/>
                <w:color w:val="auto"/>
                <w:szCs w:val="21"/>
                <w:highlight w:val="none"/>
              </w:rPr>
              <w:t>9</w:t>
            </w:r>
            <w:r>
              <w:rPr>
                <w:rFonts w:hint="eastAsia" w:ascii="宋体" w:hAnsi="宋体"/>
                <w:color w:val="auto"/>
                <w:szCs w:val="21"/>
                <w:highlight w:val="none"/>
              </w:rPr>
              <w:t>）</w:t>
            </w:r>
            <w:r>
              <w:rPr>
                <w:rFonts w:ascii="宋体" w:hAnsi="宋体" w:eastAsia="宋体"/>
                <w:color w:val="auto"/>
                <w:szCs w:val="21"/>
                <w:highlight w:val="none"/>
              </w:rPr>
              <w:t xml:space="preserve"> ★为保障图书资源为正版合法版权应标时需提交版权合作文件证明材料其中包含出版社授权文件资料证明，包含热门出版社证明材料：广西师范大学出版社集团有限公司、江西美术出版社有限公司、人民教育出版社有限公司、长江出版社（武汉）有限公司、中国医药科技出版社、青岛出版社有限公司、高等教育出版社有限公司、中国医药科技出版社、安徽少年儿童出版社、福建教育出版社有限责任公司。</w:t>
            </w:r>
          </w:p>
          <w:p>
            <w:pPr>
              <w:spacing w:line="360" w:lineRule="auto"/>
              <w:rPr>
                <w:rFonts w:ascii="宋体" w:hAnsi="宋体" w:eastAsia="宋体"/>
                <w:color w:val="auto"/>
                <w:szCs w:val="21"/>
                <w:highlight w:val="none"/>
              </w:rPr>
            </w:pPr>
            <w:r>
              <w:rPr>
                <w:rFonts w:ascii="宋体" w:hAnsi="宋体" w:eastAsia="宋体"/>
                <w:color w:val="auto"/>
                <w:szCs w:val="21"/>
                <w:highlight w:val="none"/>
              </w:rPr>
              <w:t>10</w:t>
            </w:r>
            <w:r>
              <w:rPr>
                <w:rFonts w:hint="eastAsia" w:ascii="宋体" w:hAnsi="宋体"/>
                <w:color w:val="auto"/>
                <w:szCs w:val="21"/>
                <w:highlight w:val="none"/>
              </w:rPr>
              <w:t>）</w:t>
            </w:r>
            <w:r>
              <w:rPr>
                <w:rFonts w:ascii="宋体" w:hAnsi="宋体" w:eastAsia="宋体"/>
                <w:color w:val="auto"/>
                <w:szCs w:val="21"/>
                <w:highlight w:val="none"/>
              </w:rPr>
              <w:t xml:space="preserve"> 提供以上出版社版权协议证明文件</w:t>
            </w:r>
            <w:r>
              <w:rPr>
                <w:rFonts w:hint="eastAsia" w:ascii="宋体" w:hAnsi="宋体" w:eastAsia="宋体"/>
                <w:color w:val="auto"/>
                <w:szCs w:val="21"/>
                <w:highlight w:val="none"/>
              </w:rPr>
              <w:t>复</w:t>
            </w:r>
            <w:r>
              <w:rPr>
                <w:rFonts w:ascii="宋体" w:hAnsi="宋体" w:eastAsia="宋体"/>
                <w:color w:val="auto"/>
                <w:szCs w:val="21"/>
                <w:highlight w:val="none"/>
              </w:rPr>
              <w:t>印件加盖</w:t>
            </w:r>
            <w:r>
              <w:rPr>
                <w:rFonts w:hint="eastAsia" w:ascii="宋体" w:hAnsi="宋体" w:eastAsia="宋体"/>
                <w:color w:val="auto"/>
                <w:szCs w:val="21"/>
                <w:highlight w:val="none"/>
                <w:lang w:val="en-US" w:eastAsia="zh-CN"/>
              </w:rPr>
              <w:t>竞标人</w:t>
            </w:r>
            <w:r>
              <w:rPr>
                <w:rFonts w:ascii="宋体" w:hAnsi="宋体" w:eastAsia="宋体"/>
                <w:color w:val="auto"/>
                <w:szCs w:val="21"/>
                <w:highlight w:val="none"/>
              </w:rPr>
              <w:t>公章证明材料，原件备查。</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（二）供应商要求</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1.供应商应为专门从事图书经销的法人单位，2018年以来有为高校图书馆供应图书的经历。</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2.供应商在近三年内没有违法行为，在以往政府采购活动中没有违规和违约行为。供应商应按招标方提供的采访要求提供国家正式出版社出版的无意识形态问题的正版图书，不得有盗版、伪劣图书，否则以十倍价值赔偿，并承担由此引起的一切责任。</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3.供应商具有全国性的图书采购网络，拥有电脑端，能够提供线上选书服务。</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4.供应商要达到招标项目的质量要求，包括采购质量、分编质量、加工质量、数据质量、服务质量及其它明确要求的质量内容。</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5.供应商有图书经销和编目数据加工业务的专业技术，具有提供相应标准机读数据的能力。</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6、</w:t>
            </w:r>
            <w:r>
              <w:rPr>
                <w:rFonts w:hint="eastAsia"/>
                <w:color w:val="auto"/>
                <w:sz w:val="21"/>
                <w:szCs w:val="21"/>
                <w:highlight w:val="none"/>
              </w:rPr>
              <w:t>供应商</w:t>
            </w:r>
            <w:r>
              <w:rPr>
                <w:color w:val="auto"/>
                <w:sz w:val="21"/>
                <w:szCs w:val="21"/>
                <w:highlight w:val="none"/>
              </w:rPr>
              <w:t>是全国联合编目中心成员馆，且协议在有效期内（提供协议书复印件及网上核验证明）</w:t>
            </w:r>
            <w:r>
              <w:rPr>
                <w:rFonts w:hint="eastAsia"/>
                <w:color w:val="auto"/>
                <w:sz w:val="21"/>
                <w:szCs w:val="21"/>
                <w:highlight w:val="none"/>
              </w:rPr>
              <w:t>，签订合同时提供原件。</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7.供应商应有相对固定的熟练的物理加工人员和图书编目人员。</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8.供应商应具有良好的图书配送服务系统，有稳定的供货渠道、仓储设施、固定的营业场所和图书配送工具。</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9.供应商不得以任何形式和理由转包项目。</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10.严禁成交人因成本、利润等原因选择性报订，故意不提供采购人所要图书。图书馆可直接将每批订单未到书向出版社报订，如能够订到，将作为故意不提供采购人所要图书进行相应处罚，从履约保证金中扣除2倍码洋金额，并记入成交人信誉档案。成交人不得更换图书馆预订和现采的图书订单和采购数据，不得搭配非图书馆订购的图书，不得将订单中成套图书内某一本再散本发售。对有意或无意错发书、加塞非采购人订购图书的情况,验收发现坚决退货,并按错书码洋的2倍扣除履约保证金，记入成交人信誉档案。</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（三）图书采购加工工作流程</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1.预购图书及加工流程</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（1）采购方向供货商提供采购图书的大类，并确定购书方向；</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（2）供货商按采购方提供的图书大类，向采购方提供网络版采访数据，要求MARC格式和EXCEL格式各一份；</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（3）采购方根据供货商提供的采访数据圈定购书目录，反馈给供货商。由供货商进行查重处理，并对150.00元以上码洋图书进行二次确认。供货商将处理好后的圈定书目返回给采购方。</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（4）采购方将圈定书目报分管校领导审定；</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（5）供货商根据采购方的圈定书目和数量进行采购；</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（6）采购方向供货商提供财产号（条码号）段及种次号；</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（7）供货商按采购方提供的财产号及要求的格式对所采购的图书进行登录；</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（8）供货商按采购方要求对图书进行加工，包括贴磁条、贴条码、贴书标、贴保护膜，盖馆藏章等；</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（9）供货商按《中国图书馆分类法》（第五版）对所采购的图书进行分类、编目，并按CALIS规范进行著录，并将编目数据（MARC、EXCEL各一份）发送采购方，由采购方配种次号后返回给供货商；</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（10）供货商按采购方要求对加工好的图书进行分类打包，同时提供三份总清单</w:t>
            </w:r>
            <w:r>
              <w:rPr>
                <w:rFonts w:hint="eastAsia" w:ascii="宋体" w:hAnsi="宋体" w:cstheme="minorBidi"/>
                <w:b w:val="0"/>
                <w:color w:val="auto"/>
                <w:kern w:val="2"/>
                <w:sz w:val="21"/>
                <w:szCs w:val="21"/>
                <w:highlight w:val="none"/>
                <w:lang w:eastAsia="zh-CN"/>
              </w:rPr>
              <w:t>（加盖公章）</w:t>
            </w:r>
            <w:r>
              <w:rPr>
                <w:rFonts w:hint="eastAsia" w:ascii="宋体" w:hAnsi="宋体" w:cstheme="minorBidi"/>
                <w:b w:val="0"/>
                <w:color w:val="auto"/>
                <w:kern w:val="2"/>
                <w:sz w:val="21"/>
                <w:szCs w:val="21"/>
                <w:highlight w:val="none"/>
              </w:rPr>
              <w:t>；</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（11）供货商将加工好的书及发货清单一并交采购方验收并将书送至指定地点；</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（12）双方清点验收图书，准确无误后，办理交接手续，填写交接清单。</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2.现采图书及加工流程</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（1）采购方在现采地点挑选完图书后，将数据发送供货商，由供货商将数据转换为标准MARC数据并对数据进行查重、筛查等处理后形成初始订单发送给采购方；</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（2）采购方将初始订单报分管校领导审定后形成最终订单，并发送给供货商进行采购加工等。</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（四）图书采购、加工、服务等要求</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1.外出现采。供货商应具备现场采书的条件和能力，根据采购方要求安排好外采活动。至少组织1次采购方进行现采。</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2.全部采编业务外包</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必须以《中国图书馆分类法》（第五版）的一、二级类目分类提供采访数据。提供的书目采访数据应包含书名、作者、ISBN号、出版社、价格、出版时间、页码、装帧、开本大小、内容简介等字段项目。图书采访数据须符合著录规则，能够为“金盘图书NET集成管理系统”接受，同时应区分现货数据和期货数据。能够配备完整的MARC数据，数据质量符合国家图书馆或者Calis标准。图书送到馆前完成分编加工，图书经验收后可直接上架流通。</w:t>
            </w:r>
            <w:r>
              <w:rPr>
                <w:rFonts w:hint="eastAsia" w:ascii="宋体" w:hAnsi="宋体" w:cstheme="minorBidi"/>
                <w:b w:val="0"/>
                <w:color w:val="auto"/>
                <w:kern w:val="2"/>
                <w:sz w:val="21"/>
                <w:szCs w:val="21"/>
                <w:highlight w:val="none"/>
                <w:lang w:eastAsia="zh-CN"/>
              </w:rPr>
              <w:t>分编加工费用由供应商承担。</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3.图书采访数据要求</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应提供规范、详实、准确的新书征订书目数据，要求定期提供，数据来源要求涵盖当年五大书目数据（社科新书目、科技新书目、全国地方科技新书目、上海新书目、标准新书目）。能通过网站或E-MAIL提供新书目、自编新书目及其它专题书目的采访数据，数据格式为CNMARC、EXCEL等二种格式以上。机读采访数据应包含书名、作者、译者、ISBN号、出版社、出版时间、价格、页码、装帧、开本大小、内容简介、适应读者范围等字段项目，信息力求准确、完整。同时数据应完全符合金盘图书集成管理系统的格式及运行要求，提供的所有数据都能在图书馆系统无障碍的使用。提供采访数据总码洋应为标的总码洋的120%以上。有具体订单的，成交人需按用户订单供书，收到新书订单后，应先做查重处理，避免重复订购；剔除由于采访数据不完整而错订的新书，若单册价格150元以上，要求配货前电话再次确定征订需求。加工图书前，应将配送的书目发给用户核对，无误后方能按广西幼儿师范高等专科学校图书馆的要求加工。</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4.到书率要求</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（1）预订的图书在出版后一个月的到书率达到95%以上，三个月内到书率不得低于98%。</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（2）现货（包括现场采购）一个月的到书率达到100%。</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3）订单处理方式。收到用户正式订单后的2个工作日内应反馈给用户确认订单收到，一周内告知订单所处的状态：上报出版社、配货、加工、发货及该订单的发货率等。若订单中有订购不到的图书，接单之日起7个工作日内须告知订购方。非出版社原因造成的图书不按期交书，按成交人违约处理。</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4）必须保证按采购方订购的图书品种、数量及时供货。采购方提交的采购书目满足率不低于85%。如实际到书与订单信息有变化的，如ISBN号、书名、价格等变更，应列表通知采购方，修改有关订单数据，重新确认订购需求。</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（5）所有图书订购的书目、品种、复本均由采购方决定，供应商不得自行搭配。如验收发现与订单不符，无论图书是否经过前期加工，应无条件接受采购方退货。</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（6）凡是印刷图文不清、污损、缺页、倒页、脱页、缺附件等质量不合格的，以及与订书单不符(包括重发)的，无论是否已作前期加工，一律予以退货，由此造成的损失及费用全部由供应商承担。</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（7）禁止配送有任何国家法规明令禁止出版发行的图书，已到馆的此类图书必须给予退货。</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5.必须严格保证图书质量，供应商提供的图书必须为正版图书，不得提供任何国家法规明令禁止出版发行的图书，不得提供盗版、劣质的图书。凡是印刷图文不清、污损、缺页、倒页、脱页、缺附件、光盘破损等质量不合格的，无论是否已做加工，一经发现，一律予以退货，由此造成的损失及费用全部由供应商承担。所有采购图书的包装、运输等环节由供应商负责，费用由供应商承担。</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6.加工要求</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因广西幼儿师范高等专科学校图书馆场地和工作人员有限，要求供应商在自有场地进行深加工服务后再送书上门，所有加工服务均为免费。在图书加工过程中如发现与本馆馆藏文献资源建设要求不相符合的图书，应负责无条件调换或退货。</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（1）所用磁条要求：永久性钴基磁条，十六公分长。</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（2）磁条粘贴要求：正文页码大于300页，贴磁条2根，分别粘贴在第26页和第300页；小于300页，贴磁条1根，粘贴在第26页。磁条尽量往书脊隐蔽深处贴，不能影响阅读。</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（3）馆藏章为“广西幼儿师范高等专科学校图书馆藏书”蓝色印章。图章盖印的位置必须符合采购方的要求。</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（4）条形码一号两张，第一张粘贴在图书书名页正中偏下，出版社上方空白处，第二张贴于末页上方</w:t>
            </w:r>
            <w:r>
              <w:rPr>
                <w:rFonts w:hint="eastAsia" w:ascii="宋体" w:hAnsi="宋体" w:cstheme="minorBidi"/>
                <w:b w:val="0"/>
                <w:color w:val="auto"/>
                <w:kern w:val="2"/>
                <w:sz w:val="21"/>
                <w:szCs w:val="21"/>
                <w:highlight w:val="none"/>
                <w:lang w:eastAsia="zh-CN"/>
              </w:rPr>
              <w:t>正中</w:t>
            </w:r>
            <w:r>
              <w:rPr>
                <w:rFonts w:hint="eastAsia" w:ascii="宋体" w:hAnsi="宋体" w:cstheme="minorBidi"/>
                <w:b w:val="0"/>
                <w:color w:val="auto"/>
                <w:kern w:val="2"/>
                <w:sz w:val="21"/>
                <w:szCs w:val="21"/>
                <w:highlight w:val="none"/>
              </w:rPr>
              <w:t>空白处，同一种书或一套书的条形码必须连续，条形码必须有保护膜。条形码格式必须符合采购方的要求。</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（5）书标为蓝色，要求贴一张，贴在书脊底处，距离最底端1cm，并用透明胶覆盖，书标样式必须符合采购方的要求。</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（6）图书所附光盘需另附一张标有该书条码号的书标，条码号须与配套图书一致，并在该图书书名页右上角盖上“附光盘”图章。</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7.配送验收要求</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（1）每批到书的各包一律标注“2021-批号-包号”。</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（2）每包中有一份图书清单，每批一份总清单。总清单一式三份</w:t>
            </w:r>
            <w:r>
              <w:rPr>
                <w:rFonts w:hint="eastAsia" w:ascii="宋体" w:hAnsi="宋体" w:cstheme="minorBidi"/>
                <w:b w:val="0"/>
                <w:color w:val="auto"/>
                <w:kern w:val="2"/>
                <w:sz w:val="21"/>
                <w:szCs w:val="21"/>
                <w:highlight w:val="none"/>
                <w:lang w:eastAsia="zh-CN"/>
              </w:rPr>
              <w:t>（加盖公章）</w:t>
            </w:r>
            <w:r>
              <w:rPr>
                <w:rFonts w:hint="eastAsia" w:ascii="宋体" w:hAnsi="宋体" w:cstheme="minorBidi"/>
                <w:b w:val="0"/>
                <w:color w:val="auto"/>
                <w:kern w:val="2"/>
                <w:sz w:val="21"/>
                <w:szCs w:val="21"/>
                <w:highlight w:val="none"/>
              </w:rPr>
              <w:t>。</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（3）总清单应有下列数据项：ISBN、书名（多卷集有分卷书名的须标明）、册数、单价、总价和条码。</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（4）总清单开始应注明“2021-批号”，末尾应统计出总种数、总册数、总金额。</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（5）每批到书应配齐MARC数据，图书和数据不齐全或不符合要求的，一律不予验收。</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（6）MARC数据必须采用能被“金盘图书馆NET集成管理系统”接受的编目格式。</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8.其他服务要求</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负责本次采购所有图书的免费上架。图书必须全部加工完成后送到馆，并在采购方验收完成后，在3个工作日内组织专业人员按照采购方的要求上架，并在10个工作日内全部上架完毕。</w:t>
            </w:r>
            <w:r>
              <w:rPr>
                <w:rFonts w:hint="eastAsia"/>
                <w:color w:val="auto"/>
                <w:sz w:val="21"/>
                <w:highlight w:val="none"/>
              </w:rPr>
              <w:t>具有商品售后服务评价认证为五星级证书，签订合同时出具原件。</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五、选书方案</w:t>
            </w:r>
          </w:p>
          <w:p>
            <w:pPr>
              <w:pStyle w:val="4"/>
              <w:spacing w:line="400" w:lineRule="exact"/>
              <w:rPr>
                <w:rFonts w:ascii="宋体" w:hAnsi="宋体"/>
                <w:color w:val="auto"/>
                <w:szCs w:val="21"/>
                <w:highlight w:val="none"/>
              </w:rPr>
            </w:pPr>
            <w:r>
              <w:rPr>
                <w:rFonts w:hint="eastAsia" w:ascii="宋体" w:hAnsi="宋体" w:cstheme="minorBidi"/>
                <w:b w:val="0"/>
                <w:color w:val="auto"/>
                <w:kern w:val="2"/>
                <w:sz w:val="21"/>
                <w:szCs w:val="21"/>
                <w:highlight w:val="none"/>
              </w:rPr>
              <w:t>具体选书方案另行制定。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8717" w:type="dxa"/>
            <w:gridSpan w:val="4"/>
            <w:tcBorders>
              <w:top w:val="single" w:color="auto" w:sz="4" w:space="0"/>
              <w:left w:val="single" w:color="auto" w:sz="4" w:space="0"/>
              <w:bottom w:val="single" w:color="auto" w:sz="4" w:space="0"/>
              <w:right w:val="single" w:color="auto" w:sz="4" w:space="0"/>
            </w:tcBorders>
            <w:tcMar>
              <w:left w:w="108" w:type="dxa"/>
              <w:right w:w="108" w:type="dxa"/>
            </w:tcMar>
          </w:tcPr>
          <w:p>
            <w:pPr>
              <w:autoSpaceDN w:val="0"/>
              <w:spacing w:line="400" w:lineRule="exact"/>
              <w:jc w:val="left"/>
              <w:rPr>
                <w:rFonts w:ascii="宋体" w:hAnsi="宋体" w:eastAsia="宋体"/>
                <w:color w:val="auto"/>
                <w:szCs w:val="21"/>
                <w:highlight w:val="none"/>
              </w:rPr>
            </w:pPr>
            <w:r>
              <w:rPr>
                <w:rFonts w:hint="eastAsia" w:ascii="宋体" w:hAnsi="宋体" w:eastAsia="宋体"/>
                <w:b/>
                <w:bCs/>
                <w:color w:val="auto"/>
                <w:szCs w:val="21"/>
                <w:highlight w:val="none"/>
              </w:rPr>
              <w:t xml:space="preserve"> 二、商务条款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133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400" w:lineRule="exact"/>
              <w:jc w:val="left"/>
              <w:rPr>
                <w:rFonts w:ascii="宋体" w:hAnsi="宋体" w:eastAsia="宋体"/>
                <w:color w:val="auto"/>
                <w:szCs w:val="21"/>
                <w:highlight w:val="none"/>
              </w:rPr>
            </w:pPr>
            <w:r>
              <w:rPr>
                <w:rFonts w:hint="eastAsia" w:ascii="宋体" w:hAnsi="宋体" w:eastAsia="宋体" w:cs="宋体"/>
                <w:color w:val="auto"/>
                <w:szCs w:val="21"/>
                <w:highlight w:val="none"/>
              </w:rPr>
              <w:t>完成时间和地点</w:t>
            </w:r>
          </w:p>
        </w:tc>
        <w:tc>
          <w:tcPr>
            <w:tcW w:w="7385"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numPr>
                <w:ilvl w:val="0"/>
                <w:numId w:val="1"/>
              </w:numPr>
              <w:spacing w:line="400" w:lineRule="exact"/>
              <w:jc w:val="left"/>
              <w:rPr>
                <w:color w:val="auto"/>
                <w:highlight w:val="none"/>
              </w:rPr>
            </w:pPr>
            <w:r>
              <w:rPr>
                <w:rFonts w:hint="eastAsia"/>
                <w:color w:val="auto"/>
                <w:highlight w:val="none"/>
              </w:rPr>
              <w:t>合同签订期：自成交通知书发出之日起</w:t>
            </w:r>
            <w:r>
              <w:rPr>
                <w:color w:val="auto"/>
                <w:highlight w:val="none"/>
              </w:rPr>
              <w:t>2</w:t>
            </w:r>
            <w:r>
              <w:rPr>
                <w:rFonts w:hint="eastAsia"/>
                <w:color w:val="auto"/>
                <w:highlight w:val="none"/>
              </w:rPr>
              <w:t>5个工作日内。</w:t>
            </w:r>
          </w:p>
          <w:p>
            <w:pPr>
              <w:pStyle w:val="58"/>
              <w:rPr>
                <w:color w:val="auto"/>
                <w:highlight w:val="none"/>
              </w:rPr>
            </w:pPr>
            <w:r>
              <w:rPr>
                <w:rFonts w:hint="eastAsia"/>
                <w:color w:val="auto"/>
                <w:highlight w:val="none"/>
              </w:rPr>
              <w:t>2、完成时间：2021年1</w:t>
            </w:r>
            <w:r>
              <w:rPr>
                <w:color w:val="auto"/>
                <w:highlight w:val="none"/>
              </w:rPr>
              <w:t>1</w:t>
            </w:r>
            <w:r>
              <w:rPr>
                <w:rFonts w:hint="eastAsia"/>
                <w:color w:val="auto"/>
                <w:highlight w:val="none"/>
              </w:rPr>
              <w:t>月</w:t>
            </w:r>
            <w:r>
              <w:rPr>
                <w:color w:val="auto"/>
                <w:highlight w:val="none"/>
              </w:rPr>
              <w:t>30</w:t>
            </w:r>
            <w:r>
              <w:rPr>
                <w:rFonts w:hint="eastAsia"/>
                <w:color w:val="auto"/>
                <w:highlight w:val="none"/>
              </w:rPr>
              <w:t>日前。</w:t>
            </w:r>
          </w:p>
          <w:p>
            <w:pPr>
              <w:pStyle w:val="58"/>
              <w:rPr>
                <w:color w:val="auto"/>
                <w:highlight w:val="none"/>
              </w:rPr>
            </w:pPr>
            <w:r>
              <w:rPr>
                <w:rFonts w:hint="eastAsia"/>
                <w:color w:val="auto"/>
                <w:highlight w:val="none"/>
              </w:rPr>
              <w:t>3、交货地点：采购人指定地点。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133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400" w:lineRule="exact"/>
              <w:jc w:val="left"/>
              <w:rPr>
                <w:rFonts w:ascii="宋体" w:hAnsi="宋体" w:eastAsia="宋体"/>
                <w:color w:val="auto"/>
                <w:szCs w:val="21"/>
                <w:highlight w:val="none"/>
              </w:rPr>
            </w:pPr>
            <w:r>
              <w:rPr>
                <w:rFonts w:hint="eastAsia" w:ascii="宋体" w:hAnsi="宋体" w:eastAsia="宋体" w:cs="宋体"/>
                <w:color w:val="auto"/>
                <w:szCs w:val="21"/>
                <w:highlight w:val="none"/>
              </w:rPr>
              <w:t>质量保证期</w:t>
            </w:r>
          </w:p>
        </w:tc>
        <w:tc>
          <w:tcPr>
            <w:tcW w:w="7385"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rPr>
                <w:rFonts w:ascii="宋体" w:hAnsi="宋体" w:eastAsia="宋体"/>
                <w:color w:val="auto"/>
                <w:szCs w:val="21"/>
                <w:highlight w:val="none"/>
              </w:rPr>
            </w:pPr>
            <w:r>
              <w:rPr>
                <w:rFonts w:hint="eastAsia" w:ascii="宋体" w:hAnsi="宋体" w:eastAsia="宋体" w:cs="宋体"/>
                <w:color w:val="auto"/>
                <w:szCs w:val="21"/>
                <w:highlight w:val="none"/>
              </w:rPr>
              <w:t>货物免费保修期</w:t>
            </w:r>
            <w:r>
              <w:rPr>
                <w:rFonts w:hint="eastAsia" w:ascii="宋体" w:hAnsi="宋体" w:eastAsia="宋体" w:cs="宋体"/>
                <w:color w:val="auto"/>
                <w:szCs w:val="21"/>
                <w:highlight w:val="none"/>
                <w:u w:val="single"/>
              </w:rPr>
              <w:t xml:space="preserve"> 壹 </w:t>
            </w:r>
            <w:r>
              <w:rPr>
                <w:rFonts w:hint="eastAsia" w:ascii="宋体" w:hAnsi="宋体" w:eastAsia="宋体" w:cs="宋体"/>
                <w:color w:val="auto"/>
                <w:szCs w:val="21"/>
                <w:highlight w:val="none"/>
              </w:rPr>
              <w:t>年，时间自最终验收合格并交付使用之日起计算。</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133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付款条件</w:t>
            </w:r>
          </w:p>
        </w:tc>
        <w:tc>
          <w:tcPr>
            <w:tcW w:w="7385"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1、在签订合同之日起15个日历日内甲方向乙方支付合同总金额的30%作为预付款；全部货物到甲方指定地点，安装调试图书上架完毕并经甲方最终验收合格后，甲方自收到乙方提交的最终验收报告及付款申请之日起20个工作日内向乙方支付剩余的结算款。</w:t>
            </w:r>
          </w:p>
          <w:p>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2、每次付款前，乙方需提供该支付金额的合法发票。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133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验收标准</w:t>
            </w:r>
          </w:p>
        </w:tc>
        <w:tc>
          <w:tcPr>
            <w:tcW w:w="7385"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（1）每批到书的各包一律标注“2021-批号-包号”。</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（2）每包中有一份图书清单，每批一份总清单。总清单一式三份</w:t>
            </w:r>
            <w:r>
              <w:rPr>
                <w:rFonts w:hint="eastAsia" w:ascii="宋体" w:hAnsi="宋体" w:cstheme="minorBidi"/>
                <w:b w:val="0"/>
                <w:color w:val="auto"/>
                <w:kern w:val="2"/>
                <w:sz w:val="21"/>
                <w:szCs w:val="21"/>
                <w:highlight w:val="none"/>
                <w:lang w:eastAsia="zh-CN"/>
              </w:rPr>
              <w:t>（加盖公章）</w:t>
            </w:r>
            <w:r>
              <w:rPr>
                <w:rFonts w:hint="eastAsia" w:ascii="宋体" w:hAnsi="宋体" w:cstheme="minorBidi"/>
                <w:b w:val="0"/>
                <w:color w:val="auto"/>
                <w:kern w:val="2"/>
                <w:sz w:val="21"/>
                <w:szCs w:val="21"/>
                <w:highlight w:val="none"/>
              </w:rPr>
              <w:t>。</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（3）总清单应有下列数据项：ISBN、书名（多卷集有分卷书名的须标明）、册数、单价、总价和条码。</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（4）总清单开始应注明“2021-批号”，末尾应统计出总种数、总册数、总金额。</w:t>
            </w:r>
          </w:p>
          <w:p>
            <w:pPr>
              <w:pStyle w:val="4"/>
              <w:spacing w:line="400" w:lineRule="exact"/>
              <w:rPr>
                <w:rFonts w:ascii="宋体" w:hAnsi="宋体" w:cstheme="minorBidi"/>
                <w:b w:val="0"/>
                <w:color w:val="auto"/>
                <w:kern w:val="2"/>
                <w:sz w:val="21"/>
                <w:szCs w:val="21"/>
                <w:highlight w:val="none"/>
              </w:rPr>
            </w:pPr>
            <w:r>
              <w:rPr>
                <w:rFonts w:hint="eastAsia" w:ascii="宋体" w:hAnsi="宋体" w:cstheme="minorBidi"/>
                <w:b w:val="0"/>
                <w:color w:val="auto"/>
                <w:kern w:val="2"/>
                <w:sz w:val="21"/>
                <w:szCs w:val="21"/>
                <w:highlight w:val="none"/>
              </w:rPr>
              <w:t>（5）每批到书应配齐MARC数据，图书和数据不齐全或不符合要求的，一律不予验收。</w:t>
            </w:r>
          </w:p>
          <w:p>
            <w:pPr>
              <w:pStyle w:val="4"/>
              <w:spacing w:line="400" w:lineRule="exact"/>
              <w:rPr>
                <w:rFonts w:ascii="宋体" w:hAnsi="宋体" w:eastAsia="宋体" w:cs="宋体"/>
                <w:color w:val="auto"/>
                <w:szCs w:val="21"/>
                <w:highlight w:val="none"/>
              </w:rPr>
            </w:pPr>
            <w:r>
              <w:rPr>
                <w:rFonts w:hint="eastAsia" w:ascii="宋体" w:hAnsi="宋体" w:cstheme="minorBidi"/>
                <w:b w:val="0"/>
                <w:color w:val="auto"/>
                <w:kern w:val="2"/>
                <w:sz w:val="21"/>
                <w:szCs w:val="21"/>
                <w:highlight w:val="none"/>
              </w:rPr>
              <w:t>（6）MARC数据必须采用能被“金盘图书馆NET集成管理系统”接受的编目格式。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133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报价要求</w:t>
            </w:r>
          </w:p>
        </w:tc>
        <w:tc>
          <w:tcPr>
            <w:tcW w:w="7385"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60" w:lineRule="auto"/>
              <w:rPr>
                <w:color w:val="auto"/>
                <w:highlight w:val="none"/>
              </w:rPr>
            </w:pPr>
            <w:r>
              <w:rPr>
                <w:rFonts w:hint="eastAsia"/>
                <w:color w:val="auto"/>
                <w:highlight w:val="none"/>
              </w:rPr>
              <w:t>按折扣率%报价：</w:t>
            </w:r>
            <w:r>
              <w:rPr>
                <w:rFonts w:hint="eastAsia" w:ascii="宋体" w:hAnsi="宋体"/>
                <w:color w:val="auto"/>
                <w:highlight w:val="none"/>
              </w:rPr>
              <w:t>图书均为正规出版社出版的图书。供应商根据自身竞标总成本（指图书成本、运抵指定交货地点的各种费用，包括但不限于图书费、加工费、上架费、现采费、售后服务、税金、运输费及其他所有成本等费用的总和）的情况，报出本项目图书的最后折扣率，合同期内所有图书采购均按实洋价付款结算，图书出版的标价为码洋价，实洋价合计值＝码洋价合计值×最后折扣率。折扣率</w:t>
            </w:r>
            <w:r>
              <w:rPr>
                <w:rFonts w:ascii="Arial" w:hAnsi="Arial" w:cs="Arial"/>
                <w:color w:val="auto"/>
                <w:highlight w:val="none"/>
              </w:rPr>
              <w:t>≤</w:t>
            </w:r>
            <w:r>
              <w:rPr>
                <w:rFonts w:hint="eastAsia" w:ascii="宋体" w:hAnsi="宋体"/>
                <w:color w:val="auto"/>
                <w:highlight w:val="none"/>
              </w:rPr>
              <w:t>60%，否则竞标无效。</w:t>
            </w:r>
          </w:p>
          <w:p>
            <w:pPr>
              <w:pStyle w:val="13"/>
              <w:ind w:left="0" w:firstLine="0"/>
              <w:rPr>
                <w:color w:val="auto"/>
                <w:sz w:val="21"/>
                <w:szCs w:val="21"/>
                <w:highlight w:val="none"/>
              </w:rPr>
            </w:pPr>
            <w:r>
              <w:rPr>
                <w:rFonts w:hint="eastAsia"/>
                <w:color w:val="auto"/>
                <w:sz w:val="21"/>
                <w:szCs w:val="21"/>
                <w:highlight w:val="none"/>
              </w:rPr>
              <w:t>竞标报价包括：</w:t>
            </w:r>
          </w:p>
          <w:p>
            <w:pPr>
              <w:pStyle w:val="13"/>
              <w:ind w:left="0" w:firstLine="0"/>
              <w:rPr>
                <w:color w:val="auto"/>
                <w:sz w:val="21"/>
                <w:szCs w:val="21"/>
                <w:highlight w:val="none"/>
              </w:rPr>
            </w:pPr>
            <w:r>
              <w:rPr>
                <w:rFonts w:hint="eastAsia"/>
                <w:color w:val="auto"/>
                <w:sz w:val="21"/>
                <w:szCs w:val="21"/>
                <w:highlight w:val="none"/>
              </w:rPr>
              <w:t>（1）货物的价格；</w:t>
            </w:r>
          </w:p>
          <w:p>
            <w:pPr>
              <w:pStyle w:val="13"/>
              <w:ind w:left="0" w:firstLine="0"/>
              <w:rPr>
                <w:color w:val="auto"/>
                <w:sz w:val="21"/>
                <w:szCs w:val="21"/>
                <w:highlight w:val="none"/>
              </w:rPr>
            </w:pPr>
            <w:r>
              <w:rPr>
                <w:rFonts w:hint="eastAsia"/>
                <w:color w:val="auto"/>
                <w:sz w:val="21"/>
                <w:szCs w:val="21"/>
                <w:highlight w:val="none"/>
              </w:rPr>
              <w:t>（2）货物的标准附件、备品备件、专用工具的价格；</w:t>
            </w:r>
          </w:p>
          <w:p>
            <w:pPr>
              <w:pStyle w:val="13"/>
              <w:ind w:left="0" w:firstLine="0"/>
              <w:rPr>
                <w:color w:val="auto"/>
                <w:sz w:val="21"/>
                <w:szCs w:val="21"/>
                <w:highlight w:val="none"/>
              </w:rPr>
            </w:pPr>
            <w:r>
              <w:rPr>
                <w:rFonts w:hint="eastAsia"/>
                <w:color w:val="auto"/>
                <w:sz w:val="21"/>
                <w:szCs w:val="21"/>
                <w:highlight w:val="none"/>
              </w:rPr>
              <w:t>（3）运输、装卸、调试、培训、技术支持、售后服务等费用；</w:t>
            </w:r>
          </w:p>
          <w:p>
            <w:pPr>
              <w:pStyle w:val="13"/>
              <w:ind w:left="0" w:firstLine="0"/>
              <w:rPr>
                <w:color w:val="auto"/>
                <w:sz w:val="21"/>
                <w:szCs w:val="21"/>
                <w:highlight w:val="none"/>
              </w:rPr>
            </w:pPr>
            <w:r>
              <w:rPr>
                <w:rFonts w:hint="eastAsia"/>
                <w:color w:val="auto"/>
                <w:sz w:val="21"/>
                <w:szCs w:val="21"/>
                <w:highlight w:val="none"/>
              </w:rPr>
              <w:t>（4）必要的保险费用和各项税费；</w:t>
            </w:r>
          </w:p>
          <w:p>
            <w:pPr>
              <w:pStyle w:val="13"/>
              <w:ind w:left="0" w:firstLine="0"/>
              <w:rPr>
                <w:rFonts w:ascii="宋体" w:hAnsi="宋体" w:cs="宋体"/>
                <w:color w:val="auto"/>
                <w:szCs w:val="21"/>
                <w:highlight w:val="none"/>
              </w:rPr>
            </w:pPr>
            <w:r>
              <w:rPr>
                <w:rFonts w:hint="eastAsia"/>
                <w:color w:val="auto"/>
                <w:sz w:val="21"/>
                <w:szCs w:val="21"/>
                <w:highlight w:val="none"/>
              </w:rPr>
              <w:t>（5）现场安装调试至验收合格产生的一切费用。</w:t>
            </w:r>
          </w:p>
        </w:tc>
      </w:tr>
    </w:tbl>
    <w:p>
      <w:pPr>
        <w:widowControl/>
        <w:jc w:val="left"/>
        <w:rPr>
          <w:rFonts w:ascii="宋体" w:hAnsi="宋体" w:eastAsia="宋体" w:cs="Times New Roman"/>
          <w:b/>
          <w:color w:val="auto"/>
          <w:kern w:val="0"/>
          <w:szCs w:val="21"/>
          <w:highlight w:val="none"/>
        </w:rPr>
      </w:pPr>
    </w:p>
    <w:p>
      <w:pPr>
        <w:widowControl/>
        <w:jc w:val="left"/>
        <w:rPr>
          <w:rFonts w:ascii="宋体" w:hAnsi="宋体" w:eastAsia="宋体" w:cs="Courier New"/>
          <w:b/>
          <w:color w:val="auto"/>
          <w:kern w:val="0"/>
          <w:sz w:val="32"/>
          <w:szCs w:val="32"/>
          <w:highlight w:val="none"/>
        </w:rPr>
      </w:pPr>
      <w:bookmarkStart w:id="5" w:name="_Toc47261581"/>
      <w:bookmarkStart w:id="6" w:name="_Toc47260073"/>
      <w:r>
        <w:rPr>
          <w:rFonts w:ascii="宋体" w:hAnsi="宋体" w:eastAsia="宋体" w:cs="Courier New"/>
          <w:b/>
          <w:color w:val="auto"/>
          <w:kern w:val="0"/>
          <w:sz w:val="32"/>
          <w:szCs w:val="32"/>
          <w:highlight w:val="none"/>
        </w:rPr>
        <w:br w:type="page"/>
      </w:r>
    </w:p>
    <w:bookmarkEnd w:id="5"/>
    <w:bookmarkEnd w:id="6"/>
    <w:p>
      <w:pPr>
        <w:snapToGrid w:val="0"/>
        <w:spacing w:before="120" w:after="120"/>
        <w:jc w:val="center"/>
        <w:outlineLvl w:val="0"/>
        <w:rPr>
          <w:rFonts w:ascii="宋体" w:hAnsi="宋体" w:eastAsia="宋体" w:cs="Courier New"/>
          <w:b/>
          <w:color w:val="auto"/>
          <w:sz w:val="32"/>
          <w:szCs w:val="32"/>
          <w:highlight w:val="none"/>
        </w:rPr>
      </w:pPr>
      <w:bookmarkStart w:id="7" w:name="_Toc77516454"/>
      <w:bookmarkStart w:id="8" w:name="_Toc57991374"/>
      <w:r>
        <w:rPr>
          <w:rFonts w:hint="eastAsia" w:ascii="宋体" w:hAnsi="宋体" w:eastAsia="宋体" w:cs="Courier New"/>
          <w:b/>
          <w:color w:val="auto"/>
          <w:sz w:val="32"/>
          <w:szCs w:val="32"/>
          <w:highlight w:val="none"/>
        </w:rPr>
        <w:t>第四章  响应文件格式</w:t>
      </w:r>
      <w:bookmarkEnd w:id="7"/>
      <w:bookmarkEnd w:id="8"/>
    </w:p>
    <w:p>
      <w:pPr>
        <w:tabs>
          <w:tab w:val="left" w:pos="180"/>
          <w:tab w:val="left" w:pos="1620"/>
        </w:tabs>
        <w:rPr>
          <w:rFonts w:ascii="宋体" w:hAnsi="Times New Roman" w:eastAsia="宋体" w:cs="Times New Roman"/>
          <w:color w:val="auto"/>
          <w:sz w:val="24"/>
          <w:szCs w:val="24"/>
          <w:highlight w:val="none"/>
        </w:rPr>
      </w:pPr>
    </w:p>
    <w:p>
      <w:pPr>
        <w:jc w:val="center"/>
        <w:rPr>
          <w:rFonts w:ascii="宋体" w:hAnsi="Times New Roman" w:eastAsia="宋体" w:cs="Times New Roman"/>
          <w:color w:val="auto"/>
          <w:sz w:val="24"/>
          <w:szCs w:val="24"/>
          <w:highlight w:val="none"/>
        </w:rPr>
      </w:pPr>
    </w:p>
    <w:p>
      <w:pPr>
        <w:jc w:val="center"/>
        <w:rPr>
          <w:rFonts w:ascii="宋体" w:hAnsi="Times New Roman" w:eastAsia="宋体" w:cs="Times New Roman"/>
          <w:color w:val="auto"/>
          <w:sz w:val="24"/>
          <w:szCs w:val="24"/>
          <w:highlight w:val="none"/>
        </w:rPr>
      </w:pPr>
    </w:p>
    <w:p>
      <w:pPr>
        <w:jc w:val="center"/>
        <w:rPr>
          <w:rFonts w:ascii="宋体" w:hAnsi="Times New Roman" w:eastAsia="宋体" w:cs="Times New Roman"/>
          <w:color w:val="auto"/>
          <w:sz w:val="44"/>
          <w:szCs w:val="44"/>
          <w:highlight w:val="none"/>
        </w:rPr>
      </w:pPr>
      <w:r>
        <w:rPr>
          <w:rFonts w:hint="eastAsia" w:ascii="宋体" w:hAnsi="宋体" w:eastAsia="宋体" w:cs="Times New Roman"/>
          <w:b/>
          <w:color w:val="auto"/>
          <w:sz w:val="44"/>
          <w:szCs w:val="44"/>
          <w:highlight w:val="none"/>
        </w:rPr>
        <w:t>竞争性谈判响应文件（封面）</w:t>
      </w:r>
    </w:p>
    <w:p>
      <w:pPr>
        <w:jc w:val="center"/>
        <w:rPr>
          <w:rFonts w:ascii="宋体" w:hAnsi="Times New Roman" w:eastAsia="宋体" w:cs="Times New Roman"/>
          <w:color w:val="auto"/>
          <w:sz w:val="24"/>
          <w:szCs w:val="24"/>
          <w:highlight w:val="none"/>
        </w:rPr>
      </w:pPr>
    </w:p>
    <w:p>
      <w:pPr>
        <w:jc w:val="center"/>
        <w:rPr>
          <w:rFonts w:ascii="宋体" w:hAnsi="Times New Roman" w:eastAsia="宋体" w:cs="Times New Roman"/>
          <w:color w:val="auto"/>
          <w:sz w:val="24"/>
          <w:szCs w:val="24"/>
          <w:highlight w:val="none"/>
        </w:rPr>
      </w:pPr>
    </w:p>
    <w:p>
      <w:pPr>
        <w:spacing w:line="360" w:lineRule="auto"/>
        <w:jc w:val="center"/>
        <w:rPr>
          <w:rFonts w:ascii="宋体" w:hAnsi="Times New Roman" w:eastAsia="宋体" w:cs="Times New Roman"/>
          <w:color w:val="auto"/>
          <w:sz w:val="32"/>
          <w:szCs w:val="32"/>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tabs>
          <w:tab w:val="left" w:pos="3240"/>
        </w:tabs>
        <w:spacing w:line="480" w:lineRule="auto"/>
        <w:ind w:left="840" w:leftChars="400" w:firstLine="600" w:firstLineChars="2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r>
        <w:rPr>
          <w:rFonts w:hint="eastAsia" w:ascii="宋体" w:hAnsi="宋体" w:eastAsia="宋体" w:cs="Times New Roman"/>
          <w:color w:val="auto"/>
          <w:sz w:val="24"/>
          <w:szCs w:val="24"/>
          <w:highlight w:val="none"/>
          <w:u w:val="single"/>
        </w:rPr>
        <w:t xml:space="preserve">                               </w:t>
      </w:r>
    </w:p>
    <w:p>
      <w:pPr>
        <w:spacing w:line="480" w:lineRule="auto"/>
        <w:ind w:left="840" w:leftChars="400" w:firstLine="600" w:firstLineChars="250"/>
        <w:rPr>
          <w:rFonts w:ascii="宋体" w:hAnsi="Times New Roman" w:eastAsia="宋体" w:cs="Times New Roman"/>
          <w:color w:val="auto"/>
          <w:sz w:val="24"/>
          <w:szCs w:val="24"/>
          <w:highlight w:val="none"/>
          <w:u w:val="single"/>
        </w:rPr>
      </w:pPr>
      <w:r>
        <w:rPr>
          <w:rFonts w:hint="eastAsia" w:ascii="宋体" w:hAnsi="宋体" w:eastAsia="宋体" w:cs="Times New Roman"/>
          <w:color w:val="auto"/>
          <w:sz w:val="24"/>
          <w:szCs w:val="24"/>
          <w:highlight w:val="none"/>
        </w:rPr>
        <w:t>项目编号：</w:t>
      </w:r>
      <w:r>
        <w:rPr>
          <w:rFonts w:hint="eastAsia" w:ascii="宋体" w:hAnsi="宋体" w:eastAsia="宋体" w:cs="Times New Roman"/>
          <w:color w:val="auto"/>
          <w:sz w:val="24"/>
          <w:szCs w:val="24"/>
          <w:highlight w:val="none"/>
          <w:u w:val="single"/>
        </w:rPr>
        <w:t xml:space="preserve">                               </w:t>
      </w:r>
    </w:p>
    <w:p>
      <w:pPr>
        <w:spacing w:line="480" w:lineRule="auto"/>
        <w:ind w:left="840" w:leftChars="400" w:firstLine="600" w:firstLineChars="250"/>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分    标：</w:t>
      </w:r>
      <w:r>
        <w:rPr>
          <w:rFonts w:hint="eastAsia" w:ascii="宋体" w:hAnsi="宋体" w:eastAsia="宋体" w:cs="Times New Roman"/>
          <w:color w:val="auto"/>
          <w:sz w:val="24"/>
          <w:szCs w:val="24"/>
          <w:highlight w:val="none"/>
          <w:u w:val="single"/>
        </w:rPr>
        <w:t xml:space="preserve">   （如有）                    </w:t>
      </w:r>
    </w:p>
    <w:p>
      <w:pPr>
        <w:tabs>
          <w:tab w:val="left" w:pos="3240"/>
        </w:tabs>
        <w:spacing w:line="480" w:lineRule="auto"/>
        <w:ind w:left="840" w:leftChars="400" w:firstLine="600" w:firstLineChars="250"/>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竞标单位名称（盖章）：</w:t>
      </w:r>
      <w:r>
        <w:rPr>
          <w:rFonts w:hint="eastAsia" w:ascii="宋体" w:hAnsi="宋体" w:eastAsia="宋体" w:cs="Times New Roman"/>
          <w:color w:val="auto"/>
          <w:sz w:val="24"/>
          <w:szCs w:val="24"/>
          <w:highlight w:val="none"/>
          <w:u w:val="single"/>
        </w:rPr>
        <w:t xml:space="preserve">                   </w:t>
      </w:r>
    </w:p>
    <w:p>
      <w:pPr>
        <w:tabs>
          <w:tab w:val="left" w:pos="3240"/>
        </w:tabs>
        <w:spacing w:line="480" w:lineRule="auto"/>
        <w:ind w:left="840" w:leftChars="400" w:firstLine="600" w:firstLineChars="2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w:t>
      </w:r>
      <w:r>
        <w:rPr>
          <w:rFonts w:hint="eastAsia" w:ascii="宋体" w:hAnsi="宋体" w:eastAsia="宋体" w:cs="Times New Roman"/>
          <w:color w:val="auto"/>
          <w:sz w:val="24"/>
          <w:szCs w:val="24"/>
          <w:highlight w:val="none"/>
          <w:u w:val="single"/>
        </w:rPr>
        <w:t xml:space="preserve">                </w:t>
      </w:r>
    </w:p>
    <w:p>
      <w:pPr>
        <w:tabs>
          <w:tab w:val="left" w:pos="3240"/>
        </w:tabs>
        <w:spacing w:line="480" w:lineRule="auto"/>
        <w:ind w:left="840" w:leftChars="400" w:firstLine="600" w:firstLineChars="25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竞标单位地址：</w:t>
      </w:r>
      <w:r>
        <w:rPr>
          <w:rFonts w:hint="eastAsia" w:ascii="宋体" w:hAnsi="宋体" w:eastAsia="宋体" w:cs="Times New Roman"/>
          <w:color w:val="auto"/>
          <w:sz w:val="24"/>
          <w:szCs w:val="24"/>
          <w:highlight w:val="none"/>
          <w:u w:val="single"/>
        </w:rPr>
        <w:t xml:space="preserve">                           </w:t>
      </w:r>
    </w:p>
    <w:p>
      <w:pPr>
        <w:tabs>
          <w:tab w:val="left" w:pos="3240"/>
        </w:tabs>
        <w:spacing w:line="480" w:lineRule="auto"/>
        <w:ind w:left="840" w:leftChars="400" w:firstLine="600" w:firstLineChars="25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联系电话：</w:t>
      </w:r>
      <w:r>
        <w:rPr>
          <w:rFonts w:hint="eastAsia" w:ascii="宋体" w:hAnsi="宋体" w:eastAsia="宋体" w:cs="Times New Roman"/>
          <w:color w:val="auto"/>
          <w:sz w:val="24"/>
          <w:szCs w:val="24"/>
          <w:highlight w:val="none"/>
          <w:u w:val="single"/>
        </w:rPr>
        <w:t xml:space="preserve">                               </w:t>
      </w:r>
    </w:p>
    <w:p>
      <w:pPr>
        <w:tabs>
          <w:tab w:val="left" w:pos="3240"/>
        </w:tabs>
        <w:spacing w:line="480" w:lineRule="auto"/>
        <w:ind w:left="840" w:leftChars="400" w:firstLine="600" w:firstLineChars="250"/>
        <w:rPr>
          <w:rFonts w:ascii="宋体" w:hAnsi="宋体" w:eastAsia="宋体" w:cs="Times New Roman"/>
          <w:color w:val="auto"/>
          <w:sz w:val="24"/>
          <w:szCs w:val="24"/>
          <w:highlight w:val="none"/>
        </w:rPr>
      </w:pPr>
    </w:p>
    <w:p>
      <w:pPr>
        <w:tabs>
          <w:tab w:val="left" w:pos="2625"/>
        </w:tabs>
        <w:spacing w:line="360" w:lineRule="auto"/>
        <w:jc w:val="center"/>
        <w:rPr>
          <w:rFonts w:ascii="宋体" w:hAnsi="Times New Roman" w:eastAsia="宋体" w:cs="Times New Roman"/>
          <w:color w:val="auto"/>
          <w:sz w:val="24"/>
          <w:szCs w:val="24"/>
          <w:highlight w:val="none"/>
        </w:rPr>
      </w:pPr>
    </w:p>
    <w:p>
      <w:pPr>
        <w:tabs>
          <w:tab w:val="left" w:pos="2625"/>
        </w:tabs>
        <w:spacing w:line="360" w:lineRule="auto"/>
        <w:jc w:val="center"/>
        <w:rPr>
          <w:rFonts w:ascii="宋体" w:hAnsi="Times New Roman" w:eastAsia="宋体" w:cs="Times New Roman"/>
          <w:color w:val="auto"/>
          <w:sz w:val="24"/>
          <w:szCs w:val="24"/>
          <w:highlight w:val="none"/>
        </w:rPr>
      </w:pPr>
    </w:p>
    <w:p>
      <w:pPr>
        <w:jc w:val="center"/>
        <w:rPr>
          <w:rFonts w:ascii="宋体" w:hAnsi="Times New Roman" w:eastAsia="宋体" w:cs="Times New Roman"/>
          <w:color w:val="auto"/>
          <w:sz w:val="24"/>
          <w:szCs w:val="24"/>
          <w:highlight w:val="none"/>
        </w:rPr>
      </w:pPr>
    </w:p>
    <w:p>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日期：</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w:t>
      </w:r>
    </w:p>
    <w:p>
      <w:pPr>
        <w:jc w:val="center"/>
        <w:rPr>
          <w:rFonts w:ascii="Times New Roman" w:hAnsi="Times New Roman" w:eastAsia="宋体" w:cs="Times New Roman"/>
          <w:color w:val="auto"/>
          <w:highlight w:val="none"/>
        </w:rPr>
      </w:pPr>
    </w:p>
    <w:p>
      <w:pPr>
        <w:snapToGrid w:val="0"/>
        <w:spacing w:before="50" w:after="50" w:line="360" w:lineRule="auto"/>
        <w:rPr>
          <w:rFonts w:ascii="Times New Roman" w:hAnsi="宋体" w:eastAsia="宋体" w:cs="Times New Roman"/>
          <w:b/>
          <w:bCs/>
          <w:color w:val="auto"/>
          <w:sz w:val="24"/>
          <w:szCs w:val="24"/>
          <w:highlight w:val="none"/>
        </w:rPr>
      </w:pPr>
      <w:r>
        <w:rPr>
          <w:rFonts w:ascii="宋体" w:hAnsi="Times New Roman" w:eastAsia="宋体" w:cs="Times New Roman"/>
          <w:color w:val="auto"/>
          <w:sz w:val="24"/>
          <w:szCs w:val="24"/>
          <w:highlight w:val="none"/>
        </w:rPr>
        <w:br w:type="page"/>
      </w:r>
      <w:r>
        <w:rPr>
          <w:rFonts w:hint="eastAsia" w:ascii="Times New Roman" w:hAnsi="宋体" w:eastAsia="宋体" w:cs="Times New Roman"/>
          <w:b/>
          <w:bCs/>
          <w:color w:val="auto"/>
          <w:sz w:val="24"/>
          <w:szCs w:val="24"/>
          <w:highlight w:val="none"/>
        </w:rPr>
        <w:t>响应文件目录：</w:t>
      </w:r>
    </w:p>
    <w:p>
      <w:pPr>
        <w:snapToGrid w:val="0"/>
        <w:spacing w:before="50" w:after="50"/>
        <w:ind w:right="-178" w:rightChars="-85"/>
        <w:rPr>
          <w:rFonts w:ascii="Times New Roman" w:hAnsi="宋体" w:eastAsia="宋体" w:cs="Times New Roman"/>
          <w:color w:val="auto"/>
          <w:sz w:val="44"/>
          <w:szCs w:val="44"/>
          <w:highlight w:val="none"/>
        </w:rPr>
      </w:pPr>
    </w:p>
    <w:p>
      <w:pPr>
        <w:tabs>
          <w:tab w:val="left" w:pos="3870"/>
          <w:tab w:val="left" w:pos="4085"/>
        </w:tabs>
        <w:snapToGrid w:val="0"/>
        <w:spacing w:line="500" w:lineRule="exact"/>
        <w:ind w:right="-178" w:rightChars="-85"/>
        <w:jc w:val="center"/>
        <w:rPr>
          <w:rFonts w:ascii="Times New Roman" w:hAnsi="宋体" w:eastAsia="宋体" w:cs="Times New Roman"/>
          <w:b/>
          <w:color w:val="auto"/>
          <w:sz w:val="36"/>
          <w:szCs w:val="36"/>
          <w:highlight w:val="none"/>
        </w:rPr>
      </w:pPr>
      <w:r>
        <w:rPr>
          <w:rFonts w:hint="eastAsia" w:ascii="Times New Roman" w:hAnsi="宋体" w:eastAsia="宋体" w:cs="Times New Roman"/>
          <w:b/>
          <w:color w:val="auto"/>
          <w:sz w:val="36"/>
          <w:szCs w:val="36"/>
          <w:highlight w:val="none"/>
        </w:rPr>
        <w:t>目录</w:t>
      </w:r>
    </w:p>
    <w:p>
      <w:pPr>
        <w:tabs>
          <w:tab w:val="left" w:pos="3870"/>
          <w:tab w:val="left" w:pos="4085"/>
        </w:tabs>
        <w:snapToGrid w:val="0"/>
        <w:spacing w:line="500" w:lineRule="exact"/>
        <w:ind w:right="-178" w:rightChars="-85"/>
        <w:jc w:val="center"/>
        <w:rPr>
          <w:rFonts w:ascii="Times New Roman" w:hAnsi="宋体" w:eastAsia="宋体" w:cs="Times New Roman"/>
          <w:color w:val="auto"/>
          <w:sz w:val="44"/>
          <w:szCs w:val="44"/>
          <w:highlight w:val="none"/>
        </w:rPr>
      </w:pPr>
    </w:p>
    <w:p>
      <w:pPr>
        <w:spacing w:line="360" w:lineRule="auto"/>
        <w:jc w:val="center"/>
        <w:rPr>
          <w:rFonts w:ascii="宋体" w:hAnsi="宋体" w:eastAsia="宋体" w:cs="Times New Roman"/>
          <w:b/>
          <w:color w:val="auto"/>
          <w:sz w:val="24"/>
          <w:szCs w:val="24"/>
          <w:highlight w:val="none"/>
        </w:rPr>
      </w:pPr>
      <w:r>
        <w:rPr>
          <w:rFonts w:hint="eastAsia" w:ascii="Times New Roman" w:hAnsi="宋体" w:eastAsia="宋体" w:cs="Times New Roman"/>
          <w:b/>
          <w:color w:val="auto"/>
          <w:sz w:val="24"/>
          <w:szCs w:val="24"/>
          <w:highlight w:val="none"/>
        </w:rPr>
        <w:t>（按竞标须知</w:t>
      </w:r>
      <w:r>
        <w:rPr>
          <w:rFonts w:hint="eastAsia" w:ascii="宋体" w:hAnsi="宋体" w:eastAsia="宋体" w:cs="Times New Roman"/>
          <w:b/>
          <w:color w:val="auto"/>
          <w:sz w:val="24"/>
          <w:szCs w:val="24"/>
          <w:highlight w:val="none"/>
        </w:rPr>
        <w:t>7</w:t>
      </w:r>
      <w:r>
        <w:rPr>
          <w:rFonts w:ascii="宋体" w:hAnsi="宋体" w:eastAsia="宋体" w:cs="Times New Roman"/>
          <w:b/>
          <w:color w:val="auto"/>
          <w:sz w:val="24"/>
          <w:szCs w:val="24"/>
          <w:highlight w:val="none"/>
        </w:rPr>
        <w:t>.6</w:t>
      </w:r>
      <w:r>
        <w:rPr>
          <w:rFonts w:hint="eastAsia" w:ascii="宋体" w:hAnsi="宋体" w:eastAsia="宋体" w:cs="Times New Roman"/>
          <w:b/>
          <w:color w:val="auto"/>
          <w:sz w:val="24"/>
          <w:szCs w:val="24"/>
          <w:highlight w:val="none"/>
        </w:rPr>
        <w:t>“竞争性谈判响应文件的组成”顺序，目录自拟或参考以下目录编写）</w:t>
      </w:r>
    </w:p>
    <w:p>
      <w:pPr>
        <w:spacing w:line="360" w:lineRule="auto"/>
        <w:jc w:val="left"/>
        <w:rPr>
          <w:rFonts w:ascii="宋体" w:hAnsi="Times New Roman" w:eastAsia="宋体" w:cs="Times New Roman"/>
          <w:color w:val="auto"/>
          <w:szCs w:val="21"/>
          <w:highlight w:val="none"/>
        </w:rPr>
      </w:pPr>
    </w:p>
    <w:p>
      <w:pPr>
        <w:spacing w:line="360" w:lineRule="auto"/>
        <w:jc w:val="left"/>
        <w:rPr>
          <w:rFonts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rPr>
        <w:t>一、价格部分</w:t>
      </w:r>
    </w:p>
    <w:p>
      <w:pPr>
        <w:spacing w:line="360" w:lineRule="auto"/>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1、竞标报价明细表…………………………………………………………………………………（页码）</w:t>
      </w:r>
    </w:p>
    <w:p>
      <w:pPr>
        <w:spacing w:line="360" w:lineRule="auto"/>
        <w:jc w:val="left"/>
        <w:rPr>
          <w:rFonts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rPr>
        <w:t>二、资信及商务部分</w:t>
      </w:r>
    </w:p>
    <w:p>
      <w:pPr>
        <w:spacing w:line="360" w:lineRule="auto"/>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1、谈判书……………………………………………………………………………………………（页码）</w:t>
      </w:r>
    </w:p>
    <w:p>
      <w:pPr>
        <w:spacing w:line="360" w:lineRule="auto"/>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w:t>
      </w:r>
      <w:r>
        <w:rPr>
          <w:rFonts w:hint="eastAsia" w:ascii="宋体" w:hAnsi="宋体" w:eastAsia="宋体" w:cs="Times New Roman"/>
          <w:color w:val="auto"/>
          <w:szCs w:val="21"/>
          <w:highlight w:val="none"/>
        </w:rPr>
        <w:t>有效的营业执照等证明文件复印件</w:t>
      </w:r>
      <w:r>
        <w:rPr>
          <w:rFonts w:hint="eastAsia" w:ascii="宋体" w:hAnsi="Times New Roman" w:eastAsia="宋体" w:cs="Times New Roman"/>
          <w:color w:val="auto"/>
          <w:szCs w:val="21"/>
          <w:highlight w:val="none"/>
        </w:rPr>
        <w:t>……………………………………………………………（页码）</w:t>
      </w:r>
    </w:p>
    <w:p>
      <w:pPr>
        <w:spacing w:line="360" w:lineRule="auto"/>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3、竞标声明书………………………………………………………………………………………（页码）</w:t>
      </w:r>
    </w:p>
    <w:p>
      <w:pPr>
        <w:spacing w:line="360" w:lineRule="auto"/>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4、法定代表人身份证正反两面复印………………………………………………………………（页码）</w:t>
      </w:r>
    </w:p>
    <w:p>
      <w:pPr>
        <w:spacing w:line="360" w:lineRule="auto"/>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5、法定代表人授权书原件及委托代理人身份证正反两面复印件………………………………（页码）</w:t>
      </w:r>
    </w:p>
    <w:p>
      <w:pPr>
        <w:spacing w:line="360" w:lineRule="auto"/>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6、竞标人依法缴纳税费的证明……………………………………………………………………（页码）</w:t>
      </w:r>
    </w:p>
    <w:p>
      <w:pPr>
        <w:spacing w:line="360" w:lineRule="auto"/>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7、竞标人依法缴纳社保费的缴费证明……………………………………………………………（页码）</w:t>
      </w:r>
    </w:p>
    <w:p>
      <w:pPr>
        <w:spacing w:line="360" w:lineRule="auto"/>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8、竞标人年度财务报表复印件或银行出具的资信证明复印件…………………………………（页码）</w:t>
      </w:r>
    </w:p>
    <w:p>
      <w:pPr>
        <w:spacing w:line="360" w:lineRule="auto"/>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9、竞标保证金缴纳凭证复印件……………………………………………………………………（页码）</w:t>
      </w:r>
    </w:p>
    <w:p>
      <w:pPr>
        <w:spacing w:line="360" w:lineRule="auto"/>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10、商务偏离表………………………………………………………………………………………（页码）</w:t>
      </w:r>
    </w:p>
    <w:p>
      <w:pPr>
        <w:spacing w:line="360" w:lineRule="auto"/>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11、售后服务承诺书…………………………………………………………………………………（页码）</w:t>
      </w:r>
    </w:p>
    <w:p>
      <w:pPr>
        <w:spacing w:line="360" w:lineRule="auto"/>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12、</w:t>
      </w:r>
      <w:r>
        <w:rPr>
          <w:rFonts w:hint="eastAsia" w:ascii="宋体" w:hAnsi="宋体" w:eastAsia="宋体" w:cs="Times New Roman"/>
          <w:color w:val="auto"/>
          <w:szCs w:val="21"/>
          <w:highlight w:val="none"/>
        </w:rPr>
        <w:t>供应商参加政府采购活动近三年内，在经营活动中没有重大事故、违法记录的声明</w:t>
      </w:r>
      <w:r>
        <w:rPr>
          <w:rFonts w:hint="eastAsia" w:ascii="宋体" w:hAnsi="Times New Roman" w:eastAsia="宋体" w:cs="Times New Roman"/>
          <w:color w:val="auto"/>
          <w:szCs w:val="21"/>
          <w:highlight w:val="none"/>
        </w:rPr>
        <w:t>…（页码）</w:t>
      </w:r>
    </w:p>
    <w:p>
      <w:pPr>
        <w:spacing w:line="360" w:lineRule="auto"/>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13、其他材料………………………………………………………………………………………（页码）</w:t>
      </w:r>
    </w:p>
    <w:p>
      <w:pPr>
        <w:spacing w:line="360" w:lineRule="auto"/>
        <w:jc w:val="left"/>
        <w:rPr>
          <w:rFonts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rPr>
        <w:t>三、技术部分</w:t>
      </w:r>
    </w:p>
    <w:p>
      <w:pPr>
        <w:spacing w:line="360" w:lineRule="auto"/>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1、技术偏离表……………………………………………………………………………………（页码）</w:t>
      </w:r>
    </w:p>
    <w:p>
      <w:pPr>
        <w:spacing w:line="360" w:lineRule="auto"/>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w:t>
      </w:r>
      <w:r>
        <w:rPr>
          <w:rFonts w:hint="eastAsia" w:ascii="宋体" w:hAnsi="宋体" w:eastAsia="宋体" w:cs="Times New Roman"/>
          <w:color w:val="auto"/>
          <w:szCs w:val="21"/>
          <w:highlight w:val="none"/>
        </w:rPr>
        <w:t>能够真实反映其它竞标产品技术参数、性能指标的相关资料</w:t>
      </w:r>
      <w:r>
        <w:rPr>
          <w:rFonts w:hint="eastAsia" w:ascii="宋体" w:hAnsi="Times New Roman" w:eastAsia="宋体" w:cs="Times New Roman"/>
          <w:color w:val="auto"/>
          <w:szCs w:val="21"/>
          <w:highlight w:val="none"/>
        </w:rPr>
        <w:t>……………………………（页码）</w:t>
      </w:r>
    </w:p>
    <w:p>
      <w:pPr>
        <w:spacing w:line="360" w:lineRule="auto"/>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3、</w:t>
      </w:r>
      <w:r>
        <w:rPr>
          <w:rFonts w:hint="eastAsia" w:ascii="宋体" w:hAnsi="宋体" w:eastAsia="宋体" w:cs="Times New Roman"/>
          <w:color w:val="auto"/>
          <w:szCs w:val="21"/>
          <w:highlight w:val="none"/>
        </w:rPr>
        <w:t>采购文件要求或谈判供应商认为需要提供的有关技术资料</w:t>
      </w:r>
      <w:r>
        <w:rPr>
          <w:rFonts w:hint="eastAsia" w:ascii="宋体" w:hAnsi="Times New Roman" w:eastAsia="宋体" w:cs="Times New Roman"/>
          <w:color w:val="auto"/>
          <w:szCs w:val="21"/>
          <w:highlight w:val="none"/>
        </w:rPr>
        <w:t>………………………………（页码）</w:t>
      </w:r>
    </w:p>
    <w:p>
      <w:pPr>
        <w:rPr>
          <w:rFonts w:ascii="Times New Roman" w:hAnsi="宋体" w:eastAsia="宋体" w:cs="Times New Roman"/>
          <w:b/>
          <w:bCs/>
          <w:color w:val="auto"/>
          <w:sz w:val="24"/>
          <w:szCs w:val="24"/>
          <w:highlight w:val="none"/>
        </w:rPr>
      </w:pPr>
      <w:r>
        <w:rPr>
          <w:rFonts w:ascii="Times New Roman" w:hAnsi="宋体" w:eastAsia="宋体" w:cs="Times New Roman"/>
          <w:b/>
          <w:bCs/>
          <w:color w:val="auto"/>
          <w:sz w:val="24"/>
          <w:szCs w:val="24"/>
          <w:highlight w:val="none"/>
        </w:rPr>
        <w:br w:type="page"/>
      </w:r>
      <w:r>
        <w:rPr>
          <w:rFonts w:hint="eastAsia" w:ascii="Times New Roman" w:hAnsi="宋体" w:eastAsia="宋体" w:cs="Times New Roman"/>
          <w:b/>
          <w:bCs/>
          <w:color w:val="auto"/>
          <w:sz w:val="24"/>
          <w:szCs w:val="24"/>
          <w:highlight w:val="none"/>
        </w:rPr>
        <w:t>附件一</w:t>
      </w:r>
    </w:p>
    <w:p>
      <w:pPr>
        <w:jc w:val="center"/>
        <w:rPr>
          <w:rFonts w:ascii="宋体" w:hAnsi="Times New Roman" w:eastAsia="宋体" w:cs="Times New Roman"/>
          <w:b/>
          <w:color w:val="auto"/>
          <w:sz w:val="28"/>
          <w:szCs w:val="28"/>
          <w:highlight w:val="none"/>
        </w:rPr>
      </w:pPr>
      <w:r>
        <w:rPr>
          <w:rFonts w:hint="eastAsia" w:ascii="宋体" w:hAnsi="宋体" w:eastAsia="宋体" w:cs="Times New Roman"/>
          <w:b/>
          <w:color w:val="auto"/>
          <w:sz w:val="28"/>
          <w:szCs w:val="28"/>
          <w:highlight w:val="none"/>
        </w:rPr>
        <w:t>竞标报价明细表</w:t>
      </w:r>
    </w:p>
    <w:p>
      <w:pPr>
        <w:jc w:val="center"/>
        <w:rPr>
          <w:rFonts w:ascii="宋体" w:hAnsi="Times New Roman" w:eastAsia="宋体" w:cs="Times New Roman"/>
          <w:color w:val="auto"/>
          <w:sz w:val="28"/>
          <w:szCs w:val="28"/>
          <w:highlight w:val="none"/>
        </w:rPr>
      </w:pPr>
    </w:p>
    <w:p>
      <w:pPr>
        <w:spacing w:line="500" w:lineRule="exact"/>
        <w:rPr>
          <w:rFonts w:ascii="宋体" w:hAnsi="宋体"/>
          <w:color w:val="auto"/>
          <w:szCs w:val="21"/>
          <w:highlight w:val="none"/>
        </w:rPr>
      </w:pPr>
      <w:r>
        <w:rPr>
          <w:rFonts w:hint="eastAsia" w:ascii="宋体" w:hAnsi="宋体"/>
          <w:color w:val="auto"/>
          <w:szCs w:val="21"/>
          <w:highlight w:val="none"/>
        </w:rPr>
        <w:t>采购项目名称: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500" w:lineRule="exact"/>
        <w:rPr>
          <w:rFonts w:ascii="宋体" w:hAnsi="宋体"/>
          <w:color w:val="auto"/>
          <w:szCs w:val="21"/>
          <w:highlight w:val="none"/>
          <w:u w:val="single"/>
        </w:rPr>
      </w:pPr>
      <w:r>
        <w:rPr>
          <w:rFonts w:hint="eastAsia" w:ascii="宋体" w:hAnsi="宋体"/>
          <w:color w:val="auto"/>
          <w:szCs w:val="21"/>
          <w:highlight w:val="none"/>
        </w:rPr>
        <w:t>采购项目编号:</w:t>
      </w:r>
      <w:r>
        <w:rPr>
          <w:rFonts w:hint="eastAsia" w:ascii="宋体" w:hAnsi="宋体"/>
          <w:color w:val="auto"/>
          <w:szCs w:val="21"/>
          <w:highlight w:val="none"/>
          <w:u w:val="single"/>
        </w:rPr>
        <w:t xml:space="preserve">                 </w:t>
      </w:r>
    </w:p>
    <w:p>
      <w:pPr>
        <w:tabs>
          <w:tab w:val="left" w:pos="721"/>
        </w:tabs>
        <w:spacing w:line="460" w:lineRule="exact"/>
        <w:ind w:right="420"/>
        <w:rPr>
          <w:rFonts w:ascii="宋体" w:hAnsi="宋体"/>
          <w:color w:val="auto"/>
          <w:szCs w:val="21"/>
          <w:highlight w:val="none"/>
        </w:rPr>
      </w:pPr>
      <w:r>
        <w:rPr>
          <w:rFonts w:hint="eastAsia" w:ascii="宋体" w:hAnsi="宋体"/>
          <w:color w:val="auto"/>
          <w:szCs w:val="21"/>
          <w:highlight w:val="none"/>
        </w:rPr>
        <w:t>______分标（如有）                                                     单位：元</w:t>
      </w:r>
    </w:p>
    <w:p>
      <w:pPr>
        <w:tabs>
          <w:tab w:val="left" w:pos="721"/>
        </w:tabs>
        <w:spacing w:line="460" w:lineRule="exact"/>
        <w:ind w:right="420"/>
        <w:rPr>
          <w:rFonts w:ascii="宋体" w:hAnsi="宋体"/>
          <w:color w:val="auto"/>
          <w:szCs w:val="21"/>
          <w:highlight w:val="none"/>
        </w:rPr>
      </w:pPr>
    </w:p>
    <w:tbl>
      <w:tblPr>
        <w:tblStyle w:val="45"/>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608"/>
        <w:gridCol w:w="885"/>
        <w:gridCol w:w="2862"/>
        <w:gridCol w:w="1301"/>
        <w:gridCol w:w="1419"/>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445"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spacing w:val="-20"/>
                <w:highlight w:val="none"/>
              </w:rPr>
            </w:pPr>
            <w:r>
              <w:rPr>
                <w:rFonts w:hint="eastAsia" w:hAnsi="宋体"/>
                <w:color w:val="auto"/>
                <w:spacing w:val="-20"/>
                <w:highlight w:val="none"/>
              </w:rPr>
              <w:t>项号</w:t>
            </w:r>
          </w:p>
        </w:tc>
        <w:tc>
          <w:tcPr>
            <w:tcW w:w="1608"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spacing w:val="-20"/>
                <w:highlight w:val="none"/>
              </w:rPr>
            </w:pPr>
            <w:r>
              <w:rPr>
                <w:rFonts w:hint="eastAsia" w:hAnsi="宋体"/>
                <w:color w:val="auto"/>
                <w:spacing w:val="-20"/>
                <w:highlight w:val="none"/>
              </w:rPr>
              <w:t>货物名称</w:t>
            </w:r>
          </w:p>
        </w:tc>
        <w:tc>
          <w:tcPr>
            <w:tcW w:w="885"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spacing w:val="-20"/>
                <w:highlight w:val="none"/>
              </w:rPr>
            </w:pPr>
            <w:r>
              <w:rPr>
                <w:rFonts w:hint="eastAsia" w:hAnsi="宋体"/>
                <w:color w:val="auto"/>
                <w:highlight w:val="none"/>
              </w:rPr>
              <w:t>折扣率</w:t>
            </w:r>
            <w:r>
              <w:rPr>
                <w:rFonts w:hint="eastAsia" w:hAnsi="宋体"/>
                <w:color w:val="auto"/>
                <w:spacing w:val="-20"/>
                <w:highlight w:val="none"/>
              </w:rPr>
              <w:t>①</w:t>
            </w:r>
          </w:p>
        </w:tc>
        <w:tc>
          <w:tcPr>
            <w:tcW w:w="2862"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highlight w:val="none"/>
              </w:rPr>
            </w:pPr>
            <w:r>
              <w:rPr>
                <w:rFonts w:hint="eastAsia" w:hAnsi="宋体"/>
                <w:color w:val="auto"/>
                <w:highlight w:val="none"/>
              </w:rPr>
              <w:t>图书供应和服务的具体要求</w:t>
            </w:r>
          </w:p>
        </w:tc>
        <w:tc>
          <w:tcPr>
            <w:tcW w:w="1301"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highlight w:val="none"/>
              </w:rPr>
            </w:pPr>
            <w:r>
              <w:rPr>
                <w:rFonts w:hint="eastAsia" w:hAnsi="宋体"/>
                <w:color w:val="auto"/>
                <w:highlight w:val="none"/>
              </w:rPr>
              <w:t>码洋价合计值（元）</w:t>
            </w:r>
          </w:p>
          <w:p>
            <w:pPr>
              <w:pStyle w:val="25"/>
              <w:jc w:val="center"/>
              <w:rPr>
                <w:rFonts w:hAnsi="宋体"/>
                <w:color w:val="auto"/>
                <w:highlight w:val="none"/>
              </w:rPr>
            </w:pPr>
            <w:r>
              <w:rPr>
                <w:rFonts w:hint="eastAsia" w:hAnsi="宋体"/>
                <w:color w:val="auto"/>
                <w:highlight w:val="none"/>
              </w:rPr>
              <w:t>②</w:t>
            </w:r>
          </w:p>
        </w:tc>
        <w:tc>
          <w:tcPr>
            <w:tcW w:w="1419"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highlight w:val="none"/>
              </w:rPr>
            </w:pPr>
            <w:r>
              <w:rPr>
                <w:rFonts w:hint="eastAsia" w:hAnsi="宋体"/>
                <w:color w:val="auto"/>
                <w:highlight w:val="none"/>
              </w:rPr>
              <w:t>实洋价合计值（元）</w:t>
            </w:r>
          </w:p>
          <w:p>
            <w:pPr>
              <w:pStyle w:val="25"/>
              <w:jc w:val="center"/>
              <w:rPr>
                <w:rFonts w:hAnsi="宋体"/>
                <w:color w:val="auto"/>
                <w:highlight w:val="none"/>
              </w:rPr>
            </w:pPr>
            <w:r>
              <w:rPr>
                <w:rFonts w:hint="eastAsia" w:hAnsi="宋体"/>
                <w:color w:val="auto"/>
                <w:highlight w:val="none"/>
              </w:rPr>
              <w:t>③=（1-①）×②</w:t>
            </w:r>
          </w:p>
        </w:tc>
        <w:tc>
          <w:tcPr>
            <w:tcW w:w="996"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highlight w:val="none"/>
              </w:rPr>
            </w:pPr>
            <w:r>
              <w:rPr>
                <w:rFonts w:hint="eastAsia"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2862" w:type="dxa"/>
            <w:tcBorders>
              <w:top w:val="single" w:color="auto" w:sz="4" w:space="0"/>
              <w:left w:val="single" w:color="auto" w:sz="4" w:space="0"/>
              <w:bottom w:val="single" w:color="auto" w:sz="4" w:space="0"/>
              <w:right w:val="single" w:color="auto" w:sz="4" w:space="0"/>
            </w:tcBorders>
            <w:vAlign w:val="center"/>
          </w:tcPr>
          <w:p>
            <w:pPr>
              <w:pStyle w:val="25"/>
              <w:rPr>
                <w:rFonts w:hAnsi="宋体"/>
                <w:color w:val="auto"/>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pStyle w:val="25"/>
              <w:rPr>
                <w:rFonts w:hAnsi="宋体"/>
                <w:color w:val="auto"/>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25"/>
              <w:rPr>
                <w:rFonts w:hAnsi="宋体"/>
                <w:color w:val="auto"/>
                <w:highlight w:val="none"/>
              </w:rPr>
            </w:pPr>
          </w:p>
        </w:tc>
        <w:tc>
          <w:tcPr>
            <w:tcW w:w="996" w:type="dxa"/>
            <w:tcBorders>
              <w:top w:val="single" w:color="auto" w:sz="4" w:space="0"/>
              <w:left w:val="single" w:color="auto" w:sz="4" w:space="0"/>
              <w:bottom w:val="single" w:color="auto" w:sz="4" w:space="0"/>
              <w:right w:val="single" w:color="auto" w:sz="4" w:space="0"/>
            </w:tcBorders>
            <w:vAlign w:val="center"/>
          </w:tcPr>
          <w:p>
            <w:pPr>
              <w:pStyle w:val="25"/>
              <w:rPr>
                <w:rFonts w:hAnsi="宋体"/>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2862" w:type="dxa"/>
            <w:tcBorders>
              <w:top w:val="single" w:color="auto" w:sz="4" w:space="0"/>
              <w:left w:val="single" w:color="auto" w:sz="4" w:space="0"/>
              <w:bottom w:val="single" w:color="auto" w:sz="4" w:space="0"/>
              <w:right w:val="single" w:color="auto" w:sz="4" w:space="0"/>
            </w:tcBorders>
            <w:vAlign w:val="center"/>
          </w:tcPr>
          <w:p>
            <w:pPr>
              <w:pStyle w:val="25"/>
              <w:rPr>
                <w:rFonts w:hAnsi="宋体"/>
                <w:color w:val="auto"/>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pStyle w:val="25"/>
              <w:rPr>
                <w:rFonts w:hAnsi="宋体"/>
                <w:color w:val="auto"/>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25"/>
              <w:rPr>
                <w:rFonts w:hAnsi="宋体"/>
                <w:color w:val="auto"/>
                <w:highlight w:val="none"/>
              </w:rPr>
            </w:pPr>
          </w:p>
        </w:tc>
        <w:tc>
          <w:tcPr>
            <w:tcW w:w="996" w:type="dxa"/>
            <w:tcBorders>
              <w:top w:val="single" w:color="auto" w:sz="4" w:space="0"/>
              <w:left w:val="single" w:color="auto" w:sz="4" w:space="0"/>
              <w:bottom w:val="single" w:color="auto" w:sz="4" w:space="0"/>
              <w:right w:val="single" w:color="auto" w:sz="4" w:space="0"/>
            </w:tcBorders>
            <w:vAlign w:val="center"/>
          </w:tcPr>
          <w:p>
            <w:pPr>
              <w:pStyle w:val="25"/>
              <w:rPr>
                <w:rFonts w:hAnsi="宋体"/>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16" w:type="dxa"/>
            <w:gridSpan w:val="7"/>
            <w:tcBorders>
              <w:top w:val="single" w:color="auto" w:sz="4" w:space="0"/>
              <w:left w:val="single" w:color="auto" w:sz="4" w:space="0"/>
              <w:bottom w:val="single" w:color="auto" w:sz="4" w:space="0"/>
              <w:right w:val="single" w:color="auto" w:sz="4" w:space="0"/>
            </w:tcBorders>
            <w:vAlign w:val="center"/>
          </w:tcPr>
          <w:p>
            <w:pPr>
              <w:pStyle w:val="25"/>
              <w:rPr>
                <w:rFonts w:hAnsi="宋体"/>
                <w:color w:val="auto"/>
                <w:spacing w:val="-6"/>
                <w:highlight w:val="none"/>
              </w:rPr>
            </w:pPr>
            <w:r>
              <w:rPr>
                <w:rFonts w:hint="eastAsia" w:hAnsi="宋体"/>
                <w:color w:val="auto"/>
                <w:highlight w:val="none"/>
              </w:rPr>
              <w:t>实洋价</w:t>
            </w:r>
            <w:r>
              <w:rPr>
                <w:rFonts w:hint="eastAsia" w:hAnsi="宋体"/>
                <w:color w:val="auto"/>
                <w:spacing w:val="-6"/>
                <w:highlight w:val="none"/>
              </w:rPr>
              <w:t>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16" w:type="dxa"/>
            <w:gridSpan w:val="7"/>
            <w:tcBorders>
              <w:top w:val="single" w:color="auto" w:sz="4" w:space="0"/>
              <w:left w:val="single" w:color="auto" w:sz="4" w:space="0"/>
              <w:bottom w:val="single" w:color="auto" w:sz="4" w:space="0"/>
              <w:right w:val="single" w:color="auto" w:sz="4" w:space="0"/>
            </w:tcBorders>
            <w:vAlign w:val="center"/>
          </w:tcPr>
          <w:p>
            <w:pPr>
              <w:pStyle w:val="25"/>
              <w:rPr>
                <w:rFonts w:hAnsi="宋体"/>
                <w:color w:val="auto"/>
                <w:spacing w:val="-6"/>
                <w:highlight w:val="none"/>
                <w:u w:val="single"/>
              </w:rPr>
            </w:pPr>
            <w:r>
              <w:rPr>
                <w:rFonts w:hint="eastAsia" w:hAnsi="宋体"/>
                <w:color w:val="auto"/>
                <w:highlight w:val="none"/>
              </w:rPr>
              <w:t>折扣率</w:t>
            </w:r>
            <w:r>
              <w:rPr>
                <w:rFonts w:hint="eastAsia" w:hAnsi="宋体"/>
                <w:color w:val="auto"/>
                <w:spacing w:val="-6"/>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16" w:type="dxa"/>
            <w:gridSpan w:val="7"/>
            <w:tcBorders>
              <w:top w:val="single" w:color="auto" w:sz="4" w:space="0"/>
              <w:left w:val="single" w:color="auto" w:sz="4" w:space="0"/>
              <w:bottom w:val="single" w:color="auto" w:sz="4" w:space="0"/>
              <w:right w:val="single" w:color="auto" w:sz="4" w:space="0"/>
            </w:tcBorders>
            <w:vAlign w:val="center"/>
          </w:tcPr>
          <w:p>
            <w:pPr>
              <w:pStyle w:val="25"/>
              <w:rPr>
                <w:rFonts w:hAnsi="宋体"/>
                <w:color w:val="auto"/>
                <w:highlight w:val="none"/>
              </w:rPr>
            </w:pPr>
            <w:r>
              <w:rPr>
                <w:rFonts w:hint="eastAsia" w:hAnsi="宋体"/>
                <w:color w:val="auto"/>
                <w:highlight w:val="none"/>
              </w:rPr>
              <w:t>备注：实洋价合计值＝码洋价合计值×最后折扣率，例如打</w:t>
            </w:r>
            <w:r>
              <w:rPr>
                <w:rFonts w:hint="eastAsia" w:hAnsi="宋体"/>
                <w:color w:val="auto"/>
                <w:highlight w:val="none"/>
                <w:lang w:val="en-US" w:eastAsia="zh-CN"/>
              </w:rPr>
              <w:t>六</w:t>
            </w:r>
            <w:r>
              <w:rPr>
                <w:rFonts w:hint="eastAsia" w:hAnsi="宋体"/>
                <w:color w:val="auto"/>
                <w:highlight w:val="none"/>
              </w:rPr>
              <w:t>折的折扣率为</w:t>
            </w:r>
            <w:r>
              <w:rPr>
                <w:rFonts w:hint="eastAsia" w:hAnsi="宋体"/>
                <w:color w:val="auto"/>
                <w:highlight w:val="none"/>
                <w:lang w:val="en-US" w:eastAsia="zh-CN"/>
              </w:rPr>
              <w:t>6</w:t>
            </w:r>
            <w:r>
              <w:rPr>
                <w:rFonts w:hAnsi="宋体"/>
                <w:color w:val="auto"/>
                <w:highlight w:val="none"/>
              </w:rPr>
              <w:t>0</w:t>
            </w:r>
            <w:r>
              <w:rPr>
                <w:rFonts w:hint="eastAsia" w:hAnsi="宋体"/>
                <w:color w:val="auto"/>
                <w:highlight w:val="none"/>
              </w:rPr>
              <w:t>%。</w:t>
            </w:r>
          </w:p>
        </w:tc>
      </w:tr>
    </w:tbl>
    <w:p>
      <w:pPr>
        <w:spacing w:line="500" w:lineRule="exact"/>
        <w:rPr>
          <w:rFonts w:ascii="宋体" w:hAnsi="宋体"/>
          <w:color w:val="auto"/>
          <w:szCs w:val="21"/>
          <w:highlight w:val="none"/>
        </w:rPr>
      </w:pPr>
      <w:r>
        <w:rPr>
          <w:rFonts w:hint="eastAsia" w:ascii="宋体" w:hAnsi="宋体"/>
          <w:color w:val="auto"/>
          <w:szCs w:val="21"/>
          <w:highlight w:val="none"/>
        </w:rPr>
        <w:t>注：1、所有价格均用</w:t>
      </w:r>
      <w:r>
        <w:rPr>
          <w:rFonts w:hint="eastAsia" w:ascii="宋体" w:hAnsi="宋体"/>
          <w:color w:val="auto"/>
          <w:highlight w:val="none"/>
        </w:rPr>
        <w:t>折扣率</w:t>
      </w:r>
      <w:r>
        <w:rPr>
          <w:rFonts w:hint="eastAsia" w:ascii="宋体" w:hAnsi="宋体"/>
          <w:color w:val="auto"/>
          <w:szCs w:val="21"/>
          <w:highlight w:val="none"/>
        </w:rPr>
        <w:t>表示，精确到个数位。</w:t>
      </w:r>
    </w:p>
    <w:p>
      <w:pPr>
        <w:spacing w:line="500" w:lineRule="exact"/>
        <w:ind w:firstLine="420"/>
        <w:rPr>
          <w:rFonts w:ascii="宋体" w:hAnsi="宋体"/>
          <w:color w:val="auto"/>
          <w:szCs w:val="21"/>
          <w:highlight w:val="none"/>
        </w:rPr>
      </w:pPr>
      <w:r>
        <w:rPr>
          <w:rFonts w:hint="eastAsia" w:ascii="宋体" w:hAnsi="宋体"/>
          <w:color w:val="auto"/>
          <w:szCs w:val="21"/>
          <w:highlight w:val="none"/>
        </w:rPr>
        <w:t>2、竞标报价指图书成本、运抵指定交货地点的各种费用，包括但不限于图书费、加工费、上架费、现采费、售后服务、税金、运输费及其他所有成本等费用的总和。</w:t>
      </w:r>
    </w:p>
    <w:p>
      <w:pPr>
        <w:spacing w:line="500" w:lineRule="exact"/>
        <w:ind w:firstLine="420"/>
        <w:rPr>
          <w:rFonts w:ascii="宋体" w:hAnsi="宋体"/>
          <w:color w:val="auto"/>
          <w:szCs w:val="21"/>
          <w:highlight w:val="none"/>
        </w:rPr>
      </w:pPr>
      <w:r>
        <w:rPr>
          <w:rFonts w:hint="eastAsia" w:ascii="宋体" w:hAnsi="宋体"/>
          <w:color w:val="auto"/>
          <w:szCs w:val="21"/>
          <w:highlight w:val="none"/>
        </w:rPr>
        <w:t>3、自然人参加谈判的无需盖章，需要签字。</w:t>
      </w:r>
    </w:p>
    <w:p>
      <w:pPr>
        <w:pStyle w:val="25"/>
        <w:spacing w:line="500" w:lineRule="exact"/>
        <w:ind w:firstLine="404" w:firstLineChars="202"/>
        <w:rPr>
          <w:rFonts w:hAnsi="宋体"/>
          <w:color w:val="auto"/>
          <w:highlight w:val="none"/>
          <w:u w:val="single"/>
        </w:rPr>
      </w:pPr>
      <w:r>
        <w:rPr>
          <w:rFonts w:hint="eastAsia" w:hAnsi="宋体"/>
          <w:color w:val="auto"/>
          <w:highlight w:val="none"/>
        </w:rPr>
        <w:t>法定代表人或法定代表人授权代表（签字或盖章）:</w:t>
      </w:r>
      <w:r>
        <w:rPr>
          <w:rFonts w:hint="eastAsia" w:hAnsi="宋体"/>
          <w:color w:val="auto"/>
          <w:highlight w:val="none"/>
          <w:u w:val="single"/>
        </w:rPr>
        <w:t xml:space="preserve">              </w:t>
      </w:r>
    </w:p>
    <w:p>
      <w:pPr>
        <w:pStyle w:val="25"/>
        <w:spacing w:line="500" w:lineRule="exact"/>
        <w:ind w:firstLine="404" w:firstLineChars="202"/>
        <w:rPr>
          <w:rFonts w:hAnsi="宋体"/>
          <w:color w:val="auto"/>
          <w:highlight w:val="none"/>
          <w:u w:val="single"/>
        </w:rPr>
      </w:pPr>
      <w:r>
        <w:rPr>
          <w:rFonts w:hint="eastAsia" w:hAnsi="宋体"/>
          <w:color w:val="auto"/>
          <w:highlight w:val="none"/>
        </w:rPr>
        <w:t>谈判供应商名称（签章）：</w:t>
      </w:r>
      <w:r>
        <w:rPr>
          <w:rFonts w:hint="eastAsia" w:hAnsi="宋体"/>
          <w:color w:val="auto"/>
          <w:highlight w:val="none"/>
          <w:u w:val="single"/>
        </w:rPr>
        <w:t xml:space="preserve">       </w:t>
      </w:r>
    </w:p>
    <w:p>
      <w:pPr>
        <w:pStyle w:val="25"/>
        <w:spacing w:line="500" w:lineRule="exact"/>
        <w:ind w:firstLine="404" w:firstLineChars="202"/>
        <w:rPr>
          <w:rFonts w:hAnsi="宋体"/>
          <w:color w:val="auto"/>
          <w:highlight w:val="none"/>
        </w:rPr>
      </w:pPr>
      <w:r>
        <w:rPr>
          <w:rFonts w:hint="eastAsia" w:hAnsi="宋体"/>
          <w:color w:val="auto"/>
          <w:highlight w:val="none"/>
        </w:rPr>
        <w:t>报价时间：</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 xml:space="preserve">日 </w:t>
      </w:r>
    </w:p>
    <w:p>
      <w:pPr>
        <w:ind w:firstLine="120" w:firstLineChars="50"/>
        <w:rPr>
          <w:rFonts w:ascii="Times New Roman" w:hAnsi="宋体" w:eastAsia="宋体" w:cs="Times New Roman"/>
          <w:b/>
          <w:bCs/>
          <w:color w:val="auto"/>
          <w:sz w:val="24"/>
          <w:szCs w:val="24"/>
          <w:highlight w:val="none"/>
        </w:rPr>
      </w:pPr>
    </w:p>
    <w:p>
      <w:pPr>
        <w:ind w:firstLine="120" w:firstLineChars="50"/>
        <w:rPr>
          <w:rFonts w:ascii="Times New Roman" w:hAnsi="宋体" w:eastAsia="宋体" w:cs="Times New Roman"/>
          <w:b/>
          <w:bCs/>
          <w:color w:val="auto"/>
          <w:sz w:val="24"/>
          <w:szCs w:val="24"/>
          <w:highlight w:val="none"/>
        </w:rPr>
      </w:pPr>
    </w:p>
    <w:p>
      <w:pPr>
        <w:ind w:firstLine="120" w:firstLineChars="50"/>
        <w:rPr>
          <w:rFonts w:ascii="Times New Roman" w:hAnsi="宋体" w:eastAsia="宋体" w:cs="Times New Roman"/>
          <w:b/>
          <w:bCs/>
          <w:color w:val="auto"/>
          <w:sz w:val="24"/>
          <w:szCs w:val="24"/>
          <w:highlight w:val="none"/>
        </w:rPr>
      </w:pPr>
    </w:p>
    <w:p>
      <w:pPr>
        <w:ind w:firstLine="120" w:firstLineChars="50"/>
        <w:rPr>
          <w:rFonts w:ascii="Times New Roman" w:hAnsi="宋体" w:eastAsia="宋体" w:cs="Times New Roman"/>
          <w:b/>
          <w:bCs/>
          <w:color w:val="auto"/>
          <w:sz w:val="24"/>
          <w:szCs w:val="24"/>
          <w:highlight w:val="none"/>
        </w:rPr>
      </w:pPr>
    </w:p>
    <w:p>
      <w:pPr>
        <w:ind w:firstLine="120" w:firstLineChars="50"/>
        <w:rPr>
          <w:rFonts w:ascii="Times New Roman" w:hAnsi="宋体" w:eastAsia="宋体" w:cs="Times New Roman"/>
          <w:b/>
          <w:bCs/>
          <w:color w:val="auto"/>
          <w:sz w:val="24"/>
          <w:szCs w:val="24"/>
          <w:highlight w:val="none"/>
        </w:rPr>
      </w:pPr>
    </w:p>
    <w:p>
      <w:pPr>
        <w:ind w:firstLine="3840" w:firstLineChars="1600"/>
        <w:rPr>
          <w:rFonts w:ascii="Times New Roman" w:hAnsi="宋体" w:eastAsia="宋体" w:cs="Times New Roman"/>
          <w:color w:val="auto"/>
          <w:sz w:val="24"/>
          <w:szCs w:val="24"/>
          <w:highlight w:val="none"/>
          <w:u w:val="single"/>
        </w:rPr>
      </w:pPr>
    </w:p>
    <w:p>
      <w:pPr>
        <w:ind w:firstLine="120" w:firstLineChars="50"/>
        <w:rPr>
          <w:rFonts w:ascii="Times New Roman" w:hAnsi="宋体" w:eastAsia="宋体" w:cs="Times New Roman"/>
          <w:b/>
          <w:bCs/>
          <w:color w:val="auto"/>
          <w:sz w:val="24"/>
          <w:szCs w:val="24"/>
          <w:highlight w:val="none"/>
        </w:rPr>
      </w:pPr>
      <w:r>
        <w:rPr>
          <w:rFonts w:ascii="Times New Roman" w:hAnsi="宋体" w:eastAsia="宋体" w:cs="Times New Roman"/>
          <w:b/>
          <w:bCs/>
          <w:color w:val="auto"/>
          <w:sz w:val="24"/>
          <w:szCs w:val="24"/>
          <w:highlight w:val="none"/>
        </w:rPr>
        <w:br w:type="page"/>
      </w:r>
      <w:r>
        <w:rPr>
          <w:rFonts w:hint="eastAsia" w:ascii="Times New Roman" w:hAnsi="宋体" w:eastAsia="宋体" w:cs="Times New Roman"/>
          <w:b/>
          <w:bCs/>
          <w:color w:val="auto"/>
          <w:sz w:val="24"/>
          <w:szCs w:val="24"/>
          <w:highlight w:val="none"/>
        </w:rPr>
        <w:t>附件二</w:t>
      </w:r>
    </w:p>
    <w:p>
      <w:pPr>
        <w:jc w:val="center"/>
        <w:rPr>
          <w:rFonts w:ascii="宋体" w:hAnsi="Times New Roman" w:eastAsia="宋体" w:cs="Times New Roman"/>
          <w:b/>
          <w:color w:val="auto"/>
          <w:sz w:val="32"/>
          <w:szCs w:val="32"/>
          <w:highlight w:val="none"/>
        </w:rPr>
      </w:pPr>
      <w:r>
        <w:rPr>
          <w:rFonts w:hint="eastAsia" w:ascii="宋体" w:hAnsi="宋体" w:eastAsia="宋体" w:cs="Times New Roman"/>
          <w:b/>
          <w:color w:val="auto"/>
          <w:sz w:val="32"/>
          <w:szCs w:val="32"/>
          <w:highlight w:val="none"/>
        </w:rPr>
        <w:t>谈判书</w:t>
      </w:r>
    </w:p>
    <w:p>
      <w:pPr>
        <w:jc w:val="center"/>
        <w:rPr>
          <w:rFonts w:ascii="宋体" w:hAnsi="Times New Roman" w:eastAsia="宋体" w:cs="Times New Roman"/>
          <w:b/>
          <w:color w:val="auto"/>
          <w:sz w:val="32"/>
          <w:szCs w:val="32"/>
          <w:highlight w:val="none"/>
        </w:rPr>
      </w:pPr>
    </w:p>
    <w:p>
      <w:pPr>
        <w:spacing w:line="440" w:lineRule="atLeast"/>
        <w:rPr>
          <w:rFonts w:ascii="宋体" w:hAnsi="宋体" w:eastAsia="宋体" w:cs="Times New Roman"/>
          <w:color w:val="auto"/>
          <w:szCs w:val="20"/>
          <w:highlight w:val="none"/>
        </w:rPr>
      </w:pPr>
      <w:r>
        <w:rPr>
          <w:rFonts w:hint="eastAsia" w:ascii="宋体" w:hAnsi="宋体" w:eastAsia="宋体" w:cs="Times New Roman"/>
          <w:color w:val="auto"/>
          <w:szCs w:val="20"/>
          <w:highlight w:val="none"/>
          <w:u w:val="single"/>
        </w:rPr>
        <w:t>（采购单位或代理机构）</w:t>
      </w:r>
      <w:r>
        <w:rPr>
          <w:rFonts w:hint="eastAsia" w:ascii="宋体" w:hAnsi="宋体" w:eastAsia="宋体" w:cs="Times New Roman"/>
          <w:color w:val="auto"/>
          <w:szCs w:val="20"/>
          <w:highlight w:val="none"/>
        </w:rPr>
        <w:t>：</w:t>
      </w:r>
    </w:p>
    <w:p>
      <w:pPr>
        <w:spacing w:line="440" w:lineRule="atLeast"/>
        <w:ind w:firstLine="480"/>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依据贵方</w:t>
      </w:r>
      <w:r>
        <w:rPr>
          <w:rFonts w:hint="eastAsia" w:ascii="宋体" w:hAnsi="宋体" w:eastAsia="宋体" w:cs="Times New Roman"/>
          <w:color w:val="auto"/>
          <w:szCs w:val="20"/>
          <w:highlight w:val="none"/>
          <w:u w:val="single"/>
        </w:rPr>
        <w:t>（项目名称</w:t>
      </w:r>
      <w:r>
        <w:rPr>
          <w:rFonts w:ascii="宋体" w:hAnsi="宋体" w:eastAsia="宋体" w:cs="Times New Roman"/>
          <w:color w:val="auto"/>
          <w:szCs w:val="20"/>
          <w:highlight w:val="none"/>
          <w:u w:val="single"/>
        </w:rPr>
        <w:t>/项目</w:t>
      </w:r>
      <w:r>
        <w:rPr>
          <w:rFonts w:hint="eastAsia" w:ascii="宋体" w:hAnsi="宋体" w:eastAsia="宋体" w:cs="Times New Roman"/>
          <w:color w:val="auto"/>
          <w:szCs w:val="20"/>
          <w:highlight w:val="none"/>
          <w:u w:val="single"/>
        </w:rPr>
        <w:t>编号）</w:t>
      </w:r>
      <w:r>
        <w:rPr>
          <w:rFonts w:hint="eastAsia" w:ascii="宋体" w:hAnsi="宋体" w:eastAsia="宋体" w:cs="Times New Roman"/>
          <w:color w:val="auto"/>
          <w:szCs w:val="20"/>
          <w:highlight w:val="none"/>
        </w:rPr>
        <w:t>项目政府采购的谈判公告，我方</w:t>
      </w:r>
      <w:r>
        <w:rPr>
          <w:rFonts w:hint="eastAsia" w:ascii="宋体" w:hAnsi="宋体" w:eastAsia="宋体" w:cs="Times New Roman"/>
          <w:color w:val="auto"/>
          <w:szCs w:val="20"/>
          <w:highlight w:val="none"/>
          <w:u w:val="single"/>
        </w:rPr>
        <w:t>（姓名和职务）</w:t>
      </w:r>
      <w:r>
        <w:rPr>
          <w:rFonts w:hint="eastAsia" w:ascii="宋体" w:hAnsi="宋体" w:eastAsia="宋体" w:cs="Times New Roman"/>
          <w:color w:val="auto"/>
          <w:szCs w:val="20"/>
          <w:highlight w:val="none"/>
        </w:rPr>
        <w:t>经正式授权并代表谈判供应商</w:t>
      </w:r>
      <w:r>
        <w:rPr>
          <w:rFonts w:hint="eastAsia" w:ascii="宋体" w:hAnsi="宋体" w:eastAsia="宋体" w:cs="Times New Roman"/>
          <w:color w:val="auto"/>
          <w:szCs w:val="20"/>
          <w:highlight w:val="none"/>
          <w:u w:val="single"/>
        </w:rPr>
        <w:t>（谈判供应商名称、地址）</w:t>
      </w:r>
      <w:r>
        <w:rPr>
          <w:rFonts w:hint="eastAsia" w:ascii="宋体" w:hAnsi="宋体" w:eastAsia="宋体" w:cs="Times New Roman"/>
          <w:color w:val="auto"/>
          <w:szCs w:val="20"/>
          <w:highlight w:val="none"/>
        </w:rPr>
        <w:t>提交下述竞争性谈判响应文件价格文件正本</w:t>
      </w:r>
      <w:r>
        <w:rPr>
          <w:rFonts w:hint="eastAsia" w:ascii="宋体" w:hAnsi="宋体" w:eastAsia="宋体" w:cs="Times New Roman"/>
          <w:color w:val="auto"/>
          <w:szCs w:val="20"/>
          <w:highlight w:val="none"/>
          <w:u w:val="single"/>
        </w:rPr>
        <w:t xml:space="preserve"> 壹 </w:t>
      </w:r>
      <w:r>
        <w:rPr>
          <w:rFonts w:hint="eastAsia" w:ascii="宋体" w:hAnsi="宋体" w:eastAsia="宋体" w:cs="Times New Roman"/>
          <w:color w:val="auto"/>
          <w:szCs w:val="20"/>
          <w:highlight w:val="none"/>
        </w:rPr>
        <w:t>份，副本</w:t>
      </w:r>
      <w:r>
        <w:rPr>
          <w:rFonts w:hint="eastAsia" w:ascii="宋体" w:hAnsi="宋体" w:eastAsia="宋体" w:cs="Times New Roman"/>
          <w:color w:val="auto"/>
          <w:szCs w:val="20"/>
          <w:highlight w:val="none"/>
          <w:u w:val="single"/>
        </w:rPr>
        <w:t xml:space="preserve">    贰</w:t>
      </w:r>
      <w:r>
        <w:rPr>
          <w:rFonts w:hint="eastAsia" w:ascii="宋体" w:hAnsi="宋体" w:eastAsia="宋体" w:cs="Times New Roman"/>
          <w:color w:val="auto"/>
          <w:szCs w:val="20"/>
          <w:highlight w:val="none"/>
        </w:rPr>
        <w:t>份。</w:t>
      </w:r>
    </w:p>
    <w:p>
      <w:pPr>
        <w:spacing w:line="440" w:lineRule="atLeast"/>
        <w:ind w:firstLine="420" w:firstLineChars="200"/>
        <w:rPr>
          <w:rFonts w:ascii="宋体" w:hAnsi="宋体" w:eastAsia="宋体" w:cs="Courier New"/>
          <w:color w:val="auto"/>
          <w:szCs w:val="21"/>
          <w:highlight w:val="none"/>
        </w:rPr>
      </w:pPr>
      <w:r>
        <w:rPr>
          <w:rFonts w:ascii="宋体" w:hAnsi="宋体" w:eastAsia="宋体" w:cs="Courier New"/>
          <w:color w:val="auto"/>
          <w:szCs w:val="21"/>
          <w:highlight w:val="none"/>
        </w:rPr>
        <w:t>1、</w:t>
      </w:r>
      <w:r>
        <w:rPr>
          <w:rFonts w:hint="eastAsia" w:ascii="宋体" w:hAnsi="宋体" w:eastAsia="宋体" w:cs="Courier New"/>
          <w:color w:val="auto"/>
          <w:szCs w:val="21"/>
          <w:highlight w:val="none"/>
        </w:rPr>
        <w:t>竞标报价明细表；</w:t>
      </w:r>
    </w:p>
    <w:p>
      <w:pPr>
        <w:spacing w:line="440" w:lineRule="atLeast"/>
        <w:ind w:firstLine="420" w:firstLineChars="200"/>
        <w:rPr>
          <w:rFonts w:ascii="宋体" w:hAnsi="宋体" w:eastAsia="宋体" w:cs="Times New Roman"/>
          <w:bCs/>
          <w:color w:val="auto"/>
          <w:szCs w:val="20"/>
          <w:highlight w:val="none"/>
        </w:rPr>
      </w:pPr>
      <w:r>
        <w:rPr>
          <w:rFonts w:ascii="宋体" w:hAnsi="宋体" w:eastAsia="宋体" w:cs="Times New Roman"/>
          <w:color w:val="auto"/>
          <w:szCs w:val="20"/>
          <w:highlight w:val="none"/>
        </w:rPr>
        <w:t>2、</w:t>
      </w:r>
      <w:r>
        <w:rPr>
          <w:rFonts w:hint="eastAsia" w:ascii="宋体" w:hAnsi="宋体" w:eastAsia="宋体" w:cs="Times New Roman"/>
          <w:bCs/>
          <w:color w:val="auto"/>
          <w:szCs w:val="20"/>
          <w:highlight w:val="none"/>
        </w:rPr>
        <w:t>商务条件响应、偏离情况说明表</w:t>
      </w:r>
    </w:p>
    <w:p>
      <w:pPr>
        <w:spacing w:line="440" w:lineRule="atLeast"/>
        <w:ind w:firstLine="420" w:firstLineChars="200"/>
        <w:rPr>
          <w:rFonts w:ascii="宋体" w:hAnsi="宋体" w:eastAsia="宋体" w:cs="Times New Roman"/>
          <w:color w:val="auto"/>
          <w:szCs w:val="20"/>
          <w:highlight w:val="none"/>
        </w:rPr>
      </w:pPr>
      <w:r>
        <w:rPr>
          <w:rFonts w:ascii="宋体" w:hAnsi="宋体" w:eastAsia="宋体" w:cs="Times New Roman"/>
          <w:color w:val="auto"/>
          <w:szCs w:val="20"/>
          <w:highlight w:val="none"/>
        </w:rPr>
        <w:t>3、</w:t>
      </w:r>
      <w:r>
        <w:rPr>
          <w:rFonts w:hint="eastAsia" w:ascii="宋体" w:hAnsi="宋体" w:eastAsia="宋体" w:cs="Times New Roman"/>
          <w:color w:val="auto"/>
          <w:szCs w:val="20"/>
          <w:highlight w:val="none"/>
        </w:rPr>
        <w:t>技术规格响应、偏离情况说明表；</w:t>
      </w:r>
    </w:p>
    <w:p>
      <w:pPr>
        <w:spacing w:line="440" w:lineRule="atLeast"/>
        <w:ind w:firstLine="420" w:firstLineChars="200"/>
        <w:rPr>
          <w:rFonts w:ascii="宋体" w:hAnsi="宋体" w:eastAsia="宋体" w:cs="Times New Roman"/>
          <w:color w:val="auto"/>
          <w:szCs w:val="20"/>
          <w:highlight w:val="none"/>
        </w:rPr>
      </w:pPr>
      <w:r>
        <w:rPr>
          <w:rFonts w:ascii="宋体" w:hAnsi="宋体" w:eastAsia="宋体" w:cs="Times New Roman"/>
          <w:color w:val="auto"/>
          <w:szCs w:val="20"/>
          <w:highlight w:val="none"/>
        </w:rPr>
        <w:t>4、</w:t>
      </w:r>
      <w:r>
        <w:rPr>
          <w:rFonts w:hint="eastAsia" w:ascii="宋体" w:hAnsi="宋体" w:eastAsia="宋体" w:cs="Times New Roman"/>
          <w:color w:val="auto"/>
          <w:szCs w:val="20"/>
          <w:highlight w:val="none"/>
        </w:rPr>
        <w:t>按竞争性谈判文件谈判须知和技术规格要求提供的有关文件；</w:t>
      </w:r>
    </w:p>
    <w:p>
      <w:pPr>
        <w:spacing w:line="440" w:lineRule="atLeast"/>
        <w:ind w:firstLine="420" w:firstLineChars="200"/>
        <w:rPr>
          <w:rFonts w:ascii="宋体" w:hAnsi="宋体" w:eastAsia="宋体" w:cs="Times New Roman"/>
          <w:color w:val="auto"/>
          <w:szCs w:val="20"/>
          <w:highlight w:val="none"/>
        </w:rPr>
      </w:pPr>
      <w:r>
        <w:rPr>
          <w:rFonts w:ascii="宋体" w:hAnsi="宋体" w:eastAsia="宋体" w:cs="Times New Roman"/>
          <w:color w:val="auto"/>
          <w:szCs w:val="20"/>
          <w:highlight w:val="none"/>
        </w:rPr>
        <w:t>5、</w:t>
      </w:r>
      <w:r>
        <w:rPr>
          <w:rFonts w:hint="eastAsia" w:ascii="宋体" w:hAnsi="宋体" w:eastAsia="宋体" w:cs="Times New Roman"/>
          <w:color w:val="auto"/>
          <w:szCs w:val="20"/>
          <w:highlight w:val="none"/>
        </w:rPr>
        <w:t>资格证明文件；</w:t>
      </w:r>
    </w:p>
    <w:p>
      <w:pPr>
        <w:spacing w:line="440" w:lineRule="atLeast"/>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在此，授权代表宣布同意如下：</w:t>
      </w:r>
    </w:p>
    <w:p>
      <w:pPr>
        <w:spacing w:line="440" w:lineRule="atLeast"/>
        <w:ind w:firstLine="420" w:firstLineChars="200"/>
        <w:rPr>
          <w:rFonts w:ascii="宋体" w:hAnsi="宋体" w:eastAsia="宋体" w:cs="Courier New"/>
          <w:color w:val="auto"/>
          <w:szCs w:val="21"/>
          <w:highlight w:val="none"/>
        </w:rPr>
      </w:pPr>
      <w:r>
        <w:rPr>
          <w:rFonts w:ascii="宋体" w:hAnsi="宋体" w:eastAsia="宋体" w:cs="Courier New"/>
          <w:color w:val="auto"/>
          <w:szCs w:val="21"/>
          <w:highlight w:val="none"/>
        </w:rPr>
        <w:t>1、</w:t>
      </w:r>
      <w:r>
        <w:rPr>
          <w:rFonts w:hint="eastAsia" w:ascii="宋体" w:hAnsi="宋体" w:eastAsia="宋体" w:cs="Courier New"/>
          <w:color w:val="auto"/>
          <w:szCs w:val="21"/>
          <w:highlight w:val="none"/>
        </w:rPr>
        <w:t>将按竞争性谈判文件的约定履行合同责任和义务；</w:t>
      </w:r>
    </w:p>
    <w:p>
      <w:pPr>
        <w:spacing w:line="440" w:lineRule="atLeast"/>
        <w:ind w:firstLine="420" w:firstLineChars="200"/>
        <w:rPr>
          <w:rFonts w:ascii="宋体" w:hAnsi="宋体" w:eastAsia="宋体" w:cs="Courier New"/>
          <w:color w:val="auto"/>
          <w:szCs w:val="21"/>
          <w:highlight w:val="none"/>
        </w:rPr>
      </w:pPr>
      <w:r>
        <w:rPr>
          <w:rFonts w:ascii="宋体" w:hAnsi="宋体" w:eastAsia="宋体" w:cs="Courier New"/>
          <w:color w:val="auto"/>
          <w:szCs w:val="21"/>
          <w:highlight w:val="none"/>
        </w:rPr>
        <w:t>2、</w:t>
      </w:r>
      <w:r>
        <w:rPr>
          <w:rFonts w:hint="eastAsia" w:ascii="宋体" w:hAnsi="宋体" w:eastAsia="宋体" w:cs="Courier New"/>
          <w:color w:val="auto"/>
          <w:szCs w:val="21"/>
          <w:highlight w:val="none"/>
        </w:rPr>
        <w:t>已详细审查全部竞争性谈判文件，包括（补遗书）（如果有的话）；我们完全理解并同意放弃对这方面有不明及误解的权利，对竞争性谈判文件的合理性、合法性不再有异议；</w:t>
      </w:r>
    </w:p>
    <w:p>
      <w:pPr>
        <w:spacing w:line="440" w:lineRule="atLeast"/>
        <w:ind w:firstLine="420" w:firstLineChars="200"/>
        <w:rPr>
          <w:rFonts w:ascii="宋体" w:hAnsi="宋体" w:eastAsia="宋体" w:cs="Courier New"/>
          <w:color w:val="auto"/>
          <w:szCs w:val="21"/>
          <w:highlight w:val="none"/>
        </w:rPr>
      </w:pPr>
      <w:r>
        <w:rPr>
          <w:rFonts w:ascii="宋体" w:hAnsi="宋体" w:eastAsia="宋体" w:cs="Courier New"/>
          <w:color w:val="auto"/>
          <w:szCs w:val="21"/>
          <w:highlight w:val="none"/>
        </w:rPr>
        <w:t>3、</w:t>
      </w:r>
      <w:r>
        <w:rPr>
          <w:rFonts w:hint="eastAsia" w:ascii="宋体" w:hAnsi="宋体" w:eastAsia="宋体" w:cs="Courier New"/>
          <w:color w:val="auto"/>
          <w:szCs w:val="21"/>
          <w:highlight w:val="none"/>
        </w:rPr>
        <w:t>同意提供按照贵方可能要求的与其谈判有关的一切数据或资料；</w:t>
      </w:r>
    </w:p>
    <w:p>
      <w:pPr>
        <w:spacing w:line="440" w:lineRule="atLeast"/>
        <w:ind w:firstLine="420" w:firstLineChars="200"/>
        <w:rPr>
          <w:rFonts w:ascii="宋体" w:hAnsi="宋体" w:eastAsia="宋体" w:cs="Courier New"/>
          <w:color w:val="auto"/>
          <w:szCs w:val="21"/>
          <w:highlight w:val="none"/>
        </w:rPr>
      </w:pPr>
      <w:r>
        <w:rPr>
          <w:rFonts w:ascii="宋体" w:hAnsi="宋体" w:eastAsia="宋体" w:cs="Courier New"/>
          <w:color w:val="auto"/>
          <w:szCs w:val="21"/>
          <w:highlight w:val="none"/>
        </w:rPr>
        <w:t>4、</w:t>
      </w:r>
      <w:r>
        <w:rPr>
          <w:rFonts w:hint="eastAsia" w:ascii="宋体" w:hAnsi="宋体" w:eastAsia="宋体" w:cs="Courier New"/>
          <w:color w:val="auto"/>
          <w:szCs w:val="21"/>
          <w:highlight w:val="none"/>
        </w:rPr>
        <w:t>我方在参加政府采购活动前</w:t>
      </w:r>
      <w:r>
        <w:rPr>
          <w:rFonts w:ascii="宋体" w:hAnsi="宋体" w:eastAsia="宋体" w:cs="Courier New"/>
          <w:color w:val="auto"/>
          <w:szCs w:val="21"/>
          <w:highlight w:val="none"/>
        </w:rPr>
        <w:t>3</w:t>
      </w:r>
      <w:r>
        <w:rPr>
          <w:rFonts w:hint="eastAsia" w:ascii="宋体" w:hAnsi="宋体" w:eastAsia="宋体" w:cs="Courier New"/>
          <w:color w:val="auto"/>
          <w:szCs w:val="21"/>
          <w:highlight w:val="none"/>
        </w:rPr>
        <w:t>年内在经营活动中没有重大违法记录；</w:t>
      </w:r>
    </w:p>
    <w:p>
      <w:pPr>
        <w:spacing w:line="440" w:lineRule="atLeast"/>
        <w:ind w:firstLine="420" w:firstLineChars="200"/>
        <w:rPr>
          <w:rFonts w:ascii="宋体" w:hAnsi="宋体" w:eastAsia="宋体" w:cs="Times New Roman"/>
          <w:color w:val="auto"/>
          <w:szCs w:val="20"/>
          <w:highlight w:val="none"/>
          <w:u w:val="single"/>
        </w:rPr>
      </w:pPr>
      <w:r>
        <w:rPr>
          <w:rFonts w:ascii="宋体" w:hAnsi="宋体" w:eastAsia="宋体" w:cs="Times New Roman"/>
          <w:color w:val="auto"/>
          <w:szCs w:val="20"/>
          <w:highlight w:val="none"/>
        </w:rPr>
        <w:t>5、</w:t>
      </w:r>
      <w:r>
        <w:rPr>
          <w:rFonts w:hint="eastAsia" w:ascii="宋体" w:hAnsi="宋体" w:eastAsia="宋体" w:cs="Times New Roman"/>
          <w:color w:val="auto"/>
          <w:szCs w:val="20"/>
          <w:highlight w:val="none"/>
        </w:rPr>
        <w:t>与本谈判有关的一切正式往来信函请寄：</w:t>
      </w:r>
      <w:r>
        <w:rPr>
          <w:rFonts w:hint="eastAsia" w:ascii="宋体" w:hAnsi="宋体" w:eastAsia="宋体" w:cs="Times New Roman"/>
          <w:color w:val="auto"/>
          <w:szCs w:val="20"/>
          <w:highlight w:val="none"/>
          <w:u w:val="single"/>
        </w:rPr>
        <w:t xml:space="preserve">                  </w:t>
      </w:r>
    </w:p>
    <w:p>
      <w:pPr>
        <w:spacing w:line="440" w:lineRule="atLeast"/>
        <w:ind w:firstLine="840"/>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电话</w:t>
      </w:r>
      <w:r>
        <w:rPr>
          <w:rFonts w:ascii="宋体" w:hAnsi="宋体" w:eastAsia="宋体" w:cs="Times New Roman"/>
          <w:color w:val="auto"/>
          <w:szCs w:val="20"/>
          <w:highlight w:val="none"/>
        </w:rPr>
        <w:t>/</w:t>
      </w:r>
      <w:r>
        <w:rPr>
          <w:rFonts w:hint="eastAsia" w:ascii="宋体" w:hAnsi="宋体" w:eastAsia="宋体" w:cs="Times New Roman"/>
          <w:color w:val="auto"/>
          <w:szCs w:val="20"/>
          <w:highlight w:val="none"/>
        </w:rPr>
        <w:t>传真：</w:t>
      </w:r>
      <w:r>
        <w:rPr>
          <w:rFonts w:hint="eastAsia" w:ascii="宋体" w:hAnsi="宋体" w:eastAsia="宋体" w:cs="Times New Roman"/>
          <w:color w:val="auto"/>
          <w:szCs w:val="20"/>
          <w:highlight w:val="none"/>
          <w:u w:val="single"/>
        </w:rPr>
        <w:t xml:space="preserve">                </w:t>
      </w:r>
      <w:r>
        <w:rPr>
          <w:rFonts w:hint="eastAsia" w:ascii="宋体" w:hAnsi="宋体" w:eastAsia="宋体" w:cs="Times New Roman"/>
          <w:color w:val="auto"/>
          <w:szCs w:val="20"/>
          <w:highlight w:val="none"/>
        </w:rPr>
        <w:t>电子函件：</w:t>
      </w:r>
      <w:r>
        <w:rPr>
          <w:rFonts w:hint="eastAsia" w:ascii="宋体" w:hAnsi="宋体" w:eastAsia="宋体" w:cs="Times New Roman"/>
          <w:color w:val="auto"/>
          <w:szCs w:val="20"/>
          <w:highlight w:val="none"/>
          <w:u w:val="single"/>
        </w:rPr>
        <w:t xml:space="preserve">                </w:t>
      </w:r>
    </w:p>
    <w:p>
      <w:pPr>
        <w:spacing w:line="440" w:lineRule="atLeast"/>
        <w:ind w:firstLine="840"/>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开户银行：</w:t>
      </w:r>
      <w:r>
        <w:rPr>
          <w:rFonts w:hint="eastAsia" w:ascii="宋体" w:hAnsi="宋体" w:eastAsia="宋体" w:cs="Times New Roman"/>
          <w:color w:val="auto"/>
          <w:szCs w:val="20"/>
          <w:highlight w:val="none"/>
          <w:u w:val="single"/>
        </w:rPr>
        <w:t xml:space="preserve">                </w:t>
      </w:r>
      <w:r>
        <w:rPr>
          <w:rFonts w:hint="eastAsia" w:ascii="宋体" w:hAnsi="宋体" w:eastAsia="宋体" w:cs="Times New Roman"/>
          <w:color w:val="auto"/>
          <w:szCs w:val="20"/>
          <w:highlight w:val="none"/>
        </w:rPr>
        <w:t>帐号</w:t>
      </w:r>
      <w:r>
        <w:rPr>
          <w:rFonts w:ascii="宋体" w:hAnsi="宋体" w:eastAsia="宋体" w:cs="Times New Roman"/>
          <w:color w:val="auto"/>
          <w:szCs w:val="20"/>
          <w:highlight w:val="none"/>
        </w:rPr>
        <w:t>/</w:t>
      </w:r>
      <w:r>
        <w:rPr>
          <w:rFonts w:hint="eastAsia" w:ascii="宋体" w:hAnsi="宋体" w:eastAsia="宋体" w:cs="Times New Roman"/>
          <w:color w:val="auto"/>
          <w:szCs w:val="20"/>
          <w:highlight w:val="none"/>
        </w:rPr>
        <w:t>行号：</w:t>
      </w:r>
      <w:r>
        <w:rPr>
          <w:rFonts w:hint="eastAsia" w:ascii="宋体" w:hAnsi="宋体" w:eastAsia="宋体" w:cs="Times New Roman"/>
          <w:color w:val="auto"/>
          <w:szCs w:val="20"/>
          <w:highlight w:val="none"/>
          <w:u w:val="single"/>
        </w:rPr>
        <w:t xml:space="preserve">                </w:t>
      </w:r>
    </w:p>
    <w:p>
      <w:pPr>
        <w:spacing w:line="440" w:lineRule="atLeast"/>
        <w:ind w:firstLine="420" w:firstLineChars="200"/>
        <w:rPr>
          <w:rFonts w:ascii="宋体" w:hAnsi="Times New Roman" w:eastAsia="宋体" w:cs="Times New Roman"/>
          <w:color w:val="auto"/>
          <w:szCs w:val="21"/>
          <w:highlight w:val="none"/>
        </w:rPr>
      </w:pPr>
      <w:r>
        <w:rPr>
          <w:rFonts w:ascii="宋体" w:hAnsi="宋体" w:eastAsia="宋体" w:cs="Times New Roman"/>
          <w:color w:val="auto"/>
          <w:szCs w:val="21"/>
          <w:highlight w:val="none"/>
        </w:rPr>
        <w:t>6、</w:t>
      </w:r>
      <w:r>
        <w:rPr>
          <w:rFonts w:hint="eastAsia" w:ascii="宋体" w:hAnsi="宋体" w:eastAsia="宋体" w:cs="Times New Roman"/>
          <w:color w:val="auto"/>
          <w:szCs w:val="21"/>
          <w:highlight w:val="none"/>
        </w:rPr>
        <w:t>本竞标有效期自竞标截止之日起</w:t>
      </w:r>
      <w:r>
        <w:rPr>
          <w:rFonts w:hint="eastAsia" w:ascii="宋体" w:hAnsi="宋体" w:eastAsia="宋体" w:cs="Times New Roman"/>
          <w:color w:val="auto"/>
          <w:szCs w:val="20"/>
          <w:highlight w:val="none"/>
          <w:u w:val="single"/>
        </w:rPr>
        <w:t xml:space="preserve">    </w:t>
      </w:r>
      <w:r>
        <w:rPr>
          <w:rFonts w:hint="eastAsia" w:ascii="宋体" w:hAnsi="宋体" w:eastAsia="宋体" w:cs="Times New Roman"/>
          <w:color w:val="auto"/>
          <w:szCs w:val="21"/>
          <w:highlight w:val="none"/>
        </w:rPr>
        <w:t>日。</w:t>
      </w:r>
    </w:p>
    <w:p>
      <w:pPr>
        <w:spacing w:line="440" w:lineRule="atLeast"/>
        <w:ind w:firstLine="840"/>
        <w:rPr>
          <w:rFonts w:ascii="宋体" w:hAnsi="宋体" w:eastAsia="宋体" w:cs="Times New Roman"/>
          <w:color w:val="auto"/>
          <w:szCs w:val="20"/>
          <w:highlight w:val="none"/>
        </w:rPr>
      </w:pPr>
    </w:p>
    <w:p>
      <w:pPr>
        <w:spacing w:line="440" w:lineRule="atLeast"/>
        <w:ind w:firstLine="840"/>
        <w:rPr>
          <w:rFonts w:ascii="宋体" w:hAnsi="宋体" w:eastAsia="宋体" w:cs="Times New Roman"/>
          <w:color w:val="auto"/>
          <w:szCs w:val="20"/>
          <w:highlight w:val="none"/>
        </w:rPr>
      </w:pPr>
    </w:p>
    <w:p>
      <w:pPr>
        <w:wordWrap w:val="0"/>
        <w:spacing w:line="440" w:lineRule="exact"/>
        <w:ind w:firstLine="3360" w:firstLineChars="1600"/>
        <w:rPr>
          <w:rFonts w:ascii="宋体" w:hAnsi="宋体" w:eastAsia="宋体" w:cs="Times New Roman"/>
          <w:color w:val="auto"/>
          <w:szCs w:val="20"/>
          <w:highlight w:val="none"/>
          <w:u w:val="single"/>
        </w:rPr>
      </w:pPr>
      <w:r>
        <w:rPr>
          <w:rFonts w:hint="eastAsia" w:ascii="宋体" w:hAnsi="宋体" w:eastAsia="宋体" w:cs="Times New Roman"/>
          <w:color w:val="auto"/>
          <w:szCs w:val="20"/>
          <w:highlight w:val="none"/>
        </w:rPr>
        <w:t>竞标人名称（盖章）：</w:t>
      </w:r>
      <w:r>
        <w:rPr>
          <w:rFonts w:hint="eastAsia" w:ascii="宋体" w:hAnsi="宋体" w:eastAsia="宋体" w:cs="Times New Roman"/>
          <w:color w:val="auto"/>
          <w:szCs w:val="20"/>
          <w:highlight w:val="none"/>
          <w:u w:val="single"/>
        </w:rPr>
        <w:t xml:space="preserve">                            </w:t>
      </w:r>
    </w:p>
    <w:p>
      <w:pPr>
        <w:wordWrap w:val="0"/>
        <w:spacing w:line="440" w:lineRule="exact"/>
        <w:ind w:firstLine="3360" w:firstLineChars="1600"/>
        <w:rPr>
          <w:rFonts w:ascii="宋体" w:hAnsi="宋体" w:eastAsia="宋体" w:cs="Times New Roman"/>
          <w:color w:val="auto"/>
          <w:szCs w:val="20"/>
          <w:highlight w:val="none"/>
          <w:u w:val="single"/>
        </w:rPr>
      </w:pPr>
    </w:p>
    <w:p>
      <w:pPr>
        <w:wordWrap w:val="0"/>
        <w:spacing w:line="440" w:lineRule="exact"/>
        <w:ind w:firstLine="3360" w:firstLineChars="1600"/>
        <w:rPr>
          <w:rFonts w:ascii="宋体" w:hAnsi="宋体" w:eastAsia="宋体" w:cs="Times New Roman"/>
          <w:color w:val="auto"/>
          <w:szCs w:val="20"/>
          <w:highlight w:val="none"/>
          <w:u w:val="single"/>
        </w:rPr>
      </w:pPr>
      <w:r>
        <w:rPr>
          <w:rFonts w:hint="eastAsia" w:ascii="宋体" w:hAnsi="宋体" w:eastAsia="宋体" w:cs="Times New Roman"/>
          <w:color w:val="auto"/>
          <w:szCs w:val="20"/>
          <w:highlight w:val="none"/>
        </w:rPr>
        <w:t>法定代表人或授权代表签字</w:t>
      </w:r>
      <w:r>
        <w:rPr>
          <w:rFonts w:ascii="宋体" w:hAnsi="宋体" w:eastAsia="宋体" w:cs="Times New Roman"/>
          <w:color w:val="auto"/>
          <w:szCs w:val="20"/>
          <w:highlight w:val="none"/>
        </w:rPr>
        <w:t>：</w:t>
      </w:r>
      <w:r>
        <w:rPr>
          <w:rFonts w:hint="eastAsia" w:ascii="宋体" w:hAnsi="宋体" w:eastAsia="宋体" w:cs="Times New Roman"/>
          <w:color w:val="auto"/>
          <w:szCs w:val="20"/>
          <w:highlight w:val="none"/>
          <w:u w:val="single"/>
        </w:rPr>
        <w:t xml:space="preserve">                       </w:t>
      </w:r>
    </w:p>
    <w:p>
      <w:pPr>
        <w:spacing w:line="440" w:lineRule="exact"/>
        <w:ind w:firstLine="4935" w:firstLineChars="2350"/>
        <w:rPr>
          <w:rFonts w:ascii="宋体" w:hAnsi="宋体" w:eastAsia="宋体" w:cs="Times New Roman"/>
          <w:color w:val="auto"/>
          <w:szCs w:val="20"/>
          <w:highlight w:val="none"/>
          <w:u w:val="single"/>
        </w:rPr>
      </w:pPr>
    </w:p>
    <w:p>
      <w:pPr>
        <w:ind w:firstLine="3360" w:firstLineChars="1600"/>
        <w:rPr>
          <w:rFonts w:ascii="宋体" w:hAnsi="Times New Roman" w:eastAsia="宋体" w:cs="Times New Roman"/>
          <w:color w:val="auto"/>
          <w:sz w:val="24"/>
          <w:szCs w:val="24"/>
          <w:highlight w:val="none"/>
        </w:rPr>
      </w:pPr>
      <w:r>
        <w:rPr>
          <w:rFonts w:hint="eastAsia" w:ascii="Times New Roman" w:hAnsi="宋体" w:eastAsia="宋体" w:cs="宋体"/>
          <w:color w:val="auto"/>
          <w:kern w:val="0"/>
          <w:szCs w:val="21"/>
          <w:highlight w:val="none"/>
        </w:rPr>
        <w:t>日期：</w:t>
      </w:r>
      <w:r>
        <w:rPr>
          <w:rFonts w:hint="eastAsia" w:ascii="Times New Roman" w:hAnsi="宋体" w:eastAsia="宋体" w:cs="宋体"/>
          <w:color w:val="auto"/>
          <w:kern w:val="0"/>
          <w:szCs w:val="21"/>
          <w:highlight w:val="none"/>
          <w:u w:val="single"/>
        </w:rPr>
        <w:t xml:space="preserve">     </w:t>
      </w:r>
      <w:r>
        <w:rPr>
          <w:rFonts w:hint="eastAsia" w:ascii="Times New Roman" w:hAnsi="宋体" w:eastAsia="宋体" w:cs="Times New Roman"/>
          <w:color w:val="auto"/>
          <w:szCs w:val="24"/>
          <w:highlight w:val="none"/>
        </w:rPr>
        <w:t>年</w:t>
      </w:r>
      <w:r>
        <w:rPr>
          <w:rFonts w:hint="eastAsia" w:ascii="Times New Roman" w:hAnsi="宋体" w:eastAsia="宋体" w:cs="Times New Roman"/>
          <w:color w:val="auto"/>
          <w:szCs w:val="24"/>
          <w:highlight w:val="none"/>
          <w:u w:val="single"/>
        </w:rPr>
        <w:t xml:space="preserve">   </w:t>
      </w:r>
      <w:r>
        <w:rPr>
          <w:rFonts w:hint="eastAsia" w:ascii="Times New Roman" w:hAnsi="宋体" w:eastAsia="宋体" w:cs="Times New Roman"/>
          <w:color w:val="auto"/>
          <w:szCs w:val="24"/>
          <w:highlight w:val="none"/>
        </w:rPr>
        <w:t>月</w:t>
      </w:r>
      <w:r>
        <w:rPr>
          <w:rFonts w:hint="eastAsia" w:ascii="Times New Roman" w:hAnsi="宋体" w:eastAsia="宋体" w:cs="Times New Roman"/>
          <w:color w:val="auto"/>
          <w:szCs w:val="24"/>
          <w:highlight w:val="none"/>
          <w:u w:val="single"/>
        </w:rPr>
        <w:t xml:space="preserve">   </w:t>
      </w:r>
      <w:r>
        <w:rPr>
          <w:rFonts w:hint="eastAsia" w:ascii="Times New Roman" w:hAnsi="宋体" w:eastAsia="宋体" w:cs="Times New Roman"/>
          <w:color w:val="auto"/>
          <w:szCs w:val="24"/>
          <w:highlight w:val="none"/>
        </w:rPr>
        <w:t>日</w:t>
      </w:r>
      <w:r>
        <w:rPr>
          <w:rFonts w:ascii="宋体" w:hAnsi="宋体" w:eastAsia="宋体" w:cs="Times New Roman"/>
          <w:color w:val="auto"/>
          <w:sz w:val="24"/>
          <w:szCs w:val="24"/>
          <w:highlight w:val="none"/>
        </w:rPr>
        <w:br w:type="page"/>
      </w:r>
      <w:r>
        <w:rPr>
          <w:rFonts w:hint="eastAsia" w:ascii="Times New Roman" w:hAnsi="宋体" w:eastAsia="宋体" w:cs="Times New Roman"/>
          <w:b/>
          <w:bCs/>
          <w:color w:val="auto"/>
          <w:sz w:val="24"/>
          <w:szCs w:val="24"/>
          <w:highlight w:val="none"/>
        </w:rPr>
        <w:t>附件三</w:t>
      </w:r>
    </w:p>
    <w:p>
      <w:pPr>
        <w:snapToGrid w:val="0"/>
        <w:jc w:val="center"/>
        <w:rPr>
          <w:rFonts w:ascii="宋体" w:hAnsi="Times New Roman" w:eastAsia="宋体" w:cs="Times New Roman"/>
          <w:b/>
          <w:color w:val="auto"/>
          <w:sz w:val="28"/>
          <w:szCs w:val="28"/>
          <w:highlight w:val="none"/>
        </w:rPr>
      </w:pPr>
      <w:r>
        <w:rPr>
          <w:rFonts w:hint="eastAsia" w:ascii="宋体" w:hAnsi="宋体" w:eastAsia="宋体" w:cs="Times New Roman"/>
          <w:b/>
          <w:color w:val="auto"/>
          <w:sz w:val="28"/>
          <w:szCs w:val="28"/>
          <w:highlight w:val="none"/>
        </w:rPr>
        <w:t>竞标声明书</w:t>
      </w:r>
    </w:p>
    <w:p>
      <w:pPr>
        <w:snapToGrid w:val="0"/>
        <w:rPr>
          <w:rFonts w:ascii="宋体" w:hAnsi="Times New Roman" w:eastAsia="宋体" w:cs="Times New Roman"/>
          <w:color w:val="auto"/>
          <w:sz w:val="24"/>
          <w:szCs w:val="24"/>
          <w:highlight w:val="none"/>
        </w:rPr>
      </w:pPr>
    </w:p>
    <w:p>
      <w:pPr>
        <w:spacing w:line="440" w:lineRule="exac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致：</w:t>
      </w:r>
      <w:r>
        <w:rPr>
          <w:rFonts w:hint="eastAsia" w:ascii="宋体" w:hAnsi="宋体" w:eastAsia="宋体" w:cs="Times New Roman"/>
          <w:color w:val="auto"/>
          <w:szCs w:val="21"/>
          <w:highlight w:val="none"/>
          <w:u w:val="single"/>
        </w:rPr>
        <w:t>（采购单位名称）</w:t>
      </w:r>
      <w:r>
        <w:rPr>
          <w:rFonts w:hint="eastAsia" w:ascii="宋体" w:hAnsi="宋体" w:eastAsia="宋体" w:cs="Times New Roman"/>
          <w:color w:val="auto"/>
          <w:szCs w:val="21"/>
          <w:highlight w:val="none"/>
        </w:rPr>
        <w:t>：</w:t>
      </w:r>
    </w:p>
    <w:p>
      <w:pPr>
        <w:spacing w:line="440" w:lineRule="exact"/>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u w:val="single"/>
        </w:rPr>
        <w:t>　（竞标人名称）</w:t>
      </w:r>
      <w:r>
        <w:rPr>
          <w:rFonts w:hint="eastAsia" w:ascii="宋体" w:hAnsi="宋体" w:eastAsia="宋体" w:cs="Times New Roman"/>
          <w:color w:val="auto"/>
          <w:szCs w:val="21"/>
          <w:highlight w:val="none"/>
        </w:rPr>
        <w:t>系中华人民共和国合法企业，经营地址</w:t>
      </w:r>
      <w:r>
        <w:rPr>
          <w:rFonts w:hint="eastAsia" w:ascii="宋体" w:hAnsi="宋体" w:eastAsia="宋体" w:cs="Times New Roman"/>
          <w:color w:val="auto"/>
          <w:szCs w:val="20"/>
          <w:highlight w:val="none"/>
          <w:u w:val="single"/>
        </w:rPr>
        <w:t xml:space="preserve">           </w:t>
      </w:r>
      <w:r>
        <w:rPr>
          <w:rFonts w:hint="eastAsia" w:ascii="宋体" w:hAnsi="宋体" w:eastAsia="宋体" w:cs="Times New Roman"/>
          <w:color w:val="auto"/>
          <w:szCs w:val="21"/>
          <w:highlight w:val="none"/>
        </w:rPr>
        <w:t>。</w:t>
      </w:r>
    </w:p>
    <w:p>
      <w:pPr>
        <w:spacing w:line="440" w:lineRule="exact"/>
        <w:ind w:left="210" w:leftChars="100" w:firstLine="210" w:firstLineChars="1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我</w:t>
      </w:r>
      <w:r>
        <w:rPr>
          <w:rFonts w:hint="eastAsia" w:ascii="宋体" w:hAnsi="宋体" w:eastAsia="宋体" w:cs="Times New Roman"/>
          <w:color w:val="auto"/>
          <w:szCs w:val="21"/>
          <w:highlight w:val="none"/>
          <w:u w:val="single"/>
        </w:rPr>
        <w:t>　（姓名）</w:t>
      </w:r>
      <w:r>
        <w:rPr>
          <w:rFonts w:hint="eastAsia" w:ascii="宋体" w:hAnsi="宋体" w:eastAsia="宋体" w:cs="Times New Roman"/>
          <w:color w:val="auto"/>
          <w:szCs w:val="21"/>
          <w:highlight w:val="none"/>
        </w:rPr>
        <w:t>系</w:t>
      </w:r>
      <w:r>
        <w:rPr>
          <w:rFonts w:ascii="宋体" w:hAnsi="宋体" w:eastAsia="宋体" w:cs="Times New Roman"/>
          <w:color w:val="auto"/>
          <w:szCs w:val="21"/>
          <w:highlight w:val="none"/>
        </w:rPr>
        <w:t>_</w:t>
      </w:r>
      <w:r>
        <w:rPr>
          <w:rFonts w:ascii="宋体" w:hAnsi="宋体" w:eastAsia="宋体" w:cs="Times New Roman"/>
          <w:color w:val="auto"/>
          <w:szCs w:val="21"/>
          <w:highlight w:val="none"/>
          <w:u w:val="single"/>
        </w:rPr>
        <w:t>_</w:t>
      </w:r>
      <w:r>
        <w:rPr>
          <w:rFonts w:hint="eastAsia" w:ascii="宋体" w:hAnsi="宋体" w:eastAsia="宋体" w:cs="Times New Roman"/>
          <w:color w:val="auto"/>
          <w:szCs w:val="21"/>
          <w:highlight w:val="none"/>
          <w:u w:val="single"/>
        </w:rPr>
        <w:t>（竞标人名称）</w:t>
      </w:r>
      <w:r>
        <w:rPr>
          <w:rFonts w:hint="eastAsia" w:ascii="宋体" w:hAnsi="宋体" w:eastAsia="宋体" w:cs="Times New Roman"/>
          <w:color w:val="auto"/>
          <w:szCs w:val="21"/>
          <w:highlight w:val="none"/>
        </w:rPr>
        <w:t>的法定代表人，我方愿意参加贵方组织的</w:t>
      </w:r>
      <w:r>
        <w:rPr>
          <w:rFonts w:hint="eastAsia" w:ascii="宋体" w:hAnsi="宋体" w:eastAsia="宋体" w:cs="Times New Roman"/>
          <w:color w:val="auto"/>
          <w:szCs w:val="20"/>
          <w:highlight w:val="none"/>
          <w:u w:val="single"/>
        </w:rPr>
        <w:t>（项目名称</w:t>
      </w:r>
      <w:r>
        <w:rPr>
          <w:rFonts w:ascii="宋体" w:hAnsi="宋体" w:eastAsia="宋体" w:cs="Times New Roman"/>
          <w:color w:val="auto"/>
          <w:szCs w:val="20"/>
          <w:highlight w:val="none"/>
          <w:u w:val="single"/>
        </w:rPr>
        <w:t>/项目</w:t>
      </w:r>
      <w:r>
        <w:rPr>
          <w:rFonts w:hint="eastAsia" w:ascii="宋体" w:hAnsi="宋体" w:eastAsia="宋体" w:cs="Times New Roman"/>
          <w:color w:val="auto"/>
          <w:szCs w:val="20"/>
          <w:highlight w:val="none"/>
          <w:u w:val="single"/>
        </w:rPr>
        <w:t>编号）</w:t>
      </w:r>
      <w:r>
        <w:rPr>
          <w:rFonts w:hint="eastAsia" w:ascii="宋体" w:hAnsi="宋体" w:eastAsia="宋体" w:cs="Times New Roman"/>
          <w:color w:val="auto"/>
          <w:szCs w:val="21"/>
          <w:highlight w:val="none"/>
        </w:rPr>
        <w:t>项目的竞标，为便于贵方公正、择优地确定成交供应商及其竞标产品和服务，我方就本次竞标有关事项郑重声明如下：</w:t>
      </w:r>
    </w:p>
    <w:p>
      <w:pPr>
        <w:spacing w:line="440" w:lineRule="exact"/>
        <w:ind w:firstLine="420" w:firstLineChars="200"/>
        <w:jc w:val="left"/>
        <w:rPr>
          <w:rFonts w:ascii="宋体" w:hAnsi="Times New Roman"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我方向贵方提交的所有响应文件、资料都是准确的和真实的。</w:t>
      </w:r>
    </w:p>
    <w:p>
      <w:pPr>
        <w:spacing w:line="440" w:lineRule="exact"/>
        <w:ind w:firstLine="420" w:firstLineChars="200"/>
        <w:jc w:val="left"/>
        <w:rPr>
          <w:rFonts w:ascii="宋体" w:hAnsi="Times New Roman"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我方不是采购人的附属机构；在获知本项目采购信息后，与采购人聘请的为此项目提供咨询服务的公司及其附属机构没有任何联系。</w:t>
      </w:r>
    </w:p>
    <w:p>
      <w:pPr>
        <w:spacing w:line="440" w:lineRule="exact"/>
        <w:ind w:firstLine="420" w:firstLineChars="200"/>
        <w:jc w:val="left"/>
        <w:rPr>
          <w:rFonts w:ascii="宋体" w:hAnsi="Times New Roman"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我方及由本人担任法定代表人的其他机构最近三年内被通报或者被处罚的违法行为有：</w:t>
      </w:r>
      <w:r>
        <w:rPr>
          <w:rFonts w:hint="eastAsia" w:ascii="宋体" w:hAnsi="宋体" w:eastAsia="宋体" w:cs="Times New Roman"/>
          <w:color w:val="auto"/>
          <w:szCs w:val="21"/>
          <w:highlight w:val="none"/>
          <w:u w:val="single"/>
        </w:rPr>
        <w:t>　　</w:t>
      </w:r>
      <w:r>
        <w:rPr>
          <w:rFonts w:hint="eastAsia" w:ascii="宋体" w:hAnsi="宋体" w:eastAsia="宋体" w:cs="Times New Roman"/>
          <w:color w:val="auto"/>
          <w:szCs w:val="21"/>
          <w:highlight w:val="none"/>
        </w:rPr>
        <w:t>。</w:t>
      </w:r>
    </w:p>
    <w:p>
      <w:pPr>
        <w:spacing w:line="440" w:lineRule="exact"/>
        <w:ind w:firstLine="420" w:firstLineChars="200"/>
        <w:jc w:val="left"/>
        <w:rPr>
          <w:rFonts w:ascii="宋体" w:hAnsi="Times New Roman"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我方在“信用中国”或“中国政府采购网”的被列为</w:t>
      </w:r>
      <w:r>
        <w:rPr>
          <w:rFonts w:hint="eastAsia" w:ascii="Times New Roman" w:hAnsi="Times New Roman" w:eastAsia="宋体" w:cs="Arial"/>
          <w:bCs/>
          <w:color w:val="auto"/>
          <w:szCs w:val="21"/>
          <w:highlight w:val="none"/>
        </w:rPr>
        <w:t>失信被执行人、重大税收违法案件当事人名单、政府采购严重违法失信行为记录名单情况：</w:t>
      </w:r>
      <w:r>
        <w:rPr>
          <w:rFonts w:hint="eastAsia" w:ascii="宋体" w:hAnsi="宋体" w:eastAsia="宋体" w:cs="Times New Roman"/>
          <w:color w:val="auto"/>
          <w:szCs w:val="20"/>
          <w:highlight w:val="none"/>
          <w:u w:val="single"/>
        </w:rPr>
        <w:t xml:space="preserve">              </w:t>
      </w:r>
      <w:r>
        <w:rPr>
          <w:rFonts w:hint="eastAsia" w:ascii="Times New Roman" w:hAnsi="Times New Roman" w:eastAsia="宋体" w:cs="Arial"/>
          <w:bCs/>
          <w:color w:val="auto"/>
          <w:szCs w:val="21"/>
          <w:highlight w:val="none"/>
        </w:rPr>
        <w:t>。</w:t>
      </w:r>
    </w:p>
    <w:p>
      <w:pPr>
        <w:spacing w:line="440" w:lineRule="exact"/>
        <w:ind w:firstLine="420" w:firstLineChars="200"/>
        <w:jc w:val="left"/>
        <w:rPr>
          <w:rFonts w:ascii="宋体" w:hAnsi="Times New Roman" w:eastAsia="宋体" w:cs="Times New Roman"/>
          <w:color w:val="auto"/>
          <w:szCs w:val="21"/>
          <w:highlight w:val="non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以上事项如有虚假或隐瞒，我方愿意承担一切后果，并不再寻求任何旨在减轻或免除法律责任的辩解。</w:t>
      </w:r>
    </w:p>
    <w:p>
      <w:pPr>
        <w:tabs>
          <w:tab w:val="left" w:pos="939"/>
        </w:tabs>
        <w:spacing w:line="440" w:lineRule="exact"/>
        <w:ind w:left="401" w:hanging="401" w:hangingChars="191"/>
        <w:rPr>
          <w:rFonts w:ascii="宋体" w:hAnsi="Times New Roman" w:eastAsia="宋体" w:cs="Times New Roman"/>
          <w:color w:val="auto"/>
          <w:szCs w:val="21"/>
          <w:highlight w:val="none"/>
        </w:rPr>
      </w:pPr>
    </w:p>
    <w:p>
      <w:pPr>
        <w:tabs>
          <w:tab w:val="left" w:pos="939"/>
        </w:tabs>
        <w:spacing w:line="440" w:lineRule="exact"/>
        <w:ind w:left="401" w:hanging="401" w:hangingChars="191"/>
        <w:rPr>
          <w:rFonts w:ascii="宋体" w:hAnsi="Times New Roman" w:eastAsia="宋体" w:cs="Times New Roman"/>
          <w:color w:val="auto"/>
          <w:szCs w:val="21"/>
          <w:highlight w:val="none"/>
        </w:rPr>
      </w:pPr>
    </w:p>
    <w:p>
      <w:pPr>
        <w:tabs>
          <w:tab w:val="left" w:pos="939"/>
        </w:tabs>
        <w:spacing w:line="440" w:lineRule="exact"/>
        <w:ind w:left="401" w:hanging="401" w:hangingChars="191"/>
        <w:rPr>
          <w:rFonts w:ascii="宋体" w:hAnsi="Times New Roman" w:eastAsia="宋体" w:cs="Times New Roman"/>
          <w:color w:val="auto"/>
          <w:szCs w:val="21"/>
          <w:highlight w:val="none"/>
        </w:rPr>
      </w:pPr>
    </w:p>
    <w:p>
      <w:pPr>
        <w:tabs>
          <w:tab w:val="left" w:pos="939"/>
        </w:tabs>
        <w:spacing w:line="440" w:lineRule="exact"/>
        <w:ind w:left="401" w:hanging="401" w:hangingChars="191"/>
        <w:rPr>
          <w:rFonts w:ascii="宋体" w:hAnsi="Times New Roman" w:eastAsia="宋体" w:cs="Times New Roman"/>
          <w:color w:val="auto"/>
          <w:szCs w:val="21"/>
          <w:highlight w:val="none"/>
        </w:rPr>
      </w:pPr>
    </w:p>
    <w:p>
      <w:pPr>
        <w:spacing w:line="440" w:lineRule="exact"/>
        <w:ind w:firstLine="200"/>
        <w:rPr>
          <w:rFonts w:ascii="宋体" w:hAnsi="Tahoma" w:eastAsia="宋体" w:cs="Times New Roman"/>
          <w:color w:val="auto"/>
          <w:szCs w:val="21"/>
          <w:highlight w:val="none"/>
        </w:rPr>
      </w:pPr>
    </w:p>
    <w:p>
      <w:pPr>
        <w:wordWrap w:val="0"/>
        <w:spacing w:line="440" w:lineRule="exact"/>
        <w:ind w:firstLine="3360" w:firstLineChars="1600"/>
        <w:rPr>
          <w:rFonts w:ascii="宋体" w:hAnsi="宋体" w:eastAsia="宋体" w:cs="Times New Roman"/>
          <w:color w:val="auto"/>
          <w:szCs w:val="20"/>
          <w:highlight w:val="none"/>
          <w:u w:val="single"/>
        </w:rPr>
      </w:pPr>
      <w:r>
        <w:rPr>
          <w:rFonts w:hint="eastAsia" w:ascii="宋体" w:hAnsi="宋体" w:eastAsia="宋体" w:cs="Times New Roman"/>
          <w:color w:val="auto"/>
          <w:szCs w:val="20"/>
          <w:highlight w:val="none"/>
        </w:rPr>
        <w:t>竞标人名称（盖章）：</w:t>
      </w:r>
      <w:r>
        <w:rPr>
          <w:rFonts w:hint="eastAsia" w:ascii="宋体" w:hAnsi="宋体" w:eastAsia="宋体" w:cs="Times New Roman"/>
          <w:color w:val="auto"/>
          <w:szCs w:val="20"/>
          <w:highlight w:val="none"/>
          <w:u w:val="single"/>
        </w:rPr>
        <w:t xml:space="preserve">                            </w:t>
      </w:r>
    </w:p>
    <w:p>
      <w:pPr>
        <w:wordWrap w:val="0"/>
        <w:spacing w:line="440" w:lineRule="exact"/>
        <w:ind w:firstLine="3360" w:firstLineChars="1600"/>
        <w:rPr>
          <w:rFonts w:ascii="宋体" w:hAnsi="宋体" w:eastAsia="宋体" w:cs="Times New Roman"/>
          <w:color w:val="auto"/>
          <w:szCs w:val="20"/>
          <w:highlight w:val="none"/>
          <w:u w:val="single"/>
        </w:rPr>
      </w:pPr>
    </w:p>
    <w:p>
      <w:pPr>
        <w:wordWrap w:val="0"/>
        <w:spacing w:line="440" w:lineRule="exact"/>
        <w:ind w:firstLine="3360" w:firstLineChars="1600"/>
        <w:rPr>
          <w:rFonts w:ascii="宋体" w:hAnsi="宋体" w:eastAsia="宋体" w:cs="Times New Roman"/>
          <w:color w:val="auto"/>
          <w:szCs w:val="20"/>
          <w:highlight w:val="none"/>
          <w:u w:val="single"/>
        </w:rPr>
      </w:pPr>
      <w:r>
        <w:rPr>
          <w:rFonts w:hint="eastAsia" w:ascii="宋体" w:hAnsi="宋体" w:eastAsia="宋体" w:cs="Times New Roman"/>
          <w:color w:val="auto"/>
          <w:szCs w:val="20"/>
          <w:highlight w:val="none"/>
        </w:rPr>
        <w:t>法定代表人或授权代表签字</w:t>
      </w:r>
      <w:r>
        <w:rPr>
          <w:rFonts w:ascii="宋体" w:hAnsi="宋体" w:eastAsia="宋体" w:cs="Times New Roman"/>
          <w:color w:val="auto"/>
          <w:szCs w:val="20"/>
          <w:highlight w:val="none"/>
        </w:rPr>
        <w:t>：</w:t>
      </w:r>
      <w:r>
        <w:rPr>
          <w:rFonts w:hint="eastAsia" w:ascii="宋体" w:hAnsi="宋体" w:eastAsia="宋体" w:cs="Times New Roman"/>
          <w:color w:val="auto"/>
          <w:szCs w:val="20"/>
          <w:highlight w:val="none"/>
          <w:u w:val="single"/>
        </w:rPr>
        <w:t xml:space="preserve">                       </w:t>
      </w:r>
    </w:p>
    <w:p>
      <w:pPr>
        <w:spacing w:line="440" w:lineRule="exact"/>
        <w:ind w:firstLine="4935" w:firstLineChars="2350"/>
        <w:rPr>
          <w:rFonts w:ascii="宋体" w:hAnsi="宋体" w:eastAsia="宋体" w:cs="Times New Roman"/>
          <w:color w:val="auto"/>
          <w:szCs w:val="20"/>
          <w:highlight w:val="none"/>
          <w:u w:val="single"/>
        </w:rPr>
      </w:pPr>
    </w:p>
    <w:p>
      <w:pPr>
        <w:ind w:firstLine="3360" w:firstLineChars="1600"/>
        <w:rPr>
          <w:rFonts w:ascii="Times New Roman" w:hAnsi="宋体" w:eastAsia="宋体" w:cs="Times New Roman"/>
          <w:color w:val="auto"/>
          <w:sz w:val="24"/>
          <w:szCs w:val="24"/>
          <w:highlight w:val="none"/>
        </w:rPr>
      </w:pPr>
      <w:r>
        <w:rPr>
          <w:rFonts w:hint="eastAsia" w:ascii="Times New Roman" w:hAnsi="宋体" w:eastAsia="宋体" w:cs="宋体"/>
          <w:color w:val="auto"/>
          <w:kern w:val="0"/>
          <w:szCs w:val="21"/>
          <w:highlight w:val="none"/>
        </w:rPr>
        <w:t>日期：</w:t>
      </w:r>
      <w:r>
        <w:rPr>
          <w:rFonts w:hint="eastAsia" w:ascii="Times New Roman" w:hAnsi="宋体" w:eastAsia="宋体" w:cs="宋体"/>
          <w:color w:val="auto"/>
          <w:kern w:val="0"/>
          <w:szCs w:val="21"/>
          <w:highlight w:val="none"/>
          <w:u w:val="single"/>
        </w:rPr>
        <w:t xml:space="preserve">       </w:t>
      </w:r>
      <w:r>
        <w:rPr>
          <w:rFonts w:hint="eastAsia" w:ascii="Times New Roman" w:hAnsi="宋体" w:eastAsia="宋体" w:cs="Times New Roman"/>
          <w:color w:val="auto"/>
          <w:szCs w:val="24"/>
          <w:highlight w:val="none"/>
        </w:rPr>
        <w:t>年</w:t>
      </w:r>
      <w:r>
        <w:rPr>
          <w:rFonts w:hint="eastAsia" w:ascii="Times New Roman" w:hAnsi="宋体" w:eastAsia="宋体" w:cs="Times New Roman"/>
          <w:color w:val="auto"/>
          <w:szCs w:val="24"/>
          <w:highlight w:val="none"/>
          <w:u w:val="single"/>
        </w:rPr>
        <w:t xml:space="preserve">     </w:t>
      </w:r>
      <w:r>
        <w:rPr>
          <w:rFonts w:hint="eastAsia" w:ascii="Times New Roman" w:hAnsi="宋体" w:eastAsia="宋体" w:cs="Times New Roman"/>
          <w:color w:val="auto"/>
          <w:szCs w:val="24"/>
          <w:highlight w:val="none"/>
        </w:rPr>
        <w:t>月</w:t>
      </w:r>
      <w:r>
        <w:rPr>
          <w:rFonts w:hint="eastAsia" w:ascii="Times New Roman" w:hAnsi="宋体" w:eastAsia="宋体" w:cs="Times New Roman"/>
          <w:color w:val="auto"/>
          <w:szCs w:val="24"/>
          <w:highlight w:val="none"/>
          <w:u w:val="single"/>
        </w:rPr>
        <w:t xml:space="preserve">     </w:t>
      </w:r>
      <w:r>
        <w:rPr>
          <w:rFonts w:hint="eastAsia" w:ascii="Times New Roman" w:hAnsi="宋体" w:eastAsia="宋体" w:cs="Times New Roman"/>
          <w:color w:val="auto"/>
          <w:szCs w:val="24"/>
          <w:highlight w:val="none"/>
        </w:rPr>
        <w:t>日</w:t>
      </w:r>
      <w:r>
        <w:rPr>
          <w:rFonts w:ascii="Times New Roman" w:hAnsi="宋体" w:eastAsia="宋体" w:cs="Times New Roman"/>
          <w:color w:val="auto"/>
          <w:sz w:val="24"/>
          <w:szCs w:val="24"/>
          <w:highlight w:val="none"/>
        </w:rPr>
        <w:br w:type="page"/>
      </w:r>
      <w:r>
        <w:rPr>
          <w:rFonts w:hint="eastAsia" w:ascii="Times New Roman" w:hAnsi="宋体" w:eastAsia="宋体" w:cs="Times New Roman"/>
          <w:b/>
          <w:bCs/>
          <w:color w:val="auto"/>
          <w:sz w:val="24"/>
          <w:szCs w:val="24"/>
          <w:highlight w:val="none"/>
        </w:rPr>
        <w:t>附件四</w:t>
      </w:r>
    </w:p>
    <w:p>
      <w:pPr>
        <w:adjustRightInd w:val="0"/>
        <w:snapToGrid w:val="0"/>
        <w:jc w:val="center"/>
        <w:rPr>
          <w:rFonts w:ascii="宋体" w:hAnsi="Times New Roman" w:eastAsia="宋体" w:cs="Times New Roman"/>
          <w:b/>
          <w:color w:val="auto"/>
          <w:sz w:val="28"/>
          <w:szCs w:val="28"/>
          <w:highlight w:val="none"/>
        </w:rPr>
      </w:pPr>
      <w:r>
        <w:rPr>
          <w:rFonts w:hint="eastAsia" w:ascii="宋体" w:hAnsi="宋体" w:eastAsia="宋体" w:cs="Times New Roman"/>
          <w:b/>
          <w:color w:val="auto"/>
          <w:sz w:val="28"/>
          <w:szCs w:val="28"/>
          <w:highlight w:val="none"/>
        </w:rPr>
        <w:t>法定代表人授权书</w:t>
      </w:r>
    </w:p>
    <w:p>
      <w:pPr>
        <w:adjustRightInd w:val="0"/>
        <w:snapToGrid w:val="0"/>
        <w:jc w:val="center"/>
        <w:rPr>
          <w:rFonts w:ascii="宋体" w:hAnsi="Times New Roman" w:eastAsia="宋体" w:cs="Times New Roman"/>
          <w:b/>
          <w:color w:val="auto"/>
          <w:sz w:val="28"/>
          <w:szCs w:val="28"/>
          <w:highlight w:val="none"/>
        </w:rPr>
      </w:pPr>
    </w:p>
    <w:p>
      <w:pPr>
        <w:adjustRightInd w:val="0"/>
        <w:snapToGrid w:val="0"/>
        <w:rPr>
          <w:rFonts w:ascii="宋体" w:hAnsi="Times New Roman" w:eastAsia="宋体" w:cs="Times New Roman"/>
          <w:color w:val="auto"/>
          <w:sz w:val="24"/>
          <w:szCs w:val="24"/>
          <w:highlight w:val="none"/>
        </w:rPr>
      </w:pPr>
    </w:p>
    <w:p>
      <w:pPr>
        <w:spacing w:line="440" w:lineRule="exac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致：</w:t>
      </w:r>
      <w:r>
        <w:rPr>
          <w:rFonts w:hint="eastAsia" w:ascii="宋体" w:hAnsi="宋体" w:eastAsia="宋体" w:cs="Times New Roman"/>
          <w:color w:val="auto"/>
          <w:szCs w:val="21"/>
          <w:highlight w:val="none"/>
          <w:u w:val="single"/>
        </w:rPr>
        <w:t>（采购单位或代理机构）</w:t>
      </w:r>
      <w:r>
        <w:rPr>
          <w:rFonts w:hint="eastAsia" w:ascii="宋体" w:hAnsi="宋体" w:eastAsia="宋体" w:cs="Times New Roman"/>
          <w:color w:val="auto"/>
          <w:szCs w:val="21"/>
          <w:highlight w:val="none"/>
        </w:rPr>
        <w:t>：</w:t>
      </w:r>
    </w:p>
    <w:p>
      <w:pPr>
        <w:spacing w:line="440" w:lineRule="exact"/>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我</w:t>
      </w:r>
      <w:r>
        <w:rPr>
          <w:rFonts w:hint="eastAsia" w:ascii="宋体" w:hAnsi="宋体" w:eastAsia="宋体" w:cs="Times New Roman"/>
          <w:color w:val="auto"/>
          <w:szCs w:val="21"/>
          <w:highlight w:val="none"/>
          <w:u w:val="single"/>
        </w:rPr>
        <w:t>（法定代表人名字）</w:t>
      </w:r>
      <w:r>
        <w:rPr>
          <w:rFonts w:hint="eastAsia" w:ascii="宋体" w:hAnsi="宋体" w:eastAsia="宋体" w:cs="Times New Roman"/>
          <w:color w:val="auto"/>
          <w:szCs w:val="21"/>
          <w:highlight w:val="none"/>
        </w:rPr>
        <w:t>系</w:t>
      </w:r>
      <w:r>
        <w:rPr>
          <w:rFonts w:hint="eastAsia" w:ascii="宋体" w:hAnsi="宋体" w:eastAsia="宋体" w:cs="Times New Roman"/>
          <w:color w:val="auto"/>
          <w:szCs w:val="21"/>
          <w:highlight w:val="none"/>
          <w:u w:val="single"/>
        </w:rPr>
        <w:t>（单位名称）</w:t>
      </w:r>
      <w:r>
        <w:rPr>
          <w:rFonts w:hint="eastAsia" w:ascii="宋体" w:hAnsi="宋体" w:eastAsia="宋体" w:cs="Times New Roman"/>
          <w:color w:val="auto"/>
          <w:szCs w:val="21"/>
          <w:highlight w:val="none"/>
        </w:rPr>
        <w:t>的法定代表人，现授权委托</w:t>
      </w:r>
      <w:r>
        <w:rPr>
          <w:rFonts w:hint="eastAsia" w:ascii="宋体" w:hAnsi="宋体" w:eastAsia="宋体" w:cs="Times New Roman"/>
          <w:color w:val="auto"/>
          <w:szCs w:val="21"/>
          <w:highlight w:val="none"/>
          <w:u w:val="single"/>
        </w:rPr>
        <w:t>（被授权人名字）</w:t>
      </w:r>
      <w:r>
        <w:rPr>
          <w:rFonts w:hint="eastAsia" w:ascii="宋体" w:hAnsi="宋体" w:eastAsia="宋体" w:cs="Times New Roman"/>
          <w:color w:val="auto"/>
          <w:szCs w:val="21"/>
          <w:highlight w:val="none"/>
        </w:rPr>
        <w:t>以我方的名义参加</w:t>
      </w:r>
      <w:r>
        <w:rPr>
          <w:rFonts w:hint="eastAsia" w:ascii="宋体" w:hAnsi="宋体" w:eastAsia="宋体" w:cs="Times New Roman"/>
          <w:color w:val="auto"/>
          <w:szCs w:val="20"/>
          <w:highlight w:val="none"/>
          <w:u w:val="single"/>
        </w:rPr>
        <w:t>（项目名称</w:t>
      </w:r>
      <w:r>
        <w:rPr>
          <w:rFonts w:ascii="宋体" w:hAnsi="宋体" w:eastAsia="宋体" w:cs="Times New Roman"/>
          <w:color w:val="auto"/>
          <w:szCs w:val="20"/>
          <w:highlight w:val="none"/>
          <w:u w:val="single"/>
        </w:rPr>
        <w:t>/项目</w:t>
      </w:r>
      <w:r>
        <w:rPr>
          <w:rFonts w:hint="eastAsia" w:ascii="宋体" w:hAnsi="宋体" w:eastAsia="宋体" w:cs="Times New Roman"/>
          <w:color w:val="auto"/>
          <w:szCs w:val="20"/>
          <w:highlight w:val="none"/>
          <w:u w:val="single"/>
        </w:rPr>
        <w:t>编号）</w:t>
      </w:r>
      <w:r>
        <w:rPr>
          <w:rFonts w:hint="eastAsia" w:ascii="宋体" w:hAnsi="宋体" w:eastAsia="宋体" w:cs="Times New Roman"/>
          <w:color w:val="auto"/>
          <w:szCs w:val="21"/>
          <w:highlight w:val="none"/>
        </w:rPr>
        <w:t>项目的竞标活动，并代表我方全权办理针对上述项目的竞标、开标、评标、谈判、签约等具体事务和签署相关文件。</w:t>
      </w:r>
    </w:p>
    <w:p>
      <w:pPr>
        <w:spacing w:line="440" w:lineRule="exact"/>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我方对被授权人的签名事项负全部责任。</w:t>
      </w:r>
    </w:p>
    <w:p>
      <w:pPr>
        <w:spacing w:line="440" w:lineRule="exact"/>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u w:val="single"/>
        </w:rPr>
        <w:t>在撤销授权的书面通知以前，本授权书一直有效</w:t>
      </w:r>
      <w:r>
        <w:rPr>
          <w:rFonts w:hint="eastAsia" w:ascii="宋体" w:hAnsi="宋体" w:eastAsia="宋体" w:cs="Times New Roman"/>
          <w:color w:val="auto"/>
          <w:szCs w:val="21"/>
          <w:highlight w:val="none"/>
        </w:rPr>
        <w:t>，被授权人在授权书有效期内签署的所有文件不因授权的撤销而失效。</w:t>
      </w:r>
    </w:p>
    <w:p>
      <w:pPr>
        <w:spacing w:line="440" w:lineRule="exact"/>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被授权人无转委托权，特此委托。</w:t>
      </w:r>
    </w:p>
    <w:p>
      <w:pPr>
        <w:spacing w:line="440" w:lineRule="exact"/>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被授权人签名：</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法定代表人签名：</w:t>
      </w:r>
      <w:r>
        <w:rPr>
          <w:rFonts w:hint="eastAsia" w:ascii="宋体" w:hAnsi="宋体" w:eastAsia="宋体" w:cs="Times New Roman"/>
          <w:color w:val="auto"/>
          <w:szCs w:val="21"/>
          <w:highlight w:val="none"/>
          <w:u w:val="single"/>
        </w:rPr>
        <w:t xml:space="preserve">              </w:t>
      </w:r>
    </w:p>
    <w:p>
      <w:pPr>
        <w:spacing w:line="440" w:lineRule="exact"/>
        <w:ind w:firstLine="420" w:firstLineChars="200"/>
        <w:rPr>
          <w:rFonts w:ascii="宋体" w:hAnsi="Times New Roman" w:eastAsia="宋体" w:cs="Times New Roman"/>
          <w:color w:val="auto"/>
          <w:szCs w:val="21"/>
          <w:highlight w:val="none"/>
          <w:u w:val="single"/>
        </w:rPr>
      </w:pPr>
      <w:r>
        <w:rPr>
          <w:rFonts w:hint="eastAsia" w:ascii="宋体" w:hAnsi="宋体" w:eastAsia="宋体" w:cs="Times New Roman"/>
          <w:color w:val="auto"/>
          <w:szCs w:val="21"/>
          <w:highlight w:val="none"/>
        </w:rPr>
        <w:t>所在部门：</w:t>
      </w:r>
      <w:r>
        <w:rPr>
          <w:rFonts w:hint="eastAsia" w:ascii="宋体" w:hAnsi="宋体" w:eastAsia="宋体" w:cs="Times New Roman"/>
          <w:color w:val="auto"/>
          <w:szCs w:val="21"/>
          <w:highlight w:val="none"/>
          <w:u w:val="single"/>
        </w:rPr>
        <w:t xml:space="preserve">                          </w:t>
      </w:r>
    </w:p>
    <w:p>
      <w:pPr>
        <w:spacing w:line="440" w:lineRule="exact"/>
        <w:ind w:firstLine="420" w:firstLineChars="200"/>
        <w:rPr>
          <w:rFonts w:ascii="宋体" w:hAnsi="Times New Roman" w:eastAsia="宋体" w:cs="Times New Roman"/>
          <w:color w:val="auto"/>
          <w:szCs w:val="21"/>
          <w:highlight w:val="none"/>
          <w:u w:val="single"/>
        </w:rPr>
      </w:pPr>
      <w:r>
        <w:rPr>
          <w:rFonts w:hint="eastAsia" w:ascii="宋体" w:hAnsi="宋体" w:eastAsia="宋体" w:cs="Times New Roman"/>
          <w:color w:val="auto"/>
          <w:szCs w:val="21"/>
          <w:highlight w:val="none"/>
        </w:rPr>
        <w:t>职    务：</w:t>
      </w:r>
      <w:r>
        <w:rPr>
          <w:rFonts w:hint="eastAsia" w:ascii="宋体" w:hAnsi="宋体" w:eastAsia="宋体" w:cs="Times New Roman"/>
          <w:color w:val="auto"/>
          <w:szCs w:val="21"/>
          <w:highlight w:val="none"/>
          <w:u w:val="single"/>
        </w:rPr>
        <w:t xml:space="preserve">                          </w:t>
      </w:r>
    </w:p>
    <w:p>
      <w:pPr>
        <w:spacing w:line="440" w:lineRule="exact"/>
        <w:ind w:firstLine="420" w:firstLineChars="200"/>
        <w:rPr>
          <w:rFonts w:ascii="宋体" w:hAnsi="Times New Roman" w:eastAsia="宋体" w:cs="Times New Roman"/>
          <w:color w:val="auto"/>
          <w:szCs w:val="21"/>
          <w:highlight w:val="none"/>
          <w:u w:val="single"/>
        </w:rPr>
      </w:pPr>
      <w:r>
        <w:rPr>
          <w:rFonts w:hint="eastAsia" w:ascii="宋体" w:hAnsi="宋体" w:eastAsia="宋体" w:cs="Times New Roman"/>
          <w:color w:val="auto"/>
          <w:szCs w:val="21"/>
          <w:highlight w:val="none"/>
        </w:rPr>
        <w:t>被授权人身份证号码：</w:t>
      </w:r>
      <w:r>
        <w:rPr>
          <w:rFonts w:hint="eastAsia" w:ascii="宋体" w:hAnsi="宋体" w:eastAsia="宋体" w:cs="Times New Roman"/>
          <w:color w:val="auto"/>
          <w:szCs w:val="21"/>
          <w:highlight w:val="none"/>
          <w:u w:val="single"/>
        </w:rPr>
        <w:t xml:space="preserve">                </w:t>
      </w:r>
    </w:p>
    <w:p>
      <w:pPr>
        <w:spacing w:line="440" w:lineRule="exact"/>
        <w:ind w:right="-535" w:rightChars="-255" w:firstLine="3990" w:firstLineChars="1900"/>
        <w:rPr>
          <w:rFonts w:ascii="宋体" w:hAnsi="Times New Roman" w:eastAsia="宋体" w:cs="Times New Roman"/>
          <w:color w:val="auto"/>
          <w:szCs w:val="21"/>
          <w:highlight w:val="none"/>
        </w:rPr>
      </w:pPr>
    </w:p>
    <w:p>
      <w:pPr>
        <w:wordWrap w:val="0"/>
        <w:spacing w:line="440" w:lineRule="exact"/>
        <w:ind w:firstLine="3360" w:firstLineChars="1600"/>
        <w:rPr>
          <w:rFonts w:ascii="宋体" w:hAnsi="宋体" w:eastAsia="宋体" w:cs="Times New Roman"/>
          <w:color w:val="auto"/>
          <w:szCs w:val="20"/>
          <w:highlight w:val="none"/>
          <w:u w:val="single"/>
        </w:rPr>
      </w:pPr>
      <w:r>
        <w:rPr>
          <w:rFonts w:hint="eastAsia" w:ascii="宋体" w:hAnsi="宋体" w:eastAsia="宋体" w:cs="Times New Roman"/>
          <w:color w:val="auto"/>
          <w:szCs w:val="20"/>
          <w:highlight w:val="none"/>
        </w:rPr>
        <w:t>竞标人名称（盖章）：</w:t>
      </w:r>
      <w:r>
        <w:rPr>
          <w:rFonts w:hint="eastAsia" w:ascii="宋体" w:hAnsi="宋体" w:eastAsia="宋体" w:cs="Times New Roman"/>
          <w:color w:val="auto"/>
          <w:szCs w:val="21"/>
          <w:highlight w:val="none"/>
          <w:u w:val="single"/>
        </w:rPr>
        <w:t xml:space="preserve">                   </w:t>
      </w:r>
    </w:p>
    <w:p>
      <w:pPr>
        <w:wordWrap w:val="0"/>
        <w:spacing w:line="440" w:lineRule="exact"/>
        <w:ind w:firstLine="3360" w:firstLineChars="1600"/>
        <w:rPr>
          <w:rFonts w:ascii="宋体" w:hAnsi="宋体" w:eastAsia="宋体" w:cs="Times New Roman"/>
          <w:color w:val="auto"/>
          <w:szCs w:val="20"/>
          <w:highlight w:val="none"/>
          <w:u w:val="single"/>
        </w:rPr>
      </w:pPr>
    </w:p>
    <w:p>
      <w:pPr>
        <w:wordWrap w:val="0"/>
        <w:spacing w:line="440" w:lineRule="exact"/>
        <w:ind w:firstLine="3360" w:firstLineChars="1600"/>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法定代表人或授权代表签字</w:t>
      </w:r>
      <w:r>
        <w:rPr>
          <w:rFonts w:ascii="宋体" w:hAnsi="宋体" w:eastAsia="宋体" w:cs="Times New Roman"/>
          <w:color w:val="auto"/>
          <w:szCs w:val="20"/>
          <w:highlight w:val="none"/>
        </w:rPr>
        <w:t>：</w:t>
      </w:r>
      <w:r>
        <w:rPr>
          <w:rFonts w:hint="eastAsia" w:ascii="宋体" w:hAnsi="宋体" w:eastAsia="宋体" w:cs="Times New Roman"/>
          <w:color w:val="auto"/>
          <w:szCs w:val="21"/>
          <w:highlight w:val="none"/>
          <w:u w:val="single"/>
        </w:rPr>
        <w:t xml:space="preserve">              </w:t>
      </w:r>
    </w:p>
    <w:p>
      <w:pPr>
        <w:spacing w:line="440" w:lineRule="exact"/>
        <w:ind w:firstLine="4935" w:firstLineChars="2350"/>
        <w:rPr>
          <w:rFonts w:ascii="宋体" w:hAnsi="宋体" w:eastAsia="宋体" w:cs="Times New Roman"/>
          <w:color w:val="auto"/>
          <w:szCs w:val="20"/>
          <w:highlight w:val="none"/>
          <w:u w:val="single"/>
        </w:rPr>
      </w:pPr>
    </w:p>
    <w:p>
      <w:pPr>
        <w:ind w:firstLine="3360" w:firstLineChars="1600"/>
        <w:rPr>
          <w:rFonts w:ascii="宋体" w:hAnsi="宋体" w:eastAsia="宋体" w:cs="Times New Roman"/>
          <w:color w:val="auto"/>
          <w:sz w:val="24"/>
          <w:szCs w:val="24"/>
          <w:highlight w:val="none"/>
          <w:u w:val="singl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xml:space="preserve">     </w:t>
      </w:r>
      <w:r>
        <w:rPr>
          <w:rFonts w:hint="eastAsia" w:ascii="宋体" w:hAnsi="宋体" w:eastAsia="宋体" w:cs="Times New Roman"/>
          <w:color w:val="auto"/>
          <w:szCs w:val="20"/>
          <w:highlight w:val="none"/>
        </w:rPr>
        <w:t>年</w:t>
      </w:r>
      <w:r>
        <w:rPr>
          <w:rFonts w:hint="eastAsia" w:ascii="宋体" w:hAnsi="宋体" w:eastAsia="宋体" w:cs="Times New Roman"/>
          <w:color w:val="auto"/>
          <w:szCs w:val="20"/>
          <w:highlight w:val="none"/>
          <w:u w:val="single"/>
        </w:rPr>
        <w:t xml:space="preserve">   </w:t>
      </w:r>
      <w:r>
        <w:rPr>
          <w:rFonts w:hint="eastAsia" w:ascii="宋体" w:hAnsi="宋体" w:eastAsia="宋体" w:cs="Times New Roman"/>
          <w:color w:val="auto"/>
          <w:szCs w:val="20"/>
          <w:highlight w:val="none"/>
        </w:rPr>
        <w:t>月</w:t>
      </w:r>
      <w:r>
        <w:rPr>
          <w:rFonts w:hint="eastAsia" w:ascii="宋体" w:hAnsi="宋体" w:eastAsia="宋体" w:cs="Times New Roman"/>
          <w:color w:val="auto"/>
          <w:szCs w:val="20"/>
          <w:highlight w:val="none"/>
          <w:u w:val="single"/>
        </w:rPr>
        <w:t xml:space="preserve">   </w:t>
      </w:r>
      <w:r>
        <w:rPr>
          <w:rFonts w:hint="eastAsia" w:ascii="宋体" w:hAnsi="宋体" w:eastAsia="宋体" w:cs="Times New Roman"/>
          <w:color w:val="auto"/>
          <w:szCs w:val="20"/>
          <w:highlight w:val="none"/>
        </w:rPr>
        <w:t>日</w:t>
      </w:r>
    </w:p>
    <w:p>
      <w:pPr>
        <w:spacing w:line="440" w:lineRule="exact"/>
        <w:jc w:val="left"/>
        <w:rPr>
          <w:rFonts w:ascii="宋体" w:hAnsi="宋体" w:eastAsia="宋体" w:cs="Times New Roman"/>
          <w:color w:val="auto"/>
          <w:szCs w:val="21"/>
          <w:highlight w:val="none"/>
        </w:rPr>
      </w:pPr>
    </w:p>
    <w:p>
      <w:pPr>
        <w:spacing w:line="440" w:lineRule="exact"/>
        <w:jc w:val="lef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附：被授权人身份证（正、反面复印件）</w:t>
      </w:r>
    </w:p>
    <w:tbl>
      <w:tblPr>
        <w:tblStyle w:val="4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4690" w:type="dxa"/>
          </w:tcPr>
          <w:p>
            <w:pPr>
              <w:ind w:right="-178" w:rightChars="-85"/>
              <w:jc w:val="center"/>
              <w:rPr>
                <w:rFonts w:ascii="宋体" w:hAnsi="宋体" w:eastAsia="宋体" w:cs="Times New Roman"/>
                <w:b/>
                <w:bCs/>
                <w:color w:val="auto"/>
                <w:sz w:val="28"/>
                <w:szCs w:val="28"/>
                <w:highlight w:val="none"/>
              </w:rPr>
            </w:pPr>
          </w:p>
        </w:tc>
        <w:tc>
          <w:tcPr>
            <w:tcW w:w="4690" w:type="dxa"/>
          </w:tcPr>
          <w:p>
            <w:pPr>
              <w:ind w:right="-178" w:rightChars="-85"/>
              <w:jc w:val="center"/>
              <w:rPr>
                <w:rFonts w:ascii="宋体" w:hAnsi="宋体" w:eastAsia="宋体" w:cs="Times New Roman"/>
                <w:b/>
                <w:bCs/>
                <w:color w:val="auto"/>
                <w:sz w:val="28"/>
                <w:szCs w:val="28"/>
                <w:highlight w:val="none"/>
              </w:rPr>
            </w:pPr>
          </w:p>
        </w:tc>
      </w:tr>
    </w:tbl>
    <w:p>
      <w:pPr>
        <w:ind w:right="-178" w:rightChars="-85"/>
        <w:jc w:val="center"/>
        <w:rPr>
          <w:rFonts w:ascii="宋体" w:hAnsi="宋体" w:eastAsia="宋体" w:cs="Times New Roman"/>
          <w:b/>
          <w:bCs/>
          <w:color w:val="auto"/>
          <w:sz w:val="28"/>
          <w:szCs w:val="28"/>
          <w:highlight w:val="none"/>
        </w:rPr>
      </w:pPr>
    </w:p>
    <w:p>
      <w:pPr>
        <w:ind w:right="-178" w:rightChars="-85"/>
        <w:jc w:val="center"/>
        <w:rPr>
          <w:rFonts w:ascii="宋体" w:hAnsi="宋体" w:eastAsia="宋体" w:cs="Times New Roman"/>
          <w:b/>
          <w:bCs/>
          <w:color w:val="auto"/>
          <w:sz w:val="28"/>
          <w:szCs w:val="28"/>
          <w:highlight w:val="none"/>
        </w:rPr>
      </w:pPr>
    </w:p>
    <w:p>
      <w:pPr>
        <w:ind w:right="-178" w:rightChars="-85"/>
        <w:jc w:val="center"/>
        <w:rPr>
          <w:rFonts w:ascii="宋体" w:hAnsi="宋体" w:eastAsia="宋体" w:cs="Times New Roman"/>
          <w:b/>
          <w:bCs/>
          <w:color w:val="auto"/>
          <w:sz w:val="28"/>
          <w:szCs w:val="28"/>
          <w:highlight w:val="none"/>
        </w:rPr>
      </w:pPr>
    </w:p>
    <w:p>
      <w:pPr>
        <w:ind w:right="-178" w:rightChars="-85"/>
        <w:jc w:val="center"/>
        <w:rPr>
          <w:rFonts w:ascii="宋体" w:hAnsi="宋体" w:eastAsia="宋体" w:cs="Times New Roman"/>
          <w:b/>
          <w:bCs/>
          <w:color w:val="auto"/>
          <w:sz w:val="28"/>
          <w:szCs w:val="28"/>
          <w:highlight w:val="none"/>
        </w:rPr>
      </w:pPr>
    </w:p>
    <w:p>
      <w:pP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br w:type="page"/>
      </w:r>
      <w:r>
        <w:rPr>
          <w:rFonts w:hint="eastAsia" w:ascii="Times New Roman" w:hAnsi="宋体" w:eastAsia="宋体" w:cs="Times New Roman"/>
          <w:b/>
          <w:bCs/>
          <w:color w:val="auto"/>
          <w:sz w:val="24"/>
          <w:szCs w:val="24"/>
          <w:highlight w:val="none"/>
        </w:rPr>
        <w:t>附件五</w:t>
      </w:r>
    </w:p>
    <w:p>
      <w:pPr>
        <w:ind w:right="-178" w:rightChars="-85"/>
        <w:jc w:val="center"/>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商务偏离表</w:t>
      </w:r>
    </w:p>
    <w:p>
      <w:pPr>
        <w:ind w:right="-178" w:rightChars="-85"/>
        <w:jc w:val="center"/>
        <w:rPr>
          <w:rFonts w:ascii="宋体" w:hAnsi="宋体" w:eastAsia="宋体" w:cs="Times New Roman"/>
          <w:b/>
          <w:bCs/>
          <w:color w:val="auto"/>
          <w:sz w:val="28"/>
          <w:szCs w:val="28"/>
          <w:highlight w:val="none"/>
        </w:rPr>
      </w:pPr>
    </w:p>
    <w:p>
      <w:pPr>
        <w:ind w:right="-178" w:rightChars="-85"/>
        <w:jc w:val="center"/>
        <w:rPr>
          <w:rFonts w:ascii="宋体" w:hAnsi="宋体" w:eastAsia="宋体" w:cs="Times New Roman"/>
          <w:b/>
          <w:bCs/>
          <w:color w:val="auto"/>
          <w:sz w:val="28"/>
          <w:szCs w:val="28"/>
          <w:highlight w:val="none"/>
        </w:rPr>
      </w:pPr>
    </w:p>
    <w:p>
      <w:pPr>
        <w:spacing w:line="440" w:lineRule="exact"/>
        <w:ind w:left="210" w:leftChars="100"/>
        <w:rPr>
          <w:rFonts w:ascii="宋体" w:hAnsi="Times New Roman" w:eastAsia="宋体" w:cs="Times New Roman"/>
          <w:color w:val="auto"/>
          <w:szCs w:val="21"/>
          <w:highlight w:val="none"/>
          <w:u w:val="single"/>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p>
    <w:p>
      <w:pPr>
        <w:spacing w:line="440" w:lineRule="exact"/>
        <w:ind w:left="210" w:leftChars="1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 xml:space="preserve"> </w:t>
      </w:r>
    </w:p>
    <w:p>
      <w:pPr>
        <w:spacing w:line="440" w:lineRule="exact"/>
        <w:ind w:left="210" w:leftChars="100"/>
        <w:rPr>
          <w:rFonts w:ascii="宋体" w:hAnsi="Times New Roman" w:eastAsia="宋体" w:cs="Times New Roman"/>
          <w:color w:val="auto"/>
          <w:szCs w:val="21"/>
          <w:highlight w:val="none"/>
          <w:u w:val="single"/>
        </w:rPr>
      </w:pPr>
      <w:r>
        <w:rPr>
          <w:rFonts w:hint="eastAsia" w:ascii="宋体" w:hAnsi="宋体" w:eastAsia="宋体" w:cs="Times New Roman"/>
          <w:color w:val="auto"/>
          <w:szCs w:val="21"/>
          <w:highlight w:val="none"/>
        </w:rPr>
        <w:t>分标：</w:t>
      </w:r>
      <w:r>
        <w:rPr>
          <w:rFonts w:hint="eastAsia" w:ascii="宋体" w:hAnsi="宋体" w:eastAsia="宋体" w:cs="Times New Roman"/>
          <w:color w:val="auto"/>
          <w:szCs w:val="21"/>
          <w:highlight w:val="none"/>
          <w:u w:val="single"/>
        </w:rPr>
        <w:t xml:space="preserve">　　    /        </w:t>
      </w:r>
    </w:p>
    <w:tbl>
      <w:tblPr>
        <w:tblStyle w:val="45"/>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457"/>
        <w:gridCol w:w="1418"/>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18" w:type="dxa"/>
            <w:vAlign w:val="center"/>
          </w:tcPr>
          <w:p>
            <w:pPr>
              <w:ind w:right="-178" w:rightChars="-85"/>
              <w:jc w:val="center"/>
              <w:rPr>
                <w:rFonts w:ascii="宋体" w:hAnsi="宋体" w:eastAsia="宋体" w:cs="Courier New"/>
                <w:b/>
                <w:color w:val="auto"/>
                <w:szCs w:val="21"/>
                <w:highlight w:val="none"/>
              </w:rPr>
            </w:pPr>
            <w:r>
              <w:rPr>
                <w:rFonts w:hint="eastAsia" w:ascii="宋体" w:hAnsi="宋体" w:eastAsia="宋体" w:cs="Courier New"/>
                <w:b/>
                <w:color w:val="auto"/>
                <w:szCs w:val="21"/>
                <w:highlight w:val="none"/>
              </w:rPr>
              <w:t>商务条件</w:t>
            </w:r>
          </w:p>
        </w:tc>
        <w:tc>
          <w:tcPr>
            <w:tcW w:w="3457" w:type="dxa"/>
            <w:vAlign w:val="center"/>
          </w:tcPr>
          <w:p>
            <w:pPr>
              <w:ind w:right="-178" w:rightChars="-85"/>
              <w:jc w:val="center"/>
              <w:rPr>
                <w:rFonts w:ascii="宋体" w:hAnsi="宋体" w:eastAsia="宋体" w:cs="Courier New"/>
                <w:b/>
                <w:color w:val="auto"/>
                <w:szCs w:val="21"/>
                <w:highlight w:val="none"/>
              </w:rPr>
            </w:pPr>
            <w:r>
              <w:rPr>
                <w:rFonts w:hint="eastAsia" w:ascii="宋体" w:hAnsi="宋体" w:eastAsia="宋体" w:cs="Courier New"/>
                <w:b/>
                <w:bCs/>
                <w:color w:val="auto"/>
                <w:szCs w:val="21"/>
                <w:highlight w:val="none"/>
              </w:rPr>
              <w:t>竞争性谈判采购文件</w:t>
            </w:r>
            <w:r>
              <w:rPr>
                <w:rFonts w:hint="eastAsia" w:ascii="宋体" w:hAnsi="宋体" w:eastAsia="宋体" w:cs="Courier New"/>
                <w:b/>
                <w:color w:val="auto"/>
                <w:szCs w:val="21"/>
                <w:highlight w:val="none"/>
              </w:rPr>
              <w:t>要求</w:t>
            </w:r>
          </w:p>
        </w:tc>
        <w:tc>
          <w:tcPr>
            <w:tcW w:w="1418" w:type="dxa"/>
            <w:vAlign w:val="center"/>
          </w:tcPr>
          <w:p>
            <w:pPr>
              <w:ind w:right="-178" w:rightChars="-85"/>
              <w:jc w:val="center"/>
              <w:rPr>
                <w:rFonts w:ascii="宋体" w:hAnsi="宋体" w:eastAsia="宋体" w:cs="Courier New"/>
                <w:b/>
                <w:color w:val="auto"/>
                <w:szCs w:val="21"/>
                <w:highlight w:val="none"/>
              </w:rPr>
            </w:pPr>
            <w:r>
              <w:rPr>
                <w:rFonts w:hint="eastAsia" w:ascii="宋体" w:hAnsi="宋体" w:eastAsia="宋体" w:cs="Courier New"/>
                <w:b/>
                <w:color w:val="auto"/>
                <w:szCs w:val="21"/>
                <w:highlight w:val="none"/>
              </w:rPr>
              <w:t>竞标</w:t>
            </w:r>
            <w:r>
              <w:rPr>
                <w:rFonts w:hint="eastAsia" w:ascii="宋体" w:hAnsi="宋体" w:eastAsia="宋体" w:cs="Courier New"/>
                <w:b/>
                <w:bCs/>
                <w:color w:val="auto"/>
                <w:szCs w:val="21"/>
                <w:highlight w:val="none"/>
              </w:rPr>
              <w:t>响应</w:t>
            </w:r>
          </w:p>
        </w:tc>
        <w:tc>
          <w:tcPr>
            <w:tcW w:w="2437" w:type="dxa"/>
            <w:vAlign w:val="center"/>
          </w:tcPr>
          <w:p>
            <w:pPr>
              <w:ind w:right="-178" w:rightChars="-85"/>
              <w:jc w:val="center"/>
              <w:rPr>
                <w:rFonts w:ascii="宋体" w:hAnsi="宋体" w:eastAsia="宋体" w:cs="Courier New"/>
                <w:b/>
                <w:color w:val="auto"/>
                <w:szCs w:val="21"/>
                <w:highlight w:val="none"/>
              </w:rPr>
            </w:pPr>
            <w:r>
              <w:rPr>
                <w:rFonts w:hint="eastAsia" w:ascii="宋体" w:hAnsi="宋体" w:eastAsia="宋体" w:cs="Courier New"/>
                <w:b/>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18" w:type="dxa"/>
            <w:vAlign w:val="center"/>
          </w:tcPr>
          <w:p>
            <w:pPr>
              <w:jc w:val="center"/>
              <w:rPr>
                <w:rFonts w:ascii="宋体" w:hAnsi="宋体" w:eastAsia="宋体" w:cs="Courier New"/>
                <w:color w:val="auto"/>
                <w:szCs w:val="21"/>
                <w:highlight w:val="none"/>
              </w:rPr>
            </w:pPr>
          </w:p>
        </w:tc>
        <w:tc>
          <w:tcPr>
            <w:tcW w:w="3457" w:type="dxa"/>
            <w:vAlign w:val="center"/>
          </w:tcPr>
          <w:p>
            <w:pPr>
              <w:jc w:val="center"/>
              <w:rPr>
                <w:rFonts w:ascii="宋体" w:hAnsi="宋体" w:eastAsia="宋体" w:cs="Courier New"/>
                <w:color w:val="auto"/>
                <w:szCs w:val="21"/>
                <w:highlight w:val="none"/>
              </w:rPr>
            </w:pPr>
          </w:p>
        </w:tc>
        <w:tc>
          <w:tcPr>
            <w:tcW w:w="1418" w:type="dxa"/>
            <w:vAlign w:val="center"/>
          </w:tcPr>
          <w:p>
            <w:pPr>
              <w:ind w:right="-178" w:rightChars="-85"/>
              <w:jc w:val="center"/>
              <w:rPr>
                <w:rFonts w:ascii="宋体" w:hAnsi="宋体" w:eastAsia="宋体" w:cs="Courier New"/>
                <w:color w:val="auto"/>
                <w:szCs w:val="21"/>
                <w:highlight w:val="none"/>
              </w:rPr>
            </w:pPr>
          </w:p>
        </w:tc>
        <w:tc>
          <w:tcPr>
            <w:tcW w:w="2437" w:type="dxa"/>
            <w:vAlign w:val="center"/>
          </w:tcPr>
          <w:p>
            <w:pPr>
              <w:ind w:right="-178" w:rightChars="-85"/>
              <w:jc w:val="left"/>
              <w:rPr>
                <w:rFonts w:ascii="宋体" w:hAnsi="宋体" w:eastAsia="宋体" w:cs="Courier New"/>
                <w:color w:val="auto"/>
                <w:szCs w:val="21"/>
                <w:highlight w:val="none"/>
              </w:rPr>
            </w:pPr>
            <w:r>
              <w:rPr>
                <w:rFonts w:hint="eastAsia" w:ascii="Times New Roman" w:hAnsi="宋体" w:eastAsia="宋体" w:cs="Times New Roman"/>
                <w:color w:val="auto"/>
                <w:szCs w:val="21"/>
                <w:highlight w:val="none"/>
              </w:rPr>
              <w:t>正偏离/负偏离/无偏离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18" w:type="dxa"/>
            <w:vAlign w:val="center"/>
          </w:tcPr>
          <w:p>
            <w:pPr>
              <w:jc w:val="center"/>
              <w:rPr>
                <w:rFonts w:ascii="宋体" w:hAnsi="宋体" w:eastAsia="宋体" w:cs="Courier New"/>
                <w:color w:val="auto"/>
                <w:szCs w:val="21"/>
                <w:highlight w:val="none"/>
              </w:rPr>
            </w:pPr>
          </w:p>
        </w:tc>
        <w:tc>
          <w:tcPr>
            <w:tcW w:w="3457" w:type="dxa"/>
            <w:vAlign w:val="center"/>
          </w:tcPr>
          <w:p>
            <w:pPr>
              <w:jc w:val="center"/>
              <w:rPr>
                <w:rFonts w:ascii="宋体" w:hAnsi="宋体" w:eastAsia="宋体" w:cs="Courier New"/>
                <w:color w:val="auto"/>
                <w:szCs w:val="21"/>
                <w:highlight w:val="none"/>
              </w:rPr>
            </w:pPr>
          </w:p>
        </w:tc>
        <w:tc>
          <w:tcPr>
            <w:tcW w:w="1418" w:type="dxa"/>
            <w:vAlign w:val="center"/>
          </w:tcPr>
          <w:p>
            <w:pPr>
              <w:ind w:right="-178" w:rightChars="-85"/>
              <w:jc w:val="center"/>
              <w:rPr>
                <w:rFonts w:ascii="宋体" w:hAnsi="宋体" w:eastAsia="宋体" w:cs="Courier New"/>
                <w:color w:val="auto"/>
                <w:szCs w:val="21"/>
                <w:highlight w:val="none"/>
              </w:rPr>
            </w:pPr>
          </w:p>
        </w:tc>
        <w:tc>
          <w:tcPr>
            <w:tcW w:w="2437" w:type="dxa"/>
            <w:vAlign w:val="center"/>
          </w:tcPr>
          <w:p>
            <w:pPr>
              <w:ind w:right="-178" w:rightChars="-85"/>
              <w:jc w:val="center"/>
              <w:rPr>
                <w:rFonts w:ascii="宋体" w:hAnsi="宋体" w:eastAsia="宋体"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18" w:type="dxa"/>
            <w:vAlign w:val="center"/>
          </w:tcPr>
          <w:p>
            <w:pPr>
              <w:jc w:val="center"/>
              <w:rPr>
                <w:rFonts w:ascii="宋体" w:hAnsi="宋体" w:eastAsia="宋体" w:cs="Courier New"/>
                <w:color w:val="auto"/>
                <w:szCs w:val="21"/>
                <w:highlight w:val="none"/>
              </w:rPr>
            </w:pPr>
          </w:p>
        </w:tc>
        <w:tc>
          <w:tcPr>
            <w:tcW w:w="3457" w:type="dxa"/>
            <w:vAlign w:val="center"/>
          </w:tcPr>
          <w:p>
            <w:pPr>
              <w:jc w:val="center"/>
              <w:rPr>
                <w:rFonts w:ascii="宋体" w:hAnsi="宋体" w:eastAsia="宋体" w:cs="Courier New"/>
                <w:color w:val="auto"/>
                <w:szCs w:val="21"/>
                <w:highlight w:val="none"/>
              </w:rPr>
            </w:pPr>
          </w:p>
        </w:tc>
        <w:tc>
          <w:tcPr>
            <w:tcW w:w="1418" w:type="dxa"/>
            <w:vAlign w:val="center"/>
          </w:tcPr>
          <w:p>
            <w:pPr>
              <w:ind w:right="-178" w:rightChars="-85"/>
              <w:jc w:val="center"/>
              <w:rPr>
                <w:rFonts w:ascii="宋体" w:hAnsi="宋体" w:eastAsia="宋体" w:cs="Courier New"/>
                <w:color w:val="auto"/>
                <w:szCs w:val="21"/>
                <w:highlight w:val="none"/>
              </w:rPr>
            </w:pPr>
          </w:p>
        </w:tc>
        <w:tc>
          <w:tcPr>
            <w:tcW w:w="2437" w:type="dxa"/>
            <w:vAlign w:val="center"/>
          </w:tcPr>
          <w:p>
            <w:pPr>
              <w:ind w:right="-178" w:rightChars="-85"/>
              <w:jc w:val="center"/>
              <w:rPr>
                <w:rFonts w:ascii="宋体" w:hAnsi="宋体" w:eastAsia="宋体"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18" w:type="dxa"/>
            <w:vAlign w:val="center"/>
          </w:tcPr>
          <w:p>
            <w:pPr>
              <w:jc w:val="center"/>
              <w:rPr>
                <w:rFonts w:ascii="宋体" w:hAnsi="宋体" w:eastAsia="宋体" w:cs="Courier New"/>
                <w:color w:val="auto"/>
                <w:szCs w:val="21"/>
                <w:highlight w:val="none"/>
              </w:rPr>
            </w:pPr>
          </w:p>
        </w:tc>
        <w:tc>
          <w:tcPr>
            <w:tcW w:w="3457" w:type="dxa"/>
            <w:vAlign w:val="center"/>
          </w:tcPr>
          <w:p>
            <w:pPr>
              <w:jc w:val="center"/>
              <w:rPr>
                <w:rFonts w:ascii="宋体" w:hAnsi="宋体" w:eastAsia="宋体" w:cs="Courier New"/>
                <w:color w:val="auto"/>
                <w:szCs w:val="21"/>
                <w:highlight w:val="none"/>
              </w:rPr>
            </w:pPr>
          </w:p>
        </w:tc>
        <w:tc>
          <w:tcPr>
            <w:tcW w:w="1418" w:type="dxa"/>
            <w:vAlign w:val="center"/>
          </w:tcPr>
          <w:p>
            <w:pPr>
              <w:ind w:right="-178" w:rightChars="-85"/>
              <w:jc w:val="center"/>
              <w:rPr>
                <w:rFonts w:ascii="宋体" w:hAnsi="宋体" w:eastAsia="宋体" w:cs="Courier New"/>
                <w:color w:val="auto"/>
                <w:szCs w:val="21"/>
                <w:highlight w:val="none"/>
              </w:rPr>
            </w:pPr>
          </w:p>
        </w:tc>
        <w:tc>
          <w:tcPr>
            <w:tcW w:w="2437" w:type="dxa"/>
            <w:vAlign w:val="center"/>
          </w:tcPr>
          <w:p>
            <w:pPr>
              <w:ind w:right="-178" w:rightChars="-85"/>
              <w:jc w:val="center"/>
              <w:rPr>
                <w:rFonts w:ascii="宋体" w:hAnsi="宋体" w:eastAsia="宋体"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18" w:type="dxa"/>
            <w:vAlign w:val="center"/>
          </w:tcPr>
          <w:p>
            <w:pPr>
              <w:jc w:val="center"/>
              <w:rPr>
                <w:rFonts w:ascii="宋体" w:hAnsi="宋体" w:eastAsia="宋体" w:cs="Courier New"/>
                <w:color w:val="auto"/>
                <w:szCs w:val="21"/>
                <w:highlight w:val="none"/>
              </w:rPr>
            </w:pPr>
          </w:p>
        </w:tc>
        <w:tc>
          <w:tcPr>
            <w:tcW w:w="3457" w:type="dxa"/>
            <w:vAlign w:val="center"/>
          </w:tcPr>
          <w:p>
            <w:pPr>
              <w:jc w:val="center"/>
              <w:rPr>
                <w:rFonts w:ascii="宋体" w:hAnsi="宋体" w:eastAsia="宋体" w:cs="Courier New"/>
                <w:color w:val="auto"/>
                <w:szCs w:val="21"/>
                <w:highlight w:val="none"/>
              </w:rPr>
            </w:pPr>
          </w:p>
        </w:tc>
        <w:tc>
          <w:tcPr>
            <w:tcW w:w="1418" w:type="dxa"/>
            <w:vAlign w:val="center"/>
          </w:tcPr>
          <w:p>
            <w:pPr>
              <w:ind w:right="-178" w:rightChars="-85"/>
              <w:jc w:val="center"/>
              <w:rPr>
                <w:rFonts w:ascii="宋体" w:hAnsi="宋体" w:eastAsia="宋体" w:cs="Courier New"/>
                <w:color w:val="auto"/>
                <w:szCs w:val="21"/>
                <w:highlight w:val="none"/>
              </w:rPr>
            </w:pPr>
          </w:p>
        </w:tc>
        <w:tc>
          <w:tcPr>
            <w:tcW w:w="2437" w:type="dxa"/>
            <w:vAlign w:val="center"/>
          </w:tcPr>
          <w:p>
            <w:pPr>
              <w:ind w:right="-178" w:rightChars="-85"/>
              <w:jc w:val="center"/>
              <w:rPr>
                <w:rFonts w:ascii="宋体" w:hAnsi="宋体" w:eastAsia="宋体"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18" w:type="dxa"/>
            <w:vAlign w:val="center"/>
          </w:tcPr>
          <w:p>
            <w:pPr>
              <w:jc w:val="center"/>
              <w:rPr>
                <w:rFonts w:ascii="宋体" w:hAnsi="宋体" w:eastAsia="宋体" w:cs="Courier New"/>
                <w:color w:val="auto"/>
                <w:szCs w:val="21"/>
                <w:highlight w:val="none"/>
              </w:rPr>
            </w:pPr>
          </w:p>
        </w:tc>
        <w:tc>
          <w:tcPr>
            <w:tcW w:w="3457" w:type="dxa"/>
            <w:vAlign w:val="center"/>
          </w:tcPr>
          <w:p>
            <w:pPr>
              <w:jc w:val="center"/>
              <w:rPr>
                <w:rFonts w:ascii="宋体" w:hAnsi="宋体" w:eastAsia="宋体" w:cs="Courier New"/>
                <w:color w:val="auto"/>
                <w:szCs w:val="21"/>
                <w:highlight w:val="none"/>
              </w:rPr>
            </w:pPr>
          </w:p>
        </w:tc>
        <w:tc>
          <w:tcPr>
            <w:tcW w:w="1418" w:type="dxa"/>
            <w:vAlign w:val="center"/>
          </w:tcPr>
          <w:p>
            <w:pPr>
              <w:ind w:right="-178" w:rightChars="-85"/>
              <w:jc w:val="center"/>
              <w:rPr>
                <w:rFonts w:ascii="宋体" w:hAnsi="宋体" w:eastAsia="宋体" w:cs="Courier New"/>
                <w:color w:val="auto"/>
                <w:szCs w:val="21"/>
                <w:highlight w:val="none"/>
              </w:rPr>
            </w:pPr>
          </w:p>
        </w:tc>
        <w:tc>
          <w:tcPr>
            <w:tcW w:w="2437" w:type="dxa"/>
            <w:vAlign w:val="center"/>
          </w:tcPr>
          <w:p>
            <w:pPr>
              <w:ind w:right="-178" w:rightChars="-85"/>
              <w:jc w:val="center"/>
              <w:rPr>
                <w:rFonts w:ascii="宋体" w:hAnsi="宋体" w:eastAsia="宋体" w:cs="Courier New"/>
                <w:color w:val="auto"/>
                <w:szCs w:val="21"/>
                <w:highlight w:val="none"/>
              </w:rPr>
            </w:pPr>
          </w:p>
        </w:tc>
      </w:tr>
    </w:tbl>
    <w:p>
      <w:pPr>
        <w:spacing w:line="440" w:lineRule="exact"/>
        <w:ind w:right="-178" w:rightChars="-85"/>
        <w:jc w:val="left"/>
        <w:rPr>
          <w:rFonts w:ascii="宋体" w:hAnsi="Times New Roman" w:eastAsia="宋体" w:cs="Courier New"/>
          <w:color w:val="auto"/>
          <w:szCs w:val="21"/>
          <w:highlight w:val="none"/>
        </w:rPr>
      </w:pPr>
    </w:p>
    <w:p>
      <w:pPr>
        <w:spacing w:line="440" w:lineRule="exact"/>
        <w:ind w:right="-178" w:rightChars="-85"/>
        <w:jc w:val="left"/>
        <w:rPr>
          <w:rFonts w:ascii="宋体" w:hAnsi="Times New Roman" w:eastAsia="宋体" w:cs="Times New Roman"/>
          <w:b/>
          <w:color w:val="auto"/>
          <w:szCs w:val="21"/>
          <w:highlight w:val="none"/>
        </w:rPr>
      </w:pPr>
      <w:r>
        <w:rPr>
          <w:rFonts w:hint="eastAsia" w:ascii="宋体" w:hAnsi="宋体" w:eastAsia="宋体" w:cs="Times New Roman"/>
          <w:b/>
          <w:color w:val="auto"/>
          <w:szCs w:val="21"/>
          <w:highlight w:val="none"/>
        </w:rPr>
        <w:t>注：</w:t>
      </w:r>
    </w:p>
    <w:p>
      <w:pPr>
        <w:spacing w:line="440" w:lineRule="exact"/>
        <w:ind w:right="-178" w:rightChars="-85"/>
        <w:jc w:val="left"/>
        <w:rPr>
          <w:rFonts w:ascii="宋体" w:hAnsi="Times New Roman"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、商务要求必须与《项目采购需求》中的“售后服务及其他要求”一一对应。</w:t>
      </w:r>
    </w:p>
    <w:p>
      <w:pPr>
        <w:spacing w:line="440" w:lineRule="exact"/>
        <w:ind w:right="-178" w:rightChars="-85"/>
        <w:jc w:val="left"/>
        <w:rPr>
          <w:rFonts w:ascii="宋体" w:hAnsi="Times New Roman" w:eastAsia="宋体" w:cs="Times New Roman"/>
          <w:b/>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、竞标人应根据竞标响应情况对照招标文件要求在“偏离情况”栏注明“正偏离”、“负偏离”或“无偏离”。</w:t>
      </w:r>
      <w:r>
        <w:rPr>
          <w:rFonts w:hint="eastAsia" w:ascii="宋体" w:hAnsi="宋体" w:eastAsia="宋体" w:cs="宋体"/>
          <w:color w:val="auto"/>
          <w:szCs w:val="21"/>
          <w:highlight w:val="none"/>
        </w:rPr>
        <w:t>本表须由法定代表人或委托代理人签名并加盖供应商公章，当本表由多页构成时，需逐页签名并加盖供应商公章，否则竞标无效。</w:t>
      </w:r>
    </w:p>
    <w:p>
      <w:pPr>
        <w:spacing w:line="440" w:lineRule="exact"/>
        <w:ind w:firstLine="1470" w:firstLineChars="700"/>
        <w:rPr>
          <w:rFonts w:ascii="宋体" w:hAnsi="宋体" w:eastAsia="宋体" w:cs="Times New Roman"/>
          <w:color w:val="auto"/>
          <w:szCs w:val="20"/>
          <w:highlight w:val="none"/>
        </w:rPr>
      </w:pPr>
    </w:p>
    <w:p>
      <w:pPr>
        <w:spacing w:line="440" w:lineRule="exact"/>
        <w:ind w:firstLine="1470" w:firstLineChars="700"/>
        <w:rPr>
          <w:rFonts w:ascii="宋体" w:hAnsi="宋体" w:eastAsia="宋体" w:cs="Times New Roman"/>
          <w:color w:val="auto"/>
          <w:szCs w:val="20"/>
          <w:highlight w:val="none"/>
        </w:rPr>
      </w:pPr>
    </w:p>
    <w:p>
      <w:pPr>
        <w:spacing w:line="440" w:lineRule="exact"/>
        <w:ind w:firstLine="1470" w:firstLineChars="700"/>
        <w:rPr>
          <w:rFonts w:ascii="宋体" w:hAnsi="宋体" w:eastAsia="宋体" w:cs="Times New Roman"/>
          <w:color w:val="auto"/>
          <w:szCs w:val="20"/>
          <w:highlight w:val="none"/>
        </w:rPr>
      </w:pPr>
    </w:p>
    <w:p>
      <w:pPr>
        <w:wordWrap w:val="0"/>
        <w:spacing w:line="440" w:lineRule="exact"/>
        <w:ind w:firstLine="3360" w:firstLineChars="1600"/>
        <w:rPr>
          <w:rFonts w:ascii="宋体" w:hAnsi="宋体" w:eastAsia="宋体" w:cs="Times New Roman"/>
          <w:color w:val="auto"/>
          <w:szCs w:val="20"/>
          <w:highlight w:val="none"/>
          <w:u w:val="single"/>
        </w:rPr>
      </w:pPr>
      <w:r>
        <w:rPr>
          <w:rFonts w:hint="eastAsia" w:ascii="宋体" w:hAnsi="宋体" w:eastAsia="宋体" w:cs="Times New Roman"/>
          <w:color w:val="auto"/>
          <w:szCs w:val="20"/>
          <w:highlight w:val="none"/>
        </w:rPr>
        <w:t>竞标人名称（盖章）：</w:t>
      </w:r>
      <w:r>
        <w:rPr>
          <w:rFonts w:hint="eastAsia" w:ascii="宋体" w:hAnsi="宋体" w:eastAsia="宋体" w:cs="Times New Roman"/>
          <w:color w:val="auto"/>
          <w:szCs w:val="21"/>
          <w:highlight w:val="none"/>
          <w:u w:val="single"/>
        </w:rPr>
        <w:t xml:space="preserve">                   </w:t>
      </w:r>
    </w:p>
    <w:p>
      <w:pPr>
        <w:wordWrap w:val="0"/>
        <w:spacing w:line="440" w:lineRule="exact"/>
        <w:ind w:firstLine="3360" w:firstLineChars="1600"/>
        <w:rPr>
          <w:rFonts w:ascii="宋体" w:hAnsi="宋体" w:eastAsia="宋体" w:cs="Times New Roman"/>
          <w:color w:val="auto"/>
          <w:szCs w:val="20"/>
          <w:highlight w:val="none"/>
          <w:u w:val="single"/>
        </w:rPr>
      </w:pPr>
    </w:p>
    <w:p>
      <w:pPr>
        <w:wordWrap w:val="0"/>
        <w:spacing w:line="440" w:lineRule="exact"/>
        <w:ind w:firstLine="3360" w:firstLineChars="1600"/>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法定代表人或授权代表签字</w:t>
      </w:r>
      <w:r>
        <w:rPr>
          <w:rFonts w:ascii="宋体" w:hAnsi="宋体" w:eastAsia="宋体" w:cs="Times New Roman"/>
          <w:color w:val="auto"/>
          <w:szCs w:val="20"/>
          <w:highlight w:val="none"/>
        </w:rPr>
        <w:t>：</w:t>
      </w:r>
      <w:r>
        <w:rPr>
          <w:rFonts w:hint="eastAsia" w:ascii="宋体" w:hAnsi="宋体" w:eastAsia="宋体" w:cs="Times New Roman"/>
          <w:color w:val="auto"/>
          <w:szCs w:val="21"/>
          <w:highlight w:val="none"/>
          <w:u w:val="single"/>
        </w:rPr>
        <w:t xml:space="preserve">              </w:t>
      </w:r>
    </w:p>
    <w:p>
      <w:pPr>
        <w:spacing w:line="440" w:lineRule="exact"/>
        <w:ind w:firstLine="4935" w:firstLineChars="2350"/>
        <w:rPr>
          <w:rFonts w:ascii="宋体" w:hAnsi="宋体" w:eastAsia="宋体" w:cs="Times New Roman"/>
          <w:color w:val="auto"/>
          <w:szCs w:val="20"/>
          <w:highlight w:val="none"/>
          <w:u w:val="single"/>
        </w:rPr>
      </w:pPr>
    </w:p>
    <w:p>
      <w:pPr>
        <w:ind w:firstLine="3360" w:firstLineChars="1600"/>
        <w:rPr>
          <w:rFonts w:ascii="宋体" w:hAnsi="宋体" w:eastAsia="宋体" w:cs="Times New Roman"/>
          <w:color w:val="auto"/>
          <w:sz w:val="24"/>
          <w:szCs w:val="24"/>
          <w:highlight w:val="none"/>
          <w:u w:val="singl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xml:space="preserve">     </w:t>
      </w:r>
      <w:r>
        <w:rPr>
          <w:rFonts w:hint="eastAsia" w:ascii="宋体" w:hAnsi="宋体" w:eastAsia="宋体" w:cs="Times New Roman"/>
          <w:color w:val="auto"/>
          <w:szCs w:val="20"/>
          <w:highlight w:val="none"/>
        </w:rPr>
        <w:t>年</w:t>
      </w:r>
      <w:r>
        <w:rPr>
          <w:rFonts w:hint="eastAsia" w:ascii="宋体" w:hAnsi="宋体" w:eastAsia="宋体" w:cs="Times New Roman"/>
          <w:color w:val="auto"/>
          <w:szCs w:val="20"/>
          <w:highlight w:val="none"/>
          <w:u w:val="single"/>
        </w:rPr>
        <w:t xml:space="preserve">   </w:t>
      </w:r>
      <w:r>
        <w:rPr>
          <w:rFonts w:hint="eastAsia" w:ascii="宋体" w:hAnsi="宋体" w:eastAsia="宋体" w:cs="Times New Roman"/>
          <w:color w:val="auto"/>
          <w:szCs w:val="20"/>
          <w:highlight w:val="none"/>
        </w:rPr>
        <w:t>月</w:t>
      </w:r>
      <w:r>
        <w:rPr>
          <w:rFonts w:hint="eastAsia" w:ascii="宋体" w:hAnsi="宋体" w:eastAsia="宋体" w:cs="Times New Roman"/>
          <w:color w:val="auto"/>
          <w:szCs w:val="20"/>
          <w:highlight w:val="none"/>
          <w:u w:val="single"/>
        </w:rPr>
        <w:t xml:space="preserve">   </w:t>
      </w:r>
      <w:r>
        <w:rPr>
          <w:rFonts w:hint="eastAsia" w:ascii="宋体" w:hAnsi="宋体" w:eastAsia="宋体" w:cs="Times New Roman"/>
          <w:color w:val="auto"/>
          <w:szCs w:val="20"/>
          <w:highlight w:val="none"/>
        </w:rPr>
        <w:t>日</w:t>
      </w:r>
    </w:p>
    <w:p>
      <w:pPr>
        <w:ind w:right="-178" w:rightChars="-85" w:firstLine="210" w:firstLineChars="100"/>
        <w:jc w:val="left"/>
        <w:rPr>
          <w:rFonts w:ascii="宋体" w:hAnsi="Times New Roman" w:eastAsia="宋体" w:cs="Times New Roman"/>
          <w:color w:val="auto"/>
          <w:szCs w:val="24"/>
          <w:highlight w:val="none"/>
          <w:u w:val="single"/>
        </w:rPr>
      </w:pPr>
    </w:p>
    <w:p>
      <w:pPr>
        <w:rPr>
          <w:rFonts w:ascii="宋体" w:hAnsi="Times New Roman" w:eastAsia="宋体" w:cs="Times New Roman"/>
          <w:color w:val="auto"/>
          <w:sz w:val="28"/>
          <w:szCs w:val="28"/>
          <w:highlight w:val="none"/>
        </w:rPr>
      </w:pPr>
      <w:r>
        <w:rPr>
          <w:rFonts w:ascii="宋体" w:hAnsi="宋体" w:eastAsia="宋体" w:cs="Times New Roman"/>
          <w:color w:val="auto"/>
          <w:sz w:val="24"/>
          <w:szCs w:val="24"/>
          <w:highlight w:val="none"/>
        </w:rPr>
        <w:br w:type="page"/>
      </w:r>
      <w:r>
        <w:rPr>
          <w:rFonts w:hint="eastAsia" w:ascii="Times New Roman" w:hAnsi="宋体" w:eastAsia="宋体" w:cs="Times New Roman"/>
          <w:b/>
          <w:bCs/>
          <w:color w:val="auto"/>
          <w:sz w:val="24"/>
          <w:szCs w:val="24"/>
          <w:highlight w:val="none"/>
        </w:rPr>
        <w:t>附件六</w:t>
      </w:r>
    </w:p>
    <w:p>
      <w:pPr>
        <w:jc w:val="center"/>
        <w:rPr>
          <w:rFonts w:ascii="宋体" w:hAnsi="Times New Roman" w:eastAsia="宋体" w:cs="Times New Roman"/>
          <w:b/>
          <w:color w:val="auto"/>
          <w:sz w:val="28"/>
          <w:szCs w:val="28"/>
          <w:highlight w:val="none"/>
        </w:rPr>
      </w:pPr>
      <w:r>
        <w:rPr>
          <w:rFonts w:hint="eastAsia" w:ascii="宋体" w:hAnsi="宋体" w:eastAsia="宋体" w:cs="Times New Roman"/>
          <w:b/>
          <w:color w:val="auto"/>
          <w:sz w:val="28"/>
          <w:szCs w:val="28"/>
          <w:highlight w:val="none"/>
        </w:rPr>
        <w:t>技术偏离表</w:t>
      </w:r>
    </w:p>
    <w:p>
      <w:pPr>
        <w:jc w:val="left"/>
        <w:rPr>
          <w:rFonts w:ascii="宋体" w:hAnsi="Times New Roman" w:eastAsia="宋体" w:cs="Times New Roman"/>
          <w:b/>
          <w:color w:val="auto"/>
          <w:sz w:val="32"/>
          <w:szCs w:val="32"/>
          <w:highlight w:val="none"/>
        </w:rPr>
      </w:pPr>
    </w:p>
    <w:p>
      <w:pPr>
        <w:spacing w:line="440" w:lineRule="exact"/>
        <w:rPr>
          <w:rFonts w:ascii="宋体" w:hAnsi="Times New Roman" w:eastAsia="宋体" w:cs="Times New Roman"/>
          <w:color w:val="auto"/>
          <w:szCs w:val="21"/>
          <w:highlight w:val="none"/>
          <w:u w:val="single"/>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p>
    <w:p>
      <w:pPr>
        <w:spacing w:line="440" w:lineRule="exac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 xml:space="preserve"> </w:t>
      </w:r>
    </w:p>
    <w:p>
      <w:pPr>
        <w:spacing w:line="440" w:lineRule="exact"/>
        <w:rPr>
          <w:rFonts w:ascii="宋体" w:hAnsi="Times New Roman" w:eastAsia="宋体" w:cs="Times New Roman"/>
          <w:color w:val="auto"/>
          <w:szCs w:val="21"/>
          <w:highlight w:val="none"/>
          <w:u w:val="single"/>
        </w:rPr>
      </w:pPr>
      <w:r>
        <w:rPr>
          <w:rFonts w:hint="eastAsia" w:ascii="宋体" w:hAnsi="宋体" w:eastAsia="宋体" w:cs="Times New Roman"/>
          <w:color w:val="auto"/>
          <w:szCs w:val="21"/>
          <w:highlight w:val="none"/>
        </w:rPr>
        <w:t>分标：</w:t>
      </w:r>
      <w:r>
        <w:rPr>
          <w:rFonts w:hint="eastAsia" w:ascii="宋体" w:hAnsi="宋体" w:eastAsia="宋体" w:cs="Times New Roman"/>
          <w:color w:val="auto"/>
          <w:szCs w:val="21"/>
          <w:highlight w:val="none"/>
          <w:u w:val="single"/>
        </w:rPr>
        <w:t xml:space="preserve">　　   /         </w:t>
      </w:r>
    </w:p>
    <w:tbl>
      <w:tblPr>
        <w:tblStyle w:val="45"/>
        <w:tblW w:w="89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134"/>
        <w:gridCol w:w="2152"/>
        <w:gridCol w:w="2463"/>
        <w:gridCol w:w="23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tcBorders>
              <w:top w:val="single" w:color="auto" w:sz="4" w:space="0"/>
            </w:tcBorders>
            <w:vAlign w:val="center"/>
          </w:tcPr>
          <w:p>
            <w:pPr>
              <w:jc w:val="center"/>
              <w:rPr>
                <w:rFonts w:ascii="Times New Roman" w:hAnsi="Times New Roman" w:eastAsia="宋体" w:cs="Times New Roman"/>
                <w:b/>
                <w:color w:val="auto"/>
                <w:szCs w:val="24"/>
                <w:highlight w:val="none"/>
              </w:rPr>
            </w:pPr>
            <w:r>
              <w:rPr>
                <w:rFonts w:hint="eastAsia" w:ascii="Times New Roman" w:hAnsi="Times New Roman" w:eastAsia="宋体" w:cs="Times New Roman"/>
                <w:b/>
                <w:color w:val="auto"/>
                <w:szCs w:val="24"/>
                <w:highlight w:val="none"/>
              </w:rPr>
              <w:t>序号</w:t>
            </w:r>
          </w:p>
        </w:tc>
        <w:tc>
          <w:tcPr>
            <w:tcW w:w="1134" w:type="dxa"/>
            <w:tcBorders>
              <w:top w:val="single" w:color="auto" w:sz="4" w:space="0"/>
            </w:tcBorders>
            <w:vAlign w:val="center"/>
          </w:tcPr>
          <w:p>
            <w:pPr>
              <w:jc w:val="center"/>
              <w:rPr>
                <w:rFonts w:ascii="Times New Roman" w:hAnsi="Times New Roman" w:eastAsia="宋体" w:cs="Times New Roman"/>
                <w:b/>
                <w:color w:val="auto"/>
                <w:szCs w:val="24"/>
                <w:highlight w:val="none"/>
              </w:rPr>
            </w:pPr>
            <w:r>
              <w:rPr>
                <w:rFonts w:hint="eastAsia" w:ascii="Times New Roman" w:hAnsi="Times New Roman" w:eastAsia="宋体" w:cs="Times New Roman"/>
                <w:b/>
                <w:color w:val="auto"/>
                <w:szCs w:val="24"/>
                <w:highlight w:val="none"/>
              </w:rPr>
              <w:t>货物名称</w:t>
            </w:r>
          </w:p>
        </w:tc>
        <w:tc>
          <w:tcPr>
            <w:tcW w:w="2152" w:type="dxa"/>
            <w:tcBorders>
              <w:top w:val="single" w:color="auto" w:sz="4" w:space="0"/>
            </w:tcBorders>
            <w:vAlign w:val="center"/>
          </w:tcPr>
          <w:p>
            <w:pPr>
              <w:jc w:val="center"/>
              <w:rPr>
                <w:rFonts w:ascii="Times New Roman" w:hAnsi="Times New Roman" w:eastAsia="宋体" w:cs="Times New Roman"/>
                <w:b/>
                <w:color w:val="auto"/>
                <w:szCs w:val="24"/>
                <w:highlight w:val="none"/>
              </w:rPr>
            </w:pPr>
            <w:r>
              <w:rPr>
                <w:rFonts w:hint="eastAsia" w:ascii="Times New Roman" w:hAnsi="Times New Roman" w:eastAsia="宋体" w:cs="Times New Roman"/>
                <w:b/>
                <w:color w:val="auto"/>
                <w:szCs w:val="24"/>
                <w:highlight w:val="none"/>
              </w:rPr>
              <w:t>竞争性谈判文件要求</w:t>
            </w:r>
          </w:p>
        </w:tc>
        <w:tc>
          <w:tcPr>
            <w:tcW w:w="2463" w:type="dxa"/>
            <w:tcBorders>
              <w:top w:val="single" w:color="auto" w:sz="4" w:space="0"/>
            </w:tcBorders>
            <w:vAlign w:val="center"/>
          </w:tcPr>
          <w:p>
            <w:pPr>
              <w:jc w:val="center"/>
              <w:rPr>
                <w:rFonts w:ascii="Times New Roman" w:hAnsi="Times New Roman" w:eastAsia="宋体" w:cs="Times New Roman"/>
                <w:b/>
                <w:color w:val="auto"/>
                <w:szCs w:val="24"/>
                <w:highlight w:val="none"/>
              </w:rPr>
            </w:pPr>
            <w:r>
              <w:rPr>
                <w:rFonts w:hint="eastAsia" w:ascii="Times New Roman" w:hAnsi="Times New Roman" w:eastAsia="宋体" w:cs="Times New Roman"/>
                <w:b/>
                <w:color w:val="auto"/>
                <w:szCs w:val="24"/>
                <w:highlight w:val="none"/>
              </w:rPr>
              <w:t>谈判响应文件具体响应</w:t>
            </w:r>
          </w:p>
        </w:tc>
        <w:tc>
          <w:tcPr>
            <w:tcW w:w="2388" w:type="dxa"/>
            <w:tcBorders>
              <w:top w:val="single" w:color="auto" w:sz="4" w:space="0"/>
            </w:tcBorders>
            <w:vAlign w:val="center"/>
          </w:tcPr>
          <w:p>
            <w:pPr>
              <w:jc w:val="center"/>
              <w:rPr>
                <w:rFonts w:ascii="Times New Roman" w:hAnsi="Times New Roman" w:eastAsia="宋体" w:cs="Times New Roman"/>
                <w:b/>
                <w:color w:val="auto"/>
                <w:szCs w:val="24"/>
                <w:highlight w:val="none"/>
              </w:rPr>
            </w:pPr>
            <w:r>
              <w:rPr>
                <w:rFonts w:hint="eastAsia" w:ascii="Times New Roman" w:hAnsi="Times New Roman" w:eastAsia="宋体" w:cs="Times New Roman"/>
                <w:b/>
                <w:color w:val="auto"/>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vAlign w:val="center"/>
          </w:tcPr>
          <w:p>
            <w:pP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1134" w:type="dxa"/>
            <w:vAlign w:val="center"/>
          </w:tcPr>
          <w:p>
            <w:pPr>
              <w:jc w:val="center"/>
              <w:rPr>
                <w:rFonts w:ascii="Times New Roman" w:hAnsi="Times New Roman" w:eastAsia="宋体" w:cs="Times New Roman"/>
                <w:color w:val="auto"/>
                <w:szCs w:val="24"/>
                <w:highlight w:val="none"/>
              </w:rPr>
            </w:pPr>
          </w:p>
        </w:tc>
        <w:tc>
          <w:tcPr>
            <w:tcW w:w="2152" w:type="dxa"/>
            <w:vAlign w:val="center"/>
          </w:tcPr>
          <w:p>
            <w:pPr>
              <w:jc w:val="center"/>
              <w:rPr>
                <w:rFonts w:ascii="Times New Roman" w:hAnsi="Times New Roman" w:eastAsia="宋体" w:cs="Times New Roman"/>
                <w:color w:val="auto"/>
                <w:szCs w:val="24"/>
                <w:highlight w:val="none"/>
              </w:rPr>
            </w:pPr>
          </w:p>
        </w:tc>
        <w:tc>
          <w:tcPr>
            <w:tcW w:w="2463" w:type="dxa"/>
            <w:vAlign w:val="center"/>
          </w:tcPr>
          <w:p>
            <w:pPr>
              <w:jc w:val="center"/>
              <w:rPr>
                <w:rFonts w:ascii="Times New Roman" w:hAnsi="Times New Roman" w:eastAsia="宋体" w:cs="Times New Roman"/>
                <w:color w:val="auto"/>
                <w:szCs w:val="24"/>
                <w:highlight w:val="none"/>
              </w:rPr>
            </w:pPr>
          </w:p>
        </w:tc>
        <w:tc>
          <w:tcPr>
            <w:tcW w:w="2388" w:type="dxa"/>
            <w:vAlign w:val="center"/>
          </w:tcPr>
          <w:p>
            <w:pPr>
              <w:jc w:val="center"/>
              <w:rPr>
                <w:rFonts w:ascii="Times New Roman" w:hAnsi="Times New Roman" w:eastAsia="宋体" w:cs="Times New Roman"/>
                <w:color w:val="auto"/>
                <w:szCs w:val="24"/>
                <w:highlight w:val="none"/>
              </w:rPr>
            </w:pPr>
            <w:r>
              <w:rPr>
                <w:rFonts w:hint="eastAsia" w:ascii="Times New Roman" w:hAnsi="宋体" w:eastAsia="宋体" w:cs="Times New Roman"/>
                <w:color w:val="auto"/>
                <w:szCs w:val="21"/>
                <w:highlight w:val="none"/>
              </w:rPr>
              <w:t>正偏离/负偏离/无偏离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vAlign w:val="center"/>
          </w:tcPr>
          <w:p>
            <w:pP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1134" w:type="dxa"/>
            <w:vAlign w:val="center"/>
          </w:tcPr>
          <w:p>
            <w:pPr>
              <w:jc w:val="center"/>
              <w:rPr>
                <w:rFonts w:ascii="Times New Roman" w:hAnsi="Times New Roman" w:eastAsia="宋体" w:cs="Times New Roman"/>
                <w:color w:val="auto"/>
                <w:szCs w:val="24"/>
                <w:highlight w:val="none"/>
              </w:rPr>
            </w:pPr>
          </w:p>
        </w:tc>
        <w:tc>
          <w:tcPr>
            <w:tcW w:w="2152" w:type="dxa"/>
            <w:vAlign w:val="center"/>
          </w:tcPr>
          <w:p>
            <w:pPr>
              <w:jc w:val="center"/>
              <w:rPr>
                <w:rFonts w:ascii="Times New Roman" w:hAnsi="Times New Roman" w:eastAsia="宋体" w:cs="Times New Roman"/>
                <w:color w:val="auto"/>
                <w:szCs w:val="24"/>
                <w:highlight w:val="none"/>
              </w:rPr>
            </w:pPr>
          </w:p>
        </w:tc>
        <w:tc>
          <w:tcPr>
            <w:tcW w:w="2463" w:type="dxa"/>
            <w:vAlign w:val="center"/>
          </w:tcPr>
          <w:p>
            <w:pPr>
              <w:jc w:val="center"/>
              <w:rPr>
                <w:rFonts w:ascii="Times New Roman" w:hAnsi="Times New Roman" w:eastAsia="宋体" w:cs="Times New Roman"/>
                <w:color w:val="auto"/>
                <w:szCs w:val="24"/>
                <w:highlight w:val="none"/>
              </w:rPr>
            </w:pPr>
          </w:p>
        </w:tc>
        <w:tc>
          <w:tcPr>
            <w:tcW w:w="2388" w:type="dxa"/>
            <w:vAlign w:val="center"/>
          </w:tcPr>
          <w:p>
            <w:pPr>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vAlign w:val="center"/>
          </w:tcPr>
          <w:p>
            <w:pP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3</w:t>
            </w:r>
          </w:p>
        </w:tc>
        <w:tc>
          <w:tcPr>
            <w:tcW w:w="1134" w:type="dxa"/>
            <w:vAlign w:val="center"/>
          </w:tcPr>
          <w:p>
            <w:pPr>
              <w:jc w:val="center"/>
              <w:rPr>
                <w:rFonts w:ascii="Times New Roman" w:hAnsi="Times New Roman" w:eastAsia="宋体" w:cs="Times New Roman"/>
                <w:color w:val="auto"/>
                <w:szCs w:val="24"/>
                <w:highlight w:val="none"/>
              </w:rPr>
            </w:pPr>
          </w:p>
        </w:tc>
        <w:tc>
          <w:tcPr>
            <w:tcW w:w="2152" w:type="dxa"/>
            <w:vAlign w:val="center"/>
          </w:tcPr>
          <w:p>
            <w:pPr>
              <w:jc w:val="center"/>
              <w:rPr>
                <w:rFonts w:ascii="Times New Roman" w:hAnsi="Times New Roman" w:eastAsia="宋体" w:cs="Times New Roman"/>
                <w:color w:val="auto"/>
                <w:szCs w:val="24"/>
                <w:highlight w:val="none"/>
              </w:rPr>
            </w:pPr>
          </w:p>
        </w:tc>
        <w:tc>
          <w:tcPr>
            <w:tcW w:w="2463" w:type="dxa"/>
            <w:vAlign w:val="center"/>
          </w:tcPr>
          <w:p>
            <w:pPr>
              <w:jc w:val="center"/>
              <w:rPr>
                <w:rFonts w:ascii="Times New Roman" w:hAnsi="Times New Roman" w:eastAsia="宋体" w:cs="Times New Roman"/>
                <w:color w:val="auto"/>
                <w:szCs w:val="24"/>
                <w:highlight w:val="none"/>
              </w:rPr>
            </w:pPr>
          </w:p>
        </w:tc>
        <w:tc>
          <w:tcPr>
            <w:tcW w:w="2388" w:type="dxa"/>
            <w:vAlign w:val="center"/>
          </w:tcPr>
          <w:p>
            <w:pPr>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vAlign w:val="center"/>
          </w:tcPr>
          <w:p>
            <w:pP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4</w:t>
            </w:r>
          </w:p>
        </w:tc>
        <w:tc>
          <w:tcPr>
            <w:tcW w:w="1134" w:type="dxa"/>
            <w:vAlign w:val="center"/>
          </w:tcPr>
          <w:p>
            <w:pPr>
              <w:jc w:val="center"/>
              <w:rPr>
                <w:rFonts w:ascii="Times New Roman" w:hAnsi="Times New Roman" w:eastAsia="宋体" w:cs="Times New Roman"/>
                <w:color w:val="auto"/>
                <w:szCs w:val="24"/>
                <w:highlight w:val="none"/>
              </w:rPr>
            </w:pPr>
          </w:p>
        </w:tc>
        <w:tc>
          <w:tcPr>
            <w:tcW w:w="2152" w:type="dxa"/>
            <w:vAlign w:val="center"/>
          </w:tcPr>
          <w:p>
            <w:pPr>
              <w:jc w:val="center"/>
              <w:rPr>
                <w:rFonts w:ascii="Times New Roman" w:hAnsi="Times New Roman" w:eastAsia="宋体" w:cs="Times New Roman"/>
                <w:color w:val="auto"/>
                <w:szCs w:val="24"/>
                <w:highlight w:val="none"/>
              </w:rPr>
            </w:pPr>
          </w:p>
        </w:tc>
        <w:tc>
          <w:tcPr>
            <w:tcW w:w="2463" w:type="dxa"/>
            <w:vAlign w:val="center"/>
          </w:tcPr>
          <w:p>
            <w:pPr>
              <w:jc w:val="center"/>
              <w:rPr>
                <w:rFonts w:ascii="Times New Roman" w:hAnsi="Times New Roman" w:eastAsia="宋体" w:cs="Times New Roman"/>
                <w:color w:val="auto"/>
                <w:szCs w:val="24"/>
                <w:highlight w:val="none"/>
              </w:rPr>
            </w:pPr>
          </w:p>
        </w:tc>
        <w:tc>
          <w:tcPr>
            <w:tcW w:w="2388" w:type="dxa"/>
            <w:vAlign w:val="center"/>
          </w:tcPr>
          <w:p>
            <w:pPr>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vAlign w:val="center"/>
          </w:tcPr>
          <w:p>
            <w:pP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5</w:t>
            </w:r>
          </w:p>
        </w:tc>
        <w:tc>
          <w:tcPr>
            <w:tcW w:w="1134" w:type="dxa"/>
            <w:vAlign w:val="center"/>
          </w:tcPr>
          <w:p>
            <w:pPr>
              <w:jc w:val="center"/>
              <w:rPr>
                <w:rFonts w:ascii="Times New Roman" w:hAnsi="Times New Roman" w:eastAsia="宋体" w:cs="Times New Roman"/>
                <w:color w:val="auto"/>
                <w:szCs w:val="24"/>
                <w:highlight w:val="none"/>
              </w:rPr>
            </w:pPr>
          </w:p>
        </w:tc>
        <w:tc>
          <w:tcPr>
            <w:tcW w:w="2152" w:type="dxa"/>
            <w:vAlign w:val="center"/>
          </w:tcPr>
          <w:p>
            <w:pPr>
              <w:jc w:val="center"/>
              <w:rPr>
                <w:rFonts w:ascii="Times New Roman" w:hAnsi="Times New Roman" w:eastAsia="宋体" w:cs="Times New Roman"/>
                <w:color w:val="auto"/>
                <w:szCs w:val="24"/>
                <w:highlight w:val="none"/>
              </w:rPr>
            </w:pPr>
          </w:p>
        </w:tc>
        <w:tc>
          <w:tcPr>
            <w:tcW w:w="2463" w:type="dxa"/>
            <w:vAlign w:val="center"/>
          </w:tcPr>
          <w:p>
            <w:pPr>
              <w:jc w:val="center"/>
              <w:rPr>
                <w:rFonts w:ascii="Times New Roman" w:hAnsi="Times New Roman" w:eastAsia="宋体" w:cs="Times New Roman"/>
                <w:color w:val="auto"/>
                <w:szCs w:val="24"/>
                <w:highlight w:val="none"/>
              </w:rPr>
            </w:pPr>
          </w:p>
        </w:tc>
        <w:tc>
          <w:tcPr>
            <w:tcW w:w="2388" w:type="dxa"/>
            <w:vAlign w:val="center"/>
          </w:tcPr>
          <w:p>
            <w:pPr>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vAlign w:val="center"/>
          </w:tcPr>
          <w:p>
            <w:pP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6</w:t>
            </w:r>
          </w:p>
        </w:tc>
        <w:tc>
          <w:tcPr>
            <w:tcW w:w="1134" w:type="dxa"/>
            <w:vAlign w:val="center"/>
          </w:tcPr>
          <w:p>
            <w:pPr>
              <w:jc w:val="center"/>
              <w:rPr>
                <w:rFonts w:ascii="Times New Roman" w:hAnsi="Times New Roman" w:eastAsia="宋体" w:cs="Times New Roman"/>
                <w:color w:val="auto"/>
                <w:szCs w:val="24"/>
                <w:highlight w:val="none"/>
              </w:rPr>
            </w:pPr>
          </w:p>
        </w:tc>
        <w:tc>
          <w:tcPr>
            <w:tcW w:w="2152" w:type="dxa"/>
            <w:vAlign w:val="center"/>
          </w:tcPr>
          <w:p>
            <w:pPr>
              <w:jc w:val="center"/>
              <w:rPr>
                <w:rFonts w:ascii="Times New Roman" w:hAnsi="Times New Roman" w:eastAsia="宋体" w:cs="Times New Roman"/>
                <w:color w:val="auto"/>
                <w:szCs w:val="24"/>
                <w:highlight w:val="none"/>
              </w:rPr>
            </w:pPr>
          </w:p>
        </w:tc>
        <w:tc>
          <w:tcPr>
            <w:tcW w:w="2463" w:type="dxa"/>
            <w:vAlign w:val="center"/>
          </w:tcPr>
          <w:p>
            <w:pPr>
              <w:jc w:val="center"/>
              <w:rPr>
                <w:rFonts w:ascii="Times New Roman" w:hAnsi="Times New Roman" w:eastAsia="宋体" w:cs="Times New Roman"/>
                <w:color w:val="auto"/>
                <w:szCs w:val="24"/>
                <w:highlight w:val="none"/>
              </w:rPr>
            </w:pPr>
          </w:p>
        </w:tc>
        <w:tc>
          <w:tcPr>
            <w:tcW w:w="2388" w:type="dxa"/>
            <w:vAlign w:val="center"/>
          </w:tcPr>
          <w:p>
            <w:pPr>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17" w:type="dxa"/>
            <w:vAlign w:val="center"/>
          </w:tcPr>
          <w:p>
            <w:pPr>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w:t>
            </w:r>
          </w:p>
        </w:tc>
        <w:tc>
          <w:tcPr>
            <w:tcW w:w="1134" w:type="dxa"/>
            <w:vAlign w:val="center"/>
          </w:tcPr>
          <w:p>
            <w:pPr>
              <w:jc w:val="center"/>
              <w:rPr>
                <w:rFonts w:ascii="Times New Roman" w:hAnsi="Times New Roman" w:eastAsia="宋体" w:cs="Times New Roman"/>
                <w:color w:val="auto"/>
                <w:szCs w:val="24"/>
                <w:highlight w:val="none"/>
              </w:rPr>
            </w:pPr>
          </w:p>
        </w:tc>
        <w:tc>
          <w:tcPr>
            <w:tcW w:w="2152" w:type="dxa"/>
            <w:vAlign w:val="center"/>
          </w:tcPr>
          <w:p>
            <w:pPr>
              <w:jc w:val="center"/>
              <w:rPr>
                <w:rFonts w:ascii="Times New Roman" w:hAnsi="Times New Roman" w:eastAsia="宋体" w:cs="Times New Roman"/>
                <w:color w:val="auto"/>
                <w:szCs w:val="24"/>
                <w:highlight w:val="none"/>
              </w:rPr>
            </w:pPr>
          </w:p>
        </w:tc>
        <w:tc>
          <w:tcPr>
            <w:tcW w:w="2463" w:type="dxa"/>
            <w:tcBorders>
              <w:right w:val="single" w:color="auto" w:sz="4" w:space="0"/>
            </w:tcBorders>
            <w:vAlign w:val="center"/>
          </w:tcPr>
          <w:p>
            <w:pPr>
              <w:jc w:val="center"/>
              <w:rPr>
                <w:rFonts w:ascii="Times New Roman" w:hAnsi="Times New Roman" w:eastAsia="宋体" w:cs="Times New Roman"/>
                <w:color w:val="auto"/>
                <w:szCs w:val="24"/>
                <w:highlight w:val="none"/>
              </w:rPr>
            </w:pPr>
          </w:p>
        </w:tc>
        <w:tc>
          <w:tcPr>
            <w:tcW w:w="2388" w:type="dxa"/>
            <w:tcBorders>
              <w:left w:val="single" w:color="auto" w:sz="4" w:space="0"/>
            </w:tcBorders>
            <w:vAlign w:val="center"/>
          </w:tcPr>
          <w:p>
            <w:pPr>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17" w:type="dxa"/>
            <w:tcBorders>
              <w:bottom w:val="single" w:color="auto" w:sz="4" w:space="0"/>
            </w:tcBorders>
            <w:vAlign w:val="center"/>
          </w:tcPr>
          <w:p>
            <w:pPr>
              <w:jc w:val="center"/>
              <w:rPr>
                <w:rFonts w:ascii="Times New Roman" w:hAnsi="Times New Roman" w:eastAsia="宋体" w:cs="Times New Roman"/>
                <w:color w:val="auto"/>
                <w:szCs w:val="24"/>
                <w:highlight w:val="none"/>
                <w:u w:val="single"/>
              </w:rPr>
            </w:pPr>
            <w:r>
              <w:rPr>
                <w:rFonts w:hint="eastAsia" w:ascii="Times New Roman" w:hAnsi="Times New Roman" w:eastAsia="宋体" w:cs="Times New Roman"/>
                <w:color w:val="auto"/>
                <w:szCs w:val="24"/>
                <w:highlight w:val="none"/>
                <w:u w:val="single"/>
              </w:rPr>
              <w:t>例如：</w:t>
            </w:r>
          </w:p>
        </w:tc>
        <w:tc>
          <w:tcPr>
            <w:tcW w:w="1134" w:type="dxa"/>
            <w:tcBorders>
              <w:bottom w:val="single" w:color="auto" w:sz="4" w:space="0"/>
            </w:tcBorders>
            <w:vAlign w:val="center"/>
          </w:tcPr>
          <w:p>
            <w:pPr>
              <w:widowControl/>
              <w:jc w:val="center"/>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rPr>
              <w:t>试验机</w:t>
            </w:r>
          </w:p>
        </w:tc>
        <w:tc>
          <w:tcPr>
            <w:tcW w:w="2152" w:type="dxa"/>
            <w:tcBorders>
              <w:bottom w:val="single" w:color="auto" w:sz="4" w:space="0"/>
            </w:tcBorders>
            <w:vAlign w:val="center"/>
          </w:tcPr>
          <w:p>
            <w:pPr>
              <w:widowControl/>
              <w:jc w:val="center"/>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rPr>
              <w:t>精度值：±0.3mm</w:t>
            </w:r>
          </w:p>
        </w:tc>
        <w:tc>
          <w:tcPr>
            <w:tcW w:w="2463" w:type="dxa"/>
            <w:tcBorders>
              <w:bottom w:val="single" w:color="auto" w:sz="4" w:space="0"/>
              <w:right w:val="single" w:color="auto" w:sz="4" w:space="0"/>
            </w:tcBorders>
            <w:vAlign w:val="center"/>
          </w:tcPr>
          <w:p>
            <w:pPr>
              <w:widowControl/>
              <w:jc w:val="center"/>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rPr>
              <w:t>精度值：±0.1mm</w:t>
            </w:r>
          </w:p>
        </w:tc>
        <w:tc>
          <w:tcPr>
            <w:tcW w:w="2388" w:type="dxa"/>
            <w:tcBorders>
              <w:left w:val="single" w:color="auto" w:sz="4" w:space="0"/>
              <w:bottom w:val="single" w:color="auto" w:sz="4" w:space="0"/>
            </w:tcBorders>
            <w:vAlign w:val="center"/>
          </w:tcPr>
          <w:p>
            <w:pPr>
              <w:widowControl/>
              <w:jc w:val="center"/>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rPr>
              <w:t>正偏离</w:t>
            </w:r>
          </w:p>
        </w:tc>
      </w:tr>
    </w:tbl>
    <w:p>
      <w:pPr>
        <w:spacing w:line="4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说明：1、应对照竞争性谈判文件的要求，说明所提供货物和服务已对竞争性谈判文件的技术规格做出了实质性的响应</w:t>
      </w:r>
      <w:r>
        <w:rPr>
          <w:rFonts w:hint="eastAsia" w:ascii="宋体" w:hAnsi="宋体" w:eastAsia="宋体" w:cs="Times New Roman"/>
          <w:b/>
          <w:color w:val="auto"/>
          <w:szCs w:val="21"/>
          <w:highlight w:val="none"/>
        </w:rPr>
        <w:t>（例如：货物参数要求：【重量：不大于10KG,响应文件不能：不大于10KG,否则造成的后果由竞标人自行承担】）</w:t>
      </w:r>
      <w:r>
        <w:rPr>
          <w:rFonts w:hint="eastAsia" w:ascii="宋体" w:hAnsi="宋体" w:eastAsia="宋体" w:cs="Times New Roman"/>
          <w:color w:val="auto"/>
          <w:szCs w:val="21"/>
          <w:highlight w:val="none"/>
        </w:rPr>
        <w:t>，并申明与技术规格条文的响应和偏离情况（正偏离或无偏离或负偏离）。</w:t>
      </w:r>
    </w:p>
    <w:p>
      <w:pPr>
        <w:spacing w:line="440" w:lineRule="exact"/>
        <w:ind w:firstLine="1470" w:firstLineChars="700"/>
        <w:rPr>
          <w:rFonts w:ascii="宋体" w:hAnsi="宋体" w:eastAsia="宋体" w:cs="Times New Roman"/>
          <w:color w:val="auto"/>
          <w:szCs w:val="20"/>
          <w:highlight w:val="none"/>
        </w:rPr>
      </w:pPr>
    </w:p>
    <w:p>
      <w:pPr>
        <w:spacing w:line="440" w:lineRule="exact"/>
        <w:ind w:firstLine="1470" w:firstLineChars="700"/>
        <w:rPr>
          <w:rFonts w:ascii="宋体" w:hAnsi="宋体" w:eastAsia="宋体" w:cs="Times New Roman"/>
          <w:color w:val="auto"/>
          <w:szCs w:val="20"/>
          <w:highlight w:val="none"/>
        </w:rPr>
      </w:pPr>
    </w:p>
    <w:p>
      <w:pPr>
        <w:spacing w:line="440" w:lineRule="exact"/>
        <w:ind w:firstLine="1470" w:firstLineChars="700"/>
        <w:rPr>
          <w:rFonts w:ascii="宋体" w:hAnsi="宋体" w:eastAsia="宋体" w:cs="Times New Roman"/>
          <w:color w:val="auto"/>
          <w:szCs w:val="20"/>
          <w:highlight w:val="none"/>
        </w:rPr>
      </w:pPr>
    </w:p>
    <w:p>
      <w:pPr>
        <w:wordWrap w:val="0"/>
        <w:spacing w:line="440" w:lineRule="exact"/>
        <w:ind w:firstLine="3360" w:firstLineChars="1600"/>
        <w:rPr>
          <w:rFonts w:ascii="宋体" w:hAnsi="宋体" w:eastAsia="宋体" w:cs="Times New Roman"/>
          <w:color w:val="auto"/>
          <w:szCs w:val="20"/>
          <w:highlight w:val="none"/>
          <w:u w:val="single"/>
        </w:rPr>
      </w:pPr>
      <w:r>
        <w:rPr>
          <w:rFonts w:hint="eastAsia" w:ascii="宋体" w:hAnsi="宋体" w:eastAsia="宋体" w:cs="Times New Roman"/>
          <w:color w:val="auto"/>
          <w:szCs w:val="20"/>
          <w:highlight w:val="none"/>
        </w:rPr>
        <w:t>竞标人名称（盖章）：</w:t>
      </w:r>
      <w:r>
        <w:rPr>
          <w:rFonts w:hint="eastAsia" w:ascii="宋体" w:hAnsi="宋体" w:eastAsia="宋体" w:cs="Times New Roman"/>
          <w:color w:val="auto"/>
          <w:szCs w:val="21"/>
          <w:highlight w:val="none"/>
          <w:u w:val="single"/>
        </w:rPr>
        <w:t xml:space="preserve">                 </w:t>
      </w:r>
    </w:p>
    <w:p>
      <w:pPr>
        <w:wordWrap w:val="0"/>
        <w:spacing w:line="440" w:lineRule="exact"/>
        <w:ind w:firstLine="3360" w:firstLineChars="1600"/>
        <w:rPr>
          <w:rFonts w:ascii="宋体" w:hAnsi="宋体" w:eastAsia="宋体" w:cs="Times New Roman"/>
          <w:color w:val="auto"/>
          <w:szCs w:val="20"/>
          <w:highlight w:val="none"/>
          <w:u w:val="single"/>
        </w:rPr>
      </w:pPr>
    </w:p>
    <w:p>
      <w:pPr>
        <w:wordWrap w:val="0"/>
        <w:spacing w:line="440" w:lineRule="exact"/>
        <w:ind w:firstLine="3360" w:firstLineChars="1600"/>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法定代表人或授权代表签字</w:t>
      </w:r>
      <w:r>
        <w:rPr>
          <w:rFonts w:ascii="宋体" w:hAnsi="宋体" w:eastAsia="宋体" w:cs="Times New Roman"/>
          <w:color w:val="auto"/>
          <w:szCs w:val="20"/>
          <w:highlight w:val="none"/>
        </w:rPr>
        <w:t>：</w:t>
      </w:r>
      <w:r>
        <w:rPr>
          <w:rFonts w:hint="eastAsia" w:ascii="宋体" w:hAnsi="宋体" w:eastAsia="宋体" w:cs="Times New Roman"/>
          <w:color w:val="auto"/>
          <w:szCs w:val="21"/>
          <w:highlight w:val="none"/>
          <w:u w:val="single"/>
        </w:rPr>
        <w:t xml:space="preserve">              </w:t>
      </w:r>
    </w:p>
    <w:p>
      <w:pPr>
        <w:spacing w:line="440" w:lineRule="exact"/>
        <w:ind w:firstLine="4935" w:firstLineChars="2350"/>
        <w:rPr>
          <w:rFonts w:ascii="宋体" w:hAnsi="宋体" w:eastAsia="宋体" w:cs="Times New Roman"/>
          <w:color w:val="auto"/>
          <w:szCs w:val="20"/>
          <w:highlight w:val="none"/>
          <w:u w:val="single"/>
        </w:rPr>
      </w:pPr>
    </w:p>
    <w:p>
      <w:pPr>
        <w:ind w:firstLine="3465" w:firstLineChars="1650"/>
        <w:rPr>
          <w:rFonts w:ascii="Times New Roman" w:hAnsi="宋体" w:eastAsia="宋体" w:cs="Times New Roman"/>
          <w:b/>
          <w:bCs/>
          <w:color w:val="auto"/>
          <w:sz w:val="24"/>
          <w:szCs w:val="24"/>
          <w:highlight w:val="none"/>
        </w:rPr>
      </w:pPr>
      <w:r>
        <w:rPr>
          <w:rFonts w:hint="eastAsia" w:ascii="Times New Roman" w:hAnsi="宋体" w:eastAsia="宋体" w:cs="宋体"/>
          <w:color w:val="auto"/>
          <w:kern w:val="0"/>
          <w:szCs w:val="21"/>
          <w:highlight w:val="none"/>
        </w:rPr>
        <w:t>日期：</w:t>
      </w:r>
      <w:r>
        <w:rPr>
          <w:rFonts w:hint="eastAsia" w:ascii="Times New Roman" w:hAnsi="宋体" w:eastAsia="宋体" w:cs="宋体"/>
          <w:color w:val="auto"/>
          <w:kern w:val="0"/>
          <w:szCs w:val="21"/>
          <w:highlight w:val="none"/>
          <w:u w:val="single"/>
        </w:rPr>
        <w:t xml:space="preserve">     </w:t>
      </w:r>
      <w:r>
        <w:rPr>
          <w:rFonts w:hint="eastAsia" w:ascii="Times New Roman" w:hAnsi="宋体" w:eastAsia="宋体" w:cs="Times New Roman"/>
          <w:color w:val="auto"/>
          <w:szCs w:val="24"/>
          <w:highlight w:val="none"/>
        </w:rPr>
        <w:t>年</w:t>
      </w:r>
      <w:r>
        <w:rPr>
          <w:rFonts w:hint="eastAsia" w:ascii="Times New Roman" w:hAnsi="宋体" w:eastAsia="宋体" w:cs="Times New Roman"/>
          <w:color w:val="auto"/>
          <w:szCs w:val="24"/>
          <w:highlight w:val="none"/>
          <w:u w:val="single"/>
        </w:rPr>
        <w:t xml:space="preserve">   </w:t>
      </w:r>
      <w:r>
        <w:rPr>
          <w:rFonts w:hint="eastAsia" w:ascii="Times New Roman" w:hAnsi="宋体" w:eastAsia="宋体" w:cs="Times New Roman"/>
          <w:color w:val="auto"/>
          <w:szCs w:val="24"/>
          <w:highlight w:val="none"/>
        </w:rPr>
        <w:t>月</w:t>
      </w:r>
      <w:r>
        <w:rPr>
          <w:rFonts w:hint="eastAsia" w:ascii="Times New Roman" w:hAnsi="宋体" w:eastAsia="宋体" w:cs="Times New Roman"/>
          <w:color w:val="auto"/>
          <w:szCs w:val="24"/>
          <w:highlight w:val="none"/>
          <w:u w:val="single"/>
        </w:rPr>
        <w:t xml:space="preserve">   </w:t>
      </w:r>
      <w:r>
        <w:rPr>
          <w:rFonts w:hint="eastAsia" w:ascii="Times New Roman" w:hAnsi="宋体" w:eastAsia="宋体" w:cs="Times New Roman"/>
          <w:color w:val="auto"/>
          <w:szCs w:val="24"/>
          <w:highlight w:val="none"/>
        </w:rPr>
        <w:t>日</w:t>
      </w:r>
      <w:r>
        <w:rPr>
          <w:rFonts w:ascii="宋体" w:hAnsi="Times New Roman" w:eastAsia="宋体" w:cs="Times New Roman"/>
          <w:color w:val="auto"/>
          <w:szCs w:val="21"/>
          <w:highlight w:val="none"/>
        </w:rPr>
        <w:br w:type="page"/>
      </w:r>
      <w:r>
        <w:rPr>
          <w:rFonts w:hint="eastAsia" w:ascii="Times New Roman" w:hAnsi="宋体" w:eastAsia="宋体" w:cs="Times New Roman"/>
          <w:b/>
          <w:bCs/>
          <w:color w:val="auto"/>
          <w:sz w:val="24"/>
          <w:szCs w:val="24"/>
          <w:highlight w:val="none"/>
        </w:rPr>
        <w:t>附件七</w:t>
      </w:r>
    </w:p>
    <w:p>
      <w:pPr>
        <w:spacing w:line="588" w:lineRule="exact"/>
        <w:jc w:val="center"/>
        <w:rPr>
          <w:rFonts w:ascii="宋体" w:hAnsi="宋体" w:eastAsia="宋体" w:cs="Times New Roman"/>
          <w:b/>
          <w:color w:val="auto"/>
          <w:spacing w:val="6"/>
          <w:sz w:val="28"/>
          <w:szCs w:val="28"/>
          <w:highlight w:val="none"/>
        </w:rPr>
      </w:pPr>
      <w:r>
        <w:rPr>
          <w:rFonts w:hint="eastAsia" w:ascii="宋体" w:hAnsi="宋体" w:eastAsia="宋体" w:cs="Times New Roman"/>
          <w:b/>
          <w:color w:val="auto"/>
          <w:spacing w:val="6"/>
          <w:sz w:val="28"/>
          <w:szCs w:val="28"/>
          <w:highlight w:val="none"/>
        </w:rPr>
        <w:t>供应商参加政府采购活动近三年内，在经营活动中没有</w:t>
      </w:r>
    </w:p>
    <w:p>
      <w:pPr>
        <w:spacing w:line="588" w:lineRule="exact"/>
        <w:jc w:val="center"/>
        <w:rPr>
          <w:rFonts w:ascii="宋体" w:hAnsi="宋体" w:eastAsia="宋体" w:cs="Times New Roman"/>
          <w:b/>
          <w:color w:val="auto"/>
          <w:spacing w:val="6"/>
          <w:sz w:val="28"/>
          <w:szCs w:val="28"/>
          <w:highlight w:val="none"/>
        </w:rPr>
      </w:pPr>
      <w:r>
        <w:rPr>
          <w:rFonts w:hint="eastAsia" w:ascii="宋体" w:hAnsi="宋体" w:eastAsia="宋体" w:cs="Times New Roman"/>
          <w:b/>
          <w:color w:val="auto"/>
          <w:spacing w:val="6"/>
          <w:sz w:val="28"/>
          <w:szCs w:val="28"/>
          <w:highlight w:val="none"/>
        </w:rPr>
        <w:t>重大事故、违法记录的声明</w:t>
      </w:r>
    </w:p>
    <w:p>
      <w:pPr>
        <w:spacing w:before="120" w:line="440" w:lineRule="exact"/>
        <w:rPr>
          <w:rFonts w:ascii="宋体" w:hAnsi="宋体" w:eastAsia="宋体" w:cs="Times New Roman"/>
          <w:b/>
          <w:color w:val="auto"/>
          <w:szCs w:val="21"/>
          <w:highlight w:val="none"/>
          <w:u w:val="single"/>
        </w:rPr>
      </w:pPr>
      <w:r>
        <w:rPr>
          <w:rFonts w:hint="eastAsia" w:ascii="宋体" w:hAnsi="宋体" w:eastAsia="宋体" w:cs="Times New Roman"/>
          <w:b/>
          <w:color w:val="auto"/>
          <w:szCs w:val="21"/>
          <w:highlight w:val="none"/>
        </w:rPr>
        <w:t>致：</w:t>
      </w:r>
      <w:r>
        <w:rPr>
          <w:rFonts w:hint="eastAsia" w:ascii="宋体" w:hAnsi="宋体" w:eastAsia="宋体" w:cs="Times New Roman"/>
          <w:b/>
          <w:color w:val="auto"/>
          <w:szCs w:val="21"/>
          <w:highlight w:val="none"/>
          <w:u w:val="single"/>
        </w:rPr>
        <w:t>（采购人及代理机构）</w:t>
      </w:r>
    </w:p>
    <w:p>
      <w:pPr>
        <w:snapToGrid w:val="0"/>
        <w:spacing w:line="44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u w:val="single"/>
        </w:rPr>
        <w:t>（供应商名称）</w:t>
      </w:r>
      <w:r>
        <w:rPr>
          <w:rFonts w:ascii="宋体" w:hAnsi="宋体" w:eastAsia="宋体" w:cs="Times New Roman"/>
          <w:color w:val="auto"/>
          <w:szCs w:val="21"/>
          <w:highlight w:val="none"/>
        </w:rPr>
        <w:t>系中华人民共和国合法企业，我单位</w:t>
      </w:r>
      <w:r>
        <w:rPr>
          <w:rFonts w:hint="eastAsia" w:ascii="宋体" w:hAnsi="宋体" w:eastAsia="宋体" w:cs="Times New Roman"/>
          <w:color w:val="auto"/>
          <w:szCs w:val="21"/>
          <w:highlight w:val="none"/>
        </w:rPr>
        <w:t>承诺</w:t>
      </w:r>
      <w:r>
        <w:rPr>
          <w:rFonts w:ascii="宋体" w:hAnsi="宋体" w:eastAsia="宋体" w:cs="Times New Roman"/>
          <w:color w:val="auto"/>
          <w:szCs w:val="21"/>
          <w:highlight w:val="none"/>
        </w:rPr>
        <w:t>在参加本政府采购项目活动前三年内，在经营活动中没有重大违法记录及不良信用记录。重大违法记录是指供应商因违法经营受到刑事处罚或者责令停产停业、吊销许可证或者执照、较大数额罚款等行政处罚。</w:t>
      </w:r>
    </w:p>
    <w:p>
      <w:pPr>
        <w:snapToGrid w:val="0"/>
        <w:spacing w:line="44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如未如实提供“中国政府采购网（http：//www.ccgp.gov.cn）‘政府采购严重违法失信行为记录名单’栏目及信用中国网站（http：//www.creditchina.gov.cn/）” 查询结果，接受本次响应作为否决响应处理，并根据《财政部关于在政府采购活动中查询及使用信用记录有关问题的通知》(财库〔2016〕125号)规定接受失信联合惩戒。</w:t>
      </w:r>
    </w:p>
    <w:p>
      <w:pPr>
        <w:snapToGrid w:val="0"/>
        <w:spacing w:line="44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我方对以上声明负全部法律责任。如有虚假或隐瞒，我方愿意承担一切后果，并不再寻求任何旨在减轻或免除法律责任的辩解。</w:t>
      </w:r>
    </w:p>
    <w:p>
      <w:pPr>
        <w:snapToGrid w:val="0"/>
        <w:spacing w:line="400" w:lineRule="exact"/>
        <w:jc w:val="right"/>
        <w:rPr>
          <w:rFonts w:ascii="Times New Roman" w:hAnsi="Times New Roman" w:eastAsia="宋体" w:cs="Times New Roman"/>
          <w:color w:val="auto"/>
          <w:szCs w:val="21"/>
          <w:highlight w:val="none"/>
        </w:rPr>
      </w:pPr>
    </w:p>
    <w:p>
      <w:pPr>
        <w:wordWrap w:val="0"/>
        <w:snapToGrid w:val="0"/>
        <w:spacing w:line="720" w:lineRule="auto"/>
        <w:jc w:val="right"/>
        <w:rPr>
          <w:rFonts w:ascii="Times New Roman" w:hAnsi="Times New Roman" w:eastAsia="宋体" w:cs="Times New Roman"/>
          <w:color w:val="auto"/>
          <w:szCs w:val="21"/>
          <w:highlight w:val="none"/>
        </w:rPr>
      </w:pPr>
    </w:p>
    <w:p>
      <w:pPr>
        <w:wordWrap w:val="0"/>
        <w:snapToGrid w:val="0"/>
        <w:spacing w:line="720" w:lineRule="auto"/>
        <w:jc w:val="right"/>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法定代表人签名或盖章：</w:t>
      </w:r>
      <w:r>
        <w:rPr>
          <w:rFonts w:hint="eastAsia" w:ascii="Times New Roman" w:hAnsi="Times New Roman" w:eastAsia="宋体" w:cs="Times New Roman"/>
          <w:color w:val="auto"/>
          <w:szCs w:val="21"/>
          <w:highlight w:val="none"/>
          <w:u w:val="single"/>
        </w:rPr>
        <w:t xml:space="preserve">                     </w:t>
      </w:r>
    </w:p>
    <w:p>
      <w:pPr>
        <w:wordWrap w:val="0"/>
        <w:snapToGrid w:val="0"/>
        <w:spacing w:line="720" w:lineRule="auto"/>
        <w:jc w:val="right"/>
        <w:rPr>
          <w:rFonts w:ascii="Times New Roman" w:hAnsi="宋体" w:eastAsia="宋体" w:cs="Times New Roman"/>
          <w:color w:val="auto"/>
          <w:szCs w:val="21"/>
          <w:highlight w:val="none"/>
          <w:u w:val="single"/>
        </w:rPr>
      </w:pPr>
      <w:r>
        <w:rPr>
          <w:rFonts w:hint="eastAsia" w:ascii="Times New Roman" w:hAnsi="宋体" w:eastAsia="宋体" w:cs="Times New Roman"/>
          <w:color w:val="auto"/>
          <w:szCs w:val="21"/>
          <w:highlight w:val="none"/>
        </w:rPr>
        <w:t>供应商名称（盖章）：</w:t>
      </w:r>
      <w:r>
        <w:rPr>
          <w:rFonts w:hint="eastAsia" w:ascii="Times New Roman" w:hAnsi="Times New Roman" w:eastAsia="宋体" w:cs="Times New Roman"/>
          <w:color w:val="auto"/>
          <w:szCs w:val="21"/>
          <w:highlight w:val="none"/>
          <w:u w:val="single"/>
        </w:rPr>
        <w:t xml:space="preserve">                       </w:t>
      </w:r>
    </w:p>
    <w:p>
      <w:pPr>
        <w:spacing w:line="720" w:lineRule="auto"/>
        <w:jc w:val="right"/>
        <w:rPr>
          <w:rFonts w:ascii="宋体" w:hAnsi="Times New Roman" w:eastAsia="宋体" w:cs="Times New Roman"/>
          <w:color w:val="auto"/>
          <w:szCs w:val="21"/>
          <w:highlight w:val="none"/>
        </w:rPr>
      </w:pPr>
      <w:r>
        <w:rPr>
          <w:rFonts w:hint="eastAsia" w:ascii="Times New Roman" w:hAnsi="宋体" w:eastAsia="宋体" w:cs="宋体"/>
          <w:color w:val="auto"/>
          <w:kern w:val="0"/>
          <w:szCs w:val="21"/>
          <w:highlight w:val="none"/>
        </w:rPr>
        <w:t>日期：</w:t>
      </w:r>
      <w:r>
        <w:rPr>
          <w:rFonts w:hint="eastAsia" w:ascii="Times New Roman" w:hAnsi="宋体" w:eastAsia="宋体" w:cs="宋体"/>
          <w:color w:val="auto"/>
          <w:kern w:val="0"/>
          <w:szCs w:val="21"/>
          <w:highlight w:val="none"/>
          <w:u w:val="single"/>
        </w:rPr>
        <w:t xml:space="preserve">     </w:t>
      </w:r>
      <w:r>
        <w:rPr>
          <w:rFonts w:hint="eastAsia" w:ascii="Times New Roman" w:hAnsi="宋体" w:eastAsia="宋体" w:cs="Times New Roman"/>
          <w:color w:val="auto"/>
          <w:szCs w:val="21"/>
          <w:highlight w:val="none"/>
        </w:rPr>
        <w:t>年</w:t>
      </w:r>
      <w:r>
        <w:rPr>
          <w:rFonts w:hint="eastAsia" w:ascii="Times New Roman" w:hAnsi="宋体" w:eastAsia="宋体" w:cs="Times New Roman"/>
          <w:color w:val="auto"/>
          <w:szCs w:val="21"/>
          <w:highlight w:val="none"/>
          <w:u w:val="single"/>
        </w:rPr>
        <w:t xml:space="preserve">   </w:t>
      </w:r>
      <w:r>
        <w:rPr>
          <w:rFonts w:hint="eastAsia" w:ascii="Times New Roman" w:hAnsi="宋体" w:eastAsia="宋体" w:cs="Times New Roman"/>
          <w:color w:val="auto"/>
          <w:szCs w:val="21"/>
          <w:highlight w:val="none"/>
        </w:rPr>
        <w:t>月</w:t>
      </w:r>
      <w:r>
        <w:rPr>
          <w:rFonts w:hint="eastAsia" w:ascii="Times New Roman" w:hAnsi="宋体" w:eastAsia="宋体" w:cs="Times New Roman"/>
          <w:color w:val="auto"/>
          <w:szCs w:val="21"/>
          <w:highlight w:val="none"/>
          <w:u w:val="single"/>
        </w:rPr>
        <w:t xml:space="preserve">   </w:t>
      </w:r>
      <w:r>
        <w:rPr>
          <w:rFonts w:hint="eastAsia" w:ascii="Times New Roman" w:hAnsi="宋体" w:eastAsia="宋体" w:cs="Times New Roman"/>
          <w:color w:val="auto"/>
          <w:szCs w:val="21"/>
          <w:highlight w:val="none"/>
        </w:rPr>
        <w:t>日</w:t>
      </w:r>
    </w:p>
    <w:p>
      <w:pPr>
        <w:ind w:firstLine="3975" w:firstLineChars="1650"/>
        <w:rPr>
          <w:rFonts w:ascii="Times New Roman" w:hAnsi="宋体" w:eastAsia="宋体" w:cs="Times New Roman"/>
          <w:b/>
          <w:bCs/>
          <w:color w:val="auto"/>
          <w:sz w:val="24"/>
          <w:szCs w:val="24"/>
          <w:highlight w:val="none"/>
        </w:rPr>
      </w:pPr>
    </w:p>
    <w:p>
      <w:pPr>
        <w:ind w:firstLine="3975" w:firstLineChars="1650"/>
        <w:rPr>
          <w:rFonts w:ascii="Times New Roman" w:hAnsi="宋体" w:eastAsia="宋体" w:cs="Times New Roman"/>
          <w:b/>
          <w:bCs/>
          <w:color w:val="auto"/>
          <w:sz w:val="24"/>
          <w:szCs w:val="24"/>
          <w:highlight w:val="none"/>
        </w:rPr>
      </w:pPr>
    </w:p>
    <w:p>
      <w:pPr>
        <w:ind w:firstLine="4620" w:firstLineChars="1650"/>
        <w:rPr>
          <w:rFonts w:ascii="宋体" w:hAnsi="Times New Roman" w:eastAsia="宋体" w:cs="Times New Roman"/>
          <w:color w:val="auto"/>
          <w:sz w:val="28"/>
          <w:szCs w:val="28"/>
          <w:highlight w:val="none"/>
        </w:rPr>
      </w:pPr>
    </w:p>
    <w:p>
      <w:pPr>
        <w:widowControl/>
        <w:jc w:val="left"/>
        <w:rPr>
          <w:rFonts w:ascii="宋体" w:hAnsi="宋体" w:eastAsia="宋体" w:cs="Times New Roman"/>
          <w:b/>
          <w:color w:val="auto"/>
          <w:spacing w:val="6"/>
          <w:sz w:val="28"/>
          <w:szCs w:val="28"/>
          <w:highlight w:val="none"/>
        </w:rPr>
      </w:pPr>
      <w:r>
        <w:rPr>
          <w:rFonts w:ascii="宋体" w:hAnsi="宋体" w:eastAsia="宋体" w:cs="Times New Roman"/>
          <w:b/>
          <w:color w:val="auto"/>
          <w:spacing w:val="6"/>
          <w:sz w:val="28"/>
          <w:szCs w:val="28"/>
          <w:highlight w:val="none"/>
        </w:rPr>
        <w:br w:type="page"/>
      </w:r>
    </w:p>
    <w:p>
      <w:pPr>
        <w:tabs>
          <w:tab w:val="center" w:pos="4153"/>
          <w:tab w:val="right" w:pos="8306"/>
        </w:tabs>
        <w:snapToGrid w:val="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18"/>
          <w:highlight w:val="none"/>
        </w:rPr>
        <w:t>附件八：</w:t>
      </w:r>
      <w:r>
        <w:rPr>
          <w:rFonts w:hint="eastAsia" w:ascii="宋体" w:hAnsi="宋体" w:eastAsia="宋体" w:cs="Times New Roman"/>
          <w:b/>
          <w:color w:val="auto"/>
          <w:sz w:val="24"/>
          <w:szCs w:val="24"/>
          <w:highlight w:val="none"/>
        </w:rPr>
        <w:t xml:space="preserve"> 中小企业声明函</w:t>
      </w:r>
    </w:p>
    <w:p>
      <w:pPr>
        <w:tabs>
          <w:tab w:val="center" w:pos="4153"/>
          <w:tab w:val="right" w:pos="8306"/>
        </w:tabs>
        <w:snapToGrid w:val="0"/>
        <w:jc w:val="left"/>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18"/>
          <w:highlight w:val="none"/>
        </w:rPr>
        <w:t>（</w:t>
      </w:r>
      <w:r>
        <w:rPr>
          <w:rFonts w:hint="eastAsia" w:ascii="Times New Roman" w:hAnsi="Times New Roman" w:eastAsia="宋体" w:cs="Times New Roman"/>
          <w:color w:val="auto"/>
          <w:sz w:val="24"/>
          <w:szCs w:val="24"/>
          <w:highlight w:val="none"/>
        </w:rPr>
        <w:t>供应商不具备的无须提供，如提供的真实性由供应商负责！</w:t>
      </w:r>
      <w:r>
        <w:rPr>
          <w:rFonts w:hint="eastAsia" w:ascii="宋体" w:hAnsi="宋体" w:eastAsia="宋体" w:cs="Times New Roman"/>
          <w:color w:val="auto"/>
          <w:sz w:val="24"/>
          <w:szCs w:val="18"/>
          <w:highlight w:val="none"/>
        </w:rPr>
        <w:t>）</w:t>
      </w:r>
    </w:p>
    <w:p>
      <w:pPr>
        <w:widowControl/>
        <w:shd w:val="clear" w:color="auto" w:fill="FFFFFF"/>
        <w:spacing w:after="240" w:line="360" w:lineRule="atLeast"/>
        <w:ind w:firstLine="480"/>
        <w:jc w:val="center"/>
        <w:rPr>
          <w:rFonts w:ascii="Times New Roman" w:hAnsi="宋体" w:eastAsia="宋体" w:cs="Times New Roman"/>
          <w:b/>
          <w:bCs/>
          <w:color w:val="auto"/>
          <w:sz w:val="24"/>
          <w:szCs w:val="24"/>
          <w:highlight w:val="none"/>
        </w:rPr>
      </w:pPr>
    </w:p>
    <w:p>
      <w:pPr>
        <w:widowControl/>
        <w:shd w:val="clear" w:color="auto" w:fill="FFFFFF"/>
        <w:spacing w:after="240" w:line="360" w:lineRule="atLeast"/>
        <w:ind w:firstLine="480"/>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中小企业声明函（货物）</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本公司（联合体）郑重声明，根据《政府采购促进中小企业发展管理办法》（财库〔2020〕46号）的规定，本公司 （联合体）参加</w:t>
      </w:r>
      <w:r>
        <w:rPr>
          <w:rFonts w:hint="eastAsia" w:ascii="宋体" w:hAnsi="宋体" w:cs="宋体"/>
          <w:color w:val="auto"/>
          <w:kern w:val="0"/>
          <w:szCs w:val="21"/>
          <w:highlight w:val="none"/>
          <w:u w:val="single"/>
        </w:rPr>
        <w:t>（单位名称）</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rPr>
        <w:t>（项目名称）</w:t>
      </w:r>
      <w:r>
        <w:rPr>
          <w:rFonts w:hint="eastAsia" w:ascii="宋体" w:hAnsi="宋体" w:cs="宋体"/>
          <w:color w:val="auto"/>
          <w:kern w:val="0"/>
          <w:szCs w:val="21"/>
          <w:highlight w:val="none"/>
        </w:rPr>
        <w:t>釆购活动,提供的货物全部由符合政策要求的中小企业制造。相关企业（含联合体中的中小企业、签订分包意向协议的中小企业）的具体情况如下</w:t>
      </w:r>
      <w:bookmarkStart w:id="9" w:name="bookmark1"/>
      <w:bookmarkEnd w:id="9"/>
      <w:r>
        <w:rPr>
          <w:rFonts w:hint="eastAsia" w:ascii="宋体" w:hAnsi="宋体" w:cs="宋体"/>
          <w:color w:val="auto"/>
          <w:kern w:val="0"/>
          <w:szCs w:val="21"/>
          <w:highlight w:val="none"/>
        </w:rPr>
        <w:t>：</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 xml:space="preserve">  （标的名称）</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rPr>
        <w:t xml:space="preserve">  （釆购文件中明确的所属行业）行业</w:t>
      </w:r>
      <w:r>
        <w:rPr>
          <w:rFonts w:hint="eastAsia" w:ascii="宋体" w:hAnsi="宋体" w:cs="宋体"/>
          <w:color w:val="auto"/>
          <w:kern w:val="0"/>
          <w:szCs w:val="21"/>
          <w:highlight w:val="none"/>
        </w:rPr>
        <w:t>；制造商为</w:t>
      </w:r>
      <w:r>
        <w:rPr>
          <w:rFonts w:hint="eastAsia" w:ascii="宋体" w:hAnsi="宋体" w:cs="宋体"/>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Cs w:val="21"/>
          <w:highlight w:val="none"/>
        </w:rPr>
        <w:t xml:space="preserve">； </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（标的名称）</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rPr>
        <w:t xml:space="preserve">  （釆购文件中明确的所属行业）行业</w:t>
      </w:r>
      <w:r>
        <w:rPr>
          <w:rFonts w:hint="eastAsia" w:ascii="宋体" w:hAnsi="宋体" w:cs="宋体"/>
          <w:color w:val="auto"/>
          <w:kern w:val="0"/>
          <w:szCs w:val="21"/>
          <w:highlight w:val="none"/>
        </w:rPr>
        <w:t>；制造商为</w:t>
      </w:r>
      <w:r>
        <w:rPr>
          <w:rFonts w:hint="eastAsia" w:ascii="宋体" w:hAnsi="宋体" w:cs="宋体"/>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color w:val="auto"/>
          <w:kern w:val="0"/>
          <w:szCs w:val="21"/>
          <w:highlight w:val="none"/>
          <w:u w:val="single"/>
        </w:rPr>
        <w:t>（中型企业、小型 企业、微型企业）</w:t>
      </w:r>
      <w:r>
        <w:rPr>
          <w:rFonts w:hint="eastAsia" w:ascii="宋体" w:hAnsi="宋体" w:cs="宋体"/>
          <w:color w:val="auto"/>
          <w:kern w:val="0"/>
          <w:szCs w:val="21"/>
          <w:highlight w:val="none"/>
        </w:rPr>
        <w:t>；</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以上企业，不属于大企业的分支机构，不存在控股股东为大企业的情形，也不存在与大企业的负责人为同一人的情形。</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pPr>
        <w:widowControl/>
        <w:shd w:val="clear" w:color="auto" w:fill="FFFFFF"/>
        <w:spacing w:line="400" w:lineRule="exact"/>
        <w:jc w:val="left"/>
        <w:rPr>
          <w:rFonts w:ascii="宋体" w:hAnsi="宋体" w:eastAsia="宋体" w:cs="宋体"/>
          <w:color w:val="auto"/>
          <w:kern w:val="0"/>
          <w:szCs w:val="21"/>
          <w:highlight w:val="none"/>
        </w:rPr>
      </w:pPr>
    </w:p>
    <w:p>
      <w:pPr>
        <w:widowControl/>
        <w:shd w:val="clear" w:color="auto" w:fill="FFFFFF"/>
        <w:spacing w:line="400" w:lineRule="exact"/>
        <w:jc w:val="left"/>
        <w:rPr>
          <w:rFonts w:ascii="宋体" w:hAnsi="宋体" w:eastAsia="宋体" w:cs="宋体"/>
          <w:color w:val="auto"/>
          <w:kern w:val="0"/>
          <w:szCs w:val="21"/>
          <w:highlight w:val="none"/>
        </w:rPr>
      </w:pPr>
    </w:p>
    <w:p>
      <w:pPr>
        <w:widowControl/>
        <w:shd w:val="clear" w:color="auto" w:fill="FFFFFF"/>
        <w:spacing w:line="40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单位名称（盖章）：</w:t>
      </w:r>
      <w:r>
        <w:rPr>
          <w:rFonts w:hint="eastAsia" w:ascii="宋体" w:hAnsi="宋体" w:eastAsia="宋体" w:cs="Times New Roman"/>
          <w:color w:val="auto"/>
          <w:szCs w:val="21"/>
          <w:highlight w:val="none"/>
          <w:u w:val="single"/>
        </w:rPr>
        <w:t>　　　</w:t>
      </w:r>
      <w:r>
        <w:rPr>
          <w:rFonts w:hint="eastAsia" w:ascii="宋体" w:hAnsi="宋体" w:eastAsia="宋体" w:cs="宋体"/>
          <w:color w:val="auto"/>
          <w:kern w:val="0"/>
          <w:szCs w:val="21"/>
          <w:highlight w:val="none"/>
          <w:u w:val="single"/>
        </w:rPr>
        <w:t xml:space="preserve">               </w:t>
      </w:r>
    </w:p>
    <w:p>
      <w:pPr>
        <w:widowControl/>
        <w:shd w:val="clear" w:color="auto" w:fill="FFFFFF"/>
        <w:spacing w:line="400" w:lineRule="exact"/>
        <w:ind w:firstLine="420" w:firstLineChars="200"/>
        <w:jc w:val="left"/>
        <w:rPr>
          <w:rFonts w:ascii="Times New Roman" w:hAnsi="宋体" w:eastAsia="宋体" w:cs="Times New Roman"/>
          <w:color w:val="auto"/>
          <w:szCs w:val="24"/>
          <w:highlight w:val="none"/>
        </w:rPr>
      </w:pPr>
      <w:r>
        <w:rPr>
          <w:rFonts w:hint="eastAsia" w:ascii="宋体" w:hAnsi="宋体" w:eastAsia="宋体" w:cs="宋体"/>
          <w:color w:val="auto"/>
          <w:kern w:val="0"/>
          <w:szCs w:val="21"/>
          <w:highlight w:val="none"/>
        </w:rPr>
        <w:t>　　　　　　　　　　　　　　　　　　　　日期：</w:t>
      </w:r>
      <w:r>
        <w:rPr>
          <w:rFonts w:hint="eastAsia" w:ascii="Times New Roman" w:hAnsi="宋体" w:eastAsia="宋体" w:cs="宋体"/>
          <w:color w:val="auto"/>
          <w:kern w:val="0"/>
          <w:szCs w:val="21"/>
          <w:highlight w:val="none"/>
          <w:u w:val="single"/>
        </w:rPr>
        <w:t xml:space="preserve">            </w:t>
      </w:r>
      <w:r>
        <w:rPr>
          <w:rFonts w:hint="eastAsia" w:ascii="Times New Roman" w:hAnsi="宋体" w:eastAsia="宋体" w:cs="Times New Roman"/>
          <w:color w:val="auto"/>
          <w:szCs w:val="24"/>
          <w:highlight w:val="none"/>
        </w:rPr>
        <w:t>年</w:t>
      </w:r>
      <w:r>
        <w:rPr>
          <w:rFonts w:hint="eastAsia" w:ascii="Times New Roman" w:hAnsi="宋体" w:eastAsia="宋体" w:cs="Times New Roman"/>
          <w:color w:val="auto"/>
          <w:szCs w:val="24"/>
          <w:highlight w:val="none"/>
          <w:u w:val="single"/>
        </w:rPr>
        <w:t xml:space="preserve">       </w:t>
      </w:r>
      <w:r>
        <w:rPr>
          <w:rFonts w:hint="eastAsia" w:ascii="Times New Roman" w:hAnsi="宋体" w:eastAsia="宋体" w:cs="Times New Roman"/>
          <w:color w:val="auto"/>
          <w:szCs w:val="24"/>
          <w:highlight w:val="none"/>
        </w:rPr>
        <w:t>月</w:t>
      </w:r>
      <w:r>
        <w:rPr>
          <w:rFonts w:hint="eastAsia" w:ascii="Times New Roman" w:hAnsi="宋体" w:eastAsia="宋体" w:cs="Times New Roman"/>
          <w:color w:val="auto"/>
          <w:szCs w:val="24"/>
          <w:highlight w:val="none"/>
          <w:u w:val="single"/>
        </w:rPr>
        <w:t xml:space="preserve">       </w:t>
      </w:r>
      <w:r>
        <w:rPr>
          <w:rFonts w:hint="eastAsia" w:ascii="Times New Roman" w:hAnsi="宋体" w:eastAsia="宋体" w:cs="Times New Roman"/>
          <w:color w:val="auto"/>
          <w:szCs w:val="24"/>
          <w:highlight w:val="none"/>
        </w:rPr>
        <w:t>日</w:t>
      </w:r>
    </w:p>
    <w:p>
      <w:pPr>
        <w:jc w:val="center"/>
        <w:rPr>
          <w:rFonts w:ascii="宋体" w:hAnsi="宋体" w:eastAsia="宋体" w:cs="宋体"/>
          <w:color w:val="auto"/>
          <w:kern w:val="0"/>
          <w:sz w:val="34"/>
          <w:szCs w:val="34"/>
          <w:highlight w:val="none"/>
        </w:rPr>
      </w:pPr>
    </w:p>
    <w:p>
      <w:pPr>
        <w:adjustRightInd w:val="0"/>
        <w:snapToGrid w:val="0"/>
        <w:spacing w:line="36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djustRightInd w:val="0"/>
        <w:snapToGrid w:val="0"/>
        <w:spacing w:line="36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1、从业人员、营业收入、资产总额填报上一年度数据，无上一年度数据的新成立企业可不填报。</w:t>
      </w:r>
    </w:p>
    <w:p>
      <w:pPr>
        <w:adjustRightInd w:val="0"/>
        <w:snapToGrid w:val="0"/>
        <w:spacing w:line="36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2、采购文件中明确的所属行业名称是根据《关于印发中小企业划型标准规定的通知》（工信部联企业[2011]300号）规定确定。</w:t>
      </w:r>
    </w:p>
    <w:p>
      <w:pPr>
        <w:adjustRightInd w:val="0"/>
        <w:snapToGrid w:val="0"/>
        <w:spacing w:line="36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3、供应商提供的《中小企业声明函》与事实不符的，依照《中华人民共和国政府采购法》第七十七条第一款的规定追究法律责任。</w:t>
      </w:r>
    </w:p>
    <w:p>
      <w:pPr>
        <w:adjustRightInd w:val="0"/>
        <w:snapToGrid w:val="0"/>
        <w:spacing w:line="36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4、未完整填写以上空白处信息，声明函将做无效处理。</w:t>
      </w:r>
    </w:p>
    <w:p>
      <w:pPr>
        <w:snapToGrid w:val="0"/>
        <w:spacing w:line="440" w:lineRule="exact"/>
        <w:jc w:val="left"/>
        <w:rPr>
          <w:rFonts w:ascii="宋体" w:hAnsi="宋体" w:eastAsia="宋体" w:cs="Times New Roman"/>
          <w:color w:val="auto"/>
          <w:szCs w:val="21"/>
          <w:highlight w:val="none"/>
        </w:rPr>
      </w:pPr>
    </w:p>
    <w:p>
      <w:pPr>
        <w:widowControl/>
        <w:jc w:val="left"/>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br w:type="page"/>
      </w:r>
    </w:p>
    <w:p>
      <w:pPr>
        <w:tabs>
          <w:tab w:val="center" w:pos="4153"/>
          <w:tab w:val="right" w:pos="8306"/>
        </w:tabs>
        <w:snapToGrid w:val="0"/>
        <w:jc w:val="left"/>
        <w:rPr>
          <w:rFonts w:ascii="宋体" w:hAnsi="宋体" w:eastAsia="宋体" w:cs="Times New Roman"/>
          <w:b/>
          <w:color w:val="auto"/>
          <w:sz w:val="24"/>
          <w:szCs w:val="24"/>
          <w:highlight w:val="none"/>
        </w:rPr>
      </w:pPr>
      <w:bookmarkStart w:id="10" w:name="OLE_LINK14"/>
      <w:bookmarkStart w:id="11" w:name="OLE_LINK13"/>
      <w:r>
        <w:rPr>
          <w:rFonts w:hint="eastAsia" w:ascii="宋体" w:hAnsi="宋体" w:eastAsia="宋体" w:cs="Times New Roman"/>
          <w:b/>
          <w:color w:val="auto"/>
          <w:sz w:val="24"/>
          <w:szCs w:val="18"/>
          <w:highlight w:val="none"/>
        </w:rPr>
        <w:t>附件九：</w:t>
      </w:r>
      <w:r>
        <w:rPr>
          <w:rFonts w:hint="eastAsia" w:ascii="宋体" w:hAnsi="宋体" w:eastAsia="宋体" w:cs="Times New Roman"/>
          <w:b/>
          <w:color w:val="auto"/>
          <w:sz w:val="24"/>
          <w:szCs w:val="24"/>
          <w:highlight w:val="none"/>
        </w:rPr>
        <w:t xml:space="preserve"> 残疾人福利性单位声明函</w:t>
      </w:r>
    </w:p>
    <w:p>
      <w:pPr>
        <w:tabs>
          <w:tab w:val="center" w:pos="4153"/>
          <w:tab w:val="right" w:pos="8306"/>
        </w:tabs>
        <w:snapToGrid w:val="0"/>
        <w:jc w:val="left"/>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18"/>
          <w:highlight w:val="none"/>
        </w:rPr>
        <w:t>（</w:t>
      </w:r>
      <w:r>
        <w:rPr>
          <w:rFonts w:hint="eastAsia" w:ascii="Times New Roman" w:hAnsi="Times New Roman" w:eastAsia="宋体" w:cs="Times New Roman"/>
          <w:color w:val="auto"/>
          <w:sz w:val="24"/>
          <w:szCs w:val="24"/>
          <w:highlight w:val="none"/>
        </w:rPr>
        <w:t>供应商不具备的无须提供，如提供的真实性由供应商负责！</w:t>
      </w:r>
      <w:r>
        <w:rPr>
          <w:rFonts w:hint="eastAsia" w:ascii="宋体" w:hAnsi="宋体" w:eastAsia="宋体" w:cs="Times New Roman"/>
          <w:color w:val="auto"/>
          <w:sz w:val="24"/>
          <w:szCs w:val="18"/>
          <w:highlight w:val="none"/>
        </w:rPr>
        <w:t>）</w:t>
      </w:r>
    </w:p>
    <w:p>
      <w:pPr>
        <w:spacing w:line="588" w:lineRule="exact"/>
        <w:jc w:val="center"/>
        <w:rPr>
          <w:rFonts w:ascii="宋体" w:hAnsi="宋体" w:eastAsia="宋体" w:cs="Times New Roman"/>
          <w:b/>
          <w:color w:val="auto"/>
          <w:spacing w:val="6"/>
          <w:sz w:val="28"/>
          <w:szCs w:val="28"/>
          <w:highlight w:val="none"/>
        </w:rPr>
      </w:pPr>
    </w:p>
    <w:p>
      <w:pPr>
        <w:spacing w:line="588" w:lineRule="exact"/>
        <w:jc w:val="center"/>
        <w:rPr>
          <w:rFonts w:ascii="宋体" w:hAnsi="Times New Roman" w:eastAsia="宋体" w:cs="Times New Roman"/>
          <w:b/>
          <w:color w:val="auto"/>
          <w:spacing w:val="6"/>
          <w:sz w:val="28"/>
          <w:szCs w:val="28"/>
          <w:highlight w:val="none"/>
        </w:rPr>
      </w:pPr>
      <w:r>
        <w:rPr>
          <w:rFonts w:hint="eastAsia" w:ascii="宋体" w:hAnsi="宋体" w:eastAsia="宋体" w:cs="Times New Roman"/>
          <w:b/>
          <w:color w:val="auto"/>
          <w:spacing w:val="6"/>
          <w:sz w:val="28"/>
          <w:szCs w:val="28"/>
          <w:highlight w:val="none"/>
        </w:rPr>
        <w:t>残疾人福利性单位声明函</w:t>
      </w:r>
    </w:p>
    <w:bookmarkEnd w:id="10"/>
    <w:bookmarkEnd w:id="11"/>
    <w:p>
      <w:pPr>
        <w:spacing w:line="588" w:lineRule="exact"/>
        <w:rPr>
          <w:rFonts w:ascii="宋体" w:hAnsi="Times New Roman" w:eastAsia="宋体" w:cs="Times New Roman"/>
          <w:b/>
          <w:color w:val="auto"/>
          <w:spacing w:val="6"/>
          <w:sz w:val="24"/>
          <w:szCs w:val="24"/>
          <w:highlight w:val="none"/>
        </w:rPr>
      </w:pPr>
    </w:p>
    <w:p>
      <w:pPr>
        <w:spacing w:line="440" w:lineRule="exact"/>
        <w:ind w:firstLine="444" w:firstLineChars="200"/>
        <w:rPr>
          <w:rFonts w:ascii="宋体" w:hAnsi="Times New Roman"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本单位郑重声明，根据《财政部民政部中国残疾人联合会关于促进残疾人就业政府采购政策的通知》（财库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2017</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 xml:space="preserve"> 141</w:t>
      </w:r>
      <w:r>
        <w:rPr>
          <w:rFonts w:hint="eastAsia" w:ascii="宋体" w:hAnsi="宋体" w:eastAsia="宋体" w:cs="Times New Roman"/>
          <w:color w:val="auto"/>
          <w:spacing w:val="6"/>
          <w:szCs w:val="21"/>
          <w:highlight w:val="none"/>
        </w:rPr>
        <w:t>号）的规定，本单位为符合条件的残疾人福利性单位，且本单位参加</w:t>
      </w:r>
      <w:r>
        <w:rPr>
          <w:rFonts w:hint="eastAsia" w:ascii="宋体" w:hAnsi="宋体" w:eastAsia="宋体" w:cs="Times New Roman"/>
          <w:color w:val="auto"/>
          <w:szCs w:val="21"/>
          <w:highlight w:val="none"/>
          <w:u w:val="single"/>
        </w:rPr>
        <w:t>　（采购人）</w:t>
      </w:r>
      <w:r>
        <w:rPr>
          <w:rFonts w:ascii="宋体" w:hAnsi="宋体" w:eastAsia="宋体" w:cs="宋体"/>
          <w:color w:val="auto"/>
          <w:kern w:val="0"/>
          <w:szCs w:val="21"/>
          <w:highlight w:val="none"/>
        </w:rPr>
        <w:t>_</w:t>
      </w:r>
      <w:r>
        <w:rPr>
          <w:rFonts w:hint="eastAsia" w:ascii="宋体" w:hAnsi="宋体" w:eastAsia="宋体" w:cs="宋体"/>
          <w:color w:val="auto"/>
          <w:kern w:val="0"/>
          <w:szCs w:val="21"/>
          <w:highlight w:val="none"/>
        </w:rPr>
        <w:t>单位的</w:t>
      </w:r>
      <w:r>
        <w:rPr>
          <w:rFonts w:hint="eastAsia" w:ascii="宋体" w:hAnsi="宋体" w:eastAsia="宋体" w:cs="Times New Roman"/>
          <w:color w:val="auto"/>
          <w:szCs w:val="21"/>
          <w:highlight w:val="none"/>
          <w:u w:val="single"/>
        </w:rPr>
        <w:t>　（项目名称）　</w:t>
      </w:r>
      <w:r>
        <w:rPr>
          <w:rFonts w:hint="eastAsia" w:ascii="宋体" w:hAnsi="宋体" w:eastAsia="宋体" w:cs="Times New Roman"/>
          <w:color w:val="auto"/>
          <w:spacing w:val="6"/>
          <w:szCs w:val="21"/>
          <w:highlight w:val="none"/>
        </w:rPr>
        <w:t>项目采购活动提供本单位制造的货物（由本单位承担工程</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提供服务），或者提供其他残疾人福利性单位制造的货物（不包括使用非残疾人福利性单位注册商标的货物）。</w:t>
      </w:r>
    </w:p>
    <w:p>
      <w:pPr>
        <w:spacing w:line="440" w:lineRule="exact"/>
        <w:ind w:firstLine="444" w:firstLineChars="200"/>
        <w:rPr>
          <w:rFonts w:ascii="宋体" w:hAnsi="Times New Roman"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spacing w:line="440" w:lineRule="exact"/>
        <w:ind w:firstLine="444" w:firstLineChars="200"/>
        <w:rPr>
          <w:rFonts w:ascii="宋体" w:hAnsi="Times New Roman" w:eastAsia="宋体" w:cs="Times New Roman"/>
          <w:color w:val="auto"/>
          <w:spacing w:val="6"/>
          <w:szCs w:val="21"/>
          <w:highlight w:val="none"/>
        </w:rPr>
      </w:pPr>
    </w:p>
    <w:p>
      <w:pPr>
        <w:widowControl/>
        <w:shd w:val="clear" w:color="auto" w:fill="FFFFFF"/>
        <w:spacing w:line="440" w:lineRule="exact"/>
        <w:ind w:firstLine="482"/>
        <w:jc w:val="left"/>
        <w:rPr>
          <w:rFonts w:ascii="宋体" w:hAnsi="Times New Roman" w:eastAsia="宋体" w:cs="宋体"/>
          <w:color w:val="auto"/>
          <w:kern w:val="0"/>
          <w:szCs w:val="21"/>
          <w:highlight w:val="none"/>
        </w:rPr>
      </w:pPr>
      <w:r>
        <w:rPr>
          <w:rFonts w:hint="eastAsia" w:ascii="宋体" w:hAnsi="宋体" w:eastAsia="宋体" w:cs="宋体"/>
          <w:color w:val="auto"/>
          <w:kern w:val="0"/>
          <w:szCs w:val="21"/>
          <w:highlight w:val="none"/>
        </w:rPr>
        <w:t>　                                      单位名称（盖章）：</w:t>
      </w:r>
      <w:r>
        <w:rPr>
          <w:rFonts w:hint="eastAsia" w:ascii="宋体" w:hAnsi="宋体" w:eastAsia="宋体" w:cs="Times New Roman"/>
          <w:color w:val="auto"/>
          <w:szCs w:val="21"/>
          <w:highlight w:val="none"/>
          <w:u w:val="single"/>
        </w:rPr>
        <w:t>　　　</w:t>
      </w:r>
    </w:p>
    <w:p>
      <w:pPr>
        <w:widowControl/>
        <w:shd w:val="clear" w:color="auto" w:fill="FFFFFF"/>
        <w:spacing w:line="440" w:lineRule="exact"/>
        <w:ind w:firstLine="482"/>
        <w:jc w:val="left"/>
        <w:rPr>
          <w:rFonts w:ascii="宋体" w:hAnsi="宋体" w:eastAsia="宋体" w:cs="Times New Roman"/>
          <w:color w:val="auto"/>
          <w:szCs w:val="20"/>
          <w:highlight w:val="none"/>
          <w:u w:val="single"/>
        </w:rPr>
      </w:pPr>
      <w:r>
        <w:rPr>
          <w:rFonts w:ascii="宋体" w:hAnsi="Times New Roman" w:eastAsia="宋体" w:cs="宋体"/>
          <w:color w:val="auto"/>
          <w:kern w:val="0"/>
          <w:szCs w:val="21"/>
          <w:highlight w:val="none"/>
        </w:rPr>
        <w:t> </w:t>
      </w:r>
      <w:r>
        <w:rPr>
          <w:rFonts w:hint="eastAsia" w:ascii="宋体" w:hAnsi="Times New Roman" w:eastAsia="宋体" w:cs="宋体"/>
          <w:color w:val="auto"/>
          <w:kern w:val="0"/>
          <w:szCs w:val="21"/>
          <w:highlight w:val="none"/>
        </w:rPr>
        <w:t xml:space="preserve">                                    </w:t>
      </w:r>
      <w:r>
        <w:rPr>
          <w:rFonts w:hint="eastAsia" w:ascii="宋体" w:hAnsi="宋体" w:eastAsia="宋体" w:cs="宋体"/>
          <w:color w:val="auto"/>
          <w:kern w:val="0"/>
          <w:szCs w:val="21"/>
          <w:highlight w:val="none"/>
        </w:rPr>
        <w:t>　 日期：</w:t>
      </w:r>
      <w:r>
        <w:rPr>
          <w:rFonts w:hint="eastAsia" w:ascii="宋体" w:hAnsi="宋体" w:eastAsia="宋体" w:cs="宋体"/>
          <w:color w:val="auto"/>
          <w:kern w:val="0"/>
          <w:szCs w:val="21"/>
          <w:highlight w:val="none"/>
          <w:u w:val="single"/>
        </w:rPr>
        <w:t xml:space="preserve">     </w:t>
      </w:r>
      <w:r>
        <w:rPr>
          <w:rFonts w:hint="eastAsia" w:ascii="宋体" w:hAnsi="宋体" w:eastAsia="宋体" w:cs="Times New Roman"/>
          <w:color w:val="auto"/>
          <w:szCs w:val="20"/>
          <w:highlight w:val="none"/>
        </w:rPr>
        <w:t>年</w:t>
      </w:r>
      <w:r>
        <w:rPr>
          <w:rFonts w:hint="eastAsia" w:ascii="宋体" w:hAnsi="宋体" w:eastAsia="宋体" w:cs="Times New Roman"/>
          <w:color w:val="auto"/>
          <w:szCs w:val="20"/>
          <w:highlight w:val="none"/>
          <w:u w:val="single"/>
        </w:rPr>
        <w:t xml:space="preserve">   </w:t>
      </w:r>
      <w:r>
        <w:rPr>
          <w:rFonts w:hint="eastAsia" w:ascii="宋体" w:hAnsi="宋体" w:eastAsia="宋体" w:cs="Times New Roman"/>
          <w:color w:val="auto"/>
          <w:szCs w:val="20"/>
          <w:highlight w:val="none"/>
        </w:rPr>
        <w:t>月</w:t>
      </w:r>
      <w:r>
        <w:rPr>
          <w:rFonts w:hint="eastAsia" w:ascii="宋体" w:hAnsi="宋体" w:eastAsia="宋体" w:cs="Times New Roman"/>
          <w:color w:val="auto"/>
          <w:szCs w:val="20"/>
          <w:highlight w:val="none"/>
          <w:u w:val="single"/>
        </w:rPr>
        <w:t xml:space="preserve">   </w:t>
      </w:r>
      <w:r>
        <w:rPr>
          <w:rFonts w:hint="eastAsia" w:ascii="宋体" w:hAnsi="宋体" w:eastAsia="宋体" w:cs="Times New Roman"/>
          <w:color w:val="auto"/>
          <w:szCs w:val="20"/>
          <w:highlight w:val="none"/>
        </w:rPr>
        <w:t>日</w:t>
      </w:r>
    </w:p>
    <w:p>
      <w:pPr>
        <w:spacing w:line="440" w:lineRule="exact"/>
        <w:jc w:val="left"/>
        <w:rPr>
          <w:rFonts w:ascii="宋体" w:hAnsi="Times New Roman" w:eastAsia="宋体" w:cs="Times New Roman"/>
          <w:b/>
          <w:color w:val="auto"/>
          <w:sz w:val="44"/>
          <w:szCs w:val="44"/>
          <w:highlight w:val="none"/>
        </w:rPr>
      </w:pPr>
    </w:p>
    <w:p>
      <w:pPr>
        <w:adjustRightInd w:val="0"/>
        <w:snapToGrid w:val="0"/>
        <w:spacing w:line="36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djustRightInd w:val="0"/>
        <w:snapToGrid w:val="0"/>
        <w:spacing w:line="36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1、供应商提供的《残疾人福利性单位声明函》与事实不符的，依照《中华人民共和国政府采购法》第七十七条第一款的规定追究法律责任。</w:t>
      </w:r>
    </w:p>
    <w:p>
      <w:pPr>
        <w:adjustRightInd w:val="0"/>
        <w:snapToGrid w:val="0"/>
        <w:spacing w:line="36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2、未完整填写以上空白处信息，声明函将做无效处理。</w:t>
      </w:r>
    </w:p>
    <w:p>
      <w:pPr>
        <w:rPr>
          <w:rFonts w:ascii="Times New Roman" w:hAnsi="Times New Roman" w:eastAsia="宋体" w:cs="Times New Roman"/>
          <w:color w:val="auto"/>
          <w:szCs w:val="24"/>
          <w:highlight w:val="none"/>
        </w:rPr>
      </w:pPr>
      <w:r>
        <w:rPr>
          <w:rFonts w:ascii="宋体" w:hAnsi="Times New Roman" w:eastAsia="宋体" w:cs="Times New Roman"/>
          <w:b/>
          <w:color w:val="auto"/>
          <w:sz w:val="44"/>
          <w:szCs w:val="44"/>
          <w:highlight w:val="none"/>
        </w:rPr>
        <w:br w:type="page"/>
      </w:r>
    </w:p>
    <w:p>
      <w:pPr>
        <w:snapToGrid w:val="0"/>
        <w:spacing w:before="120" w:after="120"/>
        <w:jc w:val="center"/>
        <w:outlineLvl w:val="0"/>
        <w:rPr>
          <w:rFonts w:ascii="宋体" w:hAnsi="宋体" w:eastAsia="宋体" w:cs="Courier New"/>
          <w:b/>
          <w:color w:val="auto"/>
          <w:sz w:val="32"/>
          <w:szCs w:val="32"/>
          <w:highlight w:val="none"/>
        </w:rPr>
      </w:pPr>
      <w:bookmarkStart w:id="12" w:name="_Toc41924382"/>
      <w:bookmarkStart w:id="13" w:name="_Toc57991375"/>
      <w:bookmarkStart w:id="14" w:name="_Toc77516455"/>
      <w:bookmarkStart w:id="15" w:name="_Toc47261582"/>
      <w:bookmarkStart w:id="16" w:name="_Toc47260074"/>
      <w:r>
        <w:rPr>
          <w:rFonts w:hint="eastAsia" w:ascii="宋体" w:hAnsi="宋体" w:eastAsia="宋体" w:cs="Courier New"/>
          <w:b/>
          <w:color w:val="auto"/>
          <w:sz w:val="32"/>
          <w:szCs w:val="32"/>
          <w:highlight w:val="none"/>
        </w:rPr>
        <w:t>第五章  合同主要条款</w:t>
      </w:r>
      <w:bookmarkEnd w:id="12"/>
      <w:bookmarkEnd w:id="13"/>
      <w:bookmarkEnd w:id="14"/>
      <w:bookmarkEnd w:id="15"/>
      <w:bookmarkEnd w:id="16"/>
    </w:p>
    <w:p>
      <w:pPr>
        <w:snapToGrid w:val="0"/>
        <w:spacing w:line="400" w:lineRule="exact"/>
        <w:jc w:val="center"/>
        <w:rPr>
          <w:rFonts w:ascii="宋体" w:hAnsi="Times New Roman"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《广西壮族自治区政府采购合同》</w:t>
      </w:r>
    </w:p>
    <w:p>
      <w:pPr>
        <w:snapToGrid w:val="0"/>
        <w:spacing w:line="400" w:lineRule="exact"/>
        <w:jc w:val="center"/>
        <w:rPr>
          <w:rFonts w:ascii="宋体" w:hAnsi="Times New Roman" w:eastAsia="宋体" w:cs="Times New Roman"/>
          <w:b/>
          <w:bCs/>
          <w:color w:val="auto"/>
          <w:sz w:val="32"/>
          <w:szCs w:val="32"/>
          <w:highlight w:val="none"/>
        </w:rPr>
      </w:pPr>
    </w:p>
    <w:p>
      <w:pPr>
        <w:wordWrap w:val="0"/>
        <w:snapToGrid w:val="0"/>
        <w:ind w:firstLine="4725" w:firstLineChars="2250"/>
        <w:rPr>
          <w:rFonts w:ascii="宋体" w:hAnsi="Times New Roman" w:eastAsia="宋体" w:cs="Times New Roman"/>
          <w:bCs/>
          <w:color w:val="auto"/>
          <w:szCs w:val="21"/>
          <w:highlight w:val="none"/>
        </w:rPr>
      </w:pPr>
      <w:r>
        <w:rPr>
          <w:rFonts w:hint="eastAsia" w:ascii="宋体" w:hAnsi="宋体" w:eastAsia="宋体" w:cs="Times New Roman"/>
          <w:bCs/>
          <w:color w:val="auto"/>
          <w:szCs w:val="21"/>
          <w:highlight w:val="none"/>
        </w:rPr>
        <w:t>合同编号：</w:t>
      </w:r>
      <w:r>
        <w:rPr>
          <w:rFonts w:hint="eastAsia" w:ascii="宋体" w:hAnsi="宋体"/>
          <w:color w:val="auto"/>
          <w:szCs w:val="21"/>
          <w:highlight w:val="none"/>
          <w:u w:val="single"/>
        </w:rPr>
        <w:t>GXZC2021-J1-   -JGJD</w:t>
      </w:r>
    </w:p>
    <w:p>
      <w:pPr>
        <w:snapToGrid w:val="0"/>
        <w:spacing w:line="340" w:lineRule="exact"/>
        <w:ind w:right="480"/>
        <w:rPr>
          <w:rFonts w:ascii="宋体" w:hAnsi="宋体"/>
          <w:bCs/>
          <w:color w:val="auto"/>
          <w:szCs w:val="21"/>
          <w:highlight w:val="none"/>
        </w:rPr>
      </w:pPr>
    </w:p>
    <w:p>
      <w:pPr>
        <w:snapToGrid w:val="0"/>
        <w:spacing w:line="340" w:lineRule="exact"/>
        <w:rPr>
          <w:rFonts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广西幼儿师范高等专科学校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pPr>
        <w:snapToGrid w:val="0"/>
        <w:spacing w:line="340" w:lineRule="exact"/>
        <w:rPr>
          <w:rFonts w:ascii="宋体" w:hAnsi="宋体"/>
          <w:color w:val="auto"/>
          <w:szCs w:val="21"/>
          <w:highlight w:val="non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40" w:lineRule="exact"/>
        <w:rPr>
          <w:rFonts w:ascii="宋体" w:hAnsi="宋体"/>
          <w:color w:val="auto"/>
          <w:szCs w:val="21"/>
          <w:highlight w:val="none"/>
          <w:u w:val="single"/>
        </w:rPr>
      </w:pPr>
      <w:r>
        <w:rPr>
          <w:rFonts w:hint="eastAsia" w:ascii="宋体" w:hAnsi="宋体"/>
          <w:color w:val="auto"/>
          <w:szCs w:val="21"/>
          <w:highlight w:val="none"/>
        </w:rPr>
        <w:t xml:space="preserve">项目名称和编号 </w:t>
      </w:r>
      <w:r>
        <w:rPr>
          <w:rFonts w:hint="eastAsia" w:ascii="宋体" w:hAnsi="宋体"/>
          <w:color w:val="auto"/>
          <w:szCs w:val="21"/>
          <w:highlight w:val="none"/>
          <w:u w:val="single"/>
        </w:rPr>
        <w:t xml:space="preserve">2021年纸质图书采购GXZC2021-J1-   -JGJD   </w:t>
      </w:r>
    </w:p>
    <w:p>
      <w:pPr>
        <w:snapToGrid w:val="0"/>
        <w:spacing w:after="120" w:afterLines="50" w:line="340" w:lineRule="exact"/>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广西幼儿师范高等专科学校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根据《中华人民共和国政府采购法》、《中华人民共和国</w:t>
      </w:r>
      <w:r>
        <w:rPr>
          <w:rFonts w:hint="eastAsia" w:ascii="宋体" w:hAnsi="宋体"/>
          <w:color w:val="auto"/>
          <w:szCs w:val="21"/>
          <w:highlight w:val="none"/>
          <w:lang w:eastAsia="zh-CN"/>
        </w:rPr>
        <w:t>民法典</w:t>
      </w:r>
      <w:r>
        <w:rPr>
          <w:rFonts w:hint="eastAsia" w:ascii="宋体" w:hAnsi="宋体"/>
          <w:color w:val="auto"/>
          <w:szCs w:val="21"/>
          <w:highlight w:val="none"/>
        </w:rPr>
        <w:t>》等法律、法规规定，按照招响应文件（采购文件）规定条款和中标（成交）供应商承诺，甲乙双方签订本合同。</w:t>
      </w:r>
    </w:p>
    <w:p>
      <w:pPr>
        <w:snapToGrid w:val="0"/>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第一条　合同标的</w:t>
      </w:r>
    </w:p>
    <w:tbl>
      <w:tblPr>
        <w:tblStyle w:val="45"/>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29"/>
        <w:gridCol w:w="357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40" w:type="dxa"/>
            <w:vAlign w:val="center"/>
          </w:tcPr>
          <w:p>
            <w:pPr>
              <w:snapToGrid w:val="0"/>
              <w:spacing w:line="38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1829" w:type="dxa"/>
            <w:vAlign w:val="center"/>
          </w:tcPr>
          <w:p>
            <w:pPr>
              <w:snapToGrid w:val="0"/>
              <w:spacing w:line="380" w:lineRule="exact"/>
              <w:jc w:val="center"/>
              <w:rPr>
                <w:rFonts w:ascii="宋体" w:hAnsi="宋体"/>
                <w:b/>
                <w:color w:val="auto"/>
                <w:szCs w:val="21"/>
                <w:highlight w:val="none"/>
              </w:rPr>
            </w:pPr>
            <w:r>
              <w:rPr>
                <w:rFonts w:hint="eastAsia" w:ascii="宋体" w:hAnsi="宋体"/>
                <w:b/>
                <w:color w:val="auto"/>
                <w:szCs w:val="21"/>
                <w:highlight w:val="none"/>
              </w:rPr>
              <w:t>采购内容</w:t>
            </w:r>
          </w:p>
        </w:tc>
        <w:tc>
          <w:tcPr>
            <w:tcW w:w="3570" w:type="dxa"/>
            <w:vAlign w:val="center"/>
          </w:tcPr>
          <w:p>
            <w:pPr>
              <w:snapToGrid w:val="0"/>
              <w:spacing w:line="380" w:lineRule="exact"/>
              <w:jc w:val="center"/>
              <w:rPr>
                <w:rFonts w:ascii="宋体" w:hAnsi="宋体"/>
                <w:b/>
                <w:color w:val="auto"/>
                <w:szCs w:val="21"/>
                <w:highlight w:val="none"/>
              </w:rPr>
            </w:pPr>
            <w:r>
              <w:rPr>
                <w:rFonts w:hint="eastAsia" w:ascii="宋体" w:hAnsi="宋体"/>
                <w:b/>
                <w:color w:val="auto"/>
                <w:szCs w:val="21"/>
                <w:highlight w:val="none"/>
              </w:rPr>
              <w:t>采购预算</w:t>
            </w:r>
          </w:p>
        </w:tc>
        <w:tc>
          <w:tcPr>
            <w:tcW w:w="3042" w:type="dxa"/>
            <w:vAlign w:val="center"/>
          </w:tcPr>
          <w:p>
            <w:pPr>
              <w:snapToGrid w:val="0"/>
              <w:spacing w:line="380" w:lineRule="exact"/>
              <w:jc w:val="center"/>
              <w:rPr>
                <w:rFonts w:ascii="宋体" w:hAnsi="宋体"/>
                <w:b/>
                <w:color w:val="auto"/>
                <w:szCs w:val="21"/>
                <w:highlight w:val="none"/>
              </w:rPr>
            </w:pPr>
            <w:r>
              <w:rPr>
                <w:rFonts w:hint="eastAsia" w:ascii="宋体" w:hAnsi="宋体"/>
                <w:b/>
                <w:color w:val="auto"/>
                <w:szCs w:val="21"/>
                <w:highlight w:val="none"/>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pPr>
              <w:snapToGrid w:val="0"/>
              <w:spacing w:line="380" w:lineRule="exact"/>
              <w:ind w:firstLine="420" w:firstLineChars="200"/>
              <w:jc w:val="center"/>
              <w:rPr>
                <w:rFonts w:ascii="宋体" w:hAnsi="宋体"/>
                <w:color w:val="auto"/>
                <w:szCs w:val="21"/>
                <w:highlight w:val="none"/>
              </w:rPr>
            </w:pPr>
            <w:r>
              <w:rPr>
                <w:rFonts w:hint="eastAsia" w:ascii="宋体" w:hAnsi="宋体"/>
                <w:color w:val="auto"/>
                <w:szCs w:val="21"/>
                <w:highlight w:val="none"/>
              </w:rPr>
              <w:t>1</w:t>
            </w:r>
          </w:p>
        </w:tc>
        <w:tc>
          <w:tcPr>
            <w:tcW w:w="1829" w:type="dxa"/>
            <w:vAlign w:val="center"/>
          </w:tcPr>
          <w:p>
            <w:pPr>
              <w:snapToGrid w:val="0"/>
              <w:spacing w:line="380" w:lineRule="exact"/>
              <w:jc w:val="center"/>
              <w:rPr>
                <w:rFonts w:ascii="宋体" w:hAnsi="宋体"/>
                <w:color w:val="auto"/>
                <w:szCs w:val="21"/>
                <w:highlight w:val="none"/>
              </w:rPr>
            </w:pPr>
            <w:r>
              <w:rPr>
                <w:rFonts w:hint="eastAsia" w:ascii="宋体" w:hAnsi="宋体"/>
                <w:color w:val="auto"/>
                <w:szCs w:val="21"/>
                <w:highlight w:val="none"/>
              </w:rPr>
              <w:t>2021年纸质图书采购</w:t>
            </w:r>
          </w:p>
        </w:tc>
        <w:tc>
          <w:tcPr>
            <w:tcW w:w="3570" w:type="dxa"/>
            <w:vAlign w:val="center"/>
          </w:tcPr>
          <w:p>
            <w:pPr>
              <w:snapToGrid w:val="0"/>
              <w:spacing w:line="380" w:lineRule="exact"/>
              <w:jc w:val="center"/>
              <w:rPr>
                <w:rFonts w:ascii="宋体" w:hAnsi="宋体"/>
                <w:color w:val="auto"/>
                <w:szCs w:val="21"/>
                <w:highlight w:val="none"/>
              </w:rPr>
            </w:pPr>
            <w:r>
              <w:rPr>
                <w:rFonts w:hint="eastAsia" w:ascii="宋体" w:hAnsi="宋体" w:cs="Courier New"/>
                <w:color w:val="auto"/>
                <w:szCs w:val="21"/>
                <w:highlight w:val="none"/>
              </w:rPr>
              <w:t>10</w:t>
            </w:r>
            <w:r>
              <w:rPr>
                <w:rFonts w:ascii="宋体" w:hAnsi="宋体" w:cs="Courier New"/>
                <w:color w:val="auto"/>
                <w:szCs w:val="21"/>
                <w:highlight w:val="none"/>
              </w:rPr>
              <w:t>1</w:t>
            </w:r>
            <w:r>
              <w:rPr>
                <w:rFonts w:hint="eastAsia" w:ascii="宋体" w:hAnsi="宋体" w:cs="Courier New"/>
                <w:color w:val="auto"/>
                <w:szCs w:val="21"/>
                <w:highlight w:val="none"/>
              </w:rPr>
              <w:t>万元</w:t>
            </w:r>
          </w:p>
        </w:tc>
        <w:tc>
          <w:tcPr>
            <w:tcW w:w="3042" w:type="dxa"/>
          </w:tcPr>
          <w:p>
            <w:pPr>
              <w:snapToGrid w:val="0"/>
              <w:spacing w:line="380" w:lineRule="exact"/>
              <w:rPr>
                <w:rFonts w:ascii="宋体" w:hAnsi="宋体"/>
                <w:color w:val="auto"/>
                <w:szCs w:val="21"/>
                <w:highlight w:val="none"/>
              </w:rPr>
            </w:pPr>
          </w:p>
        </w:tc>
      </w:tr>
    </w:tbl>
    <w:p>
      <w:pPr>
        <w:snapToGrid w:val="0"/>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折扣率报价：</w:t>
      </w:r>
      <w:r>
        <w:rPr>
          <w:rFonts w:hint="eastAsia" w:ascii="宋体" w:hAnsi="宋体"/>
          <w:color w:val="auto"/>
          <w:szCs w:val="21"/>
          <w:highlight w:val="none"/>
        </w:rPr>
        <w:t>竞标人根据自身投标总成本（</w:t>
      </w:r>
      <w:r>
        <w:rPr>
          <w:rFonts w:hint="eastAsia" w:ascii="宋体" w:hAnsi="宋体"/>
          <w:color w:val="auto"/>
          <w:szCs w:val="21"/>
          <w:highlight w:val="none"/>
          <w:lang w:eastAsia="zh-CN"/>
        </w:rPr>
        <w:t>指</w:t>
      </w:r>
      <w:r>
        <w:rPr>
          <w:rFonts w:hint="eastAsia" w:ascii="宋体" w:hAnsi="宋体"/>
          <w:color w:val="auto"/>
          <w:highlight w:val="none"/>
        </w:rPr>
        <w:t>图书成本、运抵指定交货地点的各种费用，包括但不限于图书费、加工费、上架费、现采费、售后服务、税金、运输费及其他所有成本等费用的总和</w:t>
      </w:r>
      <w:r>
        <w:rPr>
          <w:rFonts w:hint="eastAsia" w:ascii="宋体" w:hAnsi="宋体"/>
          <w:color w:val="auto"/>
          <w:szCs w:val="21"/>
          <w:highlight w:val="none"/>
        </w:rPr>
        <w:t>）的情况，分别报出本项目中外文纸质图书的最终折扣率，采购时间内所有图书采购均按实洋价付款，图书出版的标价为码洋价，实洋价合计值＝码洋价合计值×最终折扣率。</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olor w:val="auto"/>
          <w:szCs w:val="21"/>
          <w:highlight w:val="none"/>
          <w:u w:val="single"/>
        </w:rPr>
        <w:t>自签订合同之日起至2021年1</w:t>
      </w:r>
      <w:r>
        <w:rPr>
          <w:rFonts w:ascii="宋体" w:hAnsi="宋体"/>
          <w:color w:val="auto"/>
          <w:szCs w:val="21"/>
          <w:highlight w:val="none"/>
          <w:u w:val="single"/>
        </w:rPr>
        <w:t>1</w:t>
      </w:r>
      <w:r>
        <w:rPr>
          <w:rFonts w:hint="eastAsia" w:ascii="宋体" w:hAnsi="宋体"/>
          <w:color w:val="auto"/>
          <w:szCs w:val="21"/>
          <w:highlight w:val="none"/>
          <w:u w:val="single"/>
        </w:rPr>
        <w:t>月</w:t>
      </w:r>
      <w:r>
        <w:rPr>
          <w:rFonts w:ascii="宋体" w:hAnsi="宋体"/>
          <w:color w:val="auto"/>
          <w:szCs w:val="21"/>
          <w:highlight w:val="none"/>
          <w:u w:val="single"/>
        </w:rPr>
        <w:t>30</w:t>
      </w:r>
      <w:r>
        <w:rPr>
          <w:rFonts w:hint="eastAsia" w:ascii="宋体" w:hAnsi="宋体"/>
          <w:color w:val="auto"/>
          <w:szCs w:val="21"/>
          <w:highlight w:val="none"/>
          <w:u w:val="single"/>
        </w:rPr>
        <w:t>日前。</w:t>
      </w:r>
    </w:p>
    <w:p>
      <w:pPr>
        <w:snapToGrid w:val="0"/>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第二条　质量保证</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  乙方向甲方提供的图书必须是新的未经使用的非二渠道正式出版物，不能有质量问题，不允许有任何盗版的图书，否则视为违约。凡是乙方提供的图书与新闻出版署的数据不相符的，或存在印刷图文不清、断裂、污损、缺页、倒页、缺附件等质量不合格的，以及与订单不符（包括重发）的甲方有权一律退货，由此造成的损失及费用全部由乙方承担，同时乙方还应向甲方支付该批图书总价款20%的违约金。</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  乙方向甲方主动提供的、非甲方订购的图书必须是甲方所需要的图书，甲方有权对乙方主动配发的图书进行挑选，并保留因破损、复本量过大或其他可说明的原因而退书的权力。乙方应随时了解甲方的需求及馆藏重点、结构体系，熟悉甲方中外文纸质图书采购的特色需求。加工不符合要求的，或错乱太多的，应整批退回重做，损失由乙方自行承担。</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2.3  乙方向甲方提供的</w:t>
      </w:r>
      <w:r>
        <w:rPr>
          <w:rFonts w:hint="eastAsia" w:ascii="宋体" w:hAnsi="宋体" w:eastAsia="宋体"/>
          <w:color w:val="auto"/>
          <w:szCs w:val="21"/>
          <w:highlight w:val="none"/>
        </w:rPr>
        <w:t>图书为国家正式出版发行的正版图书，除采购方另有要求外，不得采购小于32开本的出版物、页数少于150页的薄册子和活页装订或散页形式的出版物、装订成书的记事本、记账本等，严禁采购盗版图书、伪劣图书及非法出版物。其图书质量的内容、编校、设计、印刷四项均需合格，符合国家《图书质量管理规定》中的要求。</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2.4  </w:t>
      </w:r>
      <w:r>
        <w:rPr>
          <w:rFonts w:hint="eastAsia" w:ascii="宋体" w:hAnsi="宋体" w:eastAsia="宋体"/>
          <w:color w:val="auto"/>
          <w:szCs w:val="21"/>
          <w:highlight w:val="none"/>
        </w:rPr>
        <w:t>要求以教育类为主，兼顾人文、社科。根据学校专业设置，教育类图书占比60%以上，重点采购学前教育、特殊教育类图书，为建设特色资源库做准备</w:t>
      </w:r>
      <w:r>
        <w:rPr>
          <w:rFonts w:hint="eastAsia" w:ascii="宋体" w:hAnsi="宋体"/>
          <w:color w:val="auto"/>
          <w:szCs w:val="21"/>
          <w:highlight w:val="none"/>
        </w:rPr>
        <w:t>。</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2.5  乙方每年应根据甲方采购的需要，免费组织甲方人员参加全国书市或大型图书批销中心现采（不少于</w:t>
      </w:r>
      <w:r>
        <w:rPr>
          <w:rFonts w:ascii="宋体" w:hAnsi="宋体"/>
          <w:color w:val="auto"/>
          <w:szCs w:val="21"/>
          <w:highlight w:val="none"/>
        </w:rPr>
        <w:t>1</w:t>
      </w:r>
      <w:r>
        <w:rPr>
          <w:rFonts w:hint="eastAsia" w:ascii="宋体" w:hAnsi="宋体"/>
          <w:color w:val="auto"/>
          <w:szCs w:val="21"/>
          <w:highlight w:val="none"/>
        </w:rPr>
        <w:t>次，每次</w:t>
      </w:r>
      <w:r>
        <w:rPr>
          <w:rFonts w:ascii="宋体" w:hAnsi="宋体"/>
          <w:color w:val="auto"/>
          <w:szCs w:val="21"/>
          <w:highlight w:val="none"/>
        </w:rPr>
        <w:t>5</w:t>
      </w:r>
      <w:r>
        <w:rPr>
          <w:rFonts w:hint="eastAsia" w:ascii="宋体" w:hAnsi="宋体"/>
          <w:color w:val="auto"/>
          <w:szCs w:val="21"/>
          <w:highlight w:val="none"/>
        </w:rPr>
        <w:t>人），包括提供采集器及采访数据的导入、导出等现采服务。</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  乙方提供图书的质量保证期为自交费且经甲方验收合格之日起至十二个月内（以《服务承诺书》为准）止。在质量保证期内如因货物本身发生质量问题，乙方应负责在甲方提出之日起七天内免费包退、包换。如果退换后仍无法达到甲方的技术要求者，</w:t>
      </w:r>
      <w:r>
        <w:rPr>
          <w:rFonts w:hint="eastAsia" w:ascii="宋体" w:hAnsi="宋体"/>
          <w:color w:val="auto"/>
          <w:szCs w:val="21"/>
          <w:highlight w:val="none"/>
          <w:lang w:eastAsia="zh-CN"/>
        </w:rPr>
        <w:t>甲方有权要求</w:t>
      </w:r>
      <w:r>
        <w:rPr>
          <w:rFonts w:hint="eastAsia" w:ascii="宋体" w:hAnsi="宋体"/>
          <w:color w:val="auto"/>
          <w:szCs w:val="21"/>
          <w:highlight w:val="none"/>
        </w:rPr>
        <w:t>按以下办法处理：</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（1）更换：乙方承担所发生的全部费用。</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（2）退货处理：乙方应在甲方提出退货之日起七天内一次性退还甲方已支付的全部货物款，同时应承担该货物的直接费用（运输、保险、检验、货款利息及银行手续费等）。</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2.7  在质保期内，乙方批量的图书在保质期内有15%以上（含15%）的图书存在相同问题，乙方应招回全部问题图书，甲方有权要求更换图书或退货，乙方应在甲方提出要求之日起七天内予以更换或退货，由此产生的一切费用由乙方负担。如乙方逾期更换或者退货的，按第九条第3款承担违约责任。</w:t>
      </w:r>
    </w:p>
    <w:p>
      <w:pPr>
        <w:spacing w:line="400" w:lineRule="exact"/>
        <w:jc w:val="left"/>
        <w:rPr>
          <w:rFonts w:eastAsia="宋体"/>
          <w:color w:val="auto"/>
          <w:highlight w:val="none"/>
        </w:rPr>
      </w:pPr>
      <w:r>
        <w:rPr>
          <w:rFonts w:hint="eastAsia" w:ascii="宋体" w:hAnsi="宋体"/>
          <w:color w:val="auto"/>
          <w:szCs w:val="21"/>
          <w:highlight w:val="none"/>
        </w:rPr>
        <w:t xml:space="preserve">    2.8  其他质量保证按招标文件需求的</w:t>
      </w:r>
      <w:r>
        <w:rPr>
          <w:rFonts w:hint="eastAsia" w:ascii="宋体" w:hAnsi="宋体" w:eastAsia="宋体"/>
          <w:color w:val="auto"/>
          <w:szCs w:val="21"/>
          <w:highlight w:val="none"/>
        </w:rPr>
        <w:t>总体要求执行。</w:t>
      </w:r>
    </w:p>
    <w:p>
      <w:pPr>
        <w:snapToGrid w:val="0"/>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第三条　权力保证</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3.1  乙方应保证所提供图书在使用时不会侵犯任何第三方的专利权、商标权、工业设计权或其他权利。</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3.2 乙方应按招标文件规定的时间向甲方提供使用图书的有关技术资料。</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3.3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3.4  乙方保证所交付的货物的所有权完全属于乙方且无任何抵押、质押、查封等产权瑕疵。</w:t>
      </w:r>
    </w:p>
    <w:p>
      <w:pPr>
        <w:snapToGrid w:val="0"/>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第四条　包装和运输</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4.1  包装要求</w:t>
      </w:r>
    </w:p>
    <w:p>
      <w:pPr>
        <w:pStyle w:val="4"/>
        <w:spacing w:line="400" w:lineRule="exact"/>
        <w:ind w:firstLine="420" w:firstLineChars="200"/>
        <w:rPr>
          <w:rFonts w:ascii="宋体" w:hAnsi="宋体" w:eastAsiaTheme="minorEastAsia" w:cstheme="minorBidi"/>
          <w:b w:val="0"/>
          <w:color w:val="auto"/>
          <w:kern w:val="2"/>
          <w:sz w:val="21"/>
          <w:szCs w:val="21"/>
          <w:highlight w:val="none"/>
        </w:rPr>
      </w:pPr>
      <w:r>
        <w:rPr>
          <w:rFonts w:hint="eastAsia" w:ascii="宋体" w:hAnsi="宋体" w:eastAsiaTheme="minorEastAsia" w:cstheme="minorBidi"/>
          <w:b w:val="0"/>
          <w:color w:val="auto"/>
          <w:kern w:val="2"/>
          <w:sz w:val="21"/>
          <w:szCs w:val="21"/>
          <w:highlight w:val="none"/>
        </w:rPr>
        <w:t>除合同另有规定外，乙方提供的全部图书，均应按标准保护措施包装。该包装应适应于远距离运输、防潮和防粗鲁装卸，确保图书安全无损运抵现场。由于包装不善所引起图书损坏由乙方负责。套书应按套进行包装。未按要求包装而产生的费用由乙方负担。</w:t>
      </w:r>
    </w:p>
    <w:p>
      <w:pPr>
        <w:pStyle w:val="4"/>
        <w:spacing w:line="400" w:lineRule="exact"/>
        <w:ind w:firstLine="420" w:firstLineChars="200"/>
        <w:rPr>
          <w:rFonts w:ascii="宋体" w:hAnsi="宋体" w:eastAsiaTheme="minorEastAsia" w:cstheme="minorBidi"/>
          <w:b w:val="0"/>
          <w:color w:val="auto"/>
          <w:kern w:val="2"/>
          <w:sz w:val="21"/>
          <w:szCs w:val="21"/>
          <w:highlight w:val="none"/>
        </w:rPr>
      </w:pPr>
      <w:r>
        <w:rPr>
          <w:rFonts w:hint="eastAsia" w:ascii="宋体" w:hAnsi="宋体" w:eastAsiaTheme="minorEastAsia" w:cstheme="minorBidi"/>
          <w:b w:val="0"/>
          <w:color w:val="auto"/>
          <w:kern w:val="2"/>
          <w:sz w:val="21"/>
          <w:szCs w:val="21"/>
          <w:highlight w:val="none"/>
        </w:rPr>
        <w:t>（</w:t>
      </w:r>
      <w:r>
        <w:rPr>
          <w:rFonts w:ascii="宋体" w:hAnsi="宋体" w:eastAsiaTheme="minorEastAsia" w:cstheme="minorBidi"/>
          <w:b w:val="0"/>
          <w:color w:val="auto"/>
          <w:kern w:val="2"/>
          <w:sz w:val="21"/>
          <w:szCs w:val="21"/>
          <w:highlight w:val="none"/>
        </w:rPr>
        <w:t>1）</w:t>
      </w:r>
      <w:r>
        <w:rPr>
          <w:rFonts w:hint="eastAsia" w:ascii="宋体" w:hAnsi="宋体" w:eastAsiaTheme="minorEastAsia" w:cstheme="minorBidi"/>
          <w:b w:val="0"/>
          <w:color w:val="auto"/>
          <w:kern w:val="2"/>
          <w:sz w:val="21"/>
          <w:szCs w:val="21"/>
          <w:highlight w:val="none"/>
        </w:rPr>
        <w:t>每件包装外必须注明单位名称、地址、收货人名称、电话，并标注“</w:t>
      </w:r>
      <w:r>
        <w:rPr>
          <w:rFonts w:ascii="宋体" w:hAnsi="宋体" w:eastAsiaTheme="minorEastAsia" w:cstheme="minorBidi"/>
          <w:b w:val="0"/>
          <w:color w:val="auto"/>
          <w:kern w:val="2"/>
          <w:sz w:val="21"/>
          <w:szCs w:val="21"/>
          <w:highlight w:val="none"/>
        </w:rPr>
        <w:t>2021-批号-包号”</w:t>
      </w:r>
      <w:r>
        <w:rPr>
          <w:rFonts w:hint="eastAsia" w:ascii="宋体" w:hAnsi="宋体" w:eastAsiaTheme="minorEastAsia" w:cstheme="minorBidi"/>
          <w:b w:val="0"/>
          <w:color w:val="auto"/>
          <w:kern w:val="2"/>
          <w:sz w:val="21"/>
          <w:szCs w:val="21"/>
          <w:highlight w:val="none"/>
        </w:rPr>
        <w:t>；包装内应附一份详细装箱单（书目清单，注明</w:t>
      </w:r>
      <w:r>
        <w:rPr>
          <w:rFonts w:ascii="宋体" w:hAnsi="宋体" w:eastAsiaTheme="minorEastAsia" w:cstheme="minorBidi"/>
          <w:b w:val="0"/>
          <w:color w:val="auto"/>
          <w:kern w:val="2"/>
          <w:sz w:val="21"/>
          <w:szCs w:val="21"/>
          <w:highlight w:val="none"/>
        </w:rPr>
        <w:t>ISBN、书名（多卷集有分卷书名的须标明）、册数、单价、码洋和条码</w:t>
      </w:r>
      <w:r>
        <w:rPr>
          <w:rFonts w:hint="eastAsia" w:ascii="宋体" w:hAnsi="宋体" w:eastAsiaTheme="minorEastAsia" w:cstheme="minorBidi"/>
          <w:b w:val="0"/>
          <w:color w:val="auto"/>
          <w:kern w:val="2"/>
          <w:sz w:val="21"/>
          <w:szCs w:val="21"/>
          <w:highlight w:val="none"/>
        </w:rPr>
        <w:t>等内容）。</w:t>
      </w:r>
    </w:p>
    <w:p>
      <w:pPr>
        <w:pStyle w:val="4"/>
        <w:spacing w:line="400" w:lineRule="exact"/>
        <w:ind w:firstLine="420" w:firstLineChars="200"/>
        <w:rPr>
          <w:rFonts w:ascii="宋体" w:hAnsi="宋体" w:eastAsiaTheme="minorEastAsia" w:cstheme="minorBidi"/>
          <w:b w:val="0"/>
          <w:color w:val="auto"/>
          <w:kern w:val="2"/>
          <w:sz w:val="21"/>
          <w:szCs w:val="21"/>
          <w:highlight w:val="none"/>
        </w:rPr>
      </w:pPr>
      <w:r>
        <w:rPr>
          <w:rFonts w:hint="eastAsia" w:ascii="宋体" w:hAnsi="宋体" w:eastAsiaTheme="minorEastAsia" w:cstheme="minorBidi"/>
          <w:b w:val="0"/>
          <w:color w:val="auto"/>
          <w:kern w:val="2"/>
          <w:sz w:val="21"/>
          <w:szCs w:val="21"/>
          <w:highlight w:val="none"/>
        </w:rPr>
        <w:t>（</w:t>
      </w:r>
      <w:r>
        <w:rPr>
          <w:rFonts w:ascii="宋体" w:hAnsi="宋体" w:eastAsiaTheme="minorEastAsia" w:cstheme="minorBidi"/>
          <w:b w:val="0"/>
          <w:color w:val="auto"/>
          <w:kern w:val="2"/>
          <w:sz w:val="21"/>
          <w:szCs w:val="21"/>
          <w:highlight w:val="none"/>
        </w:rPr>
        <w:t>2）每包中有一份图书清单，每批一份总清单。总清单一式三份</w:t>
      </w:r>
      <w:r>
        <w:rPr>
          <w:rFonts w:hint="eastAsia" w:ascii="宋体" w:hAnsi="宋体" w:eastAsiaTheme="minorEastAsia" w:cstheme="minorBidi"/>
          <w:b w:val="0"/>
          <w:color w:val="auto"/>
          <w:kern w:val="2"/>
          <w:sz w:val="21"/>
          <w:szCs w:val="21"/>
          <w:highlight w:val="none"/>
        </w:rPr>
        <w:t>（加盖公章），附于包装货件内一并交给甲方。</w:t>
      </w:r>
    </w:p>
    <w:p>
      <w:pPr>
        <w:pStyle w:val="4"/>
        <w:spacing w:line="400" w:lineRule="exact"/>
        <w:ind w:firstLine="420" w:firstLineChars="200"/>
        <w:rPr>
          <w:rFonts w:ascii="宋体" w:hAnsi="宋体" w:cstheme="minorBidi"/>
          <w:b w:val="0"/>
          <w:color w:val="auto"/>
          <w:kern w:val="2"/>
          <w:sz w:val="21"/>
          <w:szCs w:val="21"/>
          <w:highlight w:val="none"/>
        </w:rPr>
      </w:pPr>
      <w:r>
        <w:rPr>
          <w:rFonts w:hint="eastAsia" w:ascii="宋体" w:hAnsi="宋体" w:eastAsiaTheme="minorEastAsia" w:cstheme="minorBidi"/>
          <w:b w:val="0"/>
          <w:color w:val="auto"/>
          <w:kern w:val="2"/>
          <w:sz w:val="21"/>
          <w:szCs w:val="21"/>
          <w:highlight w:val="none"/>
        </w:rPr>
        <w:t>（</w:t>
      </w:r>
      <w:r>
        <w:rPr>
          <w:rFonts w:ascii="宋体" w:hAnsi="宋体" w:eastAsiaTheme="minorEastAsia" w:cstheme="minorBidi"/>
          <w:b w:val="0"/>
          <w:color w:val="auto"/>
          <w:kern w:val="2"/>
          <w:sz w:val="21"/>
          <w:szCs w:val="21"/>
          <w:highlight w:val="none"/>
        </w:rPr>
        <w:t>3）总清单应有下列数据项：ISBN、书名（多卷集有分卷书名的须标明）</w:t>
      </w:r>
      <w:r>
        <w:rPr>
          <w:rFonts w:hint="eastAsia" w:ascii="宋体" w:hAnsi="宋体" w:cstheme="minorBidi"/>
          <w:b w:val="0"/>
          <w:color w:val="auto"/>
          <w:kern w:val="2"/>
          <w:sz w:val="21"/>
          <w:szCs w:val="21"/>
          <w:highlight w:val="none"/>
        </w:rPr>
        <w:t>、册数、单价、码洋和条码。</w:t>
      </w:r>
    </w:p>
    <w:p>
      <w:pPr>
        <w:snapToGrid w:val="0"/>
        <w:spacing w:line="380" w:lineRule="exact"/>
        <w:ind w:firstLine="420" w:firstLineChars="200"/>
        <w:rPr>
          <w:rFonts w:ascii="宋体" w:hAnsi="宋体"/>
          <w:color w:val="auto"/>
          <w:szCs w:val="21"/>
          <w:highlight w:val="none"/>
        </w:rPr>
      </w:pPr>
      <w:r>
        <w:rPr>
          <w:rFonts w:hint="eastAsia" w:ascii="宋体" w:hAnsi="宋体" w:eastAsia="宋体"/>
          <w:color w:val="auto"/>
          <w:szCs w:val="21"/>
          <w:highlight w:val="none"/>
        </w:rPr>
        <w:t>（4）总清单开始应注明“2021-批号”，末尾应统计出总种数、总册数、总金额。</w:t>
      </w:r>
    </w:p>
    <w:p>
      <w:pPr>
        <w:snapToGrid w:val="0"/>
        <w:spacing w:line="380" w:lineRule="exact"/>
        <w:ind w:left="420"/>
        <w:rPr>
          <w:rFonts w:ascii="宋体" w:hAnsi="宋体"/>
          <w:color w:val="auto"/>
          <w:szCs w:val="21"/>
          <w:highlight w:val="none"/>
        </w:rPr>
      </w:pPr>
      <w:r>
        <w:rPr>
          <w:rFonts w:hint="eastAsia" w:ascii="宋体" w:hAnsi="宋体"/>
          <w:color w:val="auto"/>
          <w:szCs w:val="21"/>
          <w:highlight w:val="none"/>
        </w:rPr>
        <w:t>4.2  装运标志</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乙方在装运图书前，应认真按照以上规定做好标记，并根据图书特点，应在包装上清楚标明“小心轻放”，“防潮”等字样和其他适当标志。</w:t>
      </w:r>
    </w:p>
    <w:p>
      <w:pPr>
        <w:snapToGrid w:val="0"/>
        <w:spacing w:line="380" w:lineRule="exact"/>
        <w:ind w:left="420"/>
        <w:rPr>
          <w:rFonts w:ascii="宋体" w:hAnsi="宋体"/>
          <w:color w:val="auto"/>
          <w:szCs w:val="21"/>
          <w:highlight w:val="none"/>
        </w:rPr>
      </w:pPr>
      <w:r>
        <w:rPr>
          <w:rFonts w:hint="eastAsia" w:ascii="宋体" w:hAnsi="宋体"/>
          <w:color w:val="auto"/>
          <w:szCs w:val="21"/>
          <w:highlight w:val="none"/>
        </w:rPr>
        <w:t>4.3  乙方负责将图书安全运送到甲方指定地点，不另收任何费用。</w:t>
      </w:r>
    </w:p>
    <w:p>
      <w:pPr>
        <w:snapToGrid w:val="0"/>
        <w:spacing w:line="380" w:lineRule="exact"/>
        <w:ind w:left="420"/>
        <w:rPr>
          <w:rFonts w:ascii="宋体" w:hAnsi="宋体"/>
          <w:color w:val="auto"/>
          <w:szCs w:val="21"/>
          <w:highlight w:val="none"/>
        </w:rPr>
      </w:pPr>
      <w:r>
        <w:rPr>
          <w:rFonts w:hint="eastAsia" w:ascii="宋体" w:hAnsi="宋体"/>
          <w:color w:val="auto"/>
          <w:szCs w:val="21"/>
          <w:highlight w:val="none"/>
        </w:rPr>
        <w:t>4.4  图书在交货前发生的不可预见的风险均由乙方负责。</w:t>
      </w:r>
    </w:p>
    <w:p>
      <w:pPr>
        <w:snapToGrid w:val="0"/>
        <w:spacing w:line="380" w:lineRule="exact"/>
        <w:ind w:left="0" w:firstLine="420" w:firstLineChars="200"/>
        <w:rPr>
          <w:rFonts w:ascii="宋体" w:hAnsi="宋体"/>
          <w:b/>
          <w:color w:val="auto"/>
          <w:szCs w:val="21"/>
          <w:highlight w:val="none"/>
        </w:rPr>
      </w:pPr>
      <w:r>
        <w:rPr>
          <w:rFonts w:hint="eastAsia" w:ascii="宋体" w:hAnsi="宋体"/>
          <w:color w:val="auto"/>
          <w:szCs w:val="21"/>
          <w:highlight w:val="none"/>
        </w:rPr>
        <w:t>4.5  图书在发运手续办理完毕后24小时内或货到甲方收货单位48小时前以书面形式（如传真、邮箱发邮件等）通知甲方和甲方收货单位，如因乙方延误时间通知甲方及甲方收货单位，由此引起的一切后果由乙方负责。</w:t>
      </w:r>
      <w:r>
        <w:rPr>
          <w:rFonts w:hint="eastAsia" w:ascii="宋体" w:hAnsi="宋体"/>
          <w:b/>
          <w:color w:val="auto"/>
          <w:szCs w:val="21"/>
          <w:highlight w:val="none"/>
        </w:rPr>
        <w:t xml:space="preserve">  </w:t>
      </w:r>
    </w:p>
    <w:p>
      <w:pPr>
        <w:snapToGrid w:val="0"/>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第五条　交付和验收</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5.1  </w:t>
      </w:r>
      <w:r>
        <w:rPr>
          <w:rFonts w:hint="eastAsia" w:ascii="宋体" w:hAnsi="宋体"/>
          <w:color w:val="auto"/>
          <w:szCs w:val="21"/>
          <w:highlight w:val="none"/>
          <w:lang w:eastAsia="zh-CN"/>
        </w:rPr>
        <w:t>交付</w:t>
      </w:r>
      <w:r>
        <w:rPr>
          <w:rFonts w:hint="eastAsia" w:ascii="宋体" w:hAnsi="宋体"/>
          <w:color w:val="auto"/>
          <w:szCs w:val="21"/>
          <w:highlight w:val="none"/>
        </w:rPr>
        <w:t>时间：</w:t>
      </w:r>
      <w:r>
        <w:rPr>
          <w:rFonts w:hint="eastAsia" w:ascii="宋体" w:hAnsi="宋体"/>
          <w:bCs/>
          <w:color w:val="auto"/>
          <w:szCs w:val="21"/>
          <w:highlight w:val="none"/>
          <w:u w:val="single"/>
        </w:rPr>
        <w:t>签订合同之日起至2021年1</w:t>
      </w:r>
      <w:r>
        <w:rPr>
          <w:rFonts w:ascii="宋体" w:hAnsi="宋体"/>
          <w:bCs/>
          <w:color w:val="auto"/>
          <w:szCs w:val="21"/>
          <w:highlight w:val="none"/>
          <w:u w:val="single"/>
        </w:rPr>
        <w:t>1</w:t>
      </w:r>
      <w:r>
        <w:rPr>
          <w:rFonts w:hint="eastAsia" w:ascii="宋体" w:hAnsi="宋体"/>
          <w:bCs/>
          <w:color w:val="auto"/>
          <w:szCs w:val="21"/>
          <w:highlight w:val="none"/>
          <w:u w:val="single"/>
        </w:rPr>
        <w:t>月</w:t>
      </w:r>
      <w:r>
        <w:rPr>
          <w:rFonts w:ascii="宋体" w:hAnsi="宋体"/>
          <w:bCs/>
          <w:color w:val="auto"/>
          <w:szCs w:val="21"/>
          <w:highlight w:val="none"/>
          <w:u w:val="single"/>
        </w:rPr>
        <w:t>30</w:t>
      </w:r>
      <w:r>
        <w:rPr>
          <w:rFonts w:hint="eastAsia" w:ascii="宋体" w:hAnsi="宋体"/>
          <w:bCs/>
          <w:color w:val="auto"/>
          <w:szCs w:val="21"/>
          <w:highlight w:val="none"/>
          <w:u w:val="single"/>
        </w:rPr>
        <w:t>日前</w:t>
      </w:r>
      <w:r>
        <w:rPr>
          <w:rFonts w:hint="eastAsia" w:ascii="宋体" w:hAnsi="宋体"/>
          <w:color w:val="auto"/>
          <w:szCs w:val="21"/>
          <w:highlight w:val="none"/>
        </w:rPr>
        <w:t>、交货地点：</w:t>
      </w:r>
      <w:r>
        <w:rPr>
          <w:rFonts w:hint="eastAsia" w:ascii="宋体" w:hAnsi="宋体"/>
          <w:bCs/>
          <w:color w:val="auto"/>
          <w:szCs w:val="21"/>
          <w:highlight w:val="none"/>
          <w:u w:val="single"/>
        </w:rPr>
        <w:t>采购人指定地点</w:t>
      </w:r>
      <w:r>
        <w:rPr>
          <w:rFonts w:hint="eastAsia" w:ascii="宋体" w:hAnsi="宋体"/>
          <w:color w:val="auto"/>
          <w:szCs w:val="21"/>
          <w:highlight w:val="none"/>
          <w:u w:val="single"/>
        </w:rPr>
        <w:t>。</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5.2  乙方提供不符合招响应文件和本合同规定的货物，甲方有权拒绝接受。</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5.3  交货方式：按招标文件和合同现场清点拆包核对验收。</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5.4  甲方在货到指定地点后</w:t>
      </w:r>
      <w:r>
        <w:rPr>
          <w:rFonts w:ascii="宋体" w:hAnsi="宋体"/>
          <w:color w:val="auto"/>
          <w:szCs w:val="21"/>
          <w:highlight w:val="none"/>
        </w:rPr>
        <w:t>20</w:t>
      </w:r>
      <w:r>
        <w:rPr>
          <w:rFonts w:hint="eastAsia" w:ascii="宋体" w:hAnsi="宋体"/>
          <w:color w:val="auto"/>
          <w:szCs w:val="21"/>
          <w:highlight w:val="none"/>
        </w:rPr>
        <w:t>个工作日内验收完毕（寒暑假验收时间双方协商），并按规定填制图书验收单。非不抗力因素而拒绝验收或无故刁难，超过规定期限的，视同验收，损失由甲方自负。如验收发现问题，甲方付款期限可顺延。</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5.5  甲方验收过程中发现盗版、违约、破损、褶皱、弄脏、数量不符等问题图书，乙方应无条件进行更换或办理退还手续。乙方办理更换和退还图书相关手续应在一星期内办理清楚（特殊情况经双方协商可以延长，但最长不得超过十五天），否则视为乙方逾期交货。</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5.6  经甲方验收发现书款与发货单不相符的，甲方应及时通知乙方派员到验收地核算。如不能在此期间确认核算的，以甲方验收的实际数额计算书款金额。验收合格后甲乙双方签署货物验收单并加盖甲方单位公章，甲乙双方各执一份。</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5.7  甲方若出现订重或采重的图书，经双方协商允许退换，甲方有权拒收乙方发错书、搭配非订购书及污损、有质量问题的书。</w:t>
      </w:r>
    </w:p>
    <w:p>
      <w:pPr>
        <w:snapToGrid w:val="0"/>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第六条  售后服务、保修期</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6.1  乙方应按照国家有关法律法规和“三包”规定以及招响应文件和本合同所附的《服务承诺》，为甲方提供售后服务。</w:t>
      </w:r>
    </w:p>
    <w:p>
      <w:pPr>
        <w:snapToGrid w:val="0"/>
        <w:spacing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6.2  货物保修期；</w:t>
      </w:r>
      <w:r>
        <w:rPr>
          <w:rFonts w:hint="eastAsia" w:ascii="宋体" w:hAnsi="宋体"/>
          <w:color w:val="auto"/>
          <w:szCs w:val="21"/>
          <w:highlight w:val="none"/>
          <w:u w:val="single"/>
        </w:rPr>
        <w:t xml:space="preserve">    按乙方响应文件中所承诺的期限    。</w:t>
      </w:r>
    </w:p>
    <w:p>
      <w:pPr>
        <w:snapToGrid w:val="0"/>
        <w:spacing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6.3  乙方提供的服务承诺和售后服务及保修期责任等其它具体约定事项。（见合同附件）</w:t>
      </w:r>
    </w:p>
    <w:p>
      <w:pPr>
        <w:snapToGrid w:val="0"/>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第七条　付款方式和保证金</w:t>
      </w:r>
    </w:p>
    <w:p>
      <w:pPr>
        <w:snapToGrid w:val="0"/>
        <w:spacing w:line="380" w:lineRule="exact"/>
        <w:ind w:firstLine="420" w:firstLineChars="200"/>
        <w:rPr>
          <w:rFonts w:ascii="宋体" w:hAnsi="宋体" w:cs="Courier New"/>
          <w:color w:val="auto"/>
          <w:szCs w:val="21"/>
          <w:highlight w:val="none"/>
        </w:rPr>
      </w:pPr>
      <w:r>
        <w:rPr>
          <w:rFonts w:hint="eastAsia" w:ascii="宋体" w:hAnsi="宋体" w:cs="Courier New"/>
          <w:bCs/>
          <w:color w:val="auto"/>
          <w:szCs w:val="21"/>
          <w:highlight w:val="none"/>
        </w:rPr>
        <w:t xml:space="preserve">7.1  </w:t>
      </w:r>
      <w:r>
        <w:rPr>
          <w:rFonts w:hint="eastAsia" w:ascii="宋体" w:hAnsi="宋体" w:cs="Courier New"/>
          <w:color w:val="auto"/>
          <w:szCs w:val="21"/>
          <w:highlight w:val="none"/>
        </w:rPr>
        <w:t>合同期限内所有图书采购均按实洋价付款，图书出版的标价为码洋价，实洋价合计值=码洋价合计值×折扣率。</w:t>
      </w:r>
    </w:p>
    <w:p>
      <w:pPr>
        <w:snapToGrid w:val="0"/>
        <w:spacing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7.2  资金性质：</w:t>
      </w:r>
      <w:r>
        <w:rPr>
          <w:rFonts w:hint="eastAsia" w:ascii="宋体" w:hAnsi="宋体" w:cs="Courier New"/>
          <w:color w:val="auto"/>
          <w:kern w:val="0"/>
          <w:szCs w:val="21"/>
          <w:highlight w:val="none"/>
          <w:u w:val="single"/>
        </w:rPr>
        <w:t xml:space="preserve">预算资金 </w:t>
      </w:r>
      <w:r>
        <w:rPr>
          <w:rFonts w:hint="eastAsia" w:ascii="宋体" w:hAnsi="宋体"/>
          <w:color w:val="auto"/>
          <w:szCs w:val="21"/>
          <w:highlight w:val="none"/>
          <w:u w:val="single"/>
        </w:rPr>
        <w:t>。</w:t>
      </w:r>
    </w:p>
    <w:p>
      <w:pPr>
        <w:snapToGrid w:val="0"/>
        <w:spacing w:line="380" w:lineRule="exact"/>
        <w:ind w:right="33" w:firstLine="420" w:firstLineChars="200"/>
        <w:rPr>
          <w:rFonts w:ascii="宋体" w:hAnsi="宋体"/>
          <w:color w:val="auto"/>
          <w:szCs w:val="21"/>
          <w:highlight w:val="none"/>
        </w:rPr>
      </w:pPr>
      <w:r>
        <w:rPr>
          <w:rFonts w:hint="eastAsia" w:ascii="宋体" w:hAnsi="宋体"/>
          <w:color w:val="auto"/>
          <w:szCs w:val="21"/>
          <w:highlight w:val="none"/>
        </w:rPr>
        <w:t>7.3  付款方式：</w:t>
      </w:r>
    </w:p>
    <w:p>
      <w:pPr>
        <w:snapToGrid w:val="0"/>
        <w:spacing w:line="380" w:lineRule="exact"/>
        <w:ind w:left="-61" w:firstLine="514"/>
        <w:rPr>
          <w:rFonts w:ascii="宋体" w:hAnsi="宋体"/>
          <w:bCs/>
          <w:color w:val="auto"/>
          <w:szCs w:val="21"/>
          <w:highlight w:val="none"/>
          <w:u w:val="single"/>
        </w:rPr>
      </w:pPr>
      <w:r>
        <w:rPr>
          <w:rFonts w:hint="eastAsia" w:ascii="宋体" w:hAnsi="宋体"/>
          <w:bCs/>
          <w:color w:val="auto"/>
          <w:szCs w:val="21"/>
          <w:highlight w:val="none"/>
          <w:u w:val="single"/>
        </w:rPr>
        <w:t>（1）在签订合同之日起15个日历日内甲方向乙方支付合同总金额的30%作为预付款；全部货物到甲方指定地点，安装调试图书上架完毕并经甲方最终验收合格后，甲方自收到乙方提交的最终验收报告及付款申请之日起20个工作日内向乙方支付剩余的结算款。</w:t>
      </w:r>
    </w:p>
    <w:p>
      <w:pPr>
        <w:snapToGrid w:val="0"/>
        <w:spacing w:line="360" w:lineRule="auto"/>
        <w:ind w:left="-61" w:firstLine="514"/>
        <w:rPr>
          <w:rFonts w:hint="eastAsia" w:ascii="宋体" w:hAnsi="宋体"/>
          <w:bCs/>
          <w:color w:val="auto"/>
          <w:szCs w:val="21"/>
          <w:highlight w:val="none"/>
          <w:u w:val="single"/>
        </w:rPr>
      </w:pPr>
      <w:r>
        <w:rPr>
          <w:rFonts w:hint="eastAsia" w:ascii="宋体" w:hAnsi="宋体"/>
          <w:bCs/>
          <w:color w:val="auto"/>
          <w:szCs w:val="21"/>
          <w:highlight w:val="none"/>
          <w:u w:val="single"/>
        </w:rPr>
        <w:t>（2）每次付款前，乙方需提供该支付金额的合法发票。</w:t>
      </w:r>
    </w:p>
    <w:p>
      <w:pPr>
        <w:pStyle w:val="58"/>
        <w:spacing w:line="360" w:lineRule="auto"/>
        <w:ind w:firstLine="420"/>
        <w:rPr>
          <w:rFonts w:hint="eastAsia" w:ascii="宋体" w:hAnsi="宋体"/>
          <w:bCs/>
          <w:color w:val="auto"/>
          <w:szCs w:val="21"/>
          <w:highlight w:val="none"/>
          <w:u w:val="single"/>
          <w:lang w:val="en-US" w:eastAsia="zh-CN"/>
        </w:rPr>
      </w:pPr>
      <w:r>
        <w:rPr>
          <w:rFonts w:hint="eastAsia" w:ascii="宋体" w:hAnsi="宋体"/>
          <w:bCs/>
          <w:color w:val="auto"/>
          <w:szCs w:val="21"/>
          <w:highlight w:val="none"/>
          <w:u w:val="single"/>
          <w:lang w:val="en-US" w:eastAsia="zh-CN"/>
        </w:rPr>
        <w:t>7.4  保证金：</w:t>
      </w:r>
    </w:p>
    <w:p>
      <w:pPr>
        <w:pStyle w:val="58"/>
        <w:spacing w:line="360" w:lineRule="auto"/>
        <w:ind w:firstLine="420"/>
        <w:rPr>
          <w:rFonts w:hint="default" w:ascii="宋体" w:hAnsi="宋体"/>
          <w:bCs/>
          <w:color w:val="auto"/>
          <w:szCs w:val="21"/>
          <w:highlight w:val="none"/>
          <w:u w:val="single"/>
          <w:lang w:val="en-US" w:eastAsia="zh-CN"/>
        </w:rPr>
      </w:pPr>
      <w:r>
        <w:rPr>
          <w:rFonts w:hint="eastAsia" w:ascii="宋体" w:hAnsi="宋体"/>
          <w:bCs/>
          <w:color w:val="auto"/>
          <w:szCs w:val="21"/>
          <w:highlight w:val="none"/>
          <w:u w:val="single"/>
          <w:lang w:val="en-US" w:eastAsia="zh-CN"/>
        </w:rPr>
        <w:t>乙方</w:t>
      </w:r>
      <w:r>
        <w:rPr>
          <w:rFonts w:hint="default" w:ascii="宋体" w:hAnsi="宋体"/>
          <w:bCs/>
          <w:color w:val="auto"/>
          <w:szCs w:val="21"/>
          <w:highlight w:val="none"/>
          <w:u w:val="single"/>
          <w:lang w:val="en-US" w:eastAsia="zh-CN"/>
        </w:rPr>
        <w:t>在</w:t>
      </w:r>
      <w:r>
        <w:rPr>
          <w:rFonts w:hint="eastAsia" w:ascii="宋体" w:hAnsi="宋体"/>
          <w:bCs/>
          <w:color w:val="auto"/>
          <w:szCs w:val="21"/>
          <w:highlight w:val="none"/>
          <w:u w:val="single"/>
          <w:lang w:val="en-US" w:eastAsia="zh-CN"/>
        </w:rPr>
        <w:t>签订本合同前</w:t>
      </w:r>
      <w:r>
        <w:rPr>
          <w:rFonts w:hint="default" w:ascii="宋体" w:hAnsi="宋体"/>
          <w:bCs/>
          <w:color w:val="auto"/>
          <w:szCs w:val="21"/>
          <w:highlight w:val="none"/>
          <w:u w:val="single"/>
          <w:lang w:val="en-US" w:eastAsia="zh-CN"/>
        </w:rPr>
        <w:t>向</w:t>
      </w:r>
      <w:r>
        <w:rPr>
          <w:rFonts w:hint="eastAsia" w:ascii="宋体" w:hAnsi="宋体"/>
          <w:bCs/>
          <w:color w:val="auto"/>
          <w:szCs w:val="21"/>
          <w:highlight w:val="none"/>
          <w:u w:val="single"/>
          <w:lang w:val="en-US" w:eastAsia="zh-CN"/>
        </w:rPr>
        <w:t>甲方</w:t>
      </w:r>
      <w:r>
        <w:rPr>
          <w:rFonts w:hint="default" w:ascii="宋体" w:hAnsi="宋体"/>
          <w:bCs/>
          <w:color w:val="auto"/>
          <w:szCs w:val="21"/>
          <w:highlight w:val="none"/>
          <w:u w:val="single"/>
          <w:lang w:val="en-US" w:eastAsia="zh-CN"/>
        </w:rPr>
        <w:t>支付总合同金额的5%做为本项目的履约保证金，质保期满后，如产品无质量问题的，履约保证金待质量保证期过后十五个工作日内一次性无息返还给</w:t>
      </w:r>
      <w:r>
        <w:rPr>
          <w:rFonts w:hint="eastAsia" w:ascii="宋体" w:hAnsi="宋体"/>
          <w:bCs/>
          <w:color w:val="auto"/>
          <w:szCs w:val="21"/>
          <w:highlight w:val="none"/>
          <w:u w:val="single"/>
          <w:lang w:val="en-US" w:eastAsia="zh-CN"/>
        </w:rPr>
        <w:t>乙方</w:t>
      </w:r>
      <w:r>
        <w:rPr>
          <w:rFonts w:hint="default" w:ascii="宋体" w:hAnsi="宋体"/>
          <w:bCs/>
          <w:color w:val="auto"/>
          <w:szCs w:val="21"/>
          <w:highlight w:val="none"/>
          <w:u w:val="single"/>
          <w:lang w:val="en-US" w:eastAsia="zh-CN"/>
        </w:rPr>
        <w:t>。</w:t>
      </w:r>
    </w:p>
    <w:p>
      <w:pPr>
        <w:snapToGrid w:val="0"/>
        <w:spacing w:line="380" w:lineRule="exact"/>
        <w:ind w:left="-61" w:firstLine="514"/>
        <w:rPr>
          <w:rFonts w:ascii="宋体" w:hAnsi="宋体"/>
          <w:b/>
          <w:color w:val="auto"/>
          <w:szCs w:val="21"/>
          <w:highlight w:val="none"/>
        </w:rPr>
      </w:pPr>
      <w:r>
        <w:rPr>
          <w:rFonts w:hint="eastAsia" w:ascii="宋体" w:hAnsi="宋体"/>
          <w:b/>
          <w:color w:val="auto"/>
          <w:szCs w:val="21"/>
          <w:highlight w:val="none"/>
        </w:rPr>
        <w:t>第八条  税费</w:t>
      </w:r>
    </w:p>
    <w:p>
      <w:pPr>
        <w:snapToGrid w:val="0"/>
        <w:spacing w:line="380" w:lineRule="exact"/>
        <w:ind w:left="-61" w:firstLine="514"/>
        <w:rPr>
          <w:rFonts w:ascii="宋体" w:hAnsi="宋体"/>
          <w:color w:val="auto"/>
          <w:szCs w:val="21"/>
          <w:highlight w:val="none"/>
        </w:rPr>
      </w:pPr>
      <w:r>
        <w:rPr>
          <w:rFonts w:hint="eastAsia" w:ascii="宋体" w:hAnsi="宋体"/>
          <w:color w:val="auto"/>
          <w:szCs w:val="21"/>
          <w:highlight w:val="none"/>
        </w:rPr>
        <w:t>本合同执行中相关的一切税费均由乙方负担。</w:t>
      </w:r>
    </w:p>
    <w:p>
      <w:pPr>
        <w:snapToGrid w:val="0"/>
        <w:spacing w:line="380" w:lineRule="exact"/>
        <w:ind w:left="-61" w:firstLine="514"/>
        <w:rPr>
          <w:rFonts w:ascii="宋体" w:hAnsi="宋体"/>
          <w:b/>
          <w:color w:val="auto"/>
          <w:szCs w:val="21"/>
          <w:highlight w:val="none"/>
        </w:rPr>
      </w:pPr>
      <w:r>
        <w:rPr>
          <w:rFonts w:hint="eastAsia" w:ascii="宋体" w:hAnsi="宋体"/>
          <w:b/>
          <w:color w:val="auto"/>
          <w:szCs w:val="21"/>
          <w:highlight w:val="none"/>
        </w:rPr>
        <w:t>第九条　违约责任</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9.1  乙方如提供盗版图书，一经发现，除假一赔十外，还承担由此造成的一切后果，同时本合同自动终止。</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9.2  乙方提供的货物如侵犯了第三方合法权益而引发的任何纠纷或诉讼，均由乙方负责交涉并承担全部责任。</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9.3  甲方无故延期接收货物，乙方逾期交货的，违约方每天按每批订单实洋价金额的</w:t>
      </w:r>
      <w:r>
        <w:rPr>
          <w:rFonts w:ascii="宋体" w:hAnsi="宋体"/>
          <w:color w:val="auto"/>
          <w:szCs w:val="21"/>
          <w:highlight w:val="none"/>
        </w:rPr>
        <w:t>5‰</w:t>
      </w:r>
      <w:r>
        <w:rPr>
          <w:rFonts w:hint="eastAsia" w:ascii="宋体" w:hAnsi="宋体"/>
          <w:color w:val="auto"/>
          <w:szCs w:val="21"/>
          <w:highlight w:val="none"/>
        </w:rPr>
        <w:t>支付违约金。</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9.4  到书率达不到招标项目采购需求的，甲方可解除双方供货合同，造成甲方损失的，由乙方负责赔偿。</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9.5  其它未尽事宜，双方签订合同时按合同法议定</w:t>
      </w:r>
    </w:p>
    <w:p>
      <w:pPr>
        <w:snapToGrid w:val="0"/>
        <w:spacing w:line="380" w:lineRule="exact"/>
        <w:ind w:firstLine="413" w:firstLineChars="196"/>
        <w:rPr>
          <w:rFonts w:ascii="宋体" w:hAnsi="宋体" w:cs="Courier New"/>
          <w:b/>
          <w:color w:val="auto"/>
          <w:szCs w:val="21"/>
          <w:highlight w:val="none"/>
        </w:rPr>
      </w:pPr>
      <w:r>
        <w:rPr>
          <w:rFonts w:hint="eastAsia" w:ascii="宋体" w:hAnsi="宋体" w:cs="Courier New"/>
          <w:b/>
          <w:color w:val="auto"/>
          <w:szCs w:val="21"/>
          <w:highlight w:val="none"/>
        </w:rPr>
        <w:t>第十条、不可抗力事件处理</w:t>
      </w:r>
    </w:p>
    <w:p>
      <w:pPr>
        <w:snapToGrid w:val="0"/>
        <w:spacing w:line="38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10.1  在合同有效期内，任何一方因不可抗力事件导致不能履行合同，则合同履行期可延长，其延长期与不可抗力影响期相同。</w:t>
      </w:r>
    </w:p>
    <w:p>
      <w:pPr>
        <w:snapToGrid w:val="0"/>
        <w:spacing w:line="38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10.2  不可抗力事件发生后，应立即通知对方，并寄送有关权威机构出具的证明。</w:t>
      </w:r>
    </w:p>
    <w:p>
      <w:pPr>
        <w:snapToGrid w:val="0"/>
        <w:spacing w:line="38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10.3  不可抗力事件延续一百二十天以上，双方应通过友好协商，确定是否继续履行合同。</w:t>
      </w:r>
    </w:p>
    <w:p>
      <w:pPr>
        <w:snapToGrid w:val="0"/>
        <w:spacing w:line="380" w:lineRule="exact"/>
        <w:ind w:firstLine="422" w:firstLineChars="200"/>
        <w:rPr>
          <w:rFonts w:ascii="宋体" w:hAnsi="宋体" w:cs="Courier New"/>
          <w:b/>
          <w:color w:val="auto"/>
          <w:szCs w:val="21"/>
          <w:highlight w:val="none"/>
        </w:rPr>
      </w:pPr>
      <w:r>
        <w:rPr>
          <w:rFonts w:hint="eastAsia" w:ascii="宋体" w:hAnsi="宋体" w:cs="Courier New"/>
          <w:b/>
          <w:color w:val="auto"/>
          <w:szCs w:val="21"/>
          <w:highlight w:val="none"/>
        </w:rPr>
        <w:t>第十一条  合同争议解决</w:t>
      </w:r>
    </w:p>
    <w:p>
      <w:pPr>
        <w:snapToGrid w:val="0"/>
        <w:spacing w:line="38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11.1  因货物质量问题发生争议的，应邀请国家认可的质量检测机构对货物质量进行鉴定。货物符合标准的，鉴定费由甲方承担；货物不符合标准的，鉴定费由乙方承担。</w:t>
      </w:r>
    </w:p>
    <w:p>
      <w:pPr>
        <w:snapToGrid w:val="0"/>
        <w:spacing w:line="38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11.2  因履行本合同引起的或与本合同有关的争议，甲乙双方应首先通过友好协商解决，如果协商不能解决，可向甲方所在地人民法院提起诉讼。</w:t>
      </w:r>
    </w:p>
    <w:p>
      <w:pPr>
        <w:snapToGrid w:val="0"/>
        <w:spacing w:line="38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11.3  诉讼期间，本合同继续履行。</w:t>
      </w:r>
    </w:p>
    <w:p>
      <w:pPr>
        <w:snapToGrid w:val="0"/>
        <w:spacing w:line="380" w:lineRule="exact"/>
        <w:ind w:firstLine="422" w:firstLineChars="200"/>
        <w:rPr>
          <w:rFonts w:ascii="宋体" w:hAnsi="宋体" w:cs="Courier New"/>
          <w:b/>
          <w:color w:val="auto"/>
          <w:szCs w:val="21"/>
          <w:highlight w:val="none"/>
        </w:rPr>
      </w:pPr>
      <w:r>
        <w:rPr>
          <w:rFonts w:hint="eastAsia" w:ascii="宋体" w:hAnsi="宋体" w:cs="Courier New"/>
          <w:b/>
          <w:color w:val="auto"/>
          <w:szCs w:val="21"/>
          <w:highlight w:val="none"/>
        </w:rPr>
        <w:t>第十二条  诉讼</w:t>
      </w:r>
    </w:p>
    <w:p>
      <w:pPr>
        <w:snapToGrid w:val="0"/>
        <w:spacing w:line="38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双方在执行合同中所发生的一切争议，应通过协商解决。如协商不能解决，可向甲方所在地人民法院提起诉讼。</w:t>
      </w:r>
    </w:p>
    <w:p>
      <w:pPr>
        <w:snapToGrid w:val="0"/>
        <w:spacing w:line="380" w:lineRule="exact"/>
        <w:ind w:firstLine="422" w:firstLineChars="200"/>
        <w:rPr>
          <w:rFonts w:ascii="宋体" w:hAnsi="宋体" w:cs="Courier New"/>
          <w:b/>
          <w:color w:val="auto"/>
          <w:szCs w:val="21"/>
          <w:highlight w:val="none"/>
        </w:rPr>
      </w:pPr>
      <w:r>
        <w:rPr>
          <w:rFonts w:hint="eastAsia" w:ascii="宋体" w:hAnsi="宋体" w:cs="Courier New"/>
          <w:b/>
          <w:color w:val="auto"/>
          <w:szCs w:val="21"/>
          <w:highlight w:val="none"/>
        </w:rPr>
        <w:t>第十三条  合同生效及其它</w:t>
      </w:r>
    </w:p>
    <w:p>
      <w:pPr>
        <w:snapToGrid w:val="0"/>
        <w:spacing w:line="38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13.1   合同经双方法定代表人或授权代表签字并加盖单位公章后生效。</w:t>
      </w:r>
    </w:p>
    <w:p>
      <w:pPr>
        <w:snapToGrid w:val="0"/>
        <w:spacing w:line="38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13.2  合同执行中涉及采购资金和采购内容修改或补充的，须经财政部门审批，并签书面补充协议报财政部门备案，方可作为主合同不可分割的一部分。</w:t>
      </w:r>
    </w:p>
    <w:p>
      <w:pPr>
        <w:snapToGrid w:val="0"/>
        <w:spacing w:line="38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13.3  本合同未尽事宜，遵照《</w:t>
      </w:r>
      <w:r>
        <w:rPr>
          <w:rFonts w:hint="eastAsia" w:ascii="宋体" w:hAnsi="宋体" w:cs="Courier New"/>
          <w:color w:val="auto"/>
          <w:szCs w:val="21"/>
          <w:highlight w:val="none"/>
          <w:lang w:eastAsia="zh-CN"/>
        </w:rPr>
        <w:t>民法典</w:t>
      </w:r>
      <w:r>
        <w:rPr>
          <w:rFonts w:hint="eastAsia" w:ascii="宋体" w:hAnsi="宋体" w:cs="Courier New"/>
          <w:color w:val="auto"/>
          <w:szCs w:val="21"/>
          <w:highlight w:val="none"/>
        </w:rPr>
        <w:t>》有关条文执行。</w:t>
      </w:r>
    </w:p>
    <w:p>
      <w:pPr>
        <w:snapToGrid w:val="0"/>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第十四条　合同的变更、终止与转让</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14.1  除《中华人民共和国政府采购法》第五十条规定的情形外，本合同一经签订，甲乙双方不得擅自变更、中止或终止。</w:t>
      </w:r>
    </w:p>
    <w:p>
      <w:pPr>
        <w:snapToGrid w:val="0"/>
        <w:spacing w:line="380" w:lineRule="exact"/>
        <w:ind w:left="-61" w:firstLine="514"/>
        <w:rPr>
          <w:rFonts w:ascii="宋体" w:hAnsi="宋体"/>
          <w:color w:val="auto"/>
          <w:szCs w:val="21"/>
          <w:highlight w:val="none"/>
        </w:rPr>
      </w:pPr>
      <w:r>
        <w:rPr>
          <w:rFonts w:hint="eastAsia" w:ascii="宋体" w:hAnsi="宋体"/>
          <w:color w:val="auto"/>
          <w:szCs w:val="21"/>
          <w:highlight w:val="none"/>
        </w:rPr>
        <w:t>14.2  乙方不得擅自转让其应履行的合同义务。</w:t>
      </w:r>
    </w:p>
    <w:p>
      <w:pPr>
        <w:snapToGrid w:val="0"/>
        <w:spacing w:line="380" w:lineRule="exact"/>
        <w:ind w:firstLine="422" w:firstLineChars="200"/>
        <w:rPr>
          <w:rFonts w:hint="default"/>
          <w:color w:val="auto"/>
          <w:highlight w:val="none"/>
          <w:lang w:val="en-US" w:eastAsia="zh-CN"/>
        </w:rPr>
      </w:pPr>
      <w:r>
        <w:rPr>
          <w:rFonts w:hint="eastAsia" w:ascii="宋体" w:hAnsi="宋体"/>
          <w:b/>
          <w:color w:val="auto"/>
          <w:szCs w:val="21"/>
          <w:highlight w:val="none"/>
          <w:lang w:val="en-US" w:eastAsia="zh-CN"/>
        </w:rPr>
        <w:t>第十五条 通知和送达</w:t>
      </w:r>
    </w:p>
    <w:p>
      <w:pPr>
        <w:snapToGrid w:val="0"/>
        <w:spacing w:line="380" w:lineRule="exact"/>
        <w:ind w:firstLine="420" w:firstLineChars="200"/>
        <w:rPr>
          <w:rFonts w:hint="eastAsia"/>
          <w:color w:val="auto"/>
          <w:highlight w:val="none"/>
        </w:rPr>
      </w:pPr>
      <w:r>
        <w:rPr>
          <w:rFonts w:hint="eastAsia"/>
          <w:color w:val="auto"/>
          <w:highlight w:val="none"/>
        </w:rPr>
        <w:t>1、各方确认，本合同载明的各方地址为各方真实有效通讯地址，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在变更后10日内书面通知对方，否则本合同载明的地址仍为真实有效通讯地址。若为提交的，自对方法定代表人、授权代表、委托代理人签收时或单位盖章时视为送达对方。</w:t>
      </w:r>
    </w:p>
    <w:p>
      <w:pPr>
        <w:snapToGrid w:val="0"/>
        <w:spacing w:line="380" w:lineRule="exact"/>
        <w:ind w:firstLine="420" w:firstLineChars="200"/>
        <w:rPr>
          <w:rFonts w:hint="eastAsia" w:ascii="宋体" w:hAnsi="宋体"/>
          <w:b/>
          <w:color w:val="auto"/>
          <w:szCs w:val="21"/>
          <w:highlight w:val="none"/>
        </w:rPr>
      </w:pPr>
      <w:r>
        <w:rPr>
          <w:rFonts w:hint="eastAsia"/>
          <w:color w:val="auto"/>
          <w:highlight w:val="none"/>
          <w:lang w:val="en-US" w:eastAsia="zh-CN"/>
        </w:rPr>
        <w:t>2</w:t>
      </w:r>
      <w:r>
        <w:rPr>
          <w:rFonts w:hint="eastAsia"/>
          <w:color w:val="auto"/>
          <w:highlight w:val="none"/>
        </w:rPr>
        <w:t>、上述</w:t>
      </w:r>
      <w:r>
        <w:rPr>
          <w:color w:val="auto"/>
          <w:highlight w:val="none"/>
        </w:rPr>
        <w:t>送达地址</w:t>
      </w:r>
      <w:r>
        <w:rPr>
          <w:rFonts w:hint="eastAsia"/>
          <w:color w:val="auto"/>
          <w:highlight w:val="none"/>
        </w:rPr>
        <w:t>和联系方式</w:t>
      </w:r>
      <w:r>
        <w:rPr>
          <w:color w:val="auto"/>
          <w:highlight w:val="none"/>
        </w:rPr>
        <w:t>适用范围包括双方非诉时各类通知、</w:t>
      </w:r>
      <w:r>
        <w:rPr>
          <w:rFonts w:hint="eastAsia"/>
          <w:color w:val="auto"/>
          <w:highlight w:val="none"/>
          <w:lang w:eastAsia="zh-CN"/>
        </w:rPr>
        <w:t>合同</w:t>
      </w:r>
      <w:r>
        <w:rPr>
          <w:color w:val="auto"/>
          <w:highlight w:val="none"/>
        </w:rPr>
        <w:t>等文件以及就</w:t>
      </w:r>
      <w:r>
        <w:rPr>
          <w:rFonts w:hint="eastAsia"/>
          <w:color w:val="auto"/>
          <w:highlight w:val="none"/>
          <w:lang w:eastAsia="zh-CN"/>
        </w:rPr>
        <w:t>合同</w:t>
      </w:r>
      <w:r>
        <w:rPr>
          <w:color w:val="auto"/>
          <w:highlight w:val="none"/>
        </w:rPr>
        <w:t>发生纠纷时相关文件和法律文书的送达，同时包括在争议进入仲裁、民事诉讼程序后的一审、二审、再审和执行程序。</w:t>
      </w:r>
    </w:p>
    <w:p>
      <w:pPr>
        <w:snapToGrid w:val="0"/>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eastAsia="zh-CN"/>
        </w:rPr>
        <w:t>六</w:t>
      </w:r>
      <w:r>
        <w:rPr>
          <w:rFonts w:hint="eastAsia" w:ascii="宋体" w:hAnsi="宋体"/>
          <w:b/>
          <w:color w:val="auto"/>
          <w:szCs w:val="21"/>
          <w:highlight w:val="none"/>
        </w:rPr>
        <w:t>条　签订本合同依据</w:t>
      </w:r>
    </w:p>
    <w:p>
      <w:pPr>
        <w:snapToGrid w:val="0"/>
        <w:spacing w:line="380" w:lineRule="exact"/>
        <w:ind w:left="420" w:leftChars="200"/>
        <w:rPr>
          <w:rFonts w:ascii="宋体" w:hAnsi="宋体" w:cs="Courier New"/>
          <w:color w:val="auto"/>
          <w:szCs w:val="21"/>
          <w:highlight w:val="none"/>
        </w:rPr>
      </w:pPr>
      <w:r>
        <w:rPr>
          <w:rFonts w:hint="eastAsia" w:ascii="宋体" w:hAnsi="宋体" w:cs="Courier New"/>
          <w:color w:val="auto"/>
          <w:szCs w:val="21"/>
          <w:highlight w:val="none"/>
        </w:rPr>
        <w:t>15.1  政府采购招标文件；</w:t>
      </w:r>
    </w:p>
    <w:p>
      <w:pPr>
        <w:snapToGrid w:val="0"/>
        <w:spacing w:line="380" w:lineRule="exact"/>
        <w:ind w:left="420" w:leftChars="200"/>
        <w:rPr>
          <w:rFonts w:ascii="宋体" w:hAnsi="宋体" w:cs="Courier New"/>
          <w:color w:val="auto"/>
          <w:szCs w:val="21"/>
          <w:highlight w:val="none"/>
        </w:rPr>
      </w:pPr>
      <w:r>
        <w:rPr>
          <w:rFonts w:hint="eastAsia" w:ascii="宋体" w:hAnsi="宋体" w:cs="Courier New"/>
          <w:color w:val="auto"/>
          <w:szCs w:val="21"/>
          <w:highlight w:val="none"/>
        </w:rPr>
        <w:t>15.2  乙方提交的响应文件；</w:t>
      </w:r>
    </w:p>
    <w:p>
      <w:pPr>
        <w:snapToGrid w:val="0"/>
        <w:spacing w:line="380" w:lineRule="exact"/>
        <w:ind w:left="420" w:leftChars="200"/>
        <w:rPr>
          <w:rFonts w:ascii="宋体" w:hAnsi="宋体" w:cs="Courier New"/>
          <w:color w:val="auto"/>
          <w:szCs w:val="21"/>
          <w:highlight w:val="none"/>
        </w:rPr>
      </w:pPr>
      <w:r>
        <w:rPr>
          <w:rFonts w:hint="eastAsia" w:ascii="宋体" w:hAnsi="宋体" w:cs="Courier New"/>
          <w:color w:val="auto"/>
          <w:szCs w:val="21"/>
          <w:highlight w:val="none"/>
        </w:rPr>
        <w:t>15.3  投标承诺书；</w:t>
      </w:r>
    </w:p>
    <w:p>
      <w:pPr>
        <w:snapToGrid w:val="0"/>
        <w:spacing w:line="380" w:lineRule="exact"/>
        <w:ind w:left="420" w:leftChars="200"/>
        <w:rPr>
          <w:rFonts w:ascii="宋体" w:hAnsi="宋体" w:cs="Courier New"/>
          <w:b/>
          <w:color w:val="auto"/>
          <w:szCs w:val="21"/>
          <w:highlight w:val="none"/>
        </w:rPr>
      </w:pPr>
      <w:r>
        <w:rPr>
          <w:rFonts w:hint="eastAsia" w:ascii="宋体" w:hAnsi="宋体" w:cs="Courier New"/>
          <w:color w:val="auto"/>
          <w:szCs w:val="21"/>
          <w:highlight w:val="none"/>
        </w:rPr>
        <w:t>15.4  中标通知书。</w:t>
      </w:r>
    </w:p>
    <w:p>
      <w:pPr>
        <w:snapToGrid w:val="0"/>
        <w:spacing w:line="380" w:lineRule="exact"/>
        <w:ind w:firstLine="422" w:firstLineChars="200"/>
        <w:rPr>
          <w:rFonts w:ascii="宋体" w:hAnsi="宋体"/>
          <w:color w:val="auto"/>
          <w:spacing w:val="4"/>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eastAsia="zh-CN"/>
        </w:rPr>
        <w:t>七</w:t>
      </w:r>
      <w:r>
        <w:rPr>
          <w:rFonts w:hint="eastAsia" w:ascii="宋体" w:hAnsi="宋体"/>
          <w:b/>
          <w:color w:val="auto"/>
          <w:szCs w:val="21"/>
          <w:highlight w:val="none"/>
        </w:rPr>
        <w:t>条　</w:t>
      </w:r>
      <w:r>
        <w:rPr>
          <w:rFonts w:hint="eastAsia" w:ascii="宋体" w:hAnsi="宋体"/>
          <w:color w:val="auto"/>
          <w:szCs w:val="21"/>
          <w:highlight w:val="none"/>
        </w:rPr>
        <w:t>本合同一式七份，具有同等法律效力，广西区财政厅（政府采购监管部门）、采购代理机构各一份，甲方四份，乙方一份。</w:t>
      </w:r>
      <w:r>
        <w:rPr>
          <w:rFonts w:hint="eastAsia" w:ascii="宋体" w:hAnsi="宋体"/>
          <w:color w:val="auto"/>
          <w:spacing w:val="4"/>
          <w:szCs w:val="21"/>
          <w:highlight w:val="none"/>
        </w:rPr>
        <w:t>（可根据需要另增加）。</w:t>
      </w:r>
    </w:p>
    <w:p>
      <w:pPr>
        <w:snapToGrid w:val="0"/>
        <w:spacing w:after="120" w:afterLines="50" w:line="380" w:lineRule="exact"/>
        <w:ind w:firstLine="420" w:firstLineChars="200"/>
        <w:rPr>
          <w:rFonts w:ascii="宋体" w:hAnsi="宋体"/>
          <w:color w:val="auto"/>
          <w:szCs w:val="21"/>
          <w:highlight w:val="none"/>
        </w:rPr>
      </w:pPr>
      <w:r>
        <w:rPr>
          <w:rFonts w:hint="eastAsia" w:ascii="宋体" w:hAnsi="宋体"/>
          <w:color w:val="auto"/>
          <w:szCs w:val="21"/>
          <w:highlight w:val="none"/>
        </w:rPr>
        <w:t>本合同甲乙双方签字盖章后生效，自签订之日起七个工作日内，采购人或采购代理机构应当将本合同副本报广西区财政厅政府采购监督管理处备案。</w:t>
      </w:r>
    </w:p>
    <w:p>
      <w:pPr>
        <w:snapToGrid w:val="0"/>
        <w:spacing w:before="120" w:after="120"/>
        <w:jc w:val="center"/>
        <w:outlineLvl w:val="0"/>
        <w:rPr>
          <w:rFonts w:ascii="宋体" w:hAnsi="宋体" w:eastAsia="宋体" w:cs="Times New Roman"/>
          <w:b/>
          <w:color w:val="auto"/>
          <w:sz w:val="32"/>
          <w:szCs w:val="32"/>
          <w:highlight w:val="none"/>
        </w:rPr>
      </w:pPr>
      <w:bookmarkStart w:id="17" w:name="_Toc47260075"/>
      <w:bookmarkStart w:id="18" w:name="_Toc57991376"/>
      <w:bookmarkStart w:id="19" w:name="_Toc47261583"/>
      <w:bookmarkStart w:id="20" w:name="_Toc77516456"/>
    </w:p>
    <w:p>
      <w:pPr>
        <w:snapToGrid w:val="0"/>
        <w:spacing w:before="120" w:after="120"/>
        <w:jc w:val="center"/>
        <w:outlineLvl w:val="0"/>
        <w:rPr>
          <w:rFonts w:ascii="宋体" w:hAnsi="宋体" w:eastAsia="宋体" w:cs="Times New Roman"/>
          <w:b/>
          <w:color w:val="auto"/>
          <w:sz w:val="32"/>
          <w:szCs w:val="32"/>
          <w:highlight w:val="none"/>
        </w:rPr>
      </w:pPr>
    </w:p>
    <w:p>
      <w:pPr>
        <w:pStyle w:val="58"/>
        <w:rPr>
          <w:rFonts w:ascii="宋体" w:hAnsi="宋体" w:eastAsia="宋体" w:cs="Times New Roman"/>
          <w:b/>
          <w:color w:val="auto"/>
          <w:sz w:val="32"/>
          <w:szCs w:val="32"/>
          <w:highlight w:val="none"/>
        </w:rPr>
      </w:pPr>
    </w:p>
    <w:p>
      <w:pPr>
        <w:pStyle w:val="58"/>
        <w:rPr>
          <w:rFonts w:ascii="宋体" w:hAnsi="宋体" w:eastAsia="宋体" w:cs="Times New Roman"/>
          <w:b/>
          <w:color w:val="auto"/>
          <w:sz w:val="32"/>
          <w:szCs w:val="32"/>
          <w:highlight w:val="none"/>
        </w:rPr>
      </w:pPr>
    </w:p>
    <w:p>
      <w:pPr>
        <w:pStyle w:val="58"/>
        <w:rPr>
          <w:rFonts w:ascii="宋体" w:hAnsi="宋体" w:eastAsia="宋体" w:cs="Times New Roman"/>
          <w:b/>
          <w:color w:val="auto"/>
          <w:sz w:val="32"/>
          <w:szCs w:val="32"/>
          <w:highlight w:val="none"/>
        </w:rPr>
      </w:pPr>
    </w:p>
    <w:p>
      <w:pPr>
        <w:pStyle w:val="58"/>
        <w:rPr>
          <w:rFonts w:ascii="宋体" w:hAnsi="宋体" w:eastAsia="宋体" w:cs="Times New Roman"/>
          <w:b/>
          <w:color w:val="auto"/>
          <w:sz w:val="32"/>
          <w:szCs w:val="32"/>
          <w:highlight w:val="none"/>
        </w:rPr>
      </w:pPr>
    </w:p>
    <w:p>
      <w:pPr>
        <w:pStyle w:val="58"/>
        <w:rPr>
          <w:rFonts w:ascii="宋体" w:hAnsi="宋体" w:eastAsia="宋体" w:cs="Times New Roman"/>
          <w:b/>
          <w:color w:val="auto"/>
          <w:sz w:val="32"/>
          <w:szCs w:val="32"/>
          <w:highlight w:val="none"/>
        </w:rPr>
      </w:pPr>
    </w:p>
    <w:p>
      <w:pPr>
        <w:pStyle w:val="58"/>
        <w:rPr>
          <w:rFonts w:ascii="宋体" w:hAnsi="宋体" w:eastAsia="宋体" w:cs="Times New Roman"/>
          <w:b/>
          <w:color w:val="auto"/>
          <w:sz w:val="32"/>
          <w:szCs w:val="32"/>
          <w:highlight w:val="none"/>
        </w:rPr>
      </w:pPr>
    </w:p>
    <w:p>
      <w:pPr>
        <w:pStyle w:val="58"/>
        <w:rPr>
          <w:rFonts w:ascii="宋体" w:hAnsi="宋体" w:eastAsia="宋体" w:cs="Times New Roman"/>
          <w:b/>
          <w:color w:val="auto"/>
          <w:sz w:val="32"/>
          <w:szCs w:val="32"/>
          <w:highlight w:val="none"/>
        </w:rPr>
      </w:pPr>
    </w:p>
    <w:p>
      <w:pPr>
        <w:pStyle w:val="58"/>
        <w:rPr>
          <w:rFonts w:ascii="宋体" w:hAnsi="宋体" w:eastAsia="宋体" w:cs="Times New Roman"/>
          <w:b/>
          <w:color w:val="auto"/>
          <w:sz w:val="32"/>
          <w:szCs w:val="32"/>
          <w:highlight w:val="none"/>
        </w:rPr>
      </w:pPr>
    </w:p>
    <w:p>
      <w:pPr>
        <w:pStyle w:val="58"/>
        <w:rPr>
          <w:rFonts w:ascii="宋体" w:hAnsi="宋体" w:eastAsia="宋体" w:cs="Times New Roman"/>
          <w:b/>
          <w:color w:val="auto"/>
          <w:sz w:val="32"/>
          <w:szCs w:val="32"/>
          <w:highlight w:val="none"/>
        </w:rPr>
      </w:pPr>
    </w:p>
    <w:p>
      <w:pPr>
        <w:pStyle w:val="58"/>
        <w:rPr>
          <w:rFonts w:ascii="宋体" w:hAnsi="宋体" w:eastAsia="宋体" w:cs="Times New Roman"/>
          <w:b/>
          <w:color w:val="auto"/>
          <w:sz w:val="32"/>
          <w:szCs w:val="32"/>
          <w:highlight w:val="none"/>
        </w:rPr>
      </w:pPr>
    </w:p>
    <w:p>
      <w:pPr>
        <w:pStyle w:val="58"/>
        <w:rPr>
          <w:rFonts w:ascii="宋体" w:hAnsi="宋体" w:eastAsia="宋体" w:cs="Times New Roman"/>
          <w:b/>
          <w:color w:val="auto"/>
          <w:sz w:val="32"/>
          <w:szCs w:val="32"/>
          <w:highlight w:val="none"/>
        </w:rPr>
      </w:pPr>
    </w:p>
    <w:p>
      <w:pPr>
        <w:pStyle w:val="58"/>
        <w:rPr>
          <w:rFonts w:ascii="宋体" w:hAnsi="宋体" w:eastAsia="宋体" w:cs="Times New Roman"/>
          <w:b/>
          <w:color w:val="auto"/>
          <w:sz w:val="32"/>
          <w:szCs w:val="32"/>
          <w:highlight w:val="none"/>
        </w:rPr>
      </w:pPr>
    </w:p>
    <w:p>
      <w:pPr>
        <w:pStyle w:val="58"/>
        <w:rPr>
          <w:rFonts w:ascii="宋体" w:hAnsi="宋体" w:eastAsia="宋体" w:cs="Times New Roman"/>
          <w:b/>
          <w:color w:val="auto"/>
          <w:sz w:val="32"/>
          <w:szCs w:val="32"/>
          <w:highlight w:val="none"/>
        </w:rPr>
      </w:pPr>
    </w:p>
    <w:p>
      <w:pPr>
        <w:pStyle w:val="58"/>
        <w:rPr>
          <w:rFonts w:ascii="宋体" w:hAnsi="宋体" w:eastAsia="宋体" w:cs="Times New Roman"/>
          <w:b/>
          <w:color w:val="auto"/>
          <w:sz w:val="32"/>
          <w:szCs w:val="32"/>
          <w:highlight w:val="none"/>
        </w:rPr>
      </w:pPr>
    </w:p>
    <w:p>
      <w:pPr>
        <w:pStyle w:val="58"/>
        <w:rPr>
          <w:rFonts w:ascii="宋体" w:hAnsi="宋体" w:eastAsia="宋体" w:cs="Times New Roman"/>
          <w:b/>
          <w:color w:val="auto"/>
          <w:sz w:val="32"/>
          <w:szCs w:val="32"/>
          <w:highlight w:val="none"/>
        </w:rPr>
      </w:pPr>
    </w:p>
    <w:p>
      <w:pPr>
        <w:pStyle w:val="58"/>
        <w:rPr>
          <w:rFonts w:ascii="宋体" w:hAnsi="宋体" w:eastAsia="宋体" w:cs="Times New Roman"/>
          <w:b/>
          <w:color w:val="auto"/>
          <w:sz w:val="32"/>
          <w:szCs w:val="32"/>
          <w:highlight w:val="none"/>
        </w:rPr>
      </w:pPr>
    </w:p>
    <w:p>
      <w:pPr>
        <w:pStyle w:val="58"/>
        <w:rPr>
          <w:rFonts w:ascii="宋体" w:hAnsi="宋体" w:eastAsia="宋体" w:cs="Times New Roman"/>
          <w:b/>
          <w:color w:val="auto"/>
          <w:sz w:val="32"/>
          <w:szCs w:val="32"/>
          <w:highlight w:val="none"/>
        </w:rPr>
      </w:pPr>
    </w:p>
    <w:p>
      <w:pPr>
        <w:pStyle w:val="58"/>
        <w:rPr>
          <w:rFonts w:ascii="宋体" w:hAnsi="宋体" w:eastAsia="宋体" w:cs="Times New Roman"/>
          <w:b/>
          <w:color w:val="auto"/>
          <w:sz w:val="32"/>
          <w:szCs w:val="32"/>
          <w:highlight w:val="none"/>
        </w:rPr>
      </w:pPr>
    </w:p>
    <w:p>
      <w:pPr>
        <w:pStyle w:val="58"/>
        <w:rPr>
          <w:rFonts w:ascii="宋体" w:hAnsi="宋体" w:eastAsia="宋体" w:cs="Times New Roman"/>
          <w:b/>
          <w:color w:val="auto"/>
          <w:sz w:val="32"/>
          <w:szCs w:val="32"/>
          <w:highlight w:val="none"/>
        </w:rPr>
      </w:pPr>
    </w:p>
    <w:p>
      <w:pPr>
        <w:pStyle w:val="58"/>
        <w:rPr>
          <w:color w:val="auto"/>
          <w:highlight w:val="none"/>
        </w:rPr>
      </w:pPr>
    </w:p>
    <w:p>
      <w:pPr>
        <w:pStyle w:val="58"/>
        <w:rPr>
          <w:rFonts w:ascii="宋体" w:hAnsi="宋体"/>
          <w:b/>
          <w:color w:val="auto"/>
          <w:sz w:val="32"/>
          <w:szCs w:val="32"/>
          <w:highlight w:val="none"/>
        </w:rPr>
      </w:pPr>
    </w:p>
    <w:p>
      <w:pPr>
        <w:snapToGrid w:val="0"/>
        <w:spacing w:before="120" w:after="120"/>
        <w:jc w:val="center"/>
        <w:outlineLvl w:val="0"/>
        <w:rPr>
          <w:rFonts w:ascii="宋体" w:hAnsi="宋体" w:eastAsia="宋体" w:cs="Times New Roman"/>
          <w:b/>
          <w:color w:val="auto"/>
          <w:sz w:val="32"/>
          <w:szCs w:val="32"/>
          <w:highlight w:val="none"/>
        </w:rPr>
      </w:pPr>
      <w:r>
        <w:rPr>
          <w:rFonts w:hint="eastAsia" w:ascii="宋体" w:hAnsi="宋体" w:eastAsia="宋体" w:cs="Courier New"/>
          <w:b/>
          <w:color w:val="auto"/>
          <w:sz w:val="32"/>
          <w:szCs w:val="32"/>
          <w:highlight w:val="none"/>
        </w:rPr>
        <w:t>第六章  评标办法及评分标准</w:t>
      </w:r>
      <w:bookmarkEnd w:id="17"/>
      <w:bookmarkEnd w:id="18"/>
      <w:bookmarkEnd w:id="19"/>
      <w:bookmarkEnd w:id="20"/>
      <w:bookmarkStart w:id="21" w:name="_Toc254970689"/>
      <w:bookmarkStart w:id="22" w:name="_Toc254970548"/>
    </w:p>
    <w:p>
      <w:pPr>
        <w:snapToGrid w:val="0"/>
        <w:jc w:val="center"/>
        <w:rPr>
          <w:rFonts w:ascii="Times New Roman" w:hAnsi="宋体" w:eastAsia="宋体" w:cs="Times New Roman"/>
          <w:b/>
          <w:color w:val="auto"/>
          <w:sz w:val="28"/>
          <w:szCs w:val="28"/>
          <w:highlight w:val="none"/>
        </w:rPr>
      </w:pPr>
      <w:r>
        <w:rPr>
          <w:rFonts w:hint="eastAsia" w:ascii="Times New Roman" w:hAnsi="宋体" w:eastAsia="宋体" w:cs="Times New Roman"/>
          <w:b/>
          <w:color w:val="auto"/>
          <w:sz w:val="28"/>
          <w:szCs w:val="28"/>
          <w:highlight w:val="none"/>
        </w:rPr>
        <w:t>评标办法及评分标准</w:t>
      </w:r>
      <w:bookmarkEnd w:id="21"/>
      <w:bookmarkEnd w:id="22"/>
    </w:p>
    <w:p>
      <w:pPr>
        <w:pStyle w:val="25"/>
        <w:spacing w:line="440" w:lineRule="exact"/>
        <w:rPr>
          <w:rFonts w:hAnsi="宋体"/>
          <w:color w:val="auto"/>
          <w:highlight w:val="none"/>
        </w:rPr>
      </w:pPr>
      <w:r>
        <w:rPr>
          <w:rFonts w:hint="eastAsia" w:hAnsi="宋体"/>
          <w:b/>
          <w:color w:val="auto"/>
          <w:highlight w:val="none"/>
        </w:rPr>
        <w:t>一、评审原则</w:t>
      </w:r>
    </w:p>
    <w:p>
      <w:pPr>
        <w:pStyle w:val="25"/>
        <w:spacing w:line="420" w:lineRule="exact"/>
        <w:ind w:firstLine="482" w:firstLineChars="230"/>
        <w:rPr>
          <w:rFonts w:hint="eastAsia" w:hAnsi="宋体" w:cs="宋体" w:eastAsiaTheme="minorEastAsia"/>
          <w:bCs w:val="0"/>
          <w:color w:val="auto"/>
          <w:sz w:val="21"/>
          <w:szCs w:val="21"/>
          <w:highlight w:val="none"/>
        </w:rPr>
      </w:pPr>
      <w:r>
        <w:rPr>
          <w:rFonts w:hint="eastAsia" w:hAnsi="宋体" w:cs="宋体" w:eastAsiaTheme="minorEastAsia"/>
          <w:bCs w:val="0"/>
          <w:color w:val="auto"/>
          <w:sz w:val="21"/>
          <w:szCs w:val="21"/>
          <w:highlight w:val="none"/>
        </w:rPr>
        <w:t>（一）谈判小组</w:t>
      </w:r>
      <w:r>
        <w:rPr>
          <w:rFonts w:hint="eastAsia" w:hAnsi="宋体" w:cs="宋体" w:eastAsiaTheme="minorEastAsia"/>
          <w:color w:val="auto"/>
          <w:sz w:val="21"/>
          <w:szCs w:val="21"/>
          <w:highlight w:val="none"/>
        </w:rPr>
        <w:t>成员</w:t>
      </w:r>
      <w:r>
        <w:rPr>
          <w:rFonts w:hint="eastAsia" w:hAnsi="宋体" w:cs="宋体" w:eastAsiaTheme="minorEastAsia"/>
          <w:bCs w:val="0"/>
          <w:color w:val="auto"/>
          <w:sz w:val="21"/>
          <w:szCs w:val="21"/>
          <w:highlight w:val="none"/>
        </w:rPr>
        <w:t>组成：本竞争性谈判采购项目的</w:t>
      </w:r>
      <w:r>
        <w:rPr>
          <w:rFonts w:hint="eastAsia" w:hAnsi="宋体" w:cs="宋体" w:eastAsiaTheme="minorEastAsia"/>
          <w:color w:val="auto"/>
          <w:sz w:val="21"/>
          <w:szCs w:val="21"/>
          <w:highlight w:val="none"/>
        </w:rPr>
        <w:t>谈判小组由采购人代表和评审专家共三人以上的单数组成</w:t>
      </w:r>
      <w:r>
        <w:rPr>
          <w:rFonts w:hint="eastAsia" w:hAnsi="宋体" w:cs="宋体" w:eastAsiaTheme="minorEastAsia"/>
          <w:bCs w:val="0"/>
          <w:color w:val="auto"/>
          <w:sz w:val="21"/>
          <w:szCs w:val="21"/>
          <w:highlight w:val="none"/>
        </w:rPr>
        <w:t>（</w:t>
      </w:r>
      <w:r>
        <w:rPr>
          <w:rFonts w:hint="eastAsia" w:hAnsi="宋体" w:cs="宋体" w:eastAsiaTheme="minorEastAsia"/>
          <w:color w:val="auto"/>
          <w:sz w:val="21"/>
          <w:szCs w:val="21"/>
          <w:highlight w:val="none"/>
        </w:rPr>
        <w:t>达到公开招标数额标准以上的项目，竞争性谈判小组成员由五人以上单数组成），其中评审专家的人数不得少于谈判小组成员总数的三分之二</w:t>
      </w:r>
      <w:r>
        <w:rPr>
          <w:rFonts w:hint="eastAsia" w:hAnsi="宋体" w:cs="宋体" w:eastAsiaTheme="minorEastAsia"/>
          <w:bCs w:val="0"/>
          <w:color w:val="auto"/>
          <w:sz w:val="21"/>
          <w:szCs w:val="21"/>
          <w:highlight w:val="none"/>
        </w:rPr>
        <w:t>。</w:t>
      </w:r>
    </w:p>
    <w:p>
      <w:pPr>
        <w:pStyle w:val="25"/>
        <w:spacing w:line="420" w:lineRule="exact"/>
        <w:ind w:firstLine="525" w:firstLineChars="250"/>
        <w:rPr>
          <w:rFonts w:hint="eastAsia" w:hAnsi="宋体" w:cs="宋体" w:eastAsiaTheme="minorEastAsia"/>
          <w:bCs w:val="0"/>
          <w:color w:val="auto"/>
          <w:sz w:val="21"/>
          <w:szCs w:val="21"/>
          <w:highlight w:val="none"/>
        </w:rPr>
      </w:pPr>
      <w:r>
        <w:rPr>
          <w:rFonts w:hint="eastAsia" w:hAnsi="宋体" w:cs="宋体" w:eastAsiaTheme="minorEastAsia"/>
          <w:bCs w:val="0"/>
          <w:color w:val="auto"/>
          <w:sz w:val="21"/>
          <w:szCs w:val="21"/>
          <w:highlight w:val="none"/>
        </w:rPr>
        <w:t>(二)  评审依据：以</w:t>
      </w:r>
      <w:r>
        <w:rPr>
          <w:rFonts w:hint="eastAsia" w:hAnsi="宋体" w:cs="宋体" w:eastAsiaTheme="minorEastAsia"/>
          <w:color w:val="auto"/>
          <w:sz w:val="21"/>
          <w:szCs w:val="21"/>
          <w:highlight w:val="none"/>
        </w:rPr>
        <w:t>竞争性</w:t>
      </w:r>
      <w:r>
        <w:rPr>
          <w:rFonts w:hint="eastAsia" w:hAnsi="宋体" w:cs="宋体" w:eastAsiaTheme="minorEastAsia"/>
          <w:bCs w:val="0"/>
          <w:color w:val="auto"/>
          <w:sz w:val="21"/>
          <w:szCs w:val="21"/>
          <w:highlight w:val="none"/>
        </w:rPr>
        <w:t>谈判文件和竞争性谈判响应文件为依据。</w:t>
      </w:r>
    </w:p>
    <w:p>
      <w:pPr>
        <w:pStyle w:val="25"/>
        <w:spacing w:line="420" w:lineRule="exact"/>
        <w:rPr>
          <w:rFonts w:hAnsi="宋体"/>
          <w:b/>
          <w:bCs/>
          <w:color w:val="auto"/>
          <w:highlight w:val="none"/>
        </w:rPr>
      </w:pPr>
      <w:r>
        <w:rPr>
          <w:rFonts w:hint="eastAsia" w:hAnsi="宋体"/>
          <w:b/>
          <w:bCs/>
          <w:color w:val="auto"/>
          <w:highlight w:val="none"/>
        </w:rPr>
        <w:t>二、评标方法</w:t>
      </w:r>
    </w:p>
    <w:p>
      <w:pPr>
        <w:pStyle w:val="25"/>
        <w:spacing w:line="400" w:lineRule="exact"/>
        <w:ind w:firstLine="420" w:firstLineChars="200"/>
        <w:rPr>
          <w:rFonts w:hAnsi="宋体" w:cs="宋体"/>
          <w:color w:val="auto"/>
          <w:highlight w:val="none"/>
        </w:rPr>
      </w:pPr>
      <w:r>
        <w:rPr>
          <w:rFonts w:hint="eastAsia" w:hAnsi="宋体" w:cs="宋体" w:eastAsiaTheme="minorEastAsia"/>
          <w:color w:val="auto"/>
          <w:sz w:val="21"/>
          <w:szCs w:val="21"/>
          <w:highlight w:val="none"/>
        </w:rPr>
        <w:t>（一）对资格性和符合性审查合格的竞争性谈判响应文件，采用最低评标价法进行评审</w:t>
      </w:r>
      <w:r>
        <w:rPr>
          <w:rFonts w:hint="eastAsia" w:hAnsi="宋体" w:cs="宋体"/>
          <w:color w:val="auto"/>
          <w:highlight w:val="none"/>
        </w:rPr>
        <w:t>。</w:t>
      </w:r>
    </w:p>
    <w:p>
      <w:pPr>
        <w:widowControl/>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(二)谈判小组将以</w:t>
      </w:r>
      <w:r>
        <w:rPr>
          <w:rFonts w:hint="eastAsia" w:ascii="宋体" w:hAnsi="宋体"/>
          <w:color w:val="auto"/>
          <w:szCs w:val="21"/>
          <w:highlight w:val="none"/>
        </w:rPr>
        <w:t>竞争性</w:t>
      </w:r>
      <w:r>
        <w:rPr>
          <w:rFonts w:hint="eastAsia" w:ascii="宋体" w:hAnsi="宋体" w:cs="宋体"/>
          <w:color w:val="auto"/>
          <w:kern w:val="0"/>
          <w:szCs w:val="21"/>
          <w:highlight w:val="none"/>
        </w:rPr>
        <w:t>谈判文件、竞争性谈判响应文件为评审依据，在质量和服务均能满足</w:t>
      </w:r>
      <w:r>
        <w:rPr>
          <w:rFonts w:hint="eastAsia" w:ascii="宋体" w:hAnsi="宋体"/>
          <w:color w:val="auto"/>
          <w:szCs w:val="21"/>
          <w:highlight w:val="none"/>
        </w:rPr>
        <w:t>竞争性</w:t>
      </w:r>
      <w:r>
        <w:rPr>
          <w:rFonts w:hint="eastAsia" w:ascii="宋体" w:hAnsi="宋体" w:cs="宋体"/>
          <w:color w:val="auto"/>
          <w:kern w:val="0"/>
          <w:szCs w:val="21"/>
          <w:highlight w:val="none"/>
        </w:rPr>
        <w:t>谈判文件实质性响应要求的供应商中，以提出最后评标系数（最后评标系数计算方法=1-</w:t>
      </w:r>
      <w:r>
        <w:rPr>
          <w:rFonts w:hint="eastAsia" w:ascii="宋体" w:hAnsi="宋体" w:cs="宋体"/>
          <w:color w:val="auto"/>
          <w:szCs w:val="21"/>
          <w:highlight w:val="none"/>
        </w:rPr>
        <w:t>最后评标折扣率</w:t>
      </w:r>
      <w:r>
        <w:rPr>
          <w:rFonts w:hint="eastAsia" w:ascii="宋体" w:hAnsi="宋体" w:cs="宋体"/>
          <w:color w:val="auto"/>
          <w:kern w:val="0"/>
          <w:szCs w:val="21"/>
          <w:highlight w:val="none"/>
        </w:rPr>
        <w:t>）最低的供应商作为成交供应商。</w:t>
      </w:r>
    </w:p>
    <w:p>
      <w:pPr>
        <w:widowControl/>
        <w:spacing w:line="420" w:lineRule="exact"/>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（三）按照《政府采购促进中小企业发展暂行办法》（财库[2011]181号），竞标产品认定为小型和微型企业的产品（服务）</w:t>
      </w:r>
      <w:r>
        <w:rPr>
          <w:rFonts w:hint="eastAsia" w:ascii="宋体" w:hAnsi="宋体"/>
          <w:bCs/>
          <w:color w:val="auto"/>
          <w:highlight w:val="none"/>
        </w:rPr>
        <w:t>（以响应文件提供的中小企业声明函为准）</w:t>
      </w:r>
      <w:r>
        <w:rPr>
          <w:rFonts w:hint="eastAsia" w:ascii="宋体" w:hAnsi="宋体" w:cs="宋体"/>
          <w:color w:val="auto"/>
          <w:kern w:val="0"/>
          <w:szCs w:val="21"/>
          <w:highlight w:val="none"/>
        </w:rPr>
        <w:t>，对竞标报价给予10%的扣除，扣除后的价格为最后评标系数，即最后评标系数=</w:t>
      </w:r>
      <w:r>
        <w:rPr>
          <w:rFonts w:hint="eastAsia" w:ascii="宋体" w:hAnsi="宋体" w:cs="宋体"/>
          <w:color w:val="auto"/>
          <w:szCs w:val="21"/>
          <w:highlight w:val="none"/>
        </w:rPr>
        <w:t>（1-最后评标折扣率）</w:t>
      </w:r>
      <w:r>
        <w:rPr>
          <w:rFonts w:hint="eastAsia" w:ascii="宋体" w:hAnsi="宋体" w:cs="宋体"/>
          <w:color w:val="auto"/>
          <w:kern w:val="0"/>
          <w:szCs w:val="21"/>
          <w:highlight w:val="none"/>
        </w:rPr>
        <w:t>×（1-10%）；除上述情况外，最后评标系数=</w:t>
      </w:r>
      <w:r>
        <w:rPr>
          <w:rFonts w:hint="eastAsia" w:ascii="宋体" w:hAnsi="宋体" w:cs="宋体"/>
          <w:color w:val="auto"/>
          <w:szCs w:val="21"/>
          <w:highlight w:val="none"/>
        </w:rPr>
        <w:t>1-最后评标折扣率</w:t>
      </w:r>
      <w:r>
        <w:rPr>
          <w:rFonts w:hint="eastAsia" w:ascii="宋体" w:hAnsi="宋体" w:cs="宋体"/>
          <w:color w:val="auto"/>
          <w:kern w:val="0"/>
          <w:szCs w:val="21"/>
          <w:highlight w:val="none"/>
        </w:rPr>
        <w:t>。</w:t>
      </w:r>
    </w:p>
    <w:p>
      <w:pPr>
        <w:widowControl/>
        <w:spacing w:line="420" w:lineRule="exact"/>
        <w:ind w:firstLine="420" w:firstLineChars="200"/>
        <w:jc w:val="left"/>
        <w:rPr>
          <w:rFonts w:ascii="宋体" w:hAnsi="宋体"/>
          <w:color w:val="auto"/>
          <w:highlight w:val="none"/>
        </w:rPr>
      </w:pPr>
      <w:r>
        <w:rPr>
          <w:rFonts w:hint="eastAsia" w:ascii="宋体" w:hAnsi="宋体"/>
          <w:color w:val="auto"/>
          <w:highlight w:val="none"/>
        </w:rPr>
        <w:t>监狱企业视同小型、微型企业，监狱企业参加政府采购活动时，应当提供由省级以上监狱管理局、戒毒管理局(含新疆生产建设兵团)出具的属于监狱企业的证明文件。</w:t>
      </w:r>
    </w:p>
    <w:p>
      <w:pPr>
        <w:widowControl/>
        <w:spacing w:line="420" w:lineRule="exact"/>
        <w:ind w:firstLine="420" w:firstLineChars="200"/>
        <w:jc w:val="left"/>
        <w:rPr>
          <w:rFonts w:ascii="宋体" w:hAnsi="宋体" w:cs="宋体"/>
          <w:color w:val="auto"/>
          <w:kern w:val="0"/>
          <w:szCs w:val="21"/>
          <w:highlight w:val="none"/>
        </w:rPr>
      </w:pPr>
      <w:r>
        <w:rPr>
          <w:rFonts w:hint="eastAsia" w:ascii="宋体" w:hAnsi="宋体"/>
          <w:color w:val="auto"/>
          <w:highlight w:val="none"/>
        </w:rPr>
        <w:t>残疾人福利性单位</w:t>
      </w:r>
      <w:r>
        <w:rPr>
          <w:rFonts w:hint="eastAsia" w:ascii="宋体" w:hAnsi="宋体"/>
          <w:bCs/>
          <w:color w:val="auto"/>
          <w:highlight w:val="none"/>
        </w:rPr>
        <w:t>（以响应文件提供的残疾人福利性单位声明函为准）</w:t>
      </w:r>
      <w:r>
        <w:rPr>
          <w:rFonts w:hint="eastAsia" w:ascii="宋体" w:hAnsi="宋体"/>
          <w:color w:val="auto"/>
          <w:highlight w:val="none"/>
        </w:rPr>
        <w:t>视同小型、微型企业，享受预留份额、评审中价格扣除等促进中小企业发展的政府采购政策。残疾人福利性单位属于小型、微型企业的，不重复享受政策。</w:t>
      </w:r>
    </w:p>
    <w:p>
      <w:pPr>
        <w:pStyle w:val="25"/>
        <w:spacing w:line="420" w:lineRule="exact"/>
        <w:rPr>
          <w:rFonts w:hAnsi="宋体"/>
          <w:b/>
          <w:color w:val="auto"/>
          <w:highlight w:val="none"/>
        </w:rPr>
      </w:pPr>
      <w:r>
        <w:rPr>
          <w:rFonts w:hint="eastAsia" w:hAnsi="宋体"/>
          <w:b/>
          <w:color w:val="auto"/>
          <w:highlight w:val="none"/>
        </w:rPr>
        <w:t>三、成交候选人推荐原则</w:t>
      </w:r>
    </w:p>
    <w:p>
      <w:pPr>
        <w:pStyle w:val="25"/>
        <w:spacing w:line="420" w:lineRule="exact"/>
        <w:ind w:firstLine="424" w:firstLineChars="202"/>
        <w:rPr>
          <w:rFonts w:hint="eastAsia" w:hAnsi="宋体" w:eastAsiaTheme="minorEastAsia" w:cstheme="minorBidi"/>
          <w:b/>
          <w:bCs/>
          <w:color w:val="auto"/>
          <w:kern w:val="2"/>
          <w:sz w:val="21"/>
          <w:szCs w:val="22"/>
          <w:highlight w:val="none"/>
        </w:rPr>
      </w:pPr>
      <w:r>
        <w:rPr>
          <w:rFonts w:hint="eastAsia" w:hAnsi="宋体" w:eastAsiaTheme="minorEastAsia" w:cstheme="minorBidi"/>
          <w:color w:val="auto"/>
          <w:kern w:val="2"/>
          <w:sz w:val="21"/>
          <w:szCs w:val="22"/>
          <w:highlight w:val="none"/>
        </w:rPr>
        <w:t>谈判小组应当从质量和服务均能满足采购文件实质性响应要求的供应商中，按照最后评标系数</w:t>
      </w:r>
      <w:r>
        <w:rPr>
          <w:rFonts w:hint="eastAsia" w:hAnsi="宋体" w:eastAsiaTheme="minorEastAsia" w:cstheme="minorBidi"/>
          <w:bCs w:val="0"/>
          <w:color w:val="auto"/>
          <w:kern w:val="2"/>
          <w:sz w:val="21"/>
          <w:szCs w:val="22"/>
          <w:highlight w:val="none"/>
        </w:rPr>
        <w:t>（</w:t>
      </w:r>
      <w:r>
        <w:rPr>
          <w:rFonts w:hint="eastAsia" w:hAnsi="宋体" w:eastAsiaTheme="minorEastAsia" w:cstheme="minorBidi"/>
          <w:color w:val="auto"/>
          <w:kern w:val="2"/>
          <w:sz w:val="21"/>
          <w:szCs w:val="22"/>
          <w:highlight w:val="none"/>
        </w:rPr>
        <w:t>最后评标系数</w:t>
      </w:r>
      <w:r>
        <w:rPr>
          <w:rFonts w:hint="eastAsia" w:hAnsi="宋体" w:eastAsiaTheme="minorEastAsia" w:cstheme="minorBidi"/>
          <w:bCs w:val="0"/>
          <w:color w:val="auto"/>
          <w:kern w:val="2"/>
          <w:sz w:val="21"/>
          <w:szCs w:val="22"/>
          <w:highlight w:val="none"/>
        </w:rPr>
        <w:t>相同时，由谈判小组根据响应文件依次按节能环保产品优先、图书出现质量问题到达采购人现场时间短优先、响应时间短优先、交货期短优先、技术指标高优先、质量保证期长优先的顺序排列情况集体讨论确定排序，并按确定排序由低到高的原则推荐成交候选人）</w:t>
      </w:r>
      <w:r>
        <w:rPr>
          <w:rFonts w:hint="eastAsia" w:hAnsi="宋体" w:eastAsiaTheme="minorEastAsia" w:cstheme="minorBidi"/>
          <w:color w:val="auto"/>
          <w:kern w:val="2"/>
          <w:sz w:val="21"/>
          <w:szCs w:val="22"/>
          <w:highlight w:val="none"/>
        </w:rPr>
        <w:t>由低到高的顺序提出3名以上成交候选人，并编写评审报告</w:t>
      </w:r>
      <w:r>
        <w:rPr>
          <w:rFonts w:hint="eastAsia" w:hAnsi="宋体" w:eastAsiaTheme="minorEastAsia" w:cstheme="minorBidi"/>
          <w:bCs w:val="0"/>
          <w:color w:val="auto"/>
          <w:kern w:val="2"/>
          <w:sz w:val="21"/>
          <w:szCs w:val="22"/>
          <w:highlight w:val="none"/>
        </w:rPr>
        <w:t>。采购人应当确定谈判小组推荐排名第一的成交候选人为成交供应商。排名第一的成交候选人放弃成交、因不可抗力提出不能履行合同的，采购人可以确定排名第二的成交候选人为成交人。排名第二的成交候选人因前款规定的同样原因不能签订合同的，采购人可以确定排名第三的成交候选人为成交供应商，其余以此类推。</w:t>
      </w:r>
      <w:r>
        <w:rPr>
          <w:rFonts w:hint="eastAsia" w:hAnsi="宋体" w:eastAsiaTheme="minorEastAsia" w:cstheme="minorBidi"/>
          <w:b/>
          <w:bCs/>
          <w:color w:val="auto"/>
          <w:kern w:val="2"/>
          <w:sz w:val="21"/>
          <w:szCs w:val="22"/>
          <w:highlight w:val="none"/>
        </w:rPr>
        <w:t>采购人也可以决定重新采购。</w:t>
      </w:r>
    </w:p>
    <w:p>
      <w:pPr>
        <w:pStyle w:val="25"/>
        <w:spacing w:line="420" w:lineRule="exact"/>
        <w:ind w:firstLine="400" w:firstLineChars="200"/>
        <w:rPr>
          <w:rFonts w:hAnsi="宋体"/>
          <w:color w:val="auto"/>
          <w:highlight w:val="none"/>
        </w:rPr>
      </w:pPr>
    </w:p>
    <w:p>
      <w:pPr>
        <w:rPr>
          <w:color w:val="auto"/>
          <w:highlight w:val="none"/>
        </w:rPr>
      </w:pPr>
    </w:p>
    <w:sectPr>
      <w:pgSz w:w="11900" w:h="16841"/>
      <w:pgMar w:top="1134" w:right="1304" w:bottom="1134" w:left="1418" w:header="680" w:footer="68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imes New Roman”“">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Roboto Light">
    <w:altName w:val="微软雅黑"/>
    <w:panose1 w:val="00000000000000000000"/>
    <w:charset w:val="00"/>
    <w:family w:val="auto"/>
    <w:pitch w:val="default"/>
    <w:sig w:usb0="00000000" w:usb1="00000000" w:usb2="00000020" w:usb3="00000000" w:csb0="0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宋体" w:hAnsi="宋体"/>
      </w:rPr>
    </w:pPr>
    <w:r>
      <w:rPr>
        <w:rFonts w:ascii="宋体" w:hAnsi="宋体"/>
        <w:lang w:val="zh-CN"/>
      </w:rPr>
      <w:fldChar w:fldCharType="begin"/>
    </w:r>
    <w:r>
      <w:rPr>
        <w:rFonts w:ascii="宋体" w:hAnsi="宋体"/>
        <w:lang w:val="zh-CN"/>
      </w:rPr>
      <w:instrText xml:space="preserve">PAGE  \* MERGEFORMAT</w:instrText>
    </w:r>
    <w:r>
      <w:rPr>
        <w:rFonts w:ascii="宋体" w:hAnsi="宋体"/>
        <w:lang w:val="zh-CN"/>
      </w:rPr>
      <w:fldChar w:fldCharType="separate"/>
    </w:r>
    <w:r>
      <w:rPr>
        <w:rFonts w:ascii="宋体" w:hAnsi="宋体"/>
        <w:lang w:val="zh-CN"/>
      </w:rPr>
      <w:t>42</w:t>
    </w:r>
    <w:r>
      <w:rPr>
        <w:rFonts w:ascii="宋体" w:hAnsi="宋体"/>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4584" w:y="1"/>
      <w:rPr>
        <w:rStyle w:val="49"/>
      </w:rPr>
    </w:pPr>
    <w:r>
      <w:rPr>
        <w:rStyle w:val="49"/>
      </w:rPr>
      <w:fldChar w:fldCharType="begin"/>
    </w:r>
    <w:r>
      <w:rPr>
        <w:rFonts w:hint="eastAsia"/>
      </w:rPr>
      <w:instrText xml:space="preserve">PAGE  \* MERGEFORMAT</w:instrText>
    </w:r>
    <w:r>
      <w:fldChar w:fldCharType="separate"/>
    </w:r>
    <w:r>
      <w:t>3</w:t>
    </w:r>
    <w:r>
      <w:fldChar w:fldCharType="end"/>
    </w:r>
  </w:p>
  <w:p>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8F3A40"/>
    <w:multiLevelType w:val="singleLevel"/>
    <w:tmpl w:val="788F3A4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47"/>
    <w:rsid w:val="000731E2"/>
    <w:rsid w:val="00075C98"/>
    <w:rsid w:val="00102E57"/>
    <w:rsid w:val="00115C47"/>
    <w:rsid w:val="00122100"/>
    <w:rsid w:val="00321BAC"/>
    <w:rsid w:val="00396CA6"/>
    <w:rsid w:val="005F3C33"/>
    <w:rsid w:val="007E66D4"/>
    <w:rsid w:val="007F2B6A"/>
    <w:rsid w:val="00876BD4"/>
    <w:rsid w:val="008C187A"/>
    <w:rsid w:val="0096271A"/>
    <w:rsid w:val="00B7686F"/>
    <w:rsid w:val="00CC40E0"/>
    <w:rsid w:val="00E5131D"/>
    <w:rsid w:val="00E70B70"/>
    <w:rsid w:val="03CF5D99"/>
    <w:rsid w:val="06AC1064"/>
    <w:rsid w:val="06E24C1A"/>
    <w:rsid w:val="08A82B21"/>
    <w:rsid w:val="097A3ABD"/>
    <w:rsid w:val="0CB81D79"/>
    <w:rsid w:val="0E402C45"/>
    <w:rsid w:val="13ED1477"/>
    <w:rsid w:val="26B6442B"/>
    <w:rsid w:val="2E3A040C"/>
    <w:rsid w:val="38841171"/>
    <w:rsid w:val="3AE26FCC"/>
    <w:rsid w:val="3E1D303B"/>
    <w:rsid w:val="3FDD7D35"/>
    <w:rsid w:val="43F71F3C"/>
    <w:rsid w:val="49D26A7D"/>
    <w:rsid w:val="50E06075"/>
    <w:rsid w:val="55EB1E81"/>
    <w:rsid w:val="5BD30E0E"/>
    <w:rsid w:val="68E151FA"/>
    <w:rsid w:val="76734BF2"/>
    <w:rsid w:val="79F61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qFormat="1" w:unhideWhenUsed="0" w:uiPriority="99" w:semiHidden="0" w:name="HTML Preformatted"/>
    <w:lsdException w:uiPriority="99" w:name="HTML Sample"/>
    <w:lsdException w:uiPriority="99"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7"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9"/>
    <w:qFormat/>
    <w:uiPriority w:val="9"/>
    <w:pPr>
      <w:widowControl/>
      <w:outlineLvl w:val="0"/>
    </w:pPr>
    <w:rPr>
      <w:rFonts w:ascii="Calibri" w:hAnsi="Calibri" w:eastAsia="宋体" w:cs="Times New Roman"/>
      <w:b/>
      <w:kern w:val="0"/>
      <w:sz w:val="44"/>
      <w:szCs w:val="44"/>
    </w:rPr>
  </w:style>
  <w:style w:type="paragraph" w:styleId="4">
    <w:name w:val="heading 2"/>
    <w:basedOn w:val="1"/>
    <w:next w:val="1"/>
    <w:link w:val="60"/>
    <w:qFormat/>
    <w:uiPriority w:val="9"/>
    <w:pPr>
      <w:widowControl/>
      <w:outlineLvl w:val="1"/>
    </w:pPr>
    <w:rPr>
      <w:rFonts w:ascii="Cambria" w:hAnsi="Cambria" w:eastAsia="宋体" w:cs="Times New Roman"/>
      <w:b/>
      <w:kern w:val="0"/>
      <w:sz w:val="32"/>
      <w:szCs w:val="32"/>
    </w:rPr>
  </w:style>
  <w:style w:type="paragraph" w:styleId="5">
    <w:name w:val="heading 3"/>
    <w:basedOn w:val="1"/>
    <w:next w:val="1"/>
    <w:link w:val="61"/>
    <w:qFormat/>
    <w:uiPriority w:val="99"/>
    <w:pPr>
      <w:widowControl/>
      <w:outlineLvl w:val="2"/>
    </w:pPr>
    <w:rPr>
      <w:rFonts w:ascii="Calibri" w:hAnsi="Calibri" w:eastAsia="宋体" w:cs="Times New Roman"/>
      <w:b/>
      <w:kern w:val="0"/>
      <w:sz w:val="32"/>
      <w:szCs w:val="32"/>
    </w:rPr>
  </w:style>
  <w:style w:type="paragraph" w:styleId="6">
    <w:name w:val="heading 4"/>
    <w:basedOn w:val="1"/>
    <w:next w:val="1"/>
    <w:link w:val="62"/>
    <w:qFormat/>
    <w:uiPriority w:val="99"/>
    <w:pPr>
      <w:widowControl/>
      <w:tabs>
        <w:tab w:val="left" w:pos="1860"/>
      </w:tabs>
      <w:spacing w:before="280" w:after="290" w:line="372" w:lineRule="auto"/>
      <w:ind w:left="1860" w:hanging="420"/>
      <w:outlineLvl w:val="3"/>
    </w:pPr>
    <w:rPr>
      <w:rFonts w:ascii="Arial" w:hAnsi="Arial" w:eastAsia="黑体" w:cs="Times New Roman"/>
      <w:b/>
      <w:kern w:val="0"/>
      <w:sz w:val="28"/>
      <w:szCs w:val="28"/>
    </w:rPr>
  </w:style>
  <w:style w:type="paragraph" w:styleId="7">
    <w:name w:val="heading 5"/>
    <w:basedOn w:val="1"/>
    <w:next w:val="1"/>
    <w:link w:val="63"/>
    <w:qFormat/>
    <w:uiPriority w:val="9"/>
    <w:pPr>
      <w:widowControl/>
      <w:tabs>
        <w:tab w:val="left" w:pos="2280"/>
      </w:tabs>
      <w:spacing w:before="280" w:after="290" w:line="376" w:lineRule="auto"/>
      <w:ind w:left="2280" w:hanging="420"/>
      <w:outlineLvl w:val="4"/>
    </w:pPr>
    <w:rPr>
      <w:rFonts w:ascii="Calibri" w:hAnsi="Calibri" w:eastAsia="宋体" w:cs="Times New Roman"/>
      <w:b/>
      <w:kern w:val="0"/>
      <w:sz w:val="28"/>
      <w:szCs w:val="28"/>
    </w:rPr>
  </w:style>
  <w:style w:type="paragraph" w:styleId="8">
    <w:name w:val="heading 6"/>
    <w:basedOn w:val="1"/>
    <w:next w:val="1"/>
    <w:link w:val="64"/>
    <w:qFormat/>
    <w:uiPriority w:val="9"/>
    <w:pPr>
      <w:widowControl/>
      <w:tabs>
        <w:tab w:val="left" w:pos="2700"/>
      </w:tabs>
      <w:spacing w:before="240" w:after="64" w:line="319" w:lineRule="auto"/>
      <w:ind w:left="2700" w:hanging="420"/>
      <w:outlineLvl w:val="5"/>
    </w:pPr>
    <w:rPr>
      <w:rFonts w:ascii="Cambria" w:hAnsi="Cambria" w:eastAsia="宋体" w:cs="Times New Roman"/>
      <w:b/>
      <w:kern w:val="0"/>
      <w:sz w:val="24"/>
      <w:szCs w:val="24"/>
    </w:rPr>
  </w:style>
  <w:style w:type="paragraph" w:styleId="9">
    <w:name w:val="heading 7"/>
    <w:basedOn w:val="1"/>
    <w:next w:val="1"/>
    <w:link w:val="65"/>
    <w:qFormat/>
    <w:uiPriority w:val="9"/>
    <w:pPr>
      <w:widowControl/>
      <w:tabs>
        <w:tab w:val="left" w:pos="3120"/>
      </w:tabs>
      <w:spacing w:before="240" w:after="64" w:line="319" w:lineRule="auto"/>
      <w:ind w:left="3120" w:hanging="420"/>
      <w:outlineLvl w:val="6"/>
    </w:pPr>
    <w:rPr>
      <w:rFonts w:ascii="Calibri" w:hAnsi="Calibri" w:eastAsia="宋体" w:cs="Times New Roman"/>
      <w:b/>
      <w:kern w:val="0"/>
      <w:sz w:val="24"/>
      <w:szCs w:val="24"/>
    </w:rPr>
  </w:style>
  <w:style w:type="paragraph" w:styleId="10">
    <w:name w:val="heading 8"/>
    <w:basedOn w:val="1"/>
    <w:next w:val="1"/>
    <w:link w:val="66"/>
    <w:qFormat/>
    <w:uiPriority w:val="9"/>
    <w:pPr>
      <w:widowControl/>
      <w:tabs>
        <w:tab w:val="left" w:pos="3540"/>
      </w:tabs>
      <w:spacing w:before="240" w:after="64" w:line="319" w:lineRule="auto"/>
      <w:ind w:left="3540" w:hanging="420"/>
      <w:outlineLvl w:val="7"/>
    </w:pPr>
    <w:rPr>
      <w:rFonts w:ascii="Cambria" w:hAnsi="Cambria" w:eastAsia="宋体" w:cs="Times New Roman"/>
      <w:kern w:val="0"/>
      <w:sz w:val="24"/>
      <w:szCs w:val="24"/>
    </w:rPr>
  </w:style>
  <w:style w:type="paragraph" w:styleId="11">
    <w:name w:val="heading 9"/>
    <w:basedOn w:val="1"/>
    <w:next w:val="1"/>
    <w:link w:val="67"/>
    <w:qFormat/>
    <w:uiPriority w:val="9"/>
    <w:pPr>
      <w:widowControl/>
      <w:tabs>
        <w:tab w:val="left" w:pos="3960"/>
      </w:tabs>
      <w:spacing w:before="240" w:after="64" w:line="319" w:lineRule="auto"/>
      <w:ind w:left="3960" w:hanging="420"/>
      <w:outlineLvl w:val="8"/>
    </w:pPr>
    <w:rPr>
      <w:rFonts w:ascii="Cambria" w:hAnsi="Cambria" w:eastAsia="宋体" w:cs="Times New Roman"/>
      <w:kern w:val="0"/>
      <w:sz w:val="2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rPr>
      <w:lang w:val="zh-CN"/>
    </w:rPr>
  </w:style>
  <w:style w:type="paragraph" w:styleId="12">
    <w:name w:val="toc 7"/>
    <w:basedOn w:val="1"/>
    <w:next w:val="1"/>
    <w:qFormat/>
    <w:uiPriority w:val="99"/>
    <w:pPr>
      <w:widowControl/>
      <w:ind w:left="1260"/>
      <w:jc w:val="left"/>
    </w:pPr>
    <w:rPr>
      <w:rFonts w:ascii="Calibri" w:hAnsi="Calibri" w:eastAsia="宋体" w:cs="Times New Roman"/>
      <w:kern w:val="0"/>
      <w:sz w:val="18"/>
      <w:szCs w:val="18"/>
    </w:rPr>
  </w:style>
  <w:style w:type="paragraph" w:styleId="13">
    <w:name w:val="List Number"/>
    <w:basedOn w:val="1"/>
    <w:qFormat/>
    <w:uiPriority w:val="99"/>
    <w:pPr>
      <w:widowControl/>
      <w:tabs>
        <w:tab w:val="left" w:pos="454"/>
        <w:tab w:val="left" w:pos="720"/>
        <w:tab w:val="left" w:pos="840"/>
      </w:tabs>
      <w:spacing w:after="120"/>
      <w:ind w:left="454" w:hanging="284"/>
      <w:jc w:val="left"/>
    </w:pPr>
    <w:rPr>
      <w:rFonts w:ascii="Calibri" w:hAnsi="Calibri" w:eastAsia="宋体" w:cs="Times New Roman"/>
      <w:kern w:val="0"/>
      <w:sz w:val="24"/>
      <w:szCs w:val="24"/>
    </w:rPr>
  </w:style>
  <w:style w:type="paragraph" w:styleId="14">
    <w:name w:val="Normal Indent"/>
    <w:basedOn w:val="1"/>
    <w:qFormat/>
    <w:uiPriority w:val="99"/>
    <w:pPr>
      <w:widowControl/>
      <w:ind w:firstLine="420"/>
    </w:pPr>
    <w:rPr>
      <w:rFonts w:ascii="Calibri" w:hAnsi="Calibri" w:eastAsia="宋体" w:cs="Times New Roman"/>
      <w:kern w:val="0"/>
      <w:szCs w:val="21"/>
    </w:rPr>
  </w:style>
  <w:style w:type="paragraph" w:styleId="15">
    <w:name w:val="caption"/>
    <w:basedOn w:val="1"/>
    <w:next w:val="1"/>
    <w:qFormat/>
    <w:uiPriority w:val="99"/>
    <w:pPr>
      <w:widowControl/>
      <w:spacing w:before="152" w:after="160"/>
    </w:pPr>
    <w:rPr>
      <w:rFonts w:ascii="Arial" w:hAnsi="Arial" w:eastAsia="黑体" w:cs="Arial"/>
      <w:kern w:val="0"/>
      <w:sz w:val="20"/>
      <w:szCs w:val="20"/>
    </w:rPr>
  </w:style>
  <w:style w:type="paragraph" w:styleId="16">
    <w:name w:val="Document Map"/>
    <w:basedOn w:val="1"/>
    <w:link w:val="68"/>
    <w:qFormat/>
    <w:uiPriority w:val="99"/>
    <w:pPr>
      <w:widowControl/>
      <w:shd w:val="clear" w:color="000000" w:fill="000080"/>
    </w:pPr>
    <w:rPr>
      <w:rFonts w:ascii="Times New Roman" w:hAnsi="Times New Roman" w:eastAsia="宋体" w:cs="Times New Roman"/>
      <w:kern w:val="0"/>
      <w:sz w:val="16"/>
      <w:szCs w:val="16"/>
    </w:rPr>
  </w:style>
  <w:style w:type="paragraph" w:styleId="17">
    <w:name w:val="annotation text"/>
    <w:basedOn w:val="1"/>
    <w:link w:val="86"/>
    <w:qFormat/>
    <w:uiPriority w:val="99"/>
    <w:pPr>
      <w:widowControl/>
      <w:jc w:val="left"/>
    </w:pPr>
    <w:rPr>
      <w:rFonts w:ascii="Times New Roman" w:hAnsi="Times New Roman" w:eastAsia="宋体" w:cs="Times New Roman"/>
      <w:kern w:val="0"/>
      <w:sz w:val="24"/>
      <w:szCs w:val="24"/>
    </w:rPr>
  </w:style>
  <w:style w:type="paragraph" w:styleId="18">
    <w:name w:val="Body Text 3"/>
    <w:basedOn w:val="1"/>
    <w:link w:val="70"/>
    <w:qFormat/>
    <w:uiPriority w:val="99"/>
    <w:pPr>
      <w:widowControl/>
      <w:spacing w:line="500" w:lineRule="exact"/>
    </w:pPr>
    <w:rPr>
      <w:rFonts w:ascii="Times New Roman" w:hAnsi="Times New Roman" w:eastAsia="宋体" w:cs="Times New Roman"/>
      <w:kern w:val="0"/>
      <w:sz w:val="16"/>
      <w:szCs w:val="16"/>
    </w:rPr>
  </w:style>
  <w:style w:type="paragraph" w:styleId="19">
    <w:name w:val="Body Text"/>
    <w:basedOn w:val="1"/>
    <w:link w:val="71"/>
    <w:qFormat/>
    <w:uiPriority w:val="99"/>
    <w:pPr>
      <w:widowControl/>
      <w:spacing w:line="380" w:lineRule="exact"/>
    </w:pPr>
    <w:rPr>
      <w:rFonts w:ascii="Times New Roman" w:hAnsi="Times New Roman" w:eastAsia="宋体" w:cs="Times New Roman"/>
      <w:kern w:val="0"/>
      <w:sz w:val="20"/>
      <w:szCs w:val="20"/>
    </w:rPr>
  </w:style>
  <w:style w:type="paragraph" w:styleId="20">
    <w:name w:val="Body Text Indent"/>
    <w:basedOn w:val="1"/>
    <w:link w:val="72"/>
    <w:qFormat/>
    <w:uiPriority w:val="99"/>
    <w:pPr>
      <w:widowControl/>
      <w:ind w:firstLine="830"/>
    </w:pPr>
    <w:rPr>
      <w:rFonts w:ascii="仿宋_GB2312" w:hAnsi="Times New Roman" w:eastAsia="仿宋_GB2312" w:cs="Times New Roman"/>
      <w:kern w:val="0"/>
      <w:sz w:val="32"/>
      <w:szCs w:val="32"/>
    </w:rPr>
  </w:style>
  <w:style w:type="paragraph" w:styleId="21">
    <w:name w:val="List Number 3"/>
    <w:basedOn w:val="1"/>
    <w:qFormat/>
    <w:uiPriority w:val="99"/>
    <w:pPr>
      <w:widowControl/>
      <w:tabs>
        <w:tab w:val="left" w:pos="1275"/>
        <w:tab w:val="left" w:pos="1455"/>
      </w:tabs>
      <w:ind w:left="1275" w:hanging="1275"/>
    </w:pPr>
    <w:rPr>
      <w:rFonts w:ascii="Calibri" w:hAnsi="Calibri" w:eastAsia="宋体" w:cs="Times New Roman"/>
      <w:kern w:val="0"/>
      <w:szCs w:val="21"/>
    </w:rPr>
  </w:style>
  <w:style w:type="paragraph" w:styleId="22">
    <w:name w:val="List 2"/>
    <w:basedOn w:val="1"/>
    <w:qFormat/>
    <w:uiPriority w:val="99"/>
    <w:pPr>
      <w:widowControl/>
      <w:ind w:left="100" w:leftChars="-100" w:hanging="200"/>
    </w:pPr>
    <w:rPr>
      <w:rFonts w:ascii="Calibri" w:hAnsi="Calibri" w:eastAsia="宋体" w:cs="Times New Roman"/>
      <w:kern w:val="0"/>
      <w:sz w:val="28"/>
      <w:szCs w:val="28"/>
    </w:rPr>
  </w:style>
  <w:style w:type="paragraph" w:styleId="23">
    <w:name w:val="toc 5"/>
    <w:basedOn w:val="1"/>
    <w:next w:val="1"/>
    <w:qFormat/>
    <w:uiPriority w:val="99"/>
    <w:pPr>
      <w:widowControl/>
      <w:ind w:left="840"/>
      <w:jc w:val="left"/>
    </w:pPr>
    <w:rPr>
      <w:rFonts w:ascii="Calibri" w:hAnsi="Calibri" w:eastAsia="宋体" w:cs="Times New Roman"/>
      <w:kern w:val="0"/>
      <w:sz w:val="18"/>
      <w:szCs w:val="18"/>
    </w:rPr>
  </w:style>
  <w:style w:type="paragraph" w:styleId="24">
    <w:name w:val="toc 3"/>
    <w:basedOn w:val="1"/>
    <w:next w:val="1"/>
    <w:qFormat/>
    <w:uiPriority w:val="99"/>
    <w:pPr>
      <w:widowControl/>
      <w:ind w:left="420"/>
      <w:jc w:val="left"/>
    </w:pPr>
    <w:rPr>
      <w:rFonts w:ascii="Calibri" w:hAnsi="Calibri" w:eastAsia="宋体" w:cs="Times New Roman"/>
      <w:i/>
      <w:kern w:val="0"/>
      <w:sz w:val="20"/>
      <w:szCs w:val="20"/>
    </w:rPr>
  </w:style>
  <w:style w:type="paragraph" w:styleId="25">
    <w:name w:val="Plain Text"/>
    <w:basedOn w:val="1"/>
    <w:next w:val="1"/>
    <w:link w:val="73"/>
    <w:qFormat/>
    <w:uiPriority w:val="0"/>
    <w:pPr>
      <w:widowControl/>
    </w:pPr>
    <w:rPr>
      <w:rFonts w:ascii="宋体" w:hAnsi="Courier New" w:eastAsia="宋体" w:cs="Times New Roman"/>
      <w:kern w:val="0"/>
      <w:sz w:val="20"/>
      <w:szCs w:val="20"/>
    </w:rPr>
  </w:style>
  <w:style w:type="paragraph" w:styleId="26">
    <w:name w:val="toc 8"/>
    <w:basedOn w:val="1"/>
    <w:next w:val="1"/>
    <w:qFormat/>
    <w:uiPriority w:val="99"/>
    <w:pPr>
      <w:widowControl/>
      <w:ind w:left="1470"/>
      <w:jc w:val="left"/>
    </w:pPr>
    <w:rPr>
      <w:rFonts w:ascii="Calibri" w:hAnsi="Calibri" w:eastAsia="宋体" w:cs="Times New Roman"/>
      <w:kern w:val="0"/>
      <w:sz w:val="18"/>
      <w:szCs w:val="18"/>
    </w:rPr>
  </w:style>
  <w:style w:type="paragraph" w:styleId="27">
    <w:name w:val="Date"/>
    <w:basedOn w:val="1"/>
    <w:next w:val="1"/>
    <w:link w:val="87"/>
    <w:qFormat/>
    <w:uiPriority w:val="99"/>
    <w:pPr>
      <w:widowControl/>
      <w:ind w:left="100" w:leftChars="100"/>
    </w:pPr>
    <w:rPr>
      <w:rFonts w:ascii="Times New Roman" w:hAnsi="Times New Roman" w:eastAsia="宋体" w:cs="Times New Roman"/>
      <w:kern w:val="0"/>
      <w:sz w:val="20"/>
      <w:szCs w:val="20"/>
    </w:rPr>
  </w:style>
  <w:style w:type="paragraph" w:styleId="28">
    <w:name w:val="Body Text Indent 2"/>
    <w:basedOn w:val="1"/>
    <w:link w:val="75"/>
    <w:qFormat/>
    <w:uiPriority w:val="99"/>
    <w:pPr>
      <w:widowControl/>
      <w:spacing w:after="120" w:line="480" w:lineRule="auto"/>
      <w:ind w:left="420" w:leftChars="420"/>
    </w:pPr>
    <w:rPr>
      <w:rFonts w:ascii="Times New Roman" w:hAnsi="Times New Roman" w:eastAsia="宋体" w:cs="Times New Roman"/>
      <w:kern w:val="0"/>
      <w:sz w:val="20"/>
      <w:szCs w:val="20"/>
    </w:rPr>
  </w:style>
  <w:style w:type="paragraph" w:styleId="29">
    <w:name w:val="Balloon Text"/>
    <w:basedOn w:val="1"/>
    <w:link w:val="76"/>
    <w:qFormat/>
    <w:uiPriority w:val="99"/>
    <w:pPr>
      <w:widowControl/>
    </w:pPr>
    <w:rPr>
      <w:rFonts w:ascii="Times New Roman" w:hAnsi="Times New Roman" w:eastAsia="宋体" w:cs="Times New Roman"/>
      <w:kern w:val="0"/>
      <w:sz w:val="16"/>
      <w:szCs w:val="16"/>
    </w:rPr>
  </w:style>
  <w:style w:type="paragraph" w:styleId="30">
    <w:name w:val="footer"/>
    <w:basedOn w:val="1"/>
    <w:link w:val="77"/>
    <w:qFormat/>
    <w:uiPriority w:val="99"/>
    <w:pPr>
      <w:widowControl/>
      <w:tabs>
        <w:tab w:val="center" w:pos="4153"/>
        <w:tab w:val="right" w:pos="8306"/>
      </w:tabs>
      <w:snapToGrid w:val="0"/>
      <w:jc w:val="left"/>
    </w:pPr>
    <w:rPr>
      <w:rFonts w:ascii="Times New Roman" w:hAnsi="Times New Roman" w:eastAsia="宋体" w:cs="Times New Roman"/>
      <w:kern w:val="0"/>
      <w:sz w:val="18"/>
      <w:szCs w:val="18"/>
    </w:rPr>
  </w:style>
  <w:style w:type="paragraph" w:styleId="31">
    <w:name w:val="header"/>
    <w:basedOn w:val="1"/>
    <w:link w:val="78"/>
    <w:qFormat/>
    <w:uiPriority w:val="99"/>
    <w:pPr>
      <w:widowControl/>
      <w:pBdr>
        <w:bottom w:val="single" w:color="000000"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32">
    <w:name w:val="toc 1"/>
    <w:basedOn w:val="1"/>
    <w:next w:val="1"/>
    <w:qFormat/>
    <w:uiPriority w:val="39"/>
    <w:pPr>
      <w:widowControl/>
      <w:spacing w:line="360" w:lineRule="auto"/>
      <w:ind w:left="400" w:leftChars="400" w:right="400"/>
      <w:jc w:val="center"/>
    </w:pPr>
    <w:rPr>
      <w:rFonts w:ascii="宋体" w:hAnsi="Calibri" w:eastAsia="宋体" w:cs="Times New Roman"/>
      <w:b/>
      <w:caps/>
      <w:kern w:val="0"/>
      <w:sz w:val="28"/>
      <w:szCs w:val="28"/>
    </w:rPr>
  </w:style>
  <w:style w:type="paragraph" w:styleId="33">
    <w:name w:val="toc 4"/>
    <w:basedOn w:val="1"/>
    <w:next w:val="1"/>
    <w:qFormat/>
    <w:uiPriority w:val="99"/>
    <w:pPr>
      <w:widowControl/>
      <w:ind w:left="630"/>
      <w:jc w:val="left"/>
    </w:pPr>
    <w:rPr>
      <w:rFonts w:ascii="Calibri" w:hAnsi="Calibri" w:eastAsia="宋体" w:cs="Times New Roman"/>
      <w:kern w:val="0"/>
      <w:sz w:val="18"/>
      <w:szCs w:val="18"/>
    </w:rPr>
  </w:style>
  <w:style w:type="paragraph" w:styleId="34">
    <w:name w:val="List"/>
    <w:basedOn w:val="1"/>
    <w:qFormat/>
    <w:uiPriority w:val="99"/>
    <w:pPr>
      <w:widowControl/>
      <w:ind w:left="200" w:hanging="200"/>
    </w:pPr>
    <w:rPr>
      <w:rFonts w:ascii="Calibri" w:hAnsi="Calibri" w:eastAsia="宋体" w:cs="Times New Roman"/>
      <w:kern w:val="0"/>
      <w:sz w:val="28"/>
      <w:szCs w:val="28"/>
    </w:rPr>
  </w:style>
  <w:style w:type="paragraph" w:styleId="35">
    <w:name w:val="toc 6"/>
    <w:basedOn w:val="1"/>
    <w:next w:val="1"/>
    <w:qFormat/>
    <w:uiPriority w:val="99"/>
    <w:pPr>
      <w:widowControl/>
      <w:ind w:left="1050"/>
      <w:jc w:val="left"/>
    </w:pPr>
    <w:rPr>
      <w:rFonts w:ascii="Calibri" w:hAnsi="Calibri" w:eastAsia="宋体" w:cs="Times New Roman"/>
      <w:kern w:val="0"/>
      <w:sz w:val="18"/>
      <w:szCs w:val="18"/>
    </w:rPr>
  </w:style>
  <w:style w:type="paragraph" w:styleId="36">
    <w:name w:val="Body Text Indent 3"/>
    <w:basedOn w:val="1"/>
    <w:link w:val="79"/>
    <w:qFormat/>
    <w:uiPriority w:val="99"/>
    <w:pPr>
      <w:widowControl/>
      <w:spacing w:after="120"/>
      <w:ind w:left="420" w:leftChars="420"/>
    </w:pPr>
    <w:rPr>
      <w:rFonts w:ascii="Times New Roman" w:hAnsi="Times New Roman" w:eastAsia="宋体" w:cs="Times New Roman"/>
      <w:kern w:val="0"/>
      <w:sz w:val="16"/>
      <w:szCs w:val="16"/>
    </w:rPr>
  </w:style>
  <w:style w:type="paragraph" w:styleId="37">
    <w:name w:val="toc 2"/>
    <w:basedOn w:val="1"/>
    <w:next w:val="1"/>
    <w:qFormat/>
    <w:uiPriority w:val="99"/>
    <w:pPr>
      <w:widowControl/>
      <w:ind w:left="210"/>
      <w:jc w:val="left"/>
    </w:pPr>
    <w:rPr>
      <w:rFonts w:ascii="Calibri" w:hAnsi="Calibri" w:eastAsia="宋体" w:cs="Times New Roman"/>
      <w:smallCaps/>
      <w:kern w:val="0"/>
      <w:sz w:val="20"/>
      <w:szCs w:val="20"/>
    </w:rPr>
  </w:style>
  <w:style w:type="paragraph" w:styleId="38">
    <w:name w:val="toc 9"/>
    <w:basedOn w:val="1"/>
    <w:next w:val="1"/>
    <w:qFormat/>
    <w:uiPriority w:val="99"/>
    <w:pPr>
      <w:widowControl/>
      <w:ind w:left="1680"/>
      <w:jc w:val="left"/>
    </w:pPr>
    <w:rPr>
      <w:rFonts w:ascii="Calibri" w:hAnsi="Calibri" w:eastAsia="宋体" w:cs="Times New Roman"/>
      <w:kern w:val="0"/>
      <w:sz w:val="18"/>
      <w:szCs w:val="18"/>
    </w:rPr>
  </w:style>
  <w:style w:type="paragraph" w:styleId="39">
    <w:name w:val="Body Text 2"/>
    <w:basedOn w:val="1"/>
    <w:link w:val="80"/>
    <w:qFormat/>
    <w:uiPriority w:val="99"/>
    <w:pPr>
      <w:widowControl/>
      <w:spacing w:after="120" w:line="480" w:lineRule="auto"/>
    </w:pPr>
    <w:rPr>
      <w:rFonts w:ascii="Times New Roman" w:hAnsi="Times New Roman" w:eastAsia="宋体" w:cs="Times New Roman"/>
      <w:kern w:val="0"/>
      <w:sz w:val="20"/>
      <w:szCs w:val="20"/>
    </w:rPr>
  </w:style>
  <w:style w:type="paragraph" w:styleId="40">
    <w:name w:val="HTML Preformatted"/>
    <w:basedOn w:val="1"/>
    <w:link w:val="8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41">
    <w:name w:val="Normal (Web)"/>
    <w:basedOn w:val="1"/>
    <w:link w:val="88"/>
    <w:qFormat/>
    <w:uiPriority w:val="99"/>
    <w:pPr>
      <w:widowControl/>
      <w:jc w:val="left"/>
    </w:pPr>
    <w:rPr>
      <w:rFonts w:ascii="宋体" w:hAnsi="Times New Roman" w:eastAsia="宋体" w:cs="Times New Roman"/>
      <w:kern w:val="0"/>
      <w:sz w:val="24"/>
      <w:szCs w:val="24"/>
    </w:rPr>
  </w:style>
  <w:style w:type="paragraph" w:styleId="42">
    <w:name w:val="index 1"/>
    <w:basedOn w:val="1"/>
    <w:next w:val="1"/>
    <w:qFormat/>
    <w:uiPriority w:val="99"/>
    <w:pPr>
      <w:widowControl/>
      <w:spacing w:line="400" w:lineRule="exact"/>
      <w:ind w:firstLine="420"/>
    </w:pPr>
    <w:rPr>
      <w:rFonts w:ascii="宋体" w:hAnsi="Courier New" w:eastAsia="宋体" w:cs="Times New Roman"/>
      <w:b/>
      <w:kern w:val="0"/>
      <w:szCs w:val="21"/>
    </w:rPr>
  </w:style>
  <w:style w:type="paragraph" w:styleId="43">
    <w:name w:val="Title"/>
    <w:basedOn w:val="1"/>
    <w:next w:val="1"/>
    <w:link w:val="82"/>
    <w:qFormat/>
    <w:uiPriority w:val="99"/>
    <w:pPr>
      <w:widowControl/>
      <w:spacing w:before="240" w:after="60"/>
      <w:jc w:val="center"/>
      <w:outlineLvl w:val="0"/>
    </w:pPr>
    <w:rPr>
      <w:rFonts w:ascii="Cambria" w:hAnsi="Cambria" w:eastAsia="宋体" w:cs="Times New Roman"/>
      <w:b/>
      <w:kern w:val="0"/>
      <w:sz w:val="32"/>
      <w:szCs w:val="32"/>
    </w:rPr>
  </w:style>
  <w:style w:type="paragraph" w:styleId="44">
    <w:name w:val="annotation subject"/>
    <w:basedOn w:val="17"/>
    <w:next w:val="17"/>
    <w:link w:val="83"/>
    <w:qFormat/>
    <w:uiPriority w:val="99"/>
    <w:rPr>
      <w:rFonts w:ascii="宋体" w:hAnsi="Courier New"/>
      <w:sz w:val="20"/>
      <w:szCs w:val="20"/>
    </w:rPr>
  </w:style>
  <w:style w:type="table" w:styleId="46">
    <w:name w:val="Table Grid"/>
    <w:basedOn w:val="45"/>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rFonts w:cs="Times New Roman"/>
      <w:b/>
    </w:rPr>
  </w:style>
  <w:style w:type="character" w:styleId="49">
    <w:name w:val="page number"/>
    <w:basedOn w:val="47"/>
    <w:qFormat/>
    <w:uiPriority w:val="99"/>
    <w:rPr>
      <w:rFonts w:cs="Times New Roman"/>
    </w:rPr>
  </w:style>
  <w:style w:type="character" w:styleId="50">
    <w:name w:val="Emphasis"/>
    <w:qFormat/>
    <w:uiPriority w:val="20"/>
    <w:rPr>
      <w:rFonts w:cs="Times New Roman"/>
      <w:i/>
    </w:rPr>
  </w:style>
  <w:style w:type="character" w:styleId="51">
    <w:name w:val="HTML Definition"/>
    <w:qFormat/>
    <w:uiPriority w:val="99"/>
    <w:rPr>
      <w:rFonts w:cs="Times New Roman"/>
    </w:rPr>
  </w:style>
  <w:style w:type="character" w:styleId="52">
    <w:name w:val="HTML Acronym"/>
    <w:qFormat/>
    <w:uiPriority w:val="99"/>
    <w:rPr>
      <w:rFonts w:cs="Times New Roman"/>
    </w:rPr>
  </w:style>
  <w:style w:type="character" w:styleId="53">
    <w:name w:val="HTML Variable"/>
    <w:qFormat/>
    <w:uiPriority w:val="99"/>
    <w:rPr>
      <w:rFonts w:cs="Times New Roman"/>
    </w:rPr>
  </w:style>
  <w:style w:type="character" w:styleId="54">
    <w:name w:val="Hyperlink"/>
    <w:qFormat/>
    <w:uiPriority w:val="99"/>
    <w:rPr>
      <w:rFonts w:cs="Times New Roman"/>
      <w:color w:val="333333"/>
      <w:u w:val="none"/>
    </w:rPr>
  </w:style>
  <w:style w:type="character" w:styleId="55">
    <w:name w:val="HTML Code"/>
    <w:qFormat/>
    <w:uiPriority w:val="99"/>
    <w:rPr>
      <w:rFonts w:ascii="Courier New" w:hAnsi="Courier New" w:cs="Times New Roman"/>
      <w:color w:val="505050"/>
      <w:sz w:val="24"/>
      <w:szCs w:val="24"/>
    </w:rPr>
  </w:style>
  <w:style w:type="character" w:styleId="56">
    <w:name w:val="annotation reference"/>
    <w:qFormat/>
    <w:uiPriority w:val="99"/>
    <w:rPr>
      <w:rFonts w:cs="Times New Roman"/>
      <w:sz w:val="21"/>
      <w:szCs w:val="21"/>
    </w:rPr>
  </w:style>
  <w:style w:type="character" w:styleId="57">
    <w:name w:val="HTML Cite"/>
    <w:qFormat/>
    <w:uiPriority w:val="99"/>
    <w:rPr>
      <w:rFonts w:cs="Times New Roman"/>
    </w:rPr>
  </w:style>
  <w:style w:type="paragraph" w:customStyle="1" w:styleId="58">
    <w:name w:val="无间隔1"/>
    <w:qFormat/>
    <w:uiPriority w:val="99"/>
    <w:pPr>
      <w:jc w:val="both"/>
    </w:pPr>
    <w:rPr>
      <w:rFonts w:ascii="Times New Roman" w:hAnsi="Times New Roman" w:eastAsia="宋体" w:cs="Times New Roman"/>
      <w:sz w:val="21"/>
      <w:szCs w:val="21"/>
      <w:lang w:val="en-US" w:eastAsia="zh-CN" w:bidi="ar-SA"/>
    </w:rPr>
  </w:style>
  <w:style w:type="character" w:customStyle="1" w:styleId="59">
    <w:name w:val="标题 1 字符"/>
    <w:basedOn w:val="47"/>
    <w:link w:val="3"/>
    <w:qFormat/>
    <w:uiPriority w:val="9"/>
    <w:rPr>
      <w:rFonts w:ascii="Calibri" w:hAnsi="Calibri" w:eastAsia="宋体" w:cs="Times New Roman"/>
      <w:b/>
      <w:kern w:val="0"/>
      <w:sz w:val="44"/>
      <w:szCs w:val="44"/>
    </w:rPr>
  </w:style>
  <w:style w:type="character" w:customStyle="1" w:styleId="60">
    <w:name w:val="标题 2 字符"/>
    <w:basedOn w:val="47"/>
    <w:link w:val="4"/>
    <w:qFormat/>
    <w:uiPriority w:val="9"/>
    <w:rPr>
      <w:rFonts w:ascii="Cambria" w:hAnsi="Cambria" w:eastAsia="宋体" w:cs="Times New Roman"/>
      <w:b/>
      <w:kern w:val="0"/>
      <w:sz w:val="32"/>
      <w:szCs w:val="32"/>
    </w:rPr>
  </w:style>
  <w:style w:type="character" w:customStyle="1" w:styleId="61">
    <w:name w:val="标题 3 字符"/>
    <w:basedOn w:val="47"/>
    <w:link w:val="5"/>
    <w:qFormat/>
    <w:uiPriority w:val="99"/>
    <w:rPr>
      <w:rFonts w:ascii="Calibri" w:hAnsi="Calibri" w:eastAsia="宋体" w:cs="Times New Roman"/>
      <w:b/>
      <w:kern w:val="0"/>
      <w:sz w:val="32"/>
      <w:szCs w:val="32"/>
    </w:rPr>
  </w:style>
  <w:style w:type="character" w:customStyle="1" w:styleId="62">
    <w:name w:val="标题 4 字符"/>
    <w:basedOn w:val="47"/>
    <w:link w:val="6"/>
    <w:qFormat/>
    <w:uiPriority w:val="99"/>
    <w:rPr>
      <w:rFonts w:ascii="Arial" w:hAnsi="Arial" w:eastAsia="黑体" w:cs="Times New Roman"/>
      <w:b/>
      <w:kern w:val="0"/>
      <w:sz w:val="28"/>
      <w:szCs w:val="28"/>
    </w:rPr>
  </w:style>
  <w:style w:type="character" w:customStyle="1" w:styleId="63">
    <w:name w:val="标题 5 字符"/>
    <w:basedOn w:val="47"/>
    <w:link w:val="7"/>
    <w:qFormat/>
    <w:uiPriority w:val="9"/>
    <w:rPr>
      <w:rFonts w:ascii="Calibri" w:hAnsi="Calibri" w:eastAsia="宋体" w:cs="Times New Roman"/>
      <w:b/>
      <w:kern w:val="0"/>
      <w:sz w:val="28"/>
      <w:szCs w:val="28"/>
    </w:rPr>
  </w:style>
  <w:style w:type="character" w:customStyle="1" w:styleId="64">
    <w:name w:val="标题 6 字符"/>
    <w:basedOn w:val="47"/>
    <w:link w:val="8"/>
    <w:qFormat/>
    <w:uiPriority w:val="9"/>
    <w:rPr>
      <w:rFonts w:ascii="Cambria" w:hAnsi="Cambria" w:eastAsia="宋体" w:cs="Times New Roman"/>
      <w:b/>
      <w:kern w:val="0"/>
      <w:sz w:val="24"/>
      <w:szCs w:val="24"/>
    </w:rPr>
  </w:style>
  <w:style w:type="character" w:customStyle="1" w:styleId="65">
    <w:name w:val="标题 7 字符"/>
    <w:basedOn w:val="47"/>
    <w:link w:val="9"/>
    <w:qFormat/>
    <w:uiPriority w:val="9"/>
    <w:rPr>
      <w:rFonts w:ascii="Calibri" w:hAnsi="Calibri" w:eastAsia="宋体" w:cs="Times New Roman"/>
      <w:b/>
      <w:kern w:val="0"/>
      <w:sz w:val="24"/>
      <w:szCs w:val="24"/>
    </w:rPr>
  </w:style>
  <w:style w:type="character" w:customStyle="1" w:styleId="66">
    <w:name w:val="标题 8 字符"/>
    <w:basedOn w:val="47"/>
    <w:link w:val="10"/>
    <w:qFormat/>
    <w:uiPriority w:val="9"/>
    <w:rPr>
      <w:rFonts w:ascii="Cambria" w:hAnsi="Cambria" w:eastAsia="宋体" w:cs="Times New Roman"/>
      <w:kern w:val="0"/>
      <w:sz w:val="24"/>
      <w:szCs w:val="24"/>
    </w:rPr>
  </w:style>
  <w:style w:type="character" w:customStyle="1" w:styleId="67">
    <w:name w:val="标题 9 字符"/>
    <w:basedOn w:val="47"/>
    <w:link w:val="11"/>
    <w:qFormat/>
    <w:uiPriority w:val="9"/>
    <w:rPr>
      <w:rFonts w:ascii="Cambria" w:hAnsi="Cambria" w:eastAsia="宋体" w:cs="Times New Roman"/>
      <w:kern w:val="0"/>
      <w:sz w:val="20"/>
      <w:szCs w:val="20"/>
    </w:rPr>
  </w:style>
  <w:style w:type="character" w:customStyle="1" w:styleId="68">
    <w:name w:val="文档结构图 字符"/>
    <w:basedOn w:val="47"/>
    <w:link w:val="16"/>
    <w:qFormat/>
    <w:uiPriority w:val="99"/>
    <w:rPr>
      <w:rFonts w:ascii="Times New Roman" w:hAnsi="Times New Roman" w:eastAsia="宋体" w:cs="Times New Roman"/>
      <w:kern w:val="0"/>
      <w:sz w:val="16"/>
      <w:szCs w:val="16"/>
      <w:shd w:val="clear" w:color="000000" w:fill="000080"/>
    </w:rPr>
  </w:style>
  <w:style w:type="character" w:customStyle="1" w:styleId="69">
    <w:name w:val="批注文字 Char"/>
    <w:basedOn w:val="47"/>
    <w:qFormat/>
    <w:uiPriority w:val="0"/>
  </w:style>
  <w:style w:type="character" w:customStyle="1" w:styleId="70">
    <w:name w:val="正文文本 3 字符"/>
    <w:basedOn w:val="47"/>
    <w:link w:val="18"/>
    <w:qFormat/>
    <w:uiPriority w:val="99"/>
    <w:rPr>
      <w:rFonts w:ascii="Times New Roman" w:hAnsi="Times New Roman" w:eastAsia="宋体" w:cs="Times New Roman"/>
      <w:kern w:val="0"/>
      <w:sz w:val="16"/>
      <w:szCs w:val="16"/>
    </w:rPr>
  </w:style>
  <w:style w:type="character" w:customStyle="1" w:styleId="71">
    <w:name w:val="正文文本 字符"/>
    <w:basedOn w:val="47"/>
    <w:link w:val="19"/>
    <w:qFormat/>
    <w:uiPriority w:val="99"/>
    <w:rPr>
      <w:rFonts w:ascii="Times New Roman" w:hAnsi="Times New Roman" w:eastAsia="宋体" w:cs="Times New Roman"/>
      <w:kern w:val="0"/>
      <w:sz w:val="20"/>
      <w:szCs w:val="20"/>
    </w:rPr>
  </w:style>
  <w:style w:type="character" w:customStyle="1" w:styleId="72">
    <w:name w:val="正文文本缩进 字符"/>
    <w:basedOn w:val="47"/>
    <w:link w:val="20"/>
    <w:qFormat/>
    <w:uiPriority w:val="99"/>
    <w:rPr>
      <w:rFonts w:ascii="仿宋_GB2312" w:hAnsi="Times New Roman" w:eastAsia="仿宋_GB2312" w:cs="Times New Roman"/>
      <w:kern w:val="0"/>
      <w:sz w:val="32"/>
      <w:szCs w:val="32"/>
    </w:rPr>
  </w:style>
  <w:style w:type="character" w:customStyle="1" w:styleId="73">
    <w:name w:val="纯文本 字符"/>
    <w:basedOn w:val="47"/>
    <w:link w:val="25"/>
    <w:qFormat/>
    <w:uiPriority w:val="0"/>
    <w:rPr>
      <w:rFonts w:ascii="宋体" w:hAnsi="Courier New" w:eastAsia="宋体" w:cs="Times New Roman"/>
      <w:kern w:val="0"/>
      <w:sz w:val="20"/>
      <w:szCs w:val="20"/>
    </w:rPr>
  </w:style>
  <w:style w:type="character" w:customStyle="1" w:styleId="74">
    <w:name w:val="日期 Char"/>
    <w:basedOn w:val="47"/>
    <w:qFormat/>
    <w:uiPriority w:val="99"/>
  </w:style>
  <w:style w:type="character" w:customStyle="1" w:styleId="75">
    <w:name w:val="正文文本缩进 2 字符"/>
    <w:basedOn w:val="47"/>
    <w:link w:val="28"/>
    <w:qFormat/>
    <w:uiPriority w:val="99"/>
    <w:rPr>
      <w:rFonts w:ascii="Times New Roman" w:hAnsi="Times New Roman" w:eastAsia="宋体" w:cs="Times New Roman"/>
      <w:kern w:val="0"/>
      <w:sz w:val="20"/>
      <w:szCs w:val="20"/>
    </w:rPr>
  </w:style>
  <w:style w:type="character" w:customStyle="1" w:styleId="76">
    <w:name w:val="批注框文本 字符"/>
    <w:basedOn w:val="47"/>
    <w:link w:val="29"/>
    <w:qFormat/>
    <w:uiPriority w:val="99"/>
    <w:rPr>
      <w:rFonts w:ascii="Times New Roman" w:hAnsi="Times New Roman" w:eastAsia="宋体" w:cs="Times New Roman"/>
      <w:kern w:val="0"/>
      <w:sz w:val="16"/>
      <w:szCs w:val="16"/>
    </w:rPr>
  </w:style>
  <w:style w:type="character" w:customStyle="1" w:styleId="77">
    <w:name w:val="页脚 字符"/>
    <w:basedOn w:val="47"/>
    <w:link w:val="30"/>
    <w:qFormat/>
    <w:uiPriority w:val="99"/>
    <w:rPr>
      <w:rFonts w:ascii="Times New Roman" w:hAnsi="Times New Roman" w:eastAsia="宋体" w:cs="Times New Roman"/>
      <w:kern w:val="0"/>
      <w:sz w:val="18"/>
      <w:szCs w:val="18"/>
    </w:rPr>
  </w:style>
  <w:style w:type="character" w:customStyle="1" w:styleId="78">
    <w:name w:val="页眉 字符"/>
    <w:basedOn w:val="47"/>
    <w:link w:val="31"/>
    <w:qFormat/>
    <w:uiPriority w:val="99"/>
    <w:rPr>
      <w:rFonts w:ascii="Times New Roman" w:hAnsi="Times New Roman" w:eastAsia="宋体" w:cs="Times New Roman"/>
      <w:kern w:val="0"/>
      <w:sz w:val="18"/>
      <w:szCs w:val="18"/>
    </w:rPr>
  </w:style>
  <w:style w:type="character" w:customStyle="1" w:styleId="79">
    <w:name w:val="正文文本缩进 3 字符"/>
    <w:basedOn w:val="47"/>
    <w:link w:val="36"/>
    <w:qFormat/>
    <w:uiPriority w:val="99"/>
    <w:rPr>
      <w:rFonts w:ascii="Times New Roman" w:hAnsi="Times New Roman" w:eastAsia="宋体" w:cs="Times New Roman"/>
      <w:kern w:val="0"/>
      <w:sz w:val="16"/>
      <w:szCs w:val="16"/>
    </w:rPr>
  </w:style>
  <w:style w:type="character" w:customStyle="1" w:styleId="80">
    <w:name w:val="正文文本 2 字符"/>
    <w:basedOn w:val="47"/>
    <w:link w:val="39"/>
    <w:qFormat/>
    <w:uiPriority w:val="99"/>
    <w:rPr>
      <w:rFonts w:ascii="Times New Roman" w:hAnsi="Times New Roman" w:eastAsia="宋体" w:cs="Times New Roman"/>
      <w:kern w:val="0"/>
      <w:sz w:val="20"/>
      <w:szCs w:val="20"/>
    </w:rPr>
  </w:style>
  <w:style w:type="character" w:customStyle="1" w:styleId="81">
    <w:name w:val="HTML 预设格式 字符"/>
    <w:basedOn w:val="47"/>
    <w:link w:val="40"/>
    <w:qFormat/>
    <w:uiPriority w:val="99"/>
    <w:rPr>
      <w:rFonts w:ascii="黑体" w:hAnsi="Courier New" w:eastAsia="黑体" w:cs="Times New Roman"/>
      <w:kern w:val="0"/>
      <w:sz w:val="20"/>
      <w:szCs w:val="20"/>
    </w:rPr>
  </w:style>
  <w:style w:type="character" w:customStyle="1" w:styleId="82">
    <w:name w:val="标题 字符"/>
    <w:basedOn w:val="47"/>
    <w:link w:val="43"/>
    <w:qFormat/>
    <w:uiPriority w:val="99"/>
    <w:rPr>
      <w:rFonts w:ascii="Cambria" w:hAnsi="Cambria" w:eastAsia="宋体" w:cs="Times New Roman"/>
      <w:b/>
      <w:kern w:val="0"/>
      <w:sz w:val="32"/>
      <w:szCs w:val="32"/>
    </w:rPr>
  </w:style>
  <w:style w:type="character" w:customStyle="1" w:styleId="83">
    <w:name w:val="批注主题 字符"/>
    <w:basedOn w:val="69"/>
    <w:link w:val="44"/>
    <w:qFormat/>
    <w:uiPriority w:val="99"/>
    <w:rPr>
      <w:rFonts w:ascii="宋体" w:hAnsi="Courier New" w:eastAsia="宋体" w:cs="Times New Roman"/>
      <w:kern w:val="0"/>
      <w:sz w:val="20"/>
      <w:szCs w:val="20"/>
    </w:rPr>
  </w:style>
  <w:style w:type="paragraph" w:customStyle="1" w:styleId="84">
    <w:name w:val="无间隔2"/>
    <w:link w:val="111"/>
    <w:qFormat/>
    <w:uiPriority w:val="99"/>
    <w:rPr>
      <w:rFonts w:asciiTheme="minorHAnsi" w:hAnsiTheme="minorHAnsi" w:eastAsiaTheme="minorEastAsia" w:cstheme="minorBidi"/>
      <w:sz w:val="22"/>
      <w:szCs w:val="22"/>
      <w:lang w:val="en-US" w:eastAsia="zh-CN" w:bidi="ar-SA"/>
    </w:rPr>
  </w:style>
  <w:style w:type="paragraph" w:customStyle="1" w:styleId="85">
    <w:name w:val="列表段落1"/>
    <w:basedOn w:val="1"/>
    <w:link w:val="104"/>
    <w:qFormat/>
    <w:uiPriority w:val="26"/>
    <w:pPr>
      <w:widowControl/>
      <w:ind w:firstLine="420"/>
    </w:pPr>
    <w:rPr>
      <w:kern w:val="0"/>
      <w:sz w:val="24"/>
      <w:szCs w:val="24"/>
    </w:rPr>
  </w:style>
  <w:style w:type="character" w:customStyle="1" w:styleId="86">
    <w:name w:val="批注文字 字符1"/>
    <w:basedOn w:val="47"/>
    <w:link w:val="17"/>
    <w:qFormat/>
    <w:uiPriority w:val="99"/>
    <w:rPr>
      <w:rFonts w:ascii="Times New Roman" w:hAnsi="Times New Roman" w:eastAsia="宋体" w:cs="Times New Roman"/>
      <w:kern w:val="0"/>
      <w:sz w:val="24"/>
      <w:szCs w:val="24"/>
    </w:rPr>
  </w:style>
  <w:style w:type="character" w:customStyle="1" w:styleId="87">
    <w:name w:val="日期 字符"/>
    <w:basedOn w:val="47"/>
    <w:link w:val="27"/>
    <w:qFormat/>
    <w:uiPriority w:val="99"/>
    <w:rPr>
      <w:rFonts w:ascii="Times New Roman" w:hAnsi="Times New Roman" w:eastAsia="宋体" w:cs="Times New Roman"/>
      <w:kern w:val="0"/>
      <w:sz w:val="20"/>
      <w:szCs w:val="20"/>
    </w:rPr>
  </w:style>
  <w:style w:type="character" w:customStyle="1" w:styleId="88">
    <w:name w:val="普通(网站) 字符"/>
    <w:link w:val="41"/>
    <w:qFormat/>
    <w:uiPriority w:val="99"/>
    <w:rPr>
      <w:rFonts w:ascii="宋体" w:hAnsi="Times New Roman" w:eastAsia="宋体" w:cs="Times New Roman"/>
      <w:kern w:val="0"/>
      <w:sz w:val="24"/>
      <w:szCs w:val="24"/>
    </w:rPr>
  </w:style>
  <w:style w:type="character" w:customStyle="1" w:styleId="89">
    <w:name w:val="Plain Text Char"/>
    <w:qFormat/>
    <w:uiPriority w:val="99"/>
    <w:rPr>
      <w:rFonts w:ascii="宋体" w:hAnsi="Courier New" w:eastAsia="宋体"/>
      <w:sz w:val="21"/>
      <w:szCs w:val="21"/>
      <w:lang w:val="en-US" w:eastAsia="zh-CN"/>
    </w:rPr>
  </w:style>
  <w:style w:type="character" w:customStyle="1" w:styleId="90">
    <w:name w:val="font41"/>
    <w:qFormat/>
    <w:uiPriority w:val="0"/>
    <w:rPr>
      <w:rFonts w:ascii="Arial" w:hAnsi="Arial" w:cs="Arial"/>
      <w:b/>
      <w:color w:val="000000"/>
      <w:sz w:val="21"/>
      <w:szCs w:val="21"/>
      <w:u w:val="none"/>
    </w:rPr>
  </w:style>
  <w:style w:type="character" w:customStyle="1" w:styleId="91">
    <w:name w:val="param-explain"/>
    <w:basedOn w:val="47"/>
    <w:qFormat/>
    <w:uiPriority w:val="0"/>
  </w:style>
  <w:style w:type="character" w:customStyle="1" w:styleId="92">
    <w:name w:val="Char Char Char"/>
    <w:qFormat/>
    <w:uiPriority w:val="99"/>
    <w:rPr>
      <w:rFonts w:ascii="宋体" w:hAnsi="Courier New" w:eastAsia="宋体"/>
      <w:sz w:val="21"/>
      <w:szCs w:val="21"/>
      <w:lang w:val="en-US" w:eastAsia="zh-CN"/>
    </w:rPr>
  </w:style>
  <w:style w:type="character" w:customStyle="1" w:styleId="93">
    <w:name w:val="apple-converted-space"/>
    <w:qFormat/>
    <w:uiPriority w:val="99"/>
    <w:rPr>
      <w:rFonts w:cs="Times New Roman"/>
    </w:rPr>
  </w:style>
  <w:style w:type="character" w:customStyle="1" w:styleId="94">
    <w:name w:val="访问过的超链接1"/>
    <w:qFormat/>
    <w:uiPriority w:val="99"/>
    <w:rPr>
      <w:color w:val="333333"/>
      <w:u w:val="none"/>
    </w:rPr>
  </w:style>
  <w:style w:type="character" w:customStyle="1" w:styleId="95">
    <w:name w:val="纯文本 Char1"/>
    <w:qFormat/>
    <w:uiPriority w:val="0"/>
    <w:rPr>
      <w:rFonts w:ascii="宋体" w:hAnsi="Courier New" w:eastAsia="宋体" w:cs="Courier New"/>
    </w:rPr>
  </w:style>
  <w:style w:type="character" w:customStyle="1" w:styleId="96">
    <w:name w:val="14"/>
    <w:qFormat/>
    <w:uiPriority w:val="99"/>
    <w:rPr>
      <w:rFonts w:cs="Times New Roman"/>
    </w:rPr>
  </w:style>
  <w:style w:type="character" w:customStyle="1" w:styleId="97">
    <w:name w:val="标题 Char1"/>
    <w:qFormat/>
    <w:uiPriority w:val="10"/>
    <w:rPr>
      <w:rFonts w:ascii="Cambria" w:hAnsi="Cambria" w:eastAsia="宋体" w:cs="Times New Roman"/>
      <w:b/>
      <w:sz w:val="32"/>
      <w:szCs w:val="32"/>
    </w:rPr>
  </w:style>
  <w:style w:type="character" w:customStyle="1" w:styleId="98">
    <w:name w:val="Char Char21"/>
    <w:qFormat/>
    <w:uiPriority w:val="99"/>
    <w:rPr>
      <w:rFonts w:ascii="宋体" w:hAnsi="宋体" w:eastAsia="宋体"/>
      <w:sz w:val="24"/>
      <w:szCs w:val="24"/>
      <w:lang w:val="en-US" w:eastAsia="zh-CN"/>
    </w:rPr>
  </w:style>
  <w:style w:type="character" w:customStyle="1" w:styleId="99">
    <w:name w:val="msonormal"/>
    <w:basedOn w:val="47"/>
    <w:qFormat/>
    <w:uiPriority w:val="0"/>
  </w:style>
  <w:style w:type="character" w:customStyle="1" w:styleId="100">
    <w:name w:val="Char Char5"/>
    <w:qFormat/>
    <w:uiPriority w:val="99"/>
    <w:rPr>
      <w:rFonts w:eastAsia="宋体"/>
      <w:sz w:val="24"/>
      <w:szCs w:val="24"/>
      <w:lang w:val="en-US" w:eastAsia="zh-CN"/>
    </w:rPr>
  </w:style>
  <w:style w:type="character" w:customStyle="1" w:styleId="101">
    <w:name w:val="tdmpwh"/>
    <w:qFormat/>
    <w:uiPriority w:val="99"/>
  </w:style>
  <w:style w:type="character" w:customStyle="1" w:styleId="102">
    <w:name w:val="lb1"/>
    <w:qFormat/>
    <w:uiPriority w:val="99"/>
    <w:rPr>
      <w:b/>
      <w:color w:val="0851A5"/>
      <w:sz w:val="27"/>
      <w:szCs w:val="27"/>
    </w:rPr>
  </w:style>
  <w:style w:type="character" w:customStyle="1" w:styleId="103">
    <w:name w:val="font11"/>
    <w:qFormat/>
    <w:uiPriority w:val="99"/>
    <w:rPr>
      <w:rFonts w:ascii="Calibri" w:hAnsi="Calibri"/>
      <w:color w:val="000000"/>
      <w:sz w:val="20"/>
      <w:szCs w:val="20"/>
      <w:u w:val="none"/>
    </w:rPr>
  </w:style>
  <w:style w:type="character" w:customStyle="1" w:styleId="104">
    <w:name w:val="列出段落 Char"/>
    <w:link w:val="85"/>
    <w:qFormat/>
    <w:uiPriority w:val="26"/>
    <w:rPr>
      <w:kern w:val="0"/>
      <w:sz w:val="24"/>
      <w:szCs w:val="24"/>
    </w:rPr>
  </w:style>
  <w:style w:type="character" w:customStyle="1" w:styleId="105">
    <w:name w:val="search_content1"/>
    <w:qFormat/>
    <w:uiPriority w:val="99"/>
    <w:rPr>
      <w:sz w:val="20"/>
      <w:szCs w:val="20"/>
    </w:rPr>
  </w:style>
  <w:style w:type="character" w:customStyle="1" w:styleId="106">
    <w:name w:val="批注文字 字符"/>
    <w:qFormat/>
    <w:uiPriority w:val="0"/>
    <w:rPr>
      <w:rFonts w:ascii="Times New Roman" w:hAnsi="Times New Roman"/>
      <w:sz w:val="21"/>
      <w:szCs w:val="21"/>
    </w:rPr>
  </w:style>
  <w:style w:type="character" w:customStyle="1" w:styleId="107">
    <w:name w:val="样式 body + 仿宋_GB2312 三号"/>
    <w:qFormat/>
    <w:uiPriority w:val="99"/>
    <w:rPr>
      <w:rFonts w:ascii="宋体" w:eastAsia="宋体"/>
      <w:sz w:val="24"/>
      <w:szCs w:val="24"/>
      <w:lang w:val="en-US" w:eastAsia="zh-CN"/>
    </w:rPr>
  </w:style>
  <w:style w:type="character" w:customStyle="1" w:styleId="108">
    <w:name w:val="批注文字 Char1"/>
    <w:qFormat/>
    <w:uiPriority w:val="0"/>
    <w:rPr>
      <w:rFonts w:ascii="Times New Roman" w:hAnsi="Times New Roman"/>
    </w:rPr>
  </w:style>
  <w:style w:type="character" w:customStyle="1" w:styleId="109">
    <w:name w:val="font31"/>
    <w:qFormat/>
    <w:uiPriority w:val="0"/>
    <w:rPr>
      <w:rFonts w:ascii="宋体" w:hAnsi="宋体" w:eastAsia="宋体"/>
      <w:color w:val="000000"/>
      <w:sz w:val="20"/>
      <w:szCs w:val="20"/>
      <w:u w:val="none"/>
    </w:rPr>
  </w:style>
  <w:style w:type="character" w:customStyle="1" w:styleId="110">
    <w:name w:val="textcontents"/>
    <w:qFormat/>
    <w:uiPriority w:val="99"/>
    <w:rPr>
      <w:rFonts w:cs="Times New Roman"/>
    </w:rPr>
  </w:style>
  <w:style w:type="character" w:customStyle="1" w:styleId="111">
    <w:name w:val="无间隔 Char"/>
    <w:link w:val="84"/>
    <w:qFormat/>
    <w:uiPriority w:val="99"/>
    <w:rPr>
      <w:kern w:val="0"/>
      <w:sz w:val="22"/>
    </w:rPr>
  </w:style>
  <w:style w:type="character" w:customStyle="1" w:styleId="112">
    <w:name w:val="font01"/>
    <w:qFormat/>
    <w:uiPriority w:val="0"/>
    <w:rPr>
      <w:rFonts w:ascii="Arial" w:hAnsi="Arial" w:cs="Arial"/>
      <w:color w:val="000000"/>
      <w:sz w:val="21"/>
      <w:szCs w:val="21"/>
      <w:u w:val="none"/>
    </w:rPr>
  </w:style>
  <w:style w:type="character" w:customStyle="1" w:styleId="113">
    <w:name w:val="font101"/>
    <w:qFormat/>
    <w:uiPriority w:val="0"/>
    <w:rPr>
      <w:rFonts w:ascii="幼圆" w:hAnsi="幼圆" w:eastAsia="幼圆" w:cs="幼圆"/>
      <w:b/>
      <w:color w:val="000000"/>
      <w:sz w:val="21"/>
      <w:szCs w:val="21"/>
      <w:u w:val="none"/>
    </w:rPr>
  </w:style>
  <w:style w:type="character" w:customStyle="1" w:styleId="114">
    <w:name w:val="普通文字 Char Char1"/>
    <w:qFormat/>
    <w:uiPriority w:val="99"/>
    <w:rPr>
      <w:rFonts w:ascii="宋体" w:hAnsi="Courier New" w:eastAsia="宋体"/>
      <w:sz w:val="21"/>
      <w:szCs w:val="21"/>
      <w:lang w:val="en-US" w:eastAsia="zh-CN"/>
    </w:rPr>
  </w:style>
  <w:style w:type="character" w:customStyle="1" w:styleId="115">
    <w:name w:val="Char Char4"/>
    <w:qFormat/>
    <w:uiPriority w:val="99"/>
    <w:rPr>
      <w:rFonts w:ascii="宋体" w:hAnsi="Courier New" w:eastAsia="宋体"/>
      <w:sz w:val="21"/>
      <w:szCs w:val="21"/>
      <w:lang w:val="en-US" w:eastAsia="zh-CN"/>
    </w:rPr>
  </w:style>
  <w:style w:type="character" w:customStyle="1" w:styleId="116">
    <w:name w:val="case31"/>
    <w:qFormat/>
    <w:uiPriority w:val="99"/>
    <w:rPr>
      <w:sz w:val="21"/>
      <w:szCs w:val="21"/>
    </w:rPr>
  </w:style>
  <w:style w:type="character" w:customStyle="1" w:styleId="117">
    <w:name w:val="font232"/>
    <w:qFormat/>
    <w:uiPriority w:val="0"/>
    <w:rPr>
      <w:rFonts w:ascii="幼圆" w:hAnsi="幼圆" w:eastAsia="幼圆" w:cs="幼圆"/>
      <w:color w:val="000000"/>
      <w:sz w:val="21"/>
      <w:szCs w:val="21"/>
      <w:u w:val="none"/>
    </w:rPr>
  </w:style>
  <w:style w:type="character" w:customStyle="1" w:styleId="118">
    <w:name w:val="Char Char2"/>
    <w:qFormat/>
    <w:uiPriority w:val="99"/>
    <w:rPr>
      <w:sz w:val="24"/>
      <w:szCs w:val="24"/>
    </w:rPr>
  </w:style>
  <w:style w:type="character" w:customStyle="1" w:styleId="119">
    <w:name w:val="普通文字 Char Char2"/>
    <w:qFormat/>
    <w:uiPriority w:val="99"/>
    <w:rPr>
      <w:rFonts w:ascii="宋体" w:hAnsi="Courier New" w:eastAsia="宋体"/>
      <w:b/>
      <w:i/>
      <w:color w:val="000000"/>
      <w:sz w:val="21"/>
      <w:szCs w:val="21"/>
      <w:lang w:val="en-US" w:eastAsia="zh-CN"/>
    </w:rPr>
  </w:style>
  <w:style w:type="paragraph" w:customStyle="1" w:styleId="120">
    <w:name w:val="修订1"/>
    <w:qFormat/>
    <w:uiPriority w:val="99"/>
    <w:rPr>
      <w:rFonts w:ascii="Times New Roman" w:hAnsi="Times New Roman" w:eastAsia="宋体" w:cs="Times New Roman"/>
      <w:sz w:val="21"/>
      <w:szCs w:val="21"/>
      <w:lang w:val="en-US" w:eastAsia="zh-CN" w:bidi="ar-SA"/>
    </w:rPr>
  </w:style>
  <w:style w:type="paragraph" w:customStyle="1" w:styleId="121">
    <w:name w:val="样式 标题 1第A章标题 1 Char Char CharH1h1Level 1 Topic HeadingH11..."/>
    <w:basedOn w:val="3"/>
    <w:qFormat/>
    <w:uiPriority w:val="99"/>
    <w:pPr>
      <w:spacing w:line="460" w:lineRule="exact"/>
      <w:ind w:left="-4"/>
      <w:jc w:val="left"/>
    </w:pPr>
    <w:rPr>
      <w:rFonts w:ascii="仿宋_GB2312" w:hAnsi="宋体" w:eastAsia="仿宋_GB2312" w:cs="宋体"/>
      <w:sz w:val="32"/>
      <w:szCs w:val="32"/>
    </w:rPr>
  </w:style>
  <w:style w:type="paragraph" w:customStyle="1" w:styleId="122">
    <w:name w:val="xl4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123">
    <w:name w:val="xl8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FF"/>
      <w:kern w:val="0"/>
      <w:szCs w:val="21"/>
    </w:rPr>
  </w:style>
  <w:style w:type="paragraph" w:customStyle="1" w:styleId="124">
    <w:name w:val="font8"/>
    <w:basedOn w:val="1"/>
    <w:qFormat/>
    <w:uiPriority w:val="99"/>
    <w:pPr>
      <w:widowControl/>
      <w:spacing w:before="100" w:beforeAutospacing="1" w:after="100" w:afterAutospacing="1"/>
      <w:jc w:val="left"/>
    </w:pPr>
    <w:rPr>
      <w:rFonts w:ascii="宋体" w:hAnsi="宋体" w:eastAsia="宋体" w:cs="宋体"/>
      <w:color w:val="FF0000"/>
      <w:kern w:val="0"/>
      <w:sz w:val="16"/>
      <w:szCs w:val="16"/>
    </w:rPr>
  </w:style>
  <w:style w:type="paragraph" w:customStyle="1" w:styleId="125">
    <w:name w:val="正文段"/>
    <w:basedOn w:val="1"/>
    <w:qFormat/>
    <w:uiPriority w:val="99"/>
    <w:pPr>
      <w:widowControl/>
      <w:snapToGrid w:val="0"/>
      <w:spacing w:after="120"/>
      <w:ind w:firstLine="200"/>
    </w:pPr>
    <w:rPr>
      <w:rFonts w:ascii="Calibri" w:hAnsi="Calibri" w:eastAsia="宋体" w:cs="Times New Roman"/>
      <w:kern w:val="0"/>
      <w:sz w:val="24"/>
      <w:szCs w:val="24"/>
    </w:rPr>
  </w:style>
  <w:style w:type="paragraph" w:customStyle="1" w:styleId="126">
    <w:name w:val="font6"/>
    <w:basedOn w:val="1"/>
    <w:qFormat/>
    <w:uiPriority w:val="99"/>
    <w:pPr>
      <w:widowControl/>
      <w:spacing w:before="100" w:beforeAutospacing="1" w:after="100" w:afterAutospacing="1"/>
      <w:jc w:val="left"/>
    </w:pPr>
    <w:rPr>
      <w:rFonts w:ascii="Calibri" w:hAnsi="Calibri" w:eastAsia="宋体" w:cs="Times New Roman"/>
      <w:color w:val="000000"/>
      <w:kern w:val="0"/>
      <w:sz w:val="20"/>
      <w:szCs w:val="20"/>
    </w:rPr>
  </w:style>
  <w:style w:type="paragraph" w:customStyle="1" w:styleId="127">
    <w:name w:val="样式 标题 3 + (中文) 黑体 小四 非加粗 段前: 7.8 磅 段后: 0 磅 行距: 固定值 20 磅"/>
    <w:basedOn w:val="5"/>
    <w:qFormat/>
    <w:uiPriority w:val="99"/>
    <w:pPr>
      <w:spacing w:line="400" w:lineRule="exact"/>
    </w:pPr>
    <w:rPr>
      <w:rFonts w:eastAsia="黑体" w:cs="宋体"/>
      <w:b w:val="0"/>
      <w:sz w:val="24"/>
      <w:szCs w:val="24"/>
    </w:rPr>
  </w:style>
  <w:style w:type="paragraph" w:customStyle="1" w:styleId="128">
    <w:name w:val="xl71"/>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F00FF"/>
      <w:spacing w:before="100" w:beforeAutospacing="1" w:after="100" w:afterAutospacing="1"/>
      <w:jc w:val="left"/>
    </w:pPr>
    <w:rPr>
      <w:rFonts w:ascii="宋体" w:hAnsi="宋体" w:eastAsia="宋体" w:cs="宋体"/>
      <w:kern w:val="0"/>
      <w:szCs w:val="21"/>
    </w:rPr>
  </w:style>
  <w:style w:type="paragraph" w:customStyle="1" w:styleId="129">
    <w:name w:val="默认段落字体 Para Char"/>
    <w:basedOn w:val="1"/>
    <w:qFormat/>
    <w:uiPriority w:val="99"/>
    <w:pPr>
      <w:widowControl/>
      <w:spacing w:line="360" w:lineRule="auto"/>
    </w:pPr>
    <w:rPr>
      <w:rFonts w:ascii="Calibri" w:hAnsi="Calibri" w:eastAsia="宋体" w:cs="Times New Roman"/>
      <w:kern w:val="0"/>
      <w:sz w:val="24"/>
      <w:szCs w:val="24"/>
    </w:rPr>
  </w:style>
  <w:style w:type="paragraph" w:customStyle="1" w:styleId="130">
    <w:name w:val="Char"/>
    <w:basedOn w:val="16"/>
    <w:qFormat/>
    <w:uiPriority w:val="99"/>
  </w:style>
  <w:style w:type="paragraph" w:customStyle="1" w:styleId="131">
    <w:name w:val="xl7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132">
    <w:name w:val="xl7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33">
    <w:name w:val="xl32"/>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eastAsia="宋体" w:cs="宋体"/>
      <w:kern w:val="0"/>
      <w:szCs w:val="21"/>
    </w:rPr>
  </w:style>
  <w:style w:type="paragraph" w:customStyle="1" w:styleId="134">
    <w:name w:val="font7"/>
    <w:basedOn w:val="1"/>
    <w:qFormat/>
    <w:uiPriority w:val="99"/>
    <w:pPr>
      <w:widowControl/>
      <w:spacing w:before="100" w:beforeAutospacing="1" w:after="100" w:afterAutospacing="1"/>
      <w:jc w:val="left"/>
    </w:pPr>
    <w:rPr>
      <w:rFonts w:ascii="Calibri" w:hAnsi="Calibri" w:eastAsia="宋体" w:cs="Times New Roman"/>
      <w:kern w:val="0"/>
      <w:sz w:val="16"/>
      <w:szCs w:val="16"/>
    </w:rPr>
  </w:style>
  <w:style w:type="paragraph" w:customStyle="1" w:styleId="135">
    <w:name w:val="xl7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宋体" w:cs="Times New Roman"/>
      <w:color w:val="0000FF"/>
      <w:kern w:val="0"/>
      <w:sz w:val="18"/>
      <w:szCs w:val="18"/>
    </w:rPr>
  </w:style>
  <w:style w:type="paragraph" w:customStyle="1" w:styleId="136">
    <w:name w:val="_Style 2"/>
    <w:basedOn w:val="1"/>
    <w:qFormat/>
    <w:uiPriority w:val="99"/>
    <w:pPr>
      <w:widowControl/>
      <w:ind w:firstLine="420"/>
      <w:jc w:val="left"/>
    </w:pPr>
    <w:rPr>
      <w:rFonts w:ascii="宋体" w:hAnsi="宋体" w:eastAsia="宋体" w:cs="Times New Roman"/>
      <w:kern w:val="0"/>
      <w:sz w:val="24"/>
      <w:szCs w:val="24"/>
    </w:rPr>
  </w:style>
  <w:style w:type="paragraph" w:customStyle="1" w:styleId="137">
    <w:name w:val="xl30"/>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Times New Roman"/>
      <w:kern w:val="0"/>
      <w:szCs w:val="21"/>
    </w:rPr>
  </w:style>
  <w:style w:type="paragraph" w:customStyle="1" w:styleId="138">
    <w:name w:val="xl6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139">
    <w:name w:val="修订2"/>
    <w:unhideWhenUsed/>
    <w:qFormat/>
    <w:uiPriority w:val="99"/>
    <w:rPr>
      <w:rFonts w:ascii="Times New Roman" w:hAnsi="Times New Roman" w:eastAsia="宋体" w:cs="Times New Roman"/>
      <w:sz w:val="21"/>
      <w:szCs w:val="21"/>
      <w:lang w:val="en-US" w:eastAsia="zh-CN" w:bidi="ar-SA"/>
    </w:rPr>
  </w:style>
  <w:style w:type="paragraph" w:customStyle="1" w:styleId="140">
    <w:name w:val="xl31"/>
    <w:basedOn w:val="1"/>
    <w:qFormat/>
    <w:uiPriority w:val="99"/>
    <w:pPr>
      <w:widowControl/>
      <w:spacing w:before="100" w:beforeAutospacing="1" w:after="100" w:afterAutospacing="1"/>
      <w:jc w:val="center"/>
    </w:pPr>
    <w:rPr>
      <w:rFonts w:ascii="Arial Unicode MS" w:hAnsi="Arial Unicode MS" w:eastAsia="宋体" w:cs="Times New Roman"/>
      <w:kern w:val="0"/>
      <w:sz w:val="24"/>
      <w:szCs w:val="24"/>
    </w:rPr>
  </w:style>
  <w:style w:type="paragraph" w:customStyle="1" w:styleId="141">
    <w:name w:val="xl3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142">
    <w:name w:val="xl6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alibri" w:hAnsi="Calibri" w:eastAsia="宋体" w:cs="Times New Roman"/>
      <w:kern w:val="0"/>
      <w:sz w:val="20"/>
      <w:szCs w:val="20"/>
    </w:rPr>
  </w:style>
  <w:style w:type="paragraph" w:customStyle="1" w:styleId="143">
    <w:name w:val="_Style 81"/>
    <w:basedOn w:val="16"/>
    <w:qFormat/>
    <w:uiPriority w:val="99"/>
  </w:style>
  <w:style w:type="paragraph" w:customStyle="1" w:styleId="144">
    <w:name w:val="p0"/>
    <w:basedOn w:val="1"/>
    <w:qFormat/>
    <w:uiPriority w:val="99"/>
    <w:pPr>
      <w:widowControl/>
    </w:pPr>
    <w:rPr>
      <w:rFonts w:ascii="Calibri" w:hAnsi="Calibri" w:eastAsia="宋体" w:cs="Times New Roman"/>
      <w:kern w:val="0"/>
      <w:szCs w:val="21"/>
    </w:rPr>
  </w:style>
  <w:style w:type="paragraph" w:customStyle="1" w:styleId="145">
    <w:name w:val="xl7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 w:val="18"/>
      <w:szCs w:val="18"/>
    </w:rPr>
  </w:style>
  <w:style w:type="paragraph" w:customStyle="1" w:styleId="146">
    <w:name w:val="Char1"/>
    <w:basedOn w:val="1"/>
    <w:qFormat/>
    <w:uiPriority w:val="99"/>
    <w:pPr>
      <w:widowControl/>
    </w:pPr>
    <w:rPr>
      <w:rFonts w:ascii="Calibri" w:hAnsi="Calibri" w:eastAsia="宋体" w:cs="Times New Roman"/>
      <w:kern w:val="0"/>
      <w:szCs w:val="21"/>
    </w:rPr>
  </w:style>
  <w:style w:type="paragraph" w:customStyle="1" w:styleId="147">
    <w:name w:val="xl54"/>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148">
    <w:name w:val="xl33"/>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left"/>
    </w:pPr>
    <w:rPr>
      <w:rFonts w:ascii="Calibri" w:hAnsi="Calibri" w:eastAsia="宋体" w:cs="Times New Roman"/>
      <w:kern w:val="0"/>
      <w:sz w:val="16"/>
      <w:szCs w:val="16"/>
    </w:rPr>
  </w:style>
  <w:style w:type="paragraph" w:customStyle="1" w:styleId="149">
    <w:name w:val="表格文字"/>
    <w:basedOn w:val="1"/>
    <w:qFormat/>
    <w:uiPriority w:val="0"/>
    <w:pPr>
      <w:widowControl/>
      <w:spacing w:before="25" w:after="25"/>
      <w:jc w:val="left"/>
    </w:pPr>
    <w:rPr>
      <w:rFonts w:ascii="Calibri" w:hAnsi="Calibri" w:eastAsia="宋体" w:cs="Times New Roman"/>
      <w:spacing w:val="10"/>
      <w:kern w:val="0"/>
      <w:sz w:val="24"/>
      <w:szCs w:val="24"/>
    </w:rPr>
  </w:style>
  <w:style w:type="paragraph" w:customStyle="1" w:styleId="150">
    <w:name w:val="xl4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151">
    <w:name w:val="列出段落1"/>
    <w:basedOn w:val="1"/>
    <w:qFormat/>
    <w:uiPriority w:val="99"/>
    <w:pPr>
      <w:widowControl/>
      <w:ind w:firstLine="420"/>
    </w:pPr>
    <w:rPr>
      <w:rFonts w:ascii="Calibri" w:hAnsi="Calibri" w:eastAsia="宋体" w:cs="Times New Roman"/>
      <w:kern w:val="0"/>
      <w:szCs w:val="21"/>
    </w:rPr>
  </w:style>
  <w:style w:type="paragraph" w:customStyle="1" w:styleId="152">
    <w:name w:val="xl5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alibri" w:hAnsi="Calibri" w:eastAsia="宋体" w:cs="Times New Roman"/>
      <w:color w:val="FF0000"/>
      <w:kern w:val="0"/>
      <w:sz w:val="16"/>
      <w:szCs w:val="16"/>
    </w:rPr>
  </w:style>
  <w:style w:type="paragraph" w:customStyle="1" w:styleId="153">
    <w:name w:val="xl3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154">
    <w:name w:val="14 Char Char Char Char Char Char Char Char Char Char Char Char"/>
    <w:basedOn w:val="1"/>
    <w:qFormat/>
    <w:uiPriority w:val="99"/>
    <w:pPr>
      <w:widowControl/>
      <w:spacing w:after="160" w:line="240" w:lineRule="exact"/>
      <w:jc w:val="left"/>
    </w:pPr>
    <w:rPr>
      <w:rFonts w:ascii="Calibri" w:hAnsi="Calibri" w:eastAsia="宋体" w:cs="Times New Roman"/>
      <w:kern w:val="0"/>
      <w:szCs w:val="21"/>
    </w:rPr>
  </w:style>
  <w:style w:type="paragraph" w:customStyle="1" w:styleId="155">
    <w:name w:val="正文首行缩进两字符"/>
    <w:basedOn w:val="1"/>
    <w:qFormat/>
    <w:uiPriority w:val="99"/>
    <w:pPr>
      <w:widowControl/>
      <w:spacing w:line="360" w:lineRule="auto"/>
      <w:ind w:firstLine="200"/>
    </w:pPr>
    <w:rPr>
      <w:rFonts w:ascii="Calibri" w:hAnsi="Calibri" w:eastAsia="宋体" w:cs="Times New Roman"/>
      <w:kern w:val="0"/>
      <w:szCs w:val="21"/>
    </w:rPr>
  </w:style>
  <w:style w:type="paragraph" w:customStyle="1" w:styleId="156">
    <w:name w:val="Default"/>
    <w:qFormat/>
    <w:uiPriority w:val="99"/>
    <w:pPr>
      <w:autoSpaceDE w:val="0"/>
      <w:autoSpaceDN w:val="0"/>
    </w:pPr>
    <w:rPr>
      <w:rFonts w:ascii="宋体" w:hAnsi="Times New Roman" w:eastAsia="宋体" w:cs="宋体"/>
      <w:color w:val="000000"/>
      <w:sz w:val="24"/>
      <w:szCs w:val="24"/>
      <w:lang w:val="en-US" w:eastAsia="zh-CN" w:bidi="ar-SA"/>
    </w:rPr>
  </w:style>
  <w:style w:type="paragraph" w:customStyle="1" w:styleId="157">
    <w:name w:val="xl6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58">
    <w:name w:val="xl4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FF0000"/>
      <w:kern w:val="0"/>
      <w:sz w:val="16"/>
      <w:szCs w:val="16"/>
    </w:rPr>
  </w:style>
  <w:style w:type="paragraph" w:customStyle="1" w:styleId="159">
    <w:name w:val="xl4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60">
    <w:name w:val="xl8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FF"/>
      <w:kern w:val="0"/>
      <w:szCs w:val="21"/>
    </w:rPr>
  </w:style>
  <w:style w:type="paragraph" w:customStyle="1" w:styleId="161">
    <w:name w:val="char"/>
    <w:basedOn w:val="1"/>
    <w:qFormat/>
    <w:uiPriority w:val="99"/>
    <w:pPr>
      <w:widowControl/>
      <w:snapToGrid w:val="0"/>
      <w:spacing w:before="120" w:after="160" w:line="360" w:lineRule="exact"/>
      <w:ind w:firstLine="496"/>
      <w:jc w:val="left"/>
    </w:pPr>
    <w:rPr>
      <w:rFonts w:ascii="宋体" w:hAnsi="宋体" w:eastAsia="宋体" w:cs="”“Times New Roman”“"/>
      <w:color w:val="000000"/>
      <w:spacing w:val="4"/>
      <w:kern w:val="0"/>
      <w:sz w:val="24"/>
      <w:szCs w:val="24"/>
      <w:lang w:eastAsia="en-US"/>
    </w:rPr>
  </w:style>
  <w:style w:type="paragraph" w:customStyle="1" w:styleId="162">
    <w:name w:val="xl7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宋体" w:cs="Times New Roman"/>
      <w:kern w:val="0"/>
      <w:sz w:val="18"/>
      <w:szCs w:val="18"/>
    </w:rPr>
  </w:style>
  <w:style w:type="paragraph" w:customStyle="1" w:styleId="163">
    <w:name w:val="xl7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color w:val="000000"/>
      <w:kern w:val="0"/>
      <w:sz w:val="18"/>
      <w:szCs w:val="18"/>
    </w:rPr>
  </w:style>
  <w:style w:type="paragraph" w:customStyle="1" w:styleId="164">
    <w:name w:val="xl5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kern w:val="0"/>
      <w:sz w:val="18"/>
      <w:szCs w:val="18"/>
    </w:rPr>
  </w:style>
  <w:style w:type="paragraph" w:customStyle="1" w:styleId="165">
    <w:name w:val="xl2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Cs w:val="21"/>
    </w:rPr>
  </w:style>
  <w:style w:type="paragraph" w:customStyle="1" w:styleId="166">
    <w:name w:val="默认段落字体 Para Char Char Char Char Char Char Char Char Char1 Char Char Char Char"/>
    <w:basedOn w:val="1"/>
    <w:qFormat/>
    <w:uiPriority w:val="99"/>
    <w:pPr>
      <w:widowControl/>
    </w:pPr>
    <w:rPr>
      <w:rFonts w:ascii="Tahoma" w:hAnsi="Tahoma" w:eastAsia="宋体" w:cs="Times New Roman"/>
      <w:kern w:val="0"/>
      <w:sz w:val="24"/>
      <w:szCs w:val="24"/>
    </w:rPr>
  </w:style>
  <w:style w:type="paragraph" w:customStyle="1" w:styleId="167">
    <w:name w:val="xl35"/>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68">
    <w:name w:val="xl2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6"/>
      <w:szCs w:val="16"/>
    </w:rPr>
  </w:style>
  <w:style w:type="paragraph" w:customStyle="1" w:styleId="169">
    <w:name w:val="表内文字"/>
    <w:basedOn w:val="1"/>
    <w:qFormat/>
    <w:uiPriority w:val="99"/>
    <w:pPr>
      <w:widowControl/>
      <w:snapToGrid w:val="0"/>
      <w:spacing w:before="50" w:after="50"/>
      <w:jc w:val="center"/>
    </w:pPr>
    <w:rPr>
      <w:rFonts w:ascii="仿宋_GB2312" w:hAnsi="宋体" w:eastAsia="仿宋_GB2312" w:cs="Times New Roman"/>
      <w:b/>
      <w:color w:val="000000"/>
      <w:kern w:val="0"/>
      <w:sz w:val="32"/>
      <w:szCs w:val="32"/>
    </w:rPr>
  </w:style>
  <w:style w:type="paragraph" w:customStyle="1" w:styleId="170">
    <w:name w:val="xl7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71">
    <w:name w:val="Pa8"/>
    <w:basedOn w:val="1"/>
    <w:next w:val="1"/>
    <w:qFormat/>
    <w:uiPriority w:val="99"/>
    <w:pPr>
      <w:widowControl/>
      <w:autoSpaceDE w:val="0"/>
      <w:autoSpaceDN w:val="0"/>
      <w:spacing w:line="171" w:lineRule="atLeast"/>
      <w:jc w:val="left"/>
    </w:pPr>
    <w:rPr>
      <w:rFonts w:ascii="Roboto Light" w:hAnsi="等线" w:eastAsia="Roboto Light" w:cs="Times New Roman"/>
      <w:kern w:val="0"/>
      <w:sz w:val="24"/>
      <w:szCs w:val="24"/>
    </w:rPr>
  </w:style>
  <w:style w:type="paragraph" w:customStyle="1" w:styleId="172">
    <w:name w:val="xl4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73">
    <w:name w:val="xl7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alibri" w:hAnsi="Calibri" w:eastAsia="宋体" w:cs="Times New Roman"/>
      <w:kern w:val="0"/>
      <w:sz w:val="18"/>
      <w:szCs w:val="18"/>
    </w:rPr>
  </w:style>
  <w:style w:type="paragraph" w:customStyle="1" w:styleId="174">
    <w:name w:val="Char Char Char Char Char Char"/>
    <w:basedOn w:val="1"/>
    <w:qFormat/>
    <w:uiPriority w:val="99"/>
    <w:pPr>
      <w:widowControl/>
    </w:pPr>
    <w:rPr>
      <w:rFonts w:ascii="Calibri" w:hAnsi="Calibri" w:eastAsia="宋体" w:cs="Times New Roman"/>
      <w:kern w:val="0"/>
      <w:szCs w:val="21"/>
    </w:rPr>
  </w:style>
  <w:style w:type="paragraph" w:customStyle="1" w:styleId="175">
    <w:name w:val="xl56"/>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176">
    <w:name w:val="xl7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177">
    <w:name w:val="xl4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6"/>
      <w:szCs w:val="16"/>
    </w:rPr>
  </w:style>
  <w:style w:type="paragraph" w:customStyle="1" w:styleId="178">
    <w:name w:val="xl2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79">
    <w:name w:val="xl55"/>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6"/>
      <w:szCs w:val="16"/>
    </w:rPr>
  </w:style>
  <w:style w:type="paragraph" w:customStyle="1" w:styleId="180">
    <w:name w:val="font9"/>
    <w:basedOn w:val="1"/>
    <w:qFormat/>
    <w:uiPriority w:val="99"/>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181">
    <w:name w:val="xl4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宋体" w:eastAsia="黑体" w:cs="宋体"/>
      <w:b/>
      <w:kern w:val="0"/>
      <w:sz w:val="18"/>
      <w:szCs w:val="18"/>
    </w:rPr>
  </w:style>
  <w:style w:type="paragraph" w:customStyle="1" w:styleId="182">
    <w:name w:val="xl3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xl8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FF"/>
      <w:kern w:val="0"/>
      <w:sz w:val="24"/>
      <w:szCs w:val="24"/>
    </w:rPr>
  </w:style>
  <w:style w:type="paragraph" w:customStyle="1" w:styleId="184">
    <w:name w:val="xl8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185">
    <w:name w:val="xl37"/>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eastAsia="宋体" w:cs="宋体"/>
      <w:kern w:val="0"/>
      <w:sz w:val="16"/>
      <w:szCs w:val="16"/>
    </w:rPr>
  </w:style>
  <w:style w:type="paragraph" w:customStyle="1" w:styleId="186">
    <w:name w:val="样式 标题 2 + Times New Roman 四号 非加粗 段前: 5 磅 段后: 0 磅 行距: 固定值 20..."/>
    <w:basedOn w:val="4"/>
    <w:qFormat/>
    <w:uiPriority w:val="99"/>
    <w:pPr>
      <w:spacing w:before="100" w:line="400" w:lineRule="exact"/>
    </w:pPr>
    <w:rPr>
      <w:rFonts w:ascii="Times New Roman" w:hAnsi="Times New Roman" w:cs="宋体"/>
      <w:b w:val="0"/>
      <w:sz w:val="28"/>
      <w:szCs w:val="28"/>
    </w:rPr>
  </w:style>
  <w:style w:type="paragraph" w:customStyle="1" w:styleId="187">
    <w:name w:val="样式 首行缩进:  2 字符"/>
    <w:basedOn w:val="1"/>
    <w:qFormat/>
    <w:uiPriority w:val="99"/>
    <w:pPr>
      <w:widowControl/>
      <w:spacing w:line="400" w:lineRule="exact"/>
      <w:ind w:firstLine="200"/>
    </w:pPr>
    <w:rPr>
      <w:rFonts w:ascii="Calibri" w:hAnsi="Calibri" w:eastAsia="宋体" w:cs="宋体"/>
      <w:kern w:val="0"/>
      <w:sz w:val="24"/>
      <w:szCs w:val="24"/>
    </w:rPr>
  </w:style>
  <w:style w:type="paragraph" w:customStyle="1" w:styleId="188">
    <w:name w:val="xl4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alibri" w:hAnsi="Calibri" w:eastAsia="宋体" w:cs="Times New Roman"/>
      <w:kern w:val="0"/>
      <w:sz w:val="16"/>
      <w:szCs w:val="16"/>
    </w:rPr>
  </w:style>
  <w:style w:type="paragraph" w:customStyle="1" w:styleId="189">
    <w:name w:val="font5"/>
    <w:basedOn w:val="1"/>
    <w:qFormat/>
    <w:uiPriority w:val="99"/>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90">
    <w:name w:val="xl6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Times New Roman"/>
      <w:kern w:val="0"/>
      <w:sz w:val="20"/>
      <w:szCs w:val="20"/>
    </w:rPr>
  </w:style>
  <w:style w:type="paragraph" w:customStyle="1" w:styleId="191">
    <w:name w:val="Char2"/>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192">
    <w:name w:val="xl2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alibri" w:hAnsi="Calibri" w:eastAsia="宋体" w:cs="Times New Roman"/>
      <w:kern w:val="0"/>
      <w:sz w:val="16"/>
      <w:szCs w:val="16"/>
    </w:rPr>
  </w:style>
  <w:style w:type="paragraph" w:customStyle="1" w:styleId="193">
    <w:name w:val="xl86"/>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left"/>
    </w:pPr>
    <w:rPr>
      <w:rFonts w:ascii="宋体" w:hAnsi="宋体" w:eastAsia="宋体" w:cs="宋体"/>
      <w:kern w:val="0"/>
      <w:sz w:val="20"/>
      <w:szCs w:val="20"/>
    </w:rPr>
  </w:style>
  <w:style w:type="paragraph" w:customStyle="1" w:styleId="194">
    <w:name w:val="xl6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195">
    <w:name w:val="xl57"/>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196">
    <w:name w:val="列出段落2"/>
    <w:basedOn w:val="1"/>
    <w:qFormat/>
    <w:uiPriority w:val="99"/>
    <w:pPr>
      <w:widowControl/>
      <w:spacing w:after="200" w:line="276" w:lineRule="auto"/>
      <w:ind w:left="720"/>
      <w:contextualSpacing/>
      <w:jc w:val="left"/>
    </w:pPr>
    <w:rPr>
      <w:rFonts w:ascii="Calibri" w:hAnsi="Calibri" w:eastAsia="宋体" w:cs="Times New Roman"/>
      <w:kern w:val="0"/>
      <w:sz w:val="22"/>
    </w:rPr>
  </w:style>
  <w:style w:type="paragraph" w:customStyle="1" w:styleId="197">
    <w:name w:val="xl2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198">
    <w:name w:val="xl8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199">
    <w:name w:val="font10"/>
    <w:basedOn w:val="1"/>
    <w:qFormat/>
    <w:uiPriority w:val="99"/>
    <w:pPr>
      <w:widowControl/>
      <w:spacing w:before="100" w:beforeAutospacing="1" w:after="100" w:afterAutospacing="1"/>
      <w:jc w:val="left"/>
    </w:pPr>
    <w:rPr>
      <w:rFonts w:ascii="Calibri" w:hAnsi="Calibri" w:eastAsia="宋体" w:cs="Times New Roman"/>
      <w:kern w:val="0"/>
      <w:sz w:val="20"/>
      <w:szCs w:val="20"/>
    </w:rPr>
  </w:style>
  <w:style w:type="paragraph" w:customStyle="1" w:styleId="200">
    <w:name w:val="Char Char6"/>
    <w:basedOn w:val="16"/>
    <w:qFormat/>
    <w:uiPriority w:val="99"/>
  </w:style>
  <w:style w:type="paragraph" w:customStyle="1" w:styleId="201">
    <w:name w:val="xl5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kern w:val="0"/>
      <w:sz w:val="18"/>
      <w:szCs w:val="18"/>
    </w:rPr>
  </w:style>
  <w:style w:type="paragraph" w:customStyle="1" w:styleId="202">
    <w:name w:val="xl5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203">
    <w:name w:val="xl36"/>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eastAsia="宋体" w:cs="宋体"/>
      <w:kern w:val="0"/>
      <w:szCs w:val="21"/>
    </w:rPr>
  </w:style>
  <w:style w:type="paragraph" w:customStyle="1" w:styleId="204">
    <w:name w:val="xl85"/>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F00FF"/>
      <w:spacing w:before="100" w:beforeAutospacing="1" w:after="100" w:afterAutospacing="1"/>
      <w:jc w:val="left"/>
    </w:pPr>
    <w:rPr>
      <w:rFonts w:ascii="宋体" w:hAnsi="宋体" w:eastAsia="宋体" w:cs="宋体"/>
      <w:color w:val="0000FF"/>
      <w:kern w:val="0"/>
      <w:szCs w:val="21"/>
    </w:rPr>
  </w:style>
  <w:style w:type="paragraph" w:customStyle="1" w:styleId="205">
    <w:name w:val="xl4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206">
    <w:name w:val="表格"/>
    <w:basedOn w:val="1"/>
    <w:qFormat/>
    <w:uiPriority w:val="99"/>
    <w:pPr>
      <w:widowControl/>
      <w:spacing w:line="400" w:lineRule="exact"/>
    </w:pPr>
    <w:rPr>
      <w:rFonts w:ascii="Calibri" w:hAnsi="Calibri" w:eastAsia="宋体" w:cs="Times New Roman"/>
      <w:kern w:val="0"/>
      <w:sz w:val="24"/>
      <w:szCs w:val="24"/>
    </w:rPr>
  </w:style>
  <w:style w:type="paragraph" w:customStyle="1" w:styleId="207">
    <w:name w:val="xl4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208">
    <w:name w:val="样式"/>
    <w:qFormat/>
    <w:uiPriority w:val="99"/>
    <w:pPr>
      <w:autoSpaceDE w:val="0"/>
      <w:autoSpaceDN w:val="0"/>
    </w:pPr>
    <w:rPr>
      <w:rFonts w:ascii="宋体" w:hAnsi="宋体" w:eastAsia="宋体" w:cs="宋体"/>
      <w:sz w:val="24"/>
      <w:szCs w:val="24"/>
      <w:lang w:val="en-US" w:eastAsia="zh-CN" w:bidi="ar-SA"/>
    </w:rPr>
  </w:style>
  <w:style w:type="table" w:customStyle="1" w:styleId="209">
    <w:name w:val="网格型1"/>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0">
    <w:name w:val="修订3"/>
    <w:hidden/>
    <w:semiHidden/>
    <w:qFormat/>
    <w:uiPriority w:val="99"/>
    <w:rPr>
      <w:rFonts w:ascii="Times New Roman" w:hAnsi="Times New Roman" w:eastAsia="宋体" w:cs="Times New Roman"/>
      <w:sz w:val="21"/>
      <w:szCs w:val="21"/>
      <w:lang w:val="en-US" w:eastAsia="zh-CN" w:bidi="ar-SA"/>
    </w:rPr>
  </w:style>
  <w:style w:type="paragraph" w:customStyle="1" w:styleId="211">
    <w:name w:val="制度正文"/>
    <w:basedOn w:val="1"/>
    <w:qFormat/>
    <w:uiPriority w:val="0"/>
    <w:pPr>
      <w:adjustRightInd w:val="0"/>
      <w:snapToGrid w:val="0"/>
      <w:spacing w:line="360" w:lineRule="auto"/>
      <w:ind w:firstLine="200" w:firstLineChars="200"/>
    </w:pPr>
    <w:rPr>
      <w:rFonts w:ascii="仿宋" w:hAnsi="仿宋" w:eastAsia="仿宋"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5204</Words>
  <Characters>29666</Characters>
  <Lines>247</Lines>
  <Paragraphs>69</Paragraphs>
  <TotalTime>11</TotalTime>
  <ScaleCrop>false</ScaleCrop>
  <LinksUpToDate>false</LinksUpToDate>
  <CharactersWithSpaces>34801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2021-07-27T04:53:00Z</dcterms:created>
  <dc:creator>Microsoft</dc:creator>
  <cp:lastModifiedBy>Administrator</cp:lastModifiedBy>
  <dcterms:modified xsi:type="dcterms:W3CDTF">2021-08-03T10:26:22Z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9326F791C33249E4915CF66E82C49A47</vt:lpwstr>
  </property>
</Properties>
</file>