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ascii="宋体" w:hAnsi="宋体" w:eastAsia="宋体"/>
          <w:sz w:val="24"/>
          <w:szCs w:val="24"/>
        </w:rPr>
      </w:pPr>
      <w:bookmarkStart w:id="0" w:name="page1"/>
      <w:bookmarkEnd w:id="0"/>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310" w:lineRule="exact"/>
        <w:rPr>
          <w:rFonts w:ascii="宋体" w:hAnsi="宋体" w:eastAsia="宋体"/>
          <w:sz w:val="24"/>
          <w:szCs w:val="24"/>
        </w:rPr>
      </w:pPr>
    </w:p>
    <w:p>
      <w:pPr>
        <w:jc w:val="center"/>
        <w:rPr>
          <w:rFonts w:hint="eastAsia" w:ascii="宋体" w:hAnsi="宋体" w:eastAsia="宋体" w:cs="宋体"/>
          <w:b/>
          <w:bCs/>
          <w:color w:val="auto"/>
          <w:sz w:val="60"/>
          <w:szCs w:val="60"/>
          <w:lang w:eastAsia="zh-CN"/>
        </w:rPr>
      </w:pPr>
      <w:r>
        <w:rPr>
          <w:rFonts w:hint="eastAsia" w:ascii="宋体" w:hAnsi="宋体" w:eastAsia="宋体" w:cs="宋体"/>
          <w:b/>
          <w:bCs/>
          <w:color w:val="auto"/>
          <w:sz w:val="60"/>
          <w:szCs w:val="60"/>
          <w:lang w:eastAsia="zh-CN"/>
        </w:rPr>
        <w:t>广西八桂建设项目管理有限公司</w:t>
      </w:r>
    </w:p>
    <w:p>
      <w:pPr>
        <w:jc w:val="center"/>
        <w:rPr>
          <w:rFonts w:hint="eastAsia" w:ascii="宋体" w:hAnsi="宋体" w:eastAsia="宋体" w:cs="宋体"/>
          <w:b/>
          <w:bCs/>
          <w:color w:val="auto"/>
          <w:sz w:val="60"/>
          <w:szCs w:val="60"/>
          <w:lang w:eastAsia="zh-CN"/>
        </w:rPr>
      </w:pPr>
    </w:p>
    <w:p>
      <w:pPr>
        <w:jc w:val="center"/>
        <w:rPr>
          <w:color w:val="auto"/>
          <w:sz w:val="20"/>
          <w:szCs w:val="20"/>
        </w:rPr>
      </w:pPr>
      <w:r>
        <w:rPr>
          <w:rFonts w:ascii="宋体" w:hAnsi="宋体" w:eastAsia="宋体" w:cs="宋体"/>
          <w:b/>
          <w:bCs/>
          <w:color w:val="auto"/>
          <w:sz w:val="100"/>
          <w:szCs w:val="100"/>
        </w:rPr>
        <w:t>竞争性磋商文件</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33" w:lineRule="exact"/>
        <w:rPr>
          <w:color w:val="auto"/>
          <w:sz w:val="24"/>
          <w:szCs w:val="24"/>
        </w:rPr>
      </w:pPr>
    </w:p>
    <w:p>
      <w:pPr>
        <w:spacing w:after="0" w:line="439" w:lineRule="exact"/>
        <w:ind w:right="134" w:rightChars="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32"/>
          <w:szCs w:val="32"/>
          <w:lang w:val="en-US" w:eastAsia="zh-CN"/>
        </w:rPr>
        <w:t xml:space="preserve">   </w:t>
      </w:r>
      <w:r>
        <w:rPr>
          <w:rFonts w:ascii="宋体" w:hAnsi="宋体" w:eastAsia="宋体" w:cs="宋体"/>
          <w:b/>
          <w:bCs/>
          <w:color w:val="auto"/>
          <w:sz w:val="32"/>
          <w:szCs w:val="32"/>
        </w:rPr>
        <w:t>项目名称：</w:t>
      </w:r>
      <w:r>
        <w:rPr>
          <w:rFonts w:hint="eastAsia" w:ascii="宋体" w:hAnsi="宋体" w:eastAsia="宋体" w:cs="宋体"/>
          <w:b/>
          <w:bCs/>
          <w:color w:val="auto"/>
          <w:sz w:val="32"/>
          <w:szCs w:val="32"/>
          <w:lang w:eastAsia="zh-CN"/>
        </w:rPr>
        <w:t>灵川县三街镇人民政府雪亮工程</w:t>
      </w:r>
    </w:p>
    <w:p>
      <w:pPr>
        <w:spacing w:after="0" w:line="439" w:lineRule="exact"/>
        <w:ind w:right="-86" w:rightChars="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 </w:t>
      </w:r>
      <w:r>
        <w:rPr>
          <w:rFonts w:ascii="宋体" w:hAnsi="宋体" w:eastAsia="宋体" w:cs="宋体"/>
          <w:b/>
          <w:bCs/>
          <w:color w:val="auto"/>
          <w:sz w:val="32"/>
          <w:szCs w:val="32"/>
        </w:rPr>
        <w:t>项目编号：</w:t>
      </w:r>
      <w:r>
        <w:rPr>
          <w:rFonts w:hint="eastAsia" w:ascii="宋体" w:hAnsi="宋体" w:eastAsia="宋体" w:cs="宋体"/>
          <w:b/>
          <w:bCs/>
          <w:color w:val="auto"/>
          <w:sz w:val="32"/>
          <w:szCs w:val="32"/>
          <w:lang w:eastAsia="zh-CN"/>
        </w:rPr>
        <w:t>GLZC2020-C3-230039-GXBG</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51" w:lineRule="exact"/>
        <w:rPr>
          <w:color w:val="auto"/>
          <w:sz w:val="24"/>
          <w:szCs w:val="24"/>
        </w:rPr>
      </w:pPr>
    </w:p>
    <w:p>
      <w:pPr>
        <w:spacing w:after="0" w:line="366" w:lineRule="exact"/>
        <w:ind w:right="6"/>
        <w:jc w:val="center"/>
        <w:rPr>
          <w:rFonts w:hint="eastAsia" w:eastAsia="宋体"/>
          <w:color w:val="auto"/>
          <w:sz w:val="20"/>
          <w:szCs w:val="20"/>
          <w:lang w:eastAsia="zh-CN"/>
        </w:rPr>
      </w:pPr>
      <w:r>
        <w:rPr>
          <w:rFonts w:ascii="宋体" w:hAnsi="宋体" w:eastAsia="宋体" w:cs="宋体"/>
          <w:b/>
          <w:bCs/>
          <w:color w:val="auto"/>
          <w:sz w:val="32"/>
          <w:szCs w:val="32"/>
        </w:rPr>
        <w:t>采购代理机构：</w:t>
      </w:r>
      <w:r>
        <w:rPr>
          <w:rFonts w:hint="eastAsia" w:ascii="宋体" w:hAnsi="宋体" w:eastAsia="宋体" w:cs="宋体"/>
          <w:b/>
          <w:bCs/>
          <w:color w:val="auto"/>
          <w:sz w:val="32"/>
          <w:szCs w:val="32"/>
          <w:lang w:eastAsia="zh-CN"/>
        </w:rPr>
        <w:t>广西八桂建设项目管理有限公司</w:t>
      </w:r>
    </w:p>
    <w:p>
      <w:pPr>
        <w:spacing w:after="0" w:line="155" w:lineRule="exact"/>
        <w:rPr>
          <w:color w:val="auto"/>
          <w:sz w:val="24"/>
          <w:szCs w:val="24"/>
        </w:rPr>
      </w:pPr>
    </w:p>
    <w:p>
      <w:pPr>
        <w:spacing w:after="0" w:line="366" w:lineRule="exact"/>
        <w:ind w:right="6"/>
        <w:jc w:val="center"/>
        <w:rPr>
          <w:color w:val="auto"/>
          <w:sz w:val="20"/>
          <w:szCs w:val="20"/>
        </w:rPr>
      </w:pPr>
      <w:r>
        <w:rPr>
          <w:rFonts w:hint="eastAsia" w:ascii="宋体" w:hAnsi="宋体" w:eastAsia="宋体" w:cs="宋体"/>
          <w:b/>
          <w:bCs/>
          <w:color w:val="auto"/>
          <w:sz w:val="32"/>
          <w:szCs w:val="32"/>
          <w:lang w:eastAsia="zh-CN"/>
        </w:rPr>
        <w:t>2020</w:t>
      </w:r>
      <w:r>
        <w:rPr>
          <w:rFonts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9</w:t>
      </w:r>
      <w:r>
        <w:rPr>
          <w:rFonts w:ascii="宋体" w:hAnsi="宋体" w:eastAsia="宋体" w:cs="宋体"/>
          <w:b/>
          <w:bCs/>
          <w:color w:val="auto"/>
          <w:sz w:val="32"/>
          <w:szCs w:val="32"/>
        </w:rPr>
        <w:t xml:space="preserve"> 月</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line="200" w:lineRule="exact"/>
        <w:rPr>
          <w:rFonts w:ascii="宋体" w:hAnsi="宋体" w:eastAsia="宋体"/>
          <w:sz w:val="36"/>
          <w:szCs w:val="36"/>
        </w:rPr>
      </w:pPr>
    </w:p>
    <w:p>
      <w:pPr>
        <w:pStyle w:val="2"/>
      </w:pPr>
    </w:p>
    <w:p>
      <w:pPr>
        <w:spacing w:line="200" w:lineRule="exact"/>
        <w:rPr>
          <w:rFonts w:ascii="宋体" w:hAnsi="宋体" w:eastAsia="宋体"/>
          <w:sz w:val="24"/>
          <w:szCs w:val="24"/>
        </w:rPr>
      </w:pPr>
    </w:p>
    <w:p>
      <w:pPr>
        <w:spacing w:line="200" w:lineRule="exact"/>
        <w:rPr>
          <w:rFonts w:ascii="宋体" w:hAnsi="宋体" w:eastAsia="宋体"/>
          <w:sz w:val="24"/>
          <w:szCs w:val="24"/>
        </w:rPr>
      </w:pPr>
      <w:bookmarkStart w:id="1" w:name="page2"/>
      <w:bookmarkEnd w:id="1"/>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326" w:lineRule="exact"/>
        <w:rPr>
          <w:rFonts w:ascii="宋体" w:hAnsi="宋体" w:eastAsia="宋体"/>
          <w:sz w:val="24"/>
          <w:szCs w:val="24"/>
        </w:rPr>
      </w:pPr>
    </w:p>
    <w:p>
      <w:pPr>
        <w:spacing w:line="326" w:lineRule="exact"/>
        <w:rPr>
          <w:rFonts w:ascii="宋体" w:hAnsi="宋体" w:eastAsia="宋体"/>
          <w:sz w:val="24"/>
          <w:szCs w:val="24"/>
        </w:rPr>
      </w:pPr>
    </w:p>
    <w:p>
      <w:pPr>
        <w:tabs>
          <w:tab w:val="left" w:pos="1080"/>
        </w:tabs>
        <w:spacing w:line="502" w:lineRule="exact"/>
        <w:jc w:val="both"/>
        <w:rPr>
          <w:rFonts w:ascii="宋体" w:hAnsi="宋体" w:eastAsia="宋体" w:cs="宋体"/>
          <w:sz w:val="24"/>
          <w:szCs w:val="24"/>
        </w:rPr>
      </w:pPr>
    </w:p>
    <w:p>
      <w:pPr>
        <w:tabs>
          <w:tab w:val="left" w:pos="1080"/>
        </w:tabs>
        <w:spacing w:after="0" w:line="502" w:lineRule="exact"/>
        <w:jc w:val="center"/>
        <w:rPr>
          <w:color w:val="auto"/>
          <w:sz w:val="20"/>
          <w:szCs w:val="20"/>
        </w:rPr>
      </w:pPr>
      <w:r>
        <w:rPr>
          <w:rFonts w:ascii="宋体" w:hAnsi="宋体" w:eastAsia="宋体" w:cs="宋体"/>
          <w:color w:val="auto"/>
          <w:sz w:val="44"/>
          <w:szCs w:val="44"/>
        </w:rPr>
        <w:t>目</w:t>
      </w:r>
      <w:r>
        <w:rPr>
          <w:rFonts w:ascii="宋体" w:hAnsi="宋体" w:eastAsia="宋体" w:cs="宋体"/>
          <w:color w:val="auto"/>
          <w:sz w:val="44"/>
          <w:szCs w:val="44"/>
        </w:rPr>
        <w:tab/>
      </w:r>
      <w:r>
        <w:rPr>
          <w:rFonts w:ascii="宋体" w:hAnsi="宋体" w:eastAsia="宋体" w:cs="宋体"/>
          <w:color w:val="auto"/>
          <w:sz w:val="44"/>
          <w:szCs w:val="44"/>
        </w:rPr>
        <w:t>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tabs>
          <w:tab w:val="left" w:leader="dot" w:pos="8040"/>
        </w:tabs>
        <w:spacing w:after="0" w:line="366" w:lineRule="exact"/>
        <w:ind w:left="540"/>
        <w:rPr>
          <w:color w:val="auto"/>
          <w:sz w:val="20"/>
          <w:szCs w:val="20"/>
        </w:rPr>
      </w:pPr>
      <w:r>
        <w:rPr>
          <w:rFonts w:ascii="宋体" w:hAnsi="宋体" w:eastAsia="宋体" w:cs="宋体"/>
          <w:color w:val="auto"/>
          <w:sz w:val="32"/>
          <w:szCs w:val="32"/>
        </w:rPr>
        <w:t>第一章：竞争性磋商公告</w:t>
      </w:r>
      <w:r>
        <w:rPr>
          <w:color w:val="auto"/>
          <w:sz w:val="20"/>
          <w:szCs w:val="20"/>
        </w:rPr>
        <w:tab/>
      </w:r>
      <w:r>
        <w:rPr>
          <w:rFonts w:ascii="宋体" w:hAnsi="宋体" w:eastAsia="宋体" w:cs="宋体"/>
          <w:color w:val="auto"/>
          <w:sz w:val="32"/>
          <w:szCs w:val="32"/>
        </w:rPr>
        <w:t>3</w:t>
      </w:r>
    </w:p>
    <w:p>
      <w:pPr>
        <w:spacing w:after="0" w:line="335" w:lineRule="exact"/>
        <w:rPr>
          <w:color w:val="auto"/>
          <w:sz w:val="20"/>
          <w:szCs w:val="20"/>
        </w:rPr>
      </w:pPr>
    </w:p>
    <w:p>
      <w:pPr>
        <w:tabs>
          <w:tab w:val="left" w:leader="dot" w:pos="8040"/>
        </w:tabs>
        <w:spacing w:after="0" w:line="366" w:lineRule="exact"/>
        <w:ind w:left="540"/>
        <w:rPr>
          <w:color w:val="auto"/>
          <w:sz w:val="20"/>
          <w:szCs w:val="20"/>
        </w:rPr>
      </w:pPr>
      <w:r>
        <w:rPr>
          <w:rFonts w:ascii="宋体" w:hAnsi="宋体" w:eastAsia="宋体" w:cs="宋体"/>
          <w:color w:val="auto"/>
          <w:sz w:val="32"/>
          <w:szCs w:val="32"/>
        </w:rPr>
        <w:t>第二章：磋商供应商须知及前附表</w:t>
      </w:r>
      <w:r>
        <w:rPr>
          <w:color w:val="auto"/>
          <w:sz w:val="20"/>
          <w:szCs w:val="20"/>
        </w:rPr>
        <w:tab/>
      </w:r>
      <w:r>
        <w:rPr>
          <w:rFonts w:ascii="宋体" w:hAnsi="宋体" w:eastAsia="宋体" w:cs="宋体"/>
          <w:color w:val="auto"/>
          <w:sz w:val="32"/>
          <w:szCs w:val="32"/>
        </w:rPr>
        <w:t>5</w:t>
      </w:r>
    </w:p>
    <w:p>
      <w:pPr>
        <w:spacing w:after="0" w:line="335" w:lineRule="exact"/>
        <w:rPr>
          <w:color w:val="auto"/>
          <w:sz w:val="20"/>
          <w:szCs w:val="20"/>
        </w:rPr>
      </w:pPr>
    </w:p>
    <w:p>
      <w:pPr>
        <w:tabs>
          <w:tab w:val="left" w:leader="dot" w:pos="8040"/>
        </w:tabs>
        <w:spacing w:after="0" w:line="366" w:lineRule="exact"/>
        <w:ind w:left="540"/>
        <w:rPr>
          <w:color w:val="auto"/>
          <w:sz w:val="20"/>
          <w:szCs w:val="20"/>
        </w:rPr>
      </w:pPr>
      <w:r>
        <w:rPr>
          <w:rFonts w:ascii="宋体" w:hAnsi="宋体" w:eastAsia="宋体" w:cs="宋体"/>
          <w:color w:val="auto"/>
          <w:sz w:val="32"/>
          <w:szCs w:val="32"/>
        </w:rPr>
        <w:t>第三章：采购需求</w:t>
      </w:r>
      <w:r>
        <w:rPr>
          <w:color w:val="auto"/>
          <w:sz w:val="20"/>
          <w:szCs w:val="20"/>
        </w:rPr>
        <w:tab/>
      </w:r>
      <w:r>
        <w:rPr>
          <w:rFonts w:ascii="宋体" w:hAnsi="宋体" w:eastAsia="宋体" w:cs="宋体"/>
          <w:color w:val="auto"/>
          <w:sz w:val="32"/>
          <w:szCs w:val="32"/>
        </w:rPr>
        <w:t>18</w:t>
      </w:r>
    </w:p>
    <w:p>
      <w:pPr>
        <w:spacing w:after="0" w:line="336" w:lineRule="exact"/>
        <w:rPr>
          <w:color w:val="auto"/>
          <w:sz w:val="20"/>
          <w:szCs w:val="20"/>
        </w:rPr>
      </w:pPr>
    </w:p>
    <w:p>
      <w:pPr>
        <w:tabs>
          <w:tab w:val="left" w:leader="dot" w:pos="8040"/>
        </w:tabs>
        <w:spacing w:after="0" w:line="366" w:lineRule="exact"/>
        <w:ind w:left="540"/>
        <w:rPr>
          <w:color w:val="auto"/>
          <w:sz w:val="20"/>
          <w:szCs w:val="20"/>
        </w:rPr>
      </w:pPr>
      <w:r>
        <w:rPr>
          <w:rFonts w:ascii="宋体" w:hAnsi="宋体" w:eastAsia="宋体" w:cs="宋体"/>
          <w:color w:val="auto"/>
          <w:sz w:val="32"/>
          <w:szCs w:val="32"/>
        </w:rPr>
        <w:t>第四章：评审办法</w:t>
      </w:r>
      <w:r>
        <w:rPr>
          <w:color w:val="auto"/>
          <w:sz w:val="20"/>
          <w:szCs w:val="20"/>
        </w:rPr>
        <w:tab/>
      </w:r>
      <w:r>
        <w:rPr>
          <w:rFonts w:ascii="宋体" w:hAnsi="宋体" w:eastAsia="宋体" w:cs="宋体"/>
          <w:color w:val="auto"/>
          <w:sz w:val="32"/>
          <w:szCs w:val="32"/>
        </w:rPr>
        <w:t>24</w:t>
      </w:r>
    </w:p>
    <w:p>
      <w:pPr>
        <w:spacing w:after="0" w:line="335" w:lineRule="exact"/>
        <w:rPr>
          <w:color w:val="auto"/>
          <w:sz w:val="20"/>
          <w:szCs w:val="20"/>
        </w:rPr>
      </w:pPr>
    </w:p>
    <w:p>
      <w:pPr>
        <w:tabs>
          <w:tab w:val="left" w:leader="dot" w:pos="8040"/>
        </w:tabs>
        <w:spacing w:after="0" w:line="366" w:lineRule="exact"/>
        <w:ind w:left="540"/>
        <w:rPr>
          <w:color w:val="auto"/>
          <w:sz w:val="20"/>
          <w:szCs w:val="20"/>
        </w:rPr>
      </w:pPr>
      <w:r>
        <w:rPr>
          <w:rFonts w:ascii="宋体" w:hAnsi="宋体" w:eastAsia="宋体" w:cs="宋体"/>
          <w:color w:val="auto"/>
          <w:sz w:val="32"/>
          <w:szCs w:val="32"/>
        </w:rPr>
        <w:t>第五章：采购合同（合同主要条款及格式）</w:t>
      </w:r>
      <w:r>
        <w:rPr>
          <w:color w:val="auto"/>
          <w:sz w:val="20"/>
          <w:szCs w:val="20"/>
        </w:rPr>
        <w:tab/>
      </w:r>
      <w:r>
        <w:rPr>
          <w:rFonts w:ascii="宋体" w:hAnsi="宋体" w:eastAsia="宋体" w:cs="宋体"/>
          <w:color w:val="auto"/>
          <w:sz w:val="32"/>
          <w:szCs w:val="32"/>
        </w:rPr>
        <w:t>27</w:t>
      </w:r>
    </w:p>
    <w:p>
      <w:pPr>
        <w:spacing w:after="0" w:line="335" w:lineRule="exact"/>
        <w:rPr>
          <w:color w:val="auto"/>
          <w:sz w:val="20"/>
          <w:szCs w:val="20"/>
        </w:rPr>
      </w:pPr>
    </w:p>
    <w:p>
      <w:pPr>
        <w:tabs>
          <w:tab w:val="left" w:leader="dot" w:pos="8040"/>
        </w:tabs>
        <w:spacing w:after="0" w:line="366" w:lineRule="exact"/>
        <w:ind w:left="540"/>
        <w:rPr>
          <w:color w:val="auto"/>
          <w:sz w:val="20"/>
          <w:szCs w:val="20"/>
        </w:rPr>
      </w:pPr>
      <w:r>
        <w:rPr>
          <w:rFonts w:ascii="宋体" w:hAnsi="宋体" w:eastAsia="宋体" w:cs="宋体"/>
          <w:color w:val="auto"/>
          <w:sz w:val="32"/>
          <w:szCs w:val="32"/>
        </w:rPr>
        <w:t>第六章：响应文件（格式）</w:t>
      </w:r>
      <w:r>
        <w:rPr>
          <w:color w:val="auto"/>
          <w:sz w:val="20"/>
          <w:szCs w:val="20"/>
        </w:rPr>
        <w:tab/>
      </w:r>
      <w:r>
        <w:rPr>
          <w:rFonts w:ascii="宋体" w:hAnsi="宋体" w:eastAsia="宋体" w:cs="宋体"/>
          <w:color w:val="auto"/>
          <w:sz w:val="32"/>
          <w:szCs w:val="32"/>
        </w:rPr>
        <w:t>29</w:t>
      </w:r>
    </w:p>
    <w:p>
      <w:pPr>
        <w:spacing w:line="200" w:lineRule="exact"/>
        <w:rPr>
          <w:rFonts w:ascii="宋体" w:hAnsi="宋体" w:eastAsia="宋体"/>
          <w:sz w:val="32"/>
          <w:szCs w:val="32"/>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391" w:lineRule="exact"/>
        <w:rPr>
          <w:rFonts w:ascii="宋体" w:hAnsi="宋体" w:eastAsia="宋体"/>
          <w:sz w:val="24"/>
          <w:szCs w:val="24"/>
        </w:rPr>
      </w:pPr>
    </w:p>
    <w:p>
      <w:pPr>
        <w:spacing w:line="366" w:lineRule="exact"/>
        <w:jc w:val="center"/>
        <w:rPr>
          <w:rFonts w:ascii="宋体" w:hAnsi="宋体" w:eastAsia="宋体" w:cs="宋体"/>
          <w:b/>
          <w:bCs/>
          <w:sz w:val="24"/>
          <w:szCs w:val="24"/>
        </w:rPr>
      </w:pPr>
      <w:bookmarkStart w:id="2" w:name="page3"/>
      <w:bookmarkEnd w:id="2"/>
    </w:p>
    <w:p>
      <w:pPr>
        <w:spacing w:line="366" w:lineRule="exact"/>
        <w:jc w:val="center"/>
        <w:rPr>
          <w:rFonts w:ascii="宋体" w:hAnsi="宋体" w:eastAsia="宋体" w:cs="宋体"/>
          <w:b/>
          <w:bCs/>
          <w:sz w:val="24"/>
          <w:szCs w:val="24"/>
        </w:rPr>
      </w:pPr>
    </w:p>
    <w:p>
      <w:pPr>
        <w:spacing w:line="366" w:lineRule="exact"/>
        <w:jc w:val="center"/>
        <w:rPr>
          <w:rFonts w:ascii="宋体" w:hAnsi="宋体" w:eastAsia="宋体" w:cs="宋体"/>
          <w:b/>
          <w:bCs/>
          <w:sz w:val="24"/>
          <w:szCs w:val="24"/>
        </w:rPr>
      </w:pPr>
    </w:p>
    <w:p>
      <w:pPr>
        <w:spacing w:line="366" w:lineRule="exact"/>
        <w:jc w:val="center"/>
        <w:rPr>
          <w:rFonts w:ascii="宋体" w:hAnsi="宋体" w:eastAsia="宋体" w:cs="宋体"/>
          <w:b/>
          <w:bCs/>
          <w:sz w:val="24"/>
          <w:szCs w:val="24"/>
        </w:rPr>
      </w:pPr>
    </w:p>
    <w:p>
      <w:pPr>
        <w:spacing w:line="366" w:lineRule="exact"/>
        <w:jc w:val="center"/>
        <w:rPr>
          <w:rFonts w:ascii="宋体" w:hAnsi="宋体" w:eastAsia="宋体" w:cs="宋体"/>
          <w:b/>
          <w:bCs/>
          <w:sz w:val="24"/>
          <w:szCs w:val="24"/>
        </w:rPr>
      </w:pPr>
    </w:p>
    <w:p>
      <w:pPr>
        <w:spacing w:line="366" w:lineRule="exact"/>
        <w:jc w:val="center"/>
        <w:rPr>
          <w:rFonts w:ascii="宋体" w:hAnsi="宋体" w:eastAsia="宋体"/>
          <w:sz w:val="24"/>
          <w:szCs w:val="24"/>
        </w:rPr>
      </w:pPr>
      <w:r>
        <w:rPr>
          <w:rFonts w:ascii="宋体" w:hAnsi="宋体" w:eastAsia="宋体" w:cs="宋体"/>
          <w:b/>
          <w:bCs/>
          <w:sz w:val="24"/>
          <w:szCs w:val="24"/>
        </w:rPr>
        <w:t>第一章 竞争性磋商公告</w:t>
      </w:r>
    </w:p>
    <w:p>
      <w:pPr>
        <w:spacing w:line="262" w:lineRule="exact"/>
        <w:rPr>
          <w:rFonts w:ascii="宋体" w:hAnsi="宋体" w:eastAsia="宋体"/>
          <w:sz w:val="24"/>
          <w:szCs w:val="24"/>
        </w:rPr>
      </w:pPr>
    </w:p>
    <w:p>
      <w:pPr>
        <w:pBdr>
          <w:top w:val="single" w:color="auto" w:sz="4" w:space="1"/>
          <w:left w:val="single" w:color="auto" w:sz="4" w:space="4"/>
          <w:bottom w:val="single" w:color="auto" w:sz="4" w:space="1"/>
          <w:right w:val="single" w:color="auto" w:sz="4" w:space="4"/>
        </w:pBdr>
        <w:ind w:firstLine="480" w:firstLineChars="200"/>
        <w:rPr>
          <w:rFonts w:ascii="宋体" w:hAnsi="宋体" w:eastAsia="宋体"/>
          <w:sz w:val="24"/>
          <w:szCs w:val="24"/>
        </w:rPr>
      </w:pPr>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cs="宋体"/>
          <w:sz w:val="24"/>
          <w:szCs w:val="24"/>
          <w:u w:val="single"/>
        </w:rPr>
        <w:t>灵川县三街镇人民政府雪亮工程</w:t>
      </w:r>
      <w:r>
        <w:rPr>
          <w:rFonts w:hint="eastAsia" w:ascii="宋体" w:hAnsi="宋体" w:eastAsia="宋体"/>
          <w:sz w:val="24"/>
          <w:szCs w:val="24"/>
        </w:rPr>
        <w:t xml:space="preserve"> 采购项目的潜在供应商应在</w:t>
      </w:r>
      <w:r>
        <w:rPr>
          <w:rFonts w:hint="eastAsia" w:ascii="宋体" w:hAnsi="宋体" w:eastAsia="宋体"/>
          <w:sz w:val="24"/>
          <w:szCs w:val="24"/>
          <w:u w:val="single"/>
        </w:rPr>
        <w:t>桂林市公共资源交易中心网（</w:t>
      </w:r>
      <w:r>
        <w:fldChar w:fldCharType="begin"/>
      </w:r>
      <w:r>
        <w:instrText xml:space="preserve"> HYPERLINK "http://ggzy.guilin.cn" </w:instrText>
      </w:r>
      <w:r>
        <w:fldChar w:fldCharType="separate"/>
      </w:r>
      <w:r>
        <w:rPr>
          <w:rFonts w:hint="eastAsia" w:ascii="宋体" w:hAnsi="宋体" w:eastAsia="宋体"/>
          <w:sz w:val="24"/>
          <w:szCs w:val="24"/>
          <w:u w:val="single"/>
        </w:rPr>
        <w:t>http://glggzy.org.cn</w:t>
      </w:r>
      <w:r>
        <w:rPr>
          <w:rFonts w:hint="eastAsia" w:ascii="宋体" w:hAnsi="宋体" w:eastAsia="宋体"/>
          <w:sz w:val="24"/>
          <w:szCs w:val="24"/>
          <w:u w:val="single"/>
        </w:rPr>
        <w:fldChar w:fldCharType="end"/>
      </w:r>
      <w:r>
        <w:rPr>
          <w:rFonts w:hint="eastAsia" w:ascii="宋体" w:hAnsi="宋体" w:eastAsia="宋体"/>
          <w:sz w:val="24"/>
          <w:szCs w:val="24"/>
          <w:u w:val="single"/>
        </w:rPr>
        <w:t>）、</w:t>
      </w:r>
      <w:r>
        <w:rPr>
          <w:rFonts w:hint="eastAsia" w:ascii="宋体" w:hAnsi="宋体" w:eastAsia="宋体" w:cs="宋体"/>
          <w:sz w:val="24"/>
          <w:szCs w:val="24"/>
          <w:u w:val="single"/>
        </w:rPr>
        <w:t>桂林市政府采购网（</w:t>
      </w:r>
      <w:r>
        <w:rPr>
          <w:rFonts w:hint="eastAsia" w:ascii="宋体" w:hAnsi="宋体" w:eastAsia="宋体" w:cs="宋体"/>
          <w:sz w:val="24"/>
          <w:szCs w:val="24"/>
          <w:u w:val="single"/>
          <w:lang w:eastAsia="zh-CN"/>
        </w:rPr>
        <w:t>http://zfcg.czj.guilin.gov.cn/</w:t>
      </w:r>
      <w:r>
        <w:rPr>
          <w:rFonts w:hint="eastAsia" w:ascii="宋体" w:hAnsi="宋体" w:eastAsia="宋体" w:cs="宋体"/>
          <w:sz w:val="24"/>
          <w:szCs w:val="24"/>
          <w:u w:val="single"/>
        </w:rPr>
        <w:t>）</w:t>
      </w:r>
      <w:r>
        <w:rPr>
          <w:rFonts w:hint="eastAsia" w:ascii="宋体" w:hAnsi="宋体" w:eastAsia="宋体"/>
          <w:sz w:val="24"/>
          <w:szCs w:val="24"/>
        </w:rPr>
        <w:t>获取采购文件，并于</w:t>
      </w:r>
      <w:r>
        <w:rPr>
          <w:rFonts w:hint="eastAsia" w:ascii="宋体" w:hAnsi="宋体" w:eastAsia="宋体"/>
          <w:sz w:val="24"/>
          <w:szCs w:val="24"/>
          <w:u w:val="single"/>
        </w:rPr>
        <w:t>2020</w:t>
      </w:r>
      <w:r>
        <w:rPr>
          <w:rFonts w:hint="eastAsia" w:ascii="宋体" w:hAnsi="宋体" w:eastAsia="宋体"/>
          <w:bCs/>
          <w:sz w:val="24"/>
          <w:szCs w:val="24"/>
          <w:u w:val="single"/>
        </w:rPr>
        <w:t>年</w:t>
      </w:r>
      <w:r>
        <w:rPr>
          <w:rFonts w:hint="eastAsia" w:ascii="宋体" w:hAnsi="宋体" w:eastAsia="宋体"/>
          <w:bCs/>
          <w:sz w:val="24"/>
          <w:szCs w:val="24"/>
          <w:u w:val="single"/>
          <w:lang w:val="en-US" w:eastAsia="zh-CN"/>
        </w:rPr>
        <w:t>10</w:t>
      </w:r>
      <w:r>
        <w:rPr>
          <w:rFonts w:hint="eastAsia" w:ascii="宋体" w:hAnsi="宋体" w:eastAsia="宋体"/>
          <w:bCs/>
          <w:sz w:val="24"/>
          <w:szCs w:val="24"/>
          <w:u w:val="single"/>
        </w:rPr>
        <w:t>月</w:t>
      </w:r>
      <w:r>
        <w:rPr>
          <w:rFonts w:hint="eastAsia" w:ascii="宋体" w:hAnsi="宋体" w:eastAsia="宋体"/>
          <w:bCs/>
          <w:sz w:val="24"/>
          <w:szCs w:val="24"/>
          <w:u w:val="single"/>
          <w:lang w:val="en-US" w:eastAsia="zh-CN"/>
        </w:rPr>
        <w:t>15</w:t>
      </w:r>
      <w:r>
        <w:rPr>
          <w:rFonts w:hint="eastAsia" w:ascii="宋体" w:hAnsi="宋体" w:eastAsia="宋体"/>
          <w:bCs/>
          <w:sz w:val="24"/>
          <w:szCs w:val="24"/>
          <w:u w:val="single"/>
        </w:rPr>
        <w:t>日</w:t>
      </w:r>
      <w:r>
        <w:rPr>
          <w:rFonts w:hint="eastAsia" w:ascii="宋体" w:hAnsi="宋体" w:eastAsia="宋体"/>
          <w:bCs/>
          <w:sz w:val="24"/>
          <w:szCs w:val="24"/>
          <w:u w:val="single"/>
          <w:lang w:val="en-US" w:eastAsia="zh-CN"/>
        </w:rPr>
        <w:t>10</w:t>
      </w:r>
      <w:r>
        <w:rPr>
          <w:rFonts w:hint="eastAsia" w:ascii="宋体" w:hAnsi="宋体" w:eastAsia="宋体"/>
          <w:bCs/>
          <w:sz w:val="24"/>
          <w:szCs w:val="24"/>
          <w:u w:val="single"/>
        </w:rPr>
        <w:t>点</w:t>
      </w:r>
      <w:r>
        <w:rPr>
          <w:rFonts w:hint="eastAsia" w:ascii="宋体" w:hAnsi="宋体" w:eastAsia="宋体"/>
          <w:bCs/>
          <w:sz w:val="24"/>
          <w:szCs w:val="24"/>
          <w:u w:val="single"/>
          <w:lang w:val="en-US" w:eastAsia="zh-CN"/>
        </w:rPr>
        <w:t>30</w:t>
      </w:r>
      <w:r>
        <w:rPr>
          <w:rFonts w:hint="eastAsia" w:ascii="宋体" w:hAnsi="宋体" w:eastAsia="宋体"/>
          <w:bCs/>
          <w:sz w:val="24"/>
          <w:szCs w:val="24"/>
          <w:u w:val="single"/>
        </w:rPr>
        <w:t>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rPr>
          <w:rFonts w:ascii="宋体" w:hAnsi="宋体" w:eastAsia="宋体"/>
          <w:sz w:val="24"/>
          <w:szCs w:val="24"/>
        </w:rPr>
      </w:pPr>
    </w:p>
    <w:p>
      <w:pPr>
        <w:pStyle w:val="2"/>
        <w:spacing w:line="360" w:lineRule="auto"/>
        <w:rPr>
          <w:rFonts w:ascii="宋体" w:hAnsi="宋体" w:eastAsia="宋体" w:cs="宋体"/>
          <w:b w:val="0"/>
          <w:sz w:val="24"/>
          <w:szCs w:val="24"/>
        </w:rPr>
      </w:pPr>
      <w:bookmarkStart w:id="3" w:name="_Toc28359089"/>
      <w:bookmarkStart w:id="4" w:name="_Toc35393629"/>
      <w:bookmarkStart w:id="5" w:name="_Toc28359012"/>
      <w:bookmarkStart w:id="6" w:name="_Toc35393798"/>
      <w:r>
        <w:rPr>
          <w:rFonts w:hint="eastAsia" w:ascii="宋体" w:hAnsi="宋体" w:eastAsia="宋体" w:cs="宋体"/>
          <w:b w:val="0"/>
          <w:sz w:val="24"/>
          <w:szCs w:val="24"/>
        </w:rPr>
        <w:t>一、项目基本情况</w:t>
      </w:r>
      <w:bookmarkEnd w:id="3"/>
      <w:bookmarkEnd w:id="4"/>
      <w:bookmarkEnd w:id="5"/>
      <w:bookmarkEnd w:id="6"/>
      <w:r>
        <w:rPr>
          <w:rFonts w:hint="eastAsia" w:ascii="宋体" w:hAnsi="宋体" w:eastAsia="宋体" w:cs="宋体"/>
          <w:b w:val="0"/>
          <w:sz w:val="24"/>
          <w:szCs w:val="24"/>
        </w:rPr>
        <w:t>：</w:t>
      </w:r>
    </w:p>
    <w:p>
      <w:pPr>
        <w:ind w:firstLine="480" w:firstLineChars="200"/>
        <w:rPr>
          <w:rFonts w:hint="eastAsia" w:ascii="宋体" w:hAnsi="宋体" w:eastAsia="宋体" w:cs="Times New Roman"/>
          <w:sz w:val="24"/>
          <w:szCs w:val="24"/>
          <w:lang w:eastAsia="zh-CN"/>
        </w:rPr>
      </w:pPr>
      <w:r>
        <w:rPr>
          <w:rFonts w:hint="eastAsia" w:ascii="宋体" w:hAnsi="宋体" w:eastAsia="宋体"/>
          <w:sz w:val="24"/>
          <w:szCs w:val="24"/>
        </w:rPr>
        <w:t>项目编号：</w:t>
      </w:r>
      <w:r>
        <w:rPr>
          <w:rFonts w:hint="eastAsia" w:ascii="宋体" w:hAnsi="宋体" w:eastAsia="宋体" w:cs="Times New Roman"/>
          <w:sz w:val="24"/>
          <w:szCs w:val="24"/>
          <w:lang w:eastAsia="zh-CN"/>
        </w:rPr>
        <w:t>GLZC2020-C3-230039-GXBG</w:t>
      </w:r>
    </w:p>
    <w:p>
      <w:pPr>
        <w:ind w:firstLine="480" w:firstLineChars="200"/>
        <w:rPr>
          <w:rFonts w:ascii="宋体" w:hAnsi="宋体" w:eastAsia="宋体" w:cs="Times New Roman"/>
          <w:sz w:val="24"/>
          <w:szCs w:val="24"/>
        </w:rPr>
      </w:pPr>
      <w:r>
        <w:rPr>
          <w:rFonts w:hint="eastAsia" w:ascii="宋体" w:hAnsi="宋体" w:eastAsia="宋体"/>
          <w:sz w:val="24"/>
          <w:szCs w:val="24"/>
        </w:rPr>
        <w:t>项目名称：</w:t>
      </w:r>
      <w:r>
        <w:rPr>
          <w:rFonts w:hint="eastAsia" w:ascii="宋体" w:hAnsi="宋体" w:eastAsia="宋体" w:cs="Times New Roman"/>
          <w:sz w:val="24"/>
          <w:szCs w:val="24"/>
        </w:rPr>
        <w:t>灵川县三街镇人民政府雪亮工程</w:t>
      </w:r>
    </w:p>
    <w:p>
      <w:pPr>
        <w:ind w:firstLine="480" w:firstLineChars="200"/>
        <w:rPr>
          <w:rFonts w:ascii="宋体" w:hAnsi="宋体" w:eastAsia="宋体"/>
          <w:sz w:val="24"/>
          <w:szCs w:val="24"/>
        </w:rPr>
      </w:pPr>
      <w:r>
        <w:rPr>
          <w:rFonts w:hint="eastAsia" w:ascii="宋体" w:hAnsi="宋体" w:eastAsia="宋体"/>
          <w:sz w:val="24"/>
          <w:szCs w:val="24"/>
        </w:rPr>
        <w:t xml:space="preserve">采购方式：□竞争性谈判 </w:t>
      </w:r>
      <w:r>
        <w:rPr>
          <w:rFonts w:hint="eastAsia" w:ascii="宋体" w:hAnsi="宋体" w:eastAsia="宋体"/>
          <w:sz w:val="24"/>
          <w:szCs w:val="24"/>
        </w:rPr>
        <w:sym w:font="Wingdings 2" w:char="0052"/>
      </w:r>
      <w:r>
        <w:rPr>
          <w:rFonts w:hint="eastAsia" w:ascii="宋体" w:hAnsi="宋体" w:eastAsia="宋体"/>
          <w:sz w:val="24"/>
          <w:szCs w:val="24"/>
        </w:rPr>
        <w:t>竞争性磋商 □询价</w:t>
      </w:r>
    </w:p>
    <w:p>
      <w:pPr>
        <w:ind w:firstLine="480" w:firstLineChars="200"/>
        <w:rPr>
          <w:rFonts w:ascii="宋体" w:hAnsi="宋体" w:eastAsia="宋体"/>
          <w:sz w:val="24"/>
          <w:szCs w:val="24"/>
        </w:rPr>
      </w:pPr>
      <w:r>
        <w:rPr>
          <w:rFonts w:hint="eastAsia" w:ascii="宋体" w:hAnsi="宋体" w:eastAsia="宋体"/>
          <w:sz w:val="24"/>
          <w:szCs w:val="24"/>
        </w:rPr>
        <w:t>预算金额：人民币壹佰零柒万壹仟元整</w:t>
      </w:r>
      <w:r>
        <w:rPr>
          <w:rFonts w:hint="eastAsia" w:ascii="宋体" w:hAnsi="宋体" w:eastAsia="宋体" w:cs="Times New Roman"/>
          <w:sz w:val="24"/>
          <w:szCs w:val="24"/>
        </w:rPr>
        <w:t>（￥1071000.00）</w:t>
      </w:r>
    </w:p>
    <w:p>
      <w:pPr>
        <w:ind w:firstLine="480" w:firstLineChars="200"/>
        <w:rPr>
          <w:rFonts w:ascii="宋体" w:hAnsi="宋体" w:eastAsia="宋体"/>
          <w:sz w:val="24"/>
          <w:szCs w:val="24"/>
        </w:rPr>
      </w:pPr>
      <w:r>
        <w:rPr>
          <w:rFonts w:hint="eastAsia" w:ascii="宋体" w:hAnsi="宋体" w:eastAsia="宋体"/>
          <w:sz w:val="24"/>
          <w:szCs w:val="24"/>
        </w:rPr>
        <w:t>最高限价：人民币壹佰零柒万壹仟元整</w:t>
      </w:r>
      <w:r>
        <w:rPr>
          <w:rFonts w:hint="eastAsia" w:ascii="宋体" w:hAnsi="宋体" w:eastAsia="宋体" w:cs="Times New Roman"/>
          <w:sz w:val="24"/>
          <w:szCs w:val="24"/>
        </w:rPr>
        <w:t>（￥1071000.00）</w:t>
      </w:r>
    </w:p>
    <w:p>
      <w:pPr>
        <w:ind w:firstLine="480" w:firstLineChars="200"/>
        <w:rPr>
          <w:rFonts w:ascii="宋体" w:hAnsi="宋体" w:eastAsia="宋体"/>
          <w:sz w:val="24"/>
          <w:szCs w:val="24"/>
        </w:rPr>
      </w:pPr>
      <w:r>
        <w:rPr>
          <w:rFonts w:hint="eastAsia" w:ascii="宋体" w:hAnsi="宋体" w:eastAsia="宋体"/>
          <w:sz w:val="24"/>
          <w:szCs w:val="24"/>
        </w:rPr>
        <w:t>采购需求：</w:t>
      </w:r>
    </w:p>
    <w:tbl>
      <w:tblPr>
        <w:tblStyle w:val="9"/>
        <w:tblW w:w="9399"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4111"/>
        <w:gridCol w:w="766"/>
        <w:gridCol w:w="1300"/>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序号</w:t>
            </w:r>
          </w:p>
        </w:tc>
        <w:tc>
          <w:tcPr>
            <w:tcW w:w="4111"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服务内容</w:t>
            </w:r>
          </w:p>
        </w:tc>
        <w:tc>
          <w:tcPr>
            <w:tcW w:w="766"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数量</w:t>
            </w:r>
          </w:p>
        </w:tc>
        <w:tc>
          <w:tcPr>
            <w:tcW w:w="1300"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单位</w:t>
            </w:r>
          </w:p>
        </w:tc>
        <w:tc>
          <w:tcPr>
            <w:tcW w:w="2692"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pPr>
              <w:spacing w:line="360" w:lineRule="exact"/>
              <w:jc w:val="center"/>
              <w:rPr>
                <w:rFonts w:ascii="宋体" w:hAnsi="宋体" w:eastAsia="宋体" w:cs="宋体"/>
                <w:sz w:val="24"/>
                <w:szCs w:val="24"/>
              </w:rPr>
            </w:pPr>
            <w:bookmarkStart w:id="70" w:name="_GoBack" w:colFirst="2" w:colLast="2"/>
            <w:r>
              <w:rPr>
                <w:rFonts w:hint="eastAsia" w:ascii="宋体" w:hAnsi="宋体" w:eastAsia="宋体" w:cs="宋体"/>
                <w:sz w:val="24"/>
                <w:szCs w:val="24"/>
              </w:rPr>
              <w:t>1</w:t>
            </w:r>
          </w:p>
        </w:tc>
        <w:tc>
          <w:tcPr>
            <w:tcW w:w="4111" w:type="dxa"/>
          </w:tcPr>
          <w:p>
            <w:pPr>
              <w:spacing w:line="360" w:lineRule="exact"/>
              <w:jc w:val="center"/>
              <w:rPr>
                <w:rFonts w:ascii="宋体" w:hAnsi="宋体" w:eastAsia="宋体" w:cs="宋体"/>
                <w:sz w:val="24"/>
                <w:szCs w:val="24"/>
              </w:rPr>
            </w:pPr>
            <w:r>
              <w:rPr>
                <w:rFonts w:hint="eastAsia" w:ascii="宋体" w:hAnsi="宋体" w:eastAsia="宋体"/>
                <w:sz w:val="24"/>
                <w:szCs w:val="24"/>
              </w:rPr>
              <w:t>定向视频采集服务</w:t>
            </w:r>
          </w:p>
        </w:tc>
        <w:tc>
          <w:tcPr>
            <w:tcW w:w="766"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lang w:val="en-US" w:eastAsia="zh-CN"/>
              </w:rPr>
              <w:t>50</w:t>
            </w:r>
          </w:p>
        </w:tc>
        <w:tc>
          <w:tcPr>
            <w:tcW w:w="13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套</w:t>
            </w:r>
          </w:p>
        </w:tc>
        <w:tc>
          <w:tcPr>
            <w:tcW w:w="2692" w:type="dxa"/>
            <w:vMerge w:val="restart"/>
            <w:vAlign w:val="center"/>
          </w:tcPr>
          <w:p>
            <w:pPr>
              <w:spacing w:line="360" w:lineRule="exact"/>
              <w:jc w:val="center"/>
              <w:rPr>
                <w:rFonts w:ascii="宋体" w:hAnsi="宋体" w:eastAsia="宋体" w:cs="宋体"/>
                <w:b/>
                <w:bCs/>
                <w:sz w:val="24"/>
                <w:szCs w:val="24"/>
              </w:rPr>
            </w:pPr>
            <w:r>
              <w:rPr>
                <w:rFonts w:hint="eastAsia" w:ascii="宋体" w:hAnsi="宋体" w:eastAsia="宋体"/>
                <w:sz w:val="24"/>
                <w:szCs w:val="24"/>
              </w:rPr>
              <w:t>如需进一步了解详细内容，详见磋商文件。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4111" w:type="dxa"/>
          </w:tcPr>
          <w:p>
            <w:pPr>
              <w:spacing w:line="360" w:lineRule="exact"/>
              <w:jc w:val="center"/>
              <w:rPr>
                <w:rFonts w:ascii="宋体" w:hAnsi="宋体" w:eastAsia="宋体" w:cs="宋体"/>
                <w:sz w:val="24"/>
                <w:szCs w:val="24"/>
              </w:rPr>
            </w:pPr>
            <w:r>
              <w:rPr>
                <w:rFonts w:hint="eastAsia" w:ascii="宋体" w:hAnsi="宋体" w:eastAsia="宋体"/>
                <w:sz w:val="24"/>
                <w:szCs w:val="24"/>
              </w:rPr>
              <w:t>视频监控管理平台服务</w:t>
            </w:r>
          </w:p>
        </w:tc>
        <w:tc>
          <w:tcPr>
            <w:tcW w:w="766"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3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套</w:t>
            </w:r>
          </w:p>
        </w:tc>
        <w:tc>
          <w:tcPr>
            <w:tcW w:w="2692" w:type="dxa"/>
            <w:vMerge w:val="continue"/>
          </w:tcPr>
          <w:p>
            <w:pPr>
              <w:spacing w:line="360" w:lineRule="exact"/>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4111" w:type="dxa"/>
          </w:tcPr>
          <w:p>
            <w:pPr>
              <w:spacing w:line="360" w:lineRule="exact"/>
              <w:jc w:val="center"/>
              <w:rPr>
                <w:rFonts w:ascii="宋体" w:hAnsi="宋体" w:eastAsia="宋体"/>
                <w:sz w:val="24"/>
                <w:szCs w:val="24"/>
              </w:rPr>
            </w:pPr>
            <w:r>
              <w:rPr>
                <w:rFonts w:hint="eastAsia" w:ascii="宋体" w:hAnsi="宋体" w:eastAsia="宋体"/>
                <w:sz w:val="24"/>
                <w:szCs w:val="24"/>
              </w:rPr>
              <w:t>前端监控联网服务</w:t>
            </w:r>
          </w:p>
        </w:tc>
        <w:tc>
          <w:tcPr>
            <w:tcW w:w="766"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lang w:val="en-US" w:eastAsia="zh-CN"/>
              </w:rPr>
              <w:t>50</w:t>
            </w:r>
          </w:p>
        </w:tc>
        <w:tc>
          <w:tcPr>
            <w:tcW w:w="13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套</w:t>
            </w:r>
          </w:p>
        </w:tc>
        <w:tc>
          <w:tcPr>
            <w:tcW w:w="2692" w:type="dxa"/>
            <w:vMerge w:val="continue"/>
          </w:tcPr>
          <w:p>
            <w:pPr>
              <w:spacing w:line="360" w:lineRule="exact"/>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4</w:t>
            </w:r>
          </w:p>
        </w:tc>
        <w:tc>
          <w:tcPr>
            <w:tcW w:w="4111" w:type="dxa"/>
          </w:tcPr>
          <w:p>
            <w:pPr>
              <w:spacing w:line="360" w:lineRule="exact"/>
              <w:jc w:val="center"/>
              <w:rPr>
                <w:rFonts w:ascii="宋体" w:hAnsi="宋体" w:eastAsia="宋体"/>
                <w:sz w:val="24"/>
                <w:szCs w:val="24"/>
              </w:rPr>
            </w:pPr>
            <w:r>
              <w:rPr>
                <w:rFonts w:hint="eastAsia" w:ascii="宋体" w:hAnsi="宋体" w:eastAsia="宋体"/>
                <w:sz w:val="24"/>
                <w:szCs w:val="24"/>
              </w:rPr>
              <w:t>乡镇综治中心及派出所监控联网服务</w:t>
            </w:r>
          </w:p>
        </w:tc>
        <w:tc>
          <w:tcPr>
            <w:tcW w:w="766"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lang w:val="en-US" w:eastAsia="zh-CN"/>
              </w:rPr>
              <w:t>2</w:t>
            </w:r>
          </w:p>
        </w:tc>
        <w:tc>
          <w:tcPr>
            <w:tcW w:w="13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套</w:t>
            </w:r>
          </w:p>
        </w:tc>
        <w:tc>
          <w:tcPr>
            <w:tcW w:w="2692" w:type="dxa"/>
            <w:vMerge w:val="continue"/>
          </w:tcPr>
          <w:p>
            <w:pPr>
              <w:spacing w:line="360" w:lineRule="exact"/>
              <w:rPr>
                <w:rFonts w:ascii="宋体" w:hAnsi="宋体" w:eastAsia="宋体" w:cs="宋体"/>
                <w:b/>
                <w:bCs/>
                <w:sz w:val="24"/>
                <w:szCs w:val="24"/>
              </w:rPr>
            </w:pPr>
          </w:p>
        </w:tc>
      </w:tr>
      <w:bookmarkEnd w:id="70"/>
    </w:tbl>
    <w:p>
      <w:pPr>
        <w:rPr>
          <w:rFonts w:ascii="宋体" w:hAnsi="宋体" w:eastAsia="宋体"/>
          <w:sz w:val="24"/>
          <w:szCs w:val="24"/>
        </w:rPr>
      </w:pPr>
    </w:p>
    <w:p>
      <w:pPr>
        <w:ind w:firstLine="480" w:firstLineChars="200"/>
        <w:rPr>
          <w:rFonts w:ascii="宋体" w:hAnsi="宋体" w:eastAsia="宋体"/>
          <w:sz w:val="24"/>
          <w:szCs w:val="24"/>
          <w:u w:val="single"/>
        </w:rPr>
      </w:pPr>
      <w:r>
        <w:rPr>
          <w:rFonts w:hint="eastAsia" w:ascii="宋体" w:hAnsi="宋体" w:eastAsia="宋体"/>
          <w:sz w:val="24"/>
          <w:szCs w:val="24"/>
        </w:rPr>
        <w:t>合同履行期限：服务期限三年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w:t>
      </w:r>
      <w:r>
        <w:rPr>
          <w:rFonts w:hint="eastAsia" w:ascii="宋体" w:hAnsi="宋体" w:eastAsia="宋体"/>
          <w:sz w:val="24"/>
          <w:szCs w:val="24"/>
          <w:u w:val="single"/>
        </w:rPr>
        <w:t>不接受</w:t>
      </w:r>
      <w:r>
        <w:rPr>
          <w:rFonts w:hint="eastAsia" w:ascii="宋体" w:hAnsi="宋体" w:eastAsia="宋体"/>
          <w:sz w:val="24"/>
          <w:szCs w:val="24"/>
        </w:rPr>
        <w:t>接受联合体。</w:t>
      </w:r>
    </w:p>
    <w:p>
      <w:pPr>
        <w:pStyle w:val="2"/>
        <w:spacing w:line="360" w:lineRule="auto"/>
        <w:rPr>
          <w:rFonts w:ascii="宋体" w:hAnsi="宋体" w:eastAsia="宋体" w:cs="宋体"/>
          <w:b w:val="0"/>
          <w:sz w:val="24"/>
          <w:szCs w:val="24"/>
        </w:rPr>
      </w:pPr>
      <w:bookmarkStart w:id="7" w:name="_Toc28359090"/>
      <w:bookmarkStart w:id="8" w:name="_Toc35393630"/>
      <w:bookmarkStart w:id="9" w:name="_Toc35393799"/>
      <w:bookmarkStart w:id="10" w:name="_Toc28359013"/>
      <w:r>
        <w:rPr>
          <w:rFonts w:hint="eastAsia" w:ascii="宋体" w:hAnsi="宋体" w:eastAsia="宋体" w:cs="宋体"/>
          <w:b w:val="0"/>
          <w:sz w:val="24"/>
          <w:szCs w:val="24"/>
        </w:rPr>
        <w:t>二、申请人的资格要求：</w:t>
      </w:r>
      <w:bookmarkEnd w:id="7"/>
      <w:bookmarkEnd w:id="8"/>
      <w:bookmarkEnd w:id="9"/>
      <w:bookmarkEnd w:id="10"/>
    </w:p>
    <w:p>
      <w:pPr>
        <w:spacing w:line="300" w:lineRule="exact"/>
        <w:ind w:firstLine="480" w:firstLineChars="200"/>
        <w:rPr>
          <w:rFonts w:ascii="宋体" w:hAnsi="宋体" w:eastAsia="宋体" w:cs="宋体"/>
          <w:sz w:val="24"/>
          <w:szCs w:val="24"/>
        </w:rPr>
      </w:pPr>
      <w:bookmarkStart w:id="11" w:name="_Toc28359091"/>
      <w:bookmarkStart w:id="12" w:name="_Toc35393800"/>
      <w:bookmarkStart w:id="13" w:name="_Toc35393631"/>
      <w:bookmarkStart w:id="14" w:name="_Toc28359014"/>
      <w:r>
        <w:rPr>
          <w:rFonts w:hint="eastAsia" w:ascii="宋体" w:hAnsi="宋体" w:eastAsia="宋体" w:cs="宋体"/>
          <w:sz w:val="24"/>
          <w:szCs w:val="24"/>
        </w:rPr>
        <w:t>1.满足《中华人民共和国政府采购法》第二十二条规定；</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2.落实政府采购政策需满足的资格要求：</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（1）《政府采购促进中小企业发展暂行办法》（财库[2011]181号）；</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（2）《关于政府采购支持监狱企业发展有关问题的通知》（财库[2014]68号）；</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（3）《关于促进残疾人就业政府采购政策的通知》（财库[2017]141号）；</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（4）《关于调整优化节能产品、环境标志产品政府采购执行机制的通知》（财库〔2019〕9号）；    </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（5） 《广西壮族自治区人民政府办公厅关于印发招标采购促进广西工业产品产销对接实施细则的通知》（桂政办发[2015]78号）；</w:t>
      </w:r>
    </w:p>
    <w:p>
      <w:pPr>
        <w:spacing w:line="300" w:lineRule="exact"/>
        <w:ind w:firstLine="480" w:firstLineChars="200"/>
        <w:rPr>
          <w:rFonts w:ascii="宋体" w:hAnsi="宋体" w:eastAsia="宋体" w:cs="宋体"/>
          <w:sz w:val="24"/>
          <w:szCs w:val="24"/>
        </w:rPr>
      </w:pPr>
      <w:r>
        <w:rPr>
          <w:rFonts w:hint="eastAsia" w:ascii="宋体" w:hAnsi="宋体" w:eastAsia="宋体" w:cs="宋体"/>
          <w:sz w:val="24"/>
          <w:szCs w:val="24"/>
        </w:rPr>
        <w:t>3.本项目的特定资格要求：无；</w:t>
      </w:r>
    </w:p>
    <w:p>
      <w:pPr>
        <w:spacing w:line="300" w:lineRule="exact"/>
        <w:ind w:firstLine="480" w:firstLineChars="200"/>
        <w:rPr>
          <w:rFonts w:ascii="宋体" w:hAnsi="宋体" w:eastAsia="宋体" w:cs="宋体"/>
          <w:sz w:val="24"/>
          <w:szCs w:val="24"/>
        </w:rPr>
      </w:pPr>
      <w:r>
        <w:rPr>
          <w:rFonts w:hint="eastAsia" w:ascii="宋体" w:hAnsi="宋体" w:eastAsia="宋体" w:cs="宋体"/>
          <w:sz w:val="24"/>
          <w:szCs w:val="24"/>
        </w:rPr>
        <w:t>4.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pStyle w:val="2"/>
        <w:ind w:firstLine="480" w:firstLineChars="200"/>
      </w:pPr>
      <w:r>
        <w:rPr>
          <w:rFonts w:hint="eastAsia" w:ascii="宋体" w:hAnsi="宋体" w:eastAsia="宋体" w:cs="宋体"/>
          <w:b w:val="0"/>
          <w:bCs w:val="0"/>
          <w:sz w:val="24"/>
          <w:szCs w:val="24"/>
          <w:lang w:val="en-US" w:eastAsia="zh-CN" w:bidi="ar-SA"/>
        </w:rPr>
        <w:t>本项目不接受联合体。</w:t>
      </w:r>
    </w:p>
    <w:p>
      <w:pPr>
        <w:rPr>
          <w:rFonts w:ascii="宋体" w:hAnsi="宋体" w:eastAsia="宋体" w:cs="宋体"/>
          <w:sz w:val="24"/>
          <w:szCs w:val="24"/>
        </w:rPr>
      </w:pPr>
      <w:r>
        <w:rPr>
          <w:rFonts w:hint="eastAsia" w:ascii="宋体" w:hAnsi="宋体" w:eastAsia="宋体" w:cs="宋体"/>
          <w:sz w:val="24"/>
          <w:szCs w:val="24"/>
        </w:rPr>
        <w:t>三、获取采购文件</w:t>
      </w:r>
      <w:bookmarkEnd w:id="11"/>
      <w:bookmarkEnd w:id="12"/>
      <w:bookmarkEnd w:id="13"/>
      <w:bookmarkEnd w:id="14"/>
    </w:p>
    <w:p>
      <w:pPr>
        <w:spacing w:line="440" w:lineRule="atLeast"/>
        <w:ind w:firstLine="540"/>
        <w:rPr>
          <w:rFonts w:hint="eastAsia" w:ascii="宋体" w:hAnsi="宋体" w:eastAsia="宋体" w:cs="宋体"/>
          <w:color w:val="333333"/>
          <w:kern w:val="2"/>
          <w:sz w:val="21"/>
          <w:szCs w:val="21"/>
        </w:rPr>
      </w:pPr>
      <w:bookmarkStart w:id="15" w:name="_Toc35393801"/>
      <w:bookmarkStart w:id="16" w:name="_Toc28359092"/>
      <w:bookmarkStart w:id="17" w:name="_Toc35393632"/>
      <w:bookmarkStart w:id="18" w:name="_Toc28359015"/>
      <w:r>
        <w:rPr>
          <w:rFonts w:hint="eastAsia" w:ascii="宋体" w:hAnsi="宋体" w:eastAsia="宋体" w:cs="宋体"/>
          <w:b/>
          <w:bCs/>
          <w:sz w:val="24"/>
          <w:szCs w:val="24"/>
        </w:rPr>
        <w:t>时间：</w:t>
      </w:r>
      <w:r>
        <w:rPr>
          <w:rFonts w:hint="eastAsia" w:ascii="宋体" w:hAnsi="宋体" w:eastAsia="宋体"/>
          <w:sz w:val="24"/>
          <w:szCs w:val="24"/>
        </w:rPr>
        <w:t>自发布公告之时起至投标截止时间止。</w:t>
      </w:r>
    </w:p>
    <w:p>
      <w:pPr>
        <w:spacing w:line="440" w:lineRule="atLeast"/>
        <w:ind w:firstLine="540"/>
        <w:rPr>
          <w:rFonts w:ascii="宋体" w:hAnsi="宋体" w:eastAsia="宋体" w:cs="宋体"/>
          <w:b/>
          <w:bCs/>
          <w:sz w:val="24"/>
          <w:szCs w:val="24"/>
          <w:u w:val="single"/>
        </w:rPr>
      </w:pPr>
      <w:r>
        <w:rPr>
          <w:rFonts w:hint="eastAsia" w:ascii="宋体" w:hAnsi="宋体" w:eastAsia="宋体" w:cs="宋体"/>
          <w:b/>
          <w:bCs/>
          <w:sz w:val="24"/>
          <w:szCs w:val="24"/>
        </w:rPr>
        <w:t>地点：</w:t>
      </w:r>
      <w:r>
        <w:rPr>
          <w:rFonts w:hint="eastAsia" w:ascii="宋体" w:hAnsi="宋体" w:eastAsia="宋体"/>
          <w:sz w:val="24"/>
          <w:szCs w:val="24"/>
        </w:rPr>
        <w:t>潜在供应商登陆桂林市公共资源交易中心网（</w:t>
      </w:r>
      <w:r>
        <w:fldChar w:fldCharType="begin"/>
      </w:r>
      <w:r>
        <w:instrText xml:space="preserve"> HYPERLINK "http://ggzy.guilin.cn" </w:instrText>
      </w:r>
      <w:r>
        <w:fldChar w:fldCharType="separate"/>
      </w:r>
      <w:r>
        <w:rPr>
          <w:rFonts w:hint="eastAsia" w:ascii="宋体" w:hAnsi="宋体" w:eastAsia="宋体"/>
          <w:sz w:val="24"/>
          <w:szCs w:val="24"/>
        </w:rPr>
        <w:t>http://glggzy.org.cn</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桂林市政府采购网（</w:t>
      </w:r>
      <w:r>
        <w:rPr>
          <w:rFonts w:hint="eastAsia" w:ascii="宋体" w:hAnsi="宋体" w:eastAsia="宋体" w:cs="宋体"/>
          <w:sz w:val="24"/>
          <w:szCs w:val="24"/>
          <w:lang w:eastAsia="zh-CN"/>
        </w:rPr>
        <w:t>http://zfcg.czj.guilin.gov.cn/</w:t>
      </w:r>
      <w:r>
        <w:rPr>
          <w:rFonts w:hint="eastAsia" w:ascii="宋体" w:hAnsi="宋体" w:eastAsia="宋体" w:cs="宋体"/>
          <w:sz w:val="24"/>
          <w:szCs w:val="24"/>
        </w:rPr>
        <w:t>）</w:t>
      </w:r>
      <w:r>
        <w:rPr>
          <w:rFonts w:hint="eastAsia" w:ascii="宋体" w:hAnsi="宋体" w:eastAsia="宋体"/>
          <w:sz w:val="24"/>
          <w:szCs w:val="24"/>
        </w:rPr>
        <w:t>，从网上下载竞争性磋商文件电子版；并根据竞争性磋商文件规定的响应文件递交截止时间和地点直接提交响应文件参与投标。</w:t>
      </w:r>
    </w:p>
    <w:p>
      <w:pPr>
        <w:spacing w:line="440" w:lineRule="atLeast"/>
        <w:ind w:firstLine="540"/>
        <w:rPr>
          <w:rFonts w:ascii="宋体" w:hAnsi="宋体" w:eastAsia="宋体" w:cs="宋体"/>
          <w:sz w:val="24"/>
          <w:szCs w:val="24"/>
          <w:u w:val="single"/>
        </w:rPr>
      </w:pPr>
      <w:r>
        <w:rPr>
          <w:rFonts w:hint="eastAsia" w:ascii="宋体" w:hAnsi="宋体" w:eastAsia="宋体" w:cs="宋体"/>
          <w:b/>
          <w:bCs/>
          <w:sz w:val="24"/>
          <w:szCs w:val="24"/>
        </w:rPr>
        <w:t>方式：</w:t>
      </w:r>
      <w:r>
        <w:rPr>
          <w:rFonts w:hint="eastAsia" w:ascii="宋体" w:hAnsi="宋体" w:eastAsia="宋体"/>
          <w:sz w:val="24"/>
          <w:szCs w:val="24"/>
        </w:rPr>
        <w:t>潜在供应商登陆桂林市公共资源交易中心网（</w:t>
      </w:r>
      <w:r>
        <w:fldChar w:fldCharType="begin"/>
      </w:r>
      <w:r>
        <w:instrText xml:space="preserve"> HYPERLINK "http://ggzy.guilin.cn" </w:instrText>
      </w:r>
      <w:r>
        <w:fldChar w:fldCharType="separate"/>
      </w:r>
      <w:r>
        <w:rPr>
          <w:rFonts w:hint="eastAsia" w:ascii="宋体" w:hAnsi="宋体" w:eastAsia="宋体"/>
          <w:sz w:val="24"/>
          <w:szCs w:val="24"/>
        </w:rPr>
        <w:t>http://glggzy.org.cn</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桂林市政府采购网（</w:t>
      </w:r>
      <w:r>
        <w:rPr>
          <w:rFonts w:hint="eastAsia" w:ascii="宋体" w:hAnsi="宋体" w:eastAsia="宋体" w:cs="宋体"/>
          <w:sz w:val="24"/>
          <w:szCs w:val="24"/>
          <w:lang w:eastAsia="zh-CN"/>
        </w:rPr>
        <w:t>http://zfcg.czj.guilin.gov.cn/</w:t>
      </w:r>
      <w:r>
        <w:rPr>
          <w:rFonts w:hint="eastAsia" w:ascii="宋体" w:hAnsi="宋体" w:eastAsia="宋体" w:cs="宋体"/>
          <w:sz w:val="24"/>
          <w:szCs w:val="24"/>
        </w:rPr>
        <w:t>）</w:t>
      </w:r>
      <w:r>
        <w:rPr>
          <w:rFonts w:hint="eastAsia" w:ascii="宋体" w:hAnsi="宋体" w:eastAsia="宋体"/>
          <w:sz w:val="24"/>
          <w:szCs w:val="24"/>
        </w:rPr>
        <w:t>，从网上下载竞争性磋商文件电子版；</w:t>
      </w:r>
    </w:p>
    <w:p>
      <w:pPr>
        <w:spacing w:line="440" w:lineRule="atLeast"/>
        <w:ind w:firstLine="540"/>
        <w:rPr>
          <w:rFonts w:ascii="宋体" w:hAnsi="宋体" w:eastAsia="宋体" w:cs="宋体"/>
          <w:b/>
          <w:bCs/>
          <w:sz w:val="24"/>
          <w:szCs w:val="24"/>
        </w:rPr>
      </w:pPr>
      <w:r>
        <w:rPr>
          <w:rFonts w:hint="eastAsia" w:ascii="宋体" w:hAnsi="宋体" w:eastAsia="宋体" w:cs="宋体"/>
          <w:b/>
          <w:bCs/>
          <w:sz w:val="24"/>
          <w:szCs w:val="24"/>
        </w:rPr>
        <w:t>售价：</w:t>
      </w:r>
      <w:r>
        <w:rPr>
          <w:rFonts w:hint="eastAsia" w:ascii="宋体" w:hAnsi="宋体" w:eastAsia="宋体" w:cs="宋体"/>
          <w:sz w:val="24"/>
          <w:szCs w:val="24"/>
        </w:rPr>
        <w:t>本项目竞争性磋商文件不收费。</w:t>
      </w:r>
    </w:p>
    <w:p>
      <w:pPr>
        <w:pStyle w:val="2"/>
        <w:numPr>
          <w:ilvl w:val="0"/>
          <w:numId w:val="1"/>
        </w:numPr>
        <w:spacing w:line="360" w:lineRule="auto"/>
        <w:rPr>
          <w:rFonts w:ascii="宋体" w:hAnsi="宋体" w:eastAsia="宋体" w:cs="宋体"/>
          <w:b w:val="0"/>
          <w:sz w:val="24"/>
          <w:szCs w:val="24"/>
        </w:rPr>
      </w:pPr>
      <w:r>
        <w:rPr>
          <w:rFonts w:hint="eastAsia" w:ascii="宋体" w:hAnsi="宋体" w:eastAsia="宋体" w:cs="宋体"/>
          <w:b w:val="0"/>
          <w:sz w:val="24"/>
          <w:szCs w:val="24"/>
        </w:rPr>
        <w:t>响应文件提交</w:t>
      </w:r>
      <w:bookmarkEnd w:id="15"/>
      <w:bookmarkEnd w:id="16"/>
      <w:bookmarkEnd w:id="17"/>
      <w:bookmarkEnd w:id="18"/>
      <w:bookmarkStart w:id="19" w:name="_Toc35393803"/>
      <w:bookmarkStart w:id="20" w:name="_Toc28359094"/>
      <w:bookmarkStart w:id="21" w:name="_Toc28359017"/>
      <w:bookmarkStart w:id="22" w:name="_Toc35393634"/>
    </w:p>
    <w:p>
      <w:pPr>
        <w:pStyle w:val="2"/>
        <w:spacing w:line="360" w:lineRule="auto"/>
        <w:ind w:firstLine="482" w:firstLineChars="200"/>
        <w:rPr>
          <w:rFonts w:ascii="宋体" w:hAnsi="宋体" w:eastAsia="宋体" w:cs="宋体"/>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rPr>
        <w:t xml:space="preserve"> 2020年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分</w:t>
      </w:r>
      <w:r>
        <w:rPr>
          <w:rFonts w:hint="eastAsia" w:ascii="宋体" w:hAnsi="宋体" w:eastAsia="宋体" w:cs="宋体"/>
          <w:sz w:val="24"/>
          <w:szCs w:val="24"/>
        </w:rPr>
        <w:t>（北京时间）</w:t>
      </w:r>
    </w:p>
    <w:p>
      <w:pPr>
        <w:spacing w:line="440" w:lineRule="atLeast"/>
        <w:ind w:firstLine="482" w:firstLineChars="200"/>
        <w:rPr>
          <w:rFonts w:ascii="宋体" w:hAnsi="宋体" w:eastAsia="宋体" w:cs="宋体"/>
          <w:b/>
          <w:bCs/>
          <w:sz w:val="24"/>
          <w:szCs w:val="24"/>
          <w:u w:val="single"/>
        </w:rPr>
      </w:pPr>
      <w:r>
        <w:rPr>
          <w:rFonts w:hint="eastAsia" w:ascii="宋体" w:hAnsi="宋体" w:eastAsia="宋体" w:cs="宋体"/>
          <w:b/>
          <w:bCs/>
          <w:sz w:val="24"/>
          <w:szCs w:val="24"/>
        </w:rPr>
        <w:t>地点：</w:t>
      </w:r>
      <w:r>
        <w:rPr>
          <w:rFonts w:hint="eastAsia" w:ascii="宋体" w:hAnsi="宋体" w:eastAsia="宋体"/>
          <w:sz w:val="24"/>
          <w:szCs w:val="24"/>
          <w:u w:val="single"/>
        </w:rPr>
        <w:t>桂林市公共资源交易中心</w:t>
      </w:r>
      <w:r>
        <w:rPr>
          <w:rFonts w:hint="eastAsia" w:ascii="宋体" w:hAnsi="宋体" w:eastAsia="宋体"/>
          <w:b/>
          <w:bCs/>
          <w:sz w:val="24"/>
          <w:szCs w:val="24"/>
          <w:u w:val="single"/>
          <w:lang w:val="en-US" w:eastAsia="zh-CN"/>
        </w:rPr>
        <w:t>14</w:t>
      </w:r>
      <w:r>
        <w:rPr>
          <w:rFonts w:hint="eastAsia" w:ascii="宋体" w:hAnsi="宋体" w:eastAsia="宋体"/>
          <w:b/>
          <w:bCs/>
          <w:sz w:val="24"/>
          <w:szCs w:val="24"/>
          <w:u w:val="single"/>
        </w:rPr>
        <w:t>号开标室</w:t>
      </w:r>
      <w:r>
        <w:rPr>
          <w:rFonts w:hint="eastAsia" w:ascii="宋体" w:hAnsi="宋体" w:eastAsia="宋体"/>
          <w:sz w:val="24"/>
          <w:szCs w:val="24"/>
          <w:u w:val="single"/>
        </w:rPr>
        <w:t>（广西桂林市临桂区西城中路69号创业大厦西辅楼4楼北区）</w:t>
      </w:r>
    </w:p>
    <w:p>
      <w:pPr>
        <w:pStyle w:val="2"/>
        <w:spacing w:line="360" w:lineRule="auto"/>
        <w:rPr>
          <w:rFonts w:ascii="宋体" w:hAnsi="宋体" w:eastAsia="宋体" w:cs="宋体"/>
          <w:b w:val="0"/>
          <w:sz w:val="24"/>
          <w:szCs w:val="24"/>
        </w:rPr>
      </w:pPr>
      <w:r>
        <w:rPr>
          <w:rFonts w:hint="eastAsia" w:ascii="宋体" w:hAnsi="宋体" w:eastAsia="宋体" w:cs="宋体"/>
          <w:b w:val="0"/>
          <w:sz w:val="24"/>
          <w:szCs w:val="24"/>
          <w:lang w:eastAsia="zh-CN"/>
        </w:rPr>
        <w:t>五</w:t>
      </w:r>
      <w:r>
        <w:rPr>
          <w:rFonts w:hint="eastAsia" w:ascii="宋体" w:hAnsi="宋体" w:eastAsia="宋体" w:cs="宋体"/>
          <w:b w:val="0"/>
          <w:sz w:val="24"/>
          <w:szCs w:val="24"/>
        </w:rPr>
        <w:t>、公告期限</w:t>
      </w:r>
      <w:bookmarkEnd w:id="19"/>
      <w:bookmarkEnd w:id="20"/>
      <w:bookmarkEnd w:id="21"/>
      <w:bookmarkEnd w:id="22"/>
    </w:p>
    <w:p>
      <w:pPr>
        <w:ind w:firstLine="480" w:firstLineChars="200"/>
        <w:rPr>
          <w:rFonts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pPr>
        <w:pStyle w:val="2"/>
        <w:numPr>
          <w:ilvl w:val="0"/>
          <w:numId w:val="0"/>
        </w:numPr>
        <w:spacing w:line="360" w:lineRule="auto"/>
        <w:rPr>
          <w:rFonts w:ascii="宋体" w:hAnsi="宋体" w:eastAsia="宋体" w:cs="宋体"/>
          <w:b w:val="0"/>
          <w:sz w:val="24"/>
          <w:szCs w:val="24"/>
        </w:rPr>
      </w:pPr>
      <w:bookmarkStart w:id="23" w:name="_Toc35393635"/>
      <w:bookmarkStart w:id="24" w:name="_Toc35393804"/>
      <w:r>
        <w:rPr>
          <w:rFonts w:hint="eastAsia" w:ascii="宋体" w:hAnsi="宋体" w:eastAsia="宋体" w:cs="宋体"/>
          <w:b w:val="0"/>
          <w:sz w:val="24"/>
          <w:szCs w:val="24"/>
          <w:lang w:eastAsia="zh-CN"/>
        </w:rPr>
        <w:t>六、</w:t>
      </w:r>
      <w:r>
        <w:rPr>
          <w:rFonts w:hint="eastAsia" w:ascii="宋体" w:hAnsi="宋体" w:eastAsia="宋体" w:cs="宋体"/>
          <w:b w:val="0"/>
          <w:sz w:val="24"/>
          <w:szCs w:val="24"/>
        </w:rPr>
        <w:t>其他补充事宜</w:t>
      </w:r>
      <w:bookmarkEnd w:id="23"/>
      <w:bookmarkEnd w:id="24"/>
    </w:p>
    <w:p>
      <w:pPr>
        <w:spacing w:line="440" w:lineRule="atLeast"/>
        <w:ind w:firstLine="482" w:firstLineChars="200"/>
        <w:rPr>
          <w:rFonts w:ascii="宋体" w:hAnsi="宋体" w:eastAsia="宋体"/>
          <w:b/>
          <w:bCs/>
          <w:sz w:val="24"/>
          <w:szCs w:val="24"/>
        </w:rPr>
      </w:pPr>
      <w:r>
        <w:rPr>
          <w:rFonts w:hint="eastAsia" w:ascii="宋体" w:hAnsi="宋体" w:eastAsia="宋体" w:cs="宋体"/>
          <w:b/>
          <w:bCs/>
          <w:sz w:val="24"/>
          <w:szCs w:val="24"/>
        </w:rPr>
        <w:t>1、</w:t>
      </w:r>
      <w:r>
        <w:rPr>
          <w:rFonts w:hint="eastAsia" w:ascii="宋体" w:hAnsi="宋体" w:eastAsia="宋体"/>
          <w:b/>
          <w:bCs/>
          <w:sz w:val="24"/>
          <w:szCs w:val="24"/>
        </w:rPr>
        <w:t>供应商可以由法定代表人或负责人或自然人或其委托代理人出席开标会议【若为法定代表人出席开标会议需携带法定代表人身份证复印件参加,若为委托代理人出席开标会议需携带身份证复印件及授权委托书原件参加（以上材料均须加盖投标人公章，不须密封，单独提交）】。</w:t>
      </w:r>
    </w:p>
    <w:p>
      <w:pPr>
        <w:spacing w:line="440" w:lineRule="atLeast"/>
        <w:ind w:firstLine="482" w:firstLineChars="200"/>
        <w:rPr>
          <w:rFonts w:ascii="宋体" w:hAnsi="宋体" w:eastAsia="宋体"/>
          <w:b/>
          <w:bCs/>
          <w:sz w:val="24"/>
          <w:szCs w:val="24"/>
        </w:rPr>
      </w:pPr>
      <w:r>
        <w:rPr>
          <w:rFonts w:hint="eastAsia" w:ascii="宋体" w:hAnsi="宋体" w:eastAsia="宋体"/>
          <w:b/>
          <w:bCs/>
          <w:sz w:val="24"/>
          <w:szCs w:val="24"/>
        </w:rPr>
        <w:t>2、磋商时间及地点：</w:t>
      </w:r>
    </w:p>
    <w:p>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响应文件递交截止时间后为磋商小组与磋商供应商磋商时间，具体时间由磋商小组另行通知。地点：</w:t>
      </w:r>
      <w:r>
        <w:rPr>
          <w:rFonts w:hint="eastAsia" w:ascii="宋体" w:hAnsi="宋体" w:eastAsia="宋体" w:cs="宋体"/>
          <w:sz w:val="24"/>
          <w:szCs w:val="24"/>
          <w:u w:val="single"/>
        </w:rPr>
        <w:t>参加磋商的供应商代表请在桂林市公共资源交易中心候标区（广西桂林市临桂区西城中路69号创业大厦西辅楼4楼北区）等待磋商</w:t>
      </w:r>
      <w:r>
        <w:rPr>
          <w:rFonts w:hint="eastAsia" w:ascii="宋体" w:hAnsi="宋体" w:eastAsia="宋体" w:cs="宋体"/>
          <w:sz w:val="24"/>
          <w:szCs w:val="24"/>
        </w:rPr>
        <w:t>。</w:t>
      </w:r>
      <w:r>
        <w:rPr>
          <w:rFonts w:hint="eastAsia" w:ascii="宋体" w:hAnsi="宋体" w:eastAsia="宋体" w:cs="宋体"/>
          <w:b/>
          <w:bCs/>
          <w:sz w:val="24"/>
          <w:szCs w:val="24"/>
        </w:rPr>
        <w:t>参加磋商的法定代表人或负责人或自然人或相应的委托代理人必须持有效证件【法定代表人（负责人、自然人）凭身份证或相应的委托代理人凭授权委托书原件</w:t>
      </w:r>
      <w:r>
        <w:rPr>
          <w:rFonts w:hint="eastAsia" w:ascii="宋体" w:hAnsi="宋体" w:eastAsia="宋体" w:cs="宋体"/>
          <w:b/>
          <w:bCs/>
          <w:sz w:val="24"/>
          <w:szCs w:val="24"/>
          <w:lang w:eastAsia="zh-CN"/>
        </w:rPr>
        <w:t>加委托人</w:t>
      </w:r>
      <w:r>
        <w:rPr>
          <w:rFonts w:hint="eastAsia" w:ascii="宋体" w:hAnsi="宋体" w:eastAsia="宋体" w:cs="宋体"/>
          <w:b/>
          <w:bCs/>
          <w:sz w:val="24"/>
          <w:szCs w:val="24"/>
        </w:rPr>
        <w:t>身份证】依时到达指定地点等候当面磋商。</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3、电子磋商文件查询及下载网址：</w:t>
      </w:r>
      <w:r>
        <w:rPr>
          <w:rFonts w:hint="eastAsia" w:ascii="宋体" w:hAnsi="宋体" w:eastAsia="宋体" w:cs="宋体"/>
          <w:sz w:val="24"/>
          <w:szCs w:val="24"/>
          <w:lang w:eastAsia="zh-CN"/>
        </w:rPr>
        <w:t>http://zfcg.czj.guilin.gov.cn/</w:t>
      </w:r>
      <w:r>
        <w:rPr>
          <w:rFonts w:hint="eastAsia" w:ascii="宋体" w:hAnsi="宋体" w:eastAsia="宋体" w:cs="宋体"/>
          <w:sz w:val="24"/>
          <w:szCs w:val="24"/>
        </w:rPr>
        <w:t>（桂林市政府采购网）、</w:t>
      </w:r>
      <w:r>
        <w:fldChar w:fldCharType="begin"/>
      </w:r>
      <w:r>
        <w:instrText xml:space="preserve"> HYPERLINK "http://ggzy.guilin.cn" </w:instrText>
      </w:r>
      <w:r>
        <w:fldChar w:fldCharType="separate"/>
      </w:r>
      <w:r>
        <w:rPr>
          <w:rFonts w:hint="eastAsia" w:ascii="宋体" w:hAnsi="宋体" w:eastAsia="宋体" w:cs="宋体"/>
          <w:sz w:val="24"/>
          <w:szCs w:val="24"/>
        </w:rPr>
        <w:t>http://glggzy.org.cn</w:t>
      </w:r>
      <w:r>
        <w:rPr>
          <w:rFonts w:hint="eastAsia" w:ascii="宋体" w:hAnsi="宋体" w:eastAsia="宋体" w:cs="宋体"/>
          <w:sz w:val="24"/>
          <w:szCs w:val="24"/>
        </w:rPr>
        <w:fldChar w:fldCharType="end"/>
      </w:r>
      <w:r>
        <w:rPr>
          <w:rFonts w:hint="eastAsia" w:ascii="宋体" w:hAnsi="宋体" w:eastAsia="宋体" w:cs="宋体"/>
          <w:sz w:val="24"/>
          <w:szCs w:val="24"/>
        </w:rPr>
        <w:t>（桂林市公共资源交易中心网）。</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4、信息公告发布媒体：</w:t>
      </w:r>
      <w:r>
        <w:rPr>
          <w:rFonts w:hint="eastAsia" w:ascii="宋体" w:hAnsi="宋体" w:eastAsia="宋体" w:cs="宋体"/>
          <w:sz w:val="24"/>
          <w:szCs w:val="24"/>
        </w:rPr>
        <w:t>http://www.ccgp.gov.cn（中国政府采购网）、http:// www.gxzfcg.gov.cn（广西壮族自治区政府采购网）、</w:t>
      </w:r>
      <w:r>
        <w:rPr>
          <w:rFonts w:hint="eastAsia" w:ascii="宋体" w:hAnsi="宋体" w:eastAsia="宋体" w:cs="宋体"/>
          <w:sz w:val="24"/>
          <w:szCs w:val="24"/>
          <w:lang w:eastAsia="zh-CN"/>
        </w:rPr>
        <w:t>http://zfcg.czj.guilin.gov.cn/</w:t>
      </w:r>
      <w:r>
        <w:rPr>
          <w:rFonts w:hint="eastAsia" w:ascii="宋体" w:hAnsi="宋体" w:eastAsia="宋体" w:cs="宋体"/>
          <w:sz w:val="24"/>
          <w:szCs w:val="24"/>
        </w:rPr>
        <w:t>（桂林市政府采购网）、</w:t>
      </w:r>
      <w:r>
        <w:fldChar w:fldCharType="begin"/>
      </w:r>
      <w:r>
        <w:instrText xml:space="preserve"> HYPERLINK "http://ggzy.guilin.cn" </w:instrText>
      </w:r>
      <w:r>
        <w:fldChar w:fldCharType="separate"/>
      </w:r>
      <w:r>
        <w:rPr>
          <w:rStyle w:val="18"/>
          <w:rFonts w:hint="eastAsia" w:ascii="宋体" w:hAnsi="宋体" w:eastAsia="宋体" w:cs="宋体"/>
          <w:color w:val="auto"/>
          <w:sz w:val="24"/>
          <w:szCs w:val="24"/>
        </w:rPr>
        <w:t>http://glggzy.org.cn</w:t>
      </w:r>
      <w:r>
        <w:rPr>
          <w:rStyle w:val="18"/>
          <w:rFonts w:hint="eastAsia" w:ascii="宋体" w:hAnsi="宋体" w:eastAsia="宋体" w:cs="宋体"/>
          <w:color w:val="auto"/>
          <w:sz w:val="24"/>
          <w:szCs w:val="24"/>
        </w:rPr>
        <w:fldChar w:fldCharType="end"/>
      </w:r>
      <w:r>
        <w:rPr>
          <w:rFonts w:hint="eastAsia" w:ascii="宋体" w:hAnsi="宋体" w:eastAsia="宋体" w:cs="宋体"/>
          <w:sz w:val="24"/>
          <w:szCs w:val="24"/>
        </w:rPr>
        <w:t>（桂林市公共资源交易中心网）。</w:t>
      </w:r>
    </w:p>
    <w:p>
      <w:pPr>
        <w:spacing w:line="360" w:lineRule="auto"/>
        <w:ind w:firstLine="480" w:firstLineChars="200"/>
        <w:rPr>
          <w:rFonts w:ascii="宋体" w:hAnsi="宋体" w:eastAsia="宋体"/>
          <w:sz w:val="24"/>
          <w:szCs w:val="24"/>
        </w:rPr>
      </w:pPr>
    </w:p>
    <w:p>
      <w:pPr>
        <w:rPr>
          <w:rFonts w:ascii="宋体" w:hAnsi="宋体" w:eastAsia="宋体"/>
          <w:sz w:val="24"/>
          <w:szCs w:val="24"/>
        </w:rPr>
      </w:pPr>
    </w:p>
    <w:p>
      <w:pPr>
        <w:pStyle w:val="2"/>
        <w:spacing w:line="360" w:lineRule="auto"/>
        <w:rPr>
          <w:rFonts w:ascii="宋体" w:hAnsi="宋体" w:eastAsia="宋体" w:cs="宋体"/>
          <w:b w:val="0"/>
          <w:sz w:val="24"/>
          <w:szCs w:val="24"/>
        </w:rPr>
      </w:pPr>
      <w:bookmarkStart w:id="25" w:name="_Toc35393636"/>
      <w:bookmarkStart w:id="26" w:name="_Toc28359095"/>
      <w:bookmarkStart w:id="27" w:name="_Toc35393805"/>
      <w:bookmarkStart w:id="28" w:name="_Toc28359018"/>
      <w:r>
        <w:rPr>
          <w:rFonts w:hint="eastAsia" w:ascii="宋体" w:hAnsi="宋体" w:eastAsia="宋体" w:cs="宋体"/>
          <w:b w:val="0"/>
          <w:sz w:val="24"/>
          <w:szCs w:val="24"/>
          <w:lang w:eastAsia="zh-CN"/>
        </w:rPr>
        <w:t>七、</w:t>
      </w:r>
      <w:r>
        <w:rPr>
          <w:rFonts w:hint="eastAsia" w:ascii="宋体" w:hAnsi="宋体" w:eastAsia="宋体" w:cs="宋体"/>
          <w:b w:val="0"/>
          <w:sz w:val="24"/>
          <w:szCs w:val="24"/>
        </w:rPr>
        <w:t>凡对本次采购提出询问，请按</w:t>
      </w:r>
      <w:r>
        <w:rPr>
          <w:rFonts w:ascii="宋体" w:hAnsi="宋体" w:eastAsia="宋体" w:cs="宋体"/>
          <w:b w:val="0"/>
          <w:sz w:val="24"/>
          <w:szCs w:val="24"/>
        </w:rPr>
        <w:t>以下方式</w:t>
      </w:r>
      <w:r>
        <w:rPr>
          <w:rFonts w:hint="eastAsia" w:ascii="宋体" w:hAnsi="宋体" w:eastAsia="宋体" w:cs="宋体"/>
          <w:b w:val="0"/>
          <w:sz w:val="24"/>
          <w:szCs w:val="24"/>
        </w:rPr>
        <w:t>联系。</w:t>
      </w:r>
      <w:bookmarkEnd w:id="25"/>
      <w:bookmarkEnd w:id="26"/>
      <w:bookmarkEnd w:id="27"/>
      <w:bookmarkEnd w:id="28"/>
    </w:p>
    <w:p>
      <w:pPr>
        <w:pStyle w:val="2"/>
        <w:spacing w:line="360" w:lineRule="auto"/>
        <w:ind w:firstLine="720" w:firstLineChars="300"/>
        <w:rPr>
          <w:rFonts w:ascii="宋体" w:hAnsi="宋体" w:eastAsia="宋体" w:cs="宋体"/>
          <w:b w:val="0"/>
          <w:sz w:val="24"/>
          <w:szCs w:val="24"/>
        </w:rPr>
      </w:pPr>
      <w:bookmarkStart w:id="29" w:name="_Toc28359096"/>
      <w:bookmarkStart w:id="30" w:name="_Toc28359019"/>
      <w:bookmarkStart w:id="31" w:name="_Toc35393637"/>
      <w:bookmarkStart w:id="32" w:name="_Toc35393806"/>
      <w:r>
        <w:rPr>
          <w:rFonts w:hint="eastAsia" w:ascii="宋体" w:hAnsi="宋体" w:eastAsia="宋体" w:cs="宋体"/>
          <w:b w:val="0"/>
          <w:sz w:val="24"/>
          <w:szCs w:val="24"/>
        </w:rPr>
        <w:t>1.采购人信息</w:t>
      </w:r>
      <w:bookmarkEnd w:id="29"/>
      <w:bookmarkEnd w:id="30"/>
      <w:bookmarkEnd w:id="31"/>
      <w:bookmarkEnd w:id="32"/>
    </w:p>
    <w:p>
      <w:pPr>
        <w:spacing w:line="360" w:lineRule="auto"/>
        <w:ind w:left="1116" w:leftChars="371" w:hanging="300" w:hangingChars="125"/>
        <w:rPr>
          <w:rFonts w:ascii="宋体" w:hAnsi="宋体" w:eastAsia="宋体"/>
          <w:sz w:val="24"/>
          <w:szCs w:val="24"/>
        </w:rPr>
      </w:pPr>
      <w:r>
        <w:rPr>
          <w:rFonts w:hint="eastAsia" w:ascii="宋体" w:hAnsi="宋体" w:eastAsia="宋体"/>
          <w:sz w:val="24"/>
          <w:szCs w:val="24"/>
        </w:rPr>
        <w:t>名    称：</w:t>
      </w:r>
      <w:r>
        <w:rPr>
          <w:rFonts w:hint="eastAsia" w:ascii="宋体" w:hAnsi="宋体" w:eastAsia="宋体"/>
          <w:sz w:val="24"/>
          <w:szCs w:val="24"/>
          <w:u w:val="single"/>
        </w:rPr>
        <w:t>灵川县三街镇人民政府</w:t>
      </w:r>
    </w:p>
    <w:p>
      <w:pPr>
        <w:spacing w:line="360" w:lineRule="auto"/>
        <w:ind w:left="1116" w:leftChars="371" w:hanging="300" w:hangingChars="125"/>
        <w:rPr>
          <w:rFonts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灵川县马路街4号</w:t>
      </w:r>
    </w:p>
    <w:p>
      <w:pPr>
        <w:spacing w:line="360" w:lineRule="auto"/>
        <w:ind w:left="1116" w:leftChars="371" w:hanging="300" w:hangingChars="125"/>
        <w:rPr>
          <w:rFonts w:ascii="宋体" w:hAnsi="宋体" w:eastAsia="宋体"/>
          <w:sz w:val="24"/>
          <w:szCs w:val="24"/>
        </w:rPr>
      </w:pPr>
      <w:r>
        <w:rPr>
          <w:rFonts w:hint="eastAsia" w:ascii="宋体" w:hAnsi="宋体" w:eastAsia="宋体"/>
          <w:sz w:val="24"/>
          <w:szCs w:val="24"/>
        </w:rPr>
        <w:t>联系方式：</w:t>
      </w:r>
      <w:r>
        <w:rPr>
          <w:rFonts w:hint="eastAsia" w:ascii="宋体" w:hAnsi="宋体" w:eastAsia="宋体"/>
          <w:sz w:val="24"/>
          <w:szCs w:val="24"/>
          <w:u w:val="single"/>
          <w:lang w:val="en-US" w:eastAsia="zh-CN"/>
        </w:rPr>
        <w:t>0773-6324268</w:t>
      </w:r>
      <w:r>
        <w:rPr>
          <w:rFonts w:hint="eastAsia" w:ascii="宋体" w:hAnsi="宋体" w:eastAsia="宋体"/>
          <w:sz w:val="24"/>
          <w:szCs w:val="24"/>
          <w:u w:val="single"/>
        </w:rPr>
        <w:t xml:space="preserve">  </w:t>
      </w:r>
    </w:p>
    <w:p>
      <w:pPr>
        <w:pStyle w:val="2"/>
        <w:spacing w:line="360" w:lineRule="auto"/>
        <w:ind w:firstLine="720" w:firstLineChars="300"/>
        <w:rPr>
          <w:rFonts w:ascii="宋体" w:hAnsi="宋体" w:eastAsia="宋体" w:cs="宋体"/>
          <w:b w:val="0"/>
          <w:sz w:val="24"/>
          <w:szCs w:val="24"/>
        </w:rPr>
      </w:pPr>
      <w:bookmarkStart w:id="33" w:name="_Toc35393638"/>
      <w:bookmarkStart w:id="34" w:name="_Toc35393807"/>
      <w:bookmarkStart w:id="35" w:name="_Toc28359097"/>
      <w:bookmarkStart w:id="36" w:name="_Toc28359020"/>
      <w:r>
        <w:rPr>
          <w:rFonts w:hint="eastAsia" w:ascii="宋体" w:hAnsi="宋体" w:eastAsia="宋体" w:cs="宋体"/>
          <w:b w:val="0"/>
          <w:sz w:val="24"/>
          <w:szCs w:val="24"/>
        </w:rPr>
        <w:t>2.采购代理机构信息</w:t>
      </w:r>
      <w:bookmarkEnd w:id="33"/>
      <w:bookmarkEnd w:id="34"/>
      <w:bookmarkEnd w:id="35"/>
      <w:bookmarkEnd w:id="36"/>
    </w:p>
    <w:p>
      <w:pPr>
        <w:spacing w:line="360" w:lineRule="auto"/>
        <w:ind w:firstLine="720" w:firstLineChars="300"/>
        <w:rPr>
          <w:rFonts w:ascii="宋体" w:hAnsi="宋体" w:eastAsia="宋体"/>
          <w:sz w:val="24"/>
          <w:szCs w:val="24"/>
          <w:u w:val="single"/>
        </w:rPr>
      </w:pPr>
      <w:r>
        <w:rPr>
          <w:rFonts w:hint="eastAsia" w:ascii="宋体" w:hAnsi="宋体" w:eastAsia="宋体"/>
          <w:sz w:val="24"/>
          <w:szCs w:val="24"/>
        </w:rPr>
        <w:t>名    称：</w:t>
      </w:r>
      <w:r>
        <w:rPr>
          <w:rFonts w:hint="eastAsia" w:ascii="宋体" w:hAnsi="宋体" w:eastAsia="宋体"/>
          <w:sz w:val="24"/>
          <w:szCs w:val="24"/>
          <w:u w:val="single"/>
        </w:rPr>
        <w:t>广西八桂建设项目管理有限公司</w:t>
      </w:r>
    </w:p>
    <w:p>
      <w:pPr>
        <w:spacing w:line="360" w:lineRule="auto"/>
        <w:ind w:firstLine="720" w:firstLineChars="3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cs="宋体"/>
          <w:sz w:val="24"/>
          <w:szCs w:val="24"/>
          <w:u w:val="single"/>
        </w:rPr>
        <w:t>桂林市中山南路35号经贸大厦5-14</w:t>
      </w:r>
    </w:p>
    <w:p>
      <w:pPr>
        <w:spacing w:line="360" w:lineRule="auto"/>
        <w:ind w:firstLine="720" w:firstLineChars="300"/>
        <w:rPr>
          <w:rFonts w:ascii="宋体" w:hAnsi="宋体" w:eastAsia="宋体"/>
          <w:sz w:val="24"/>
          <w:szCs w:val="24"/>
          <w:u w:val="single"/>
        </w:rPr>
      </w:pPr>
      <w:r>
        <w:rPr>
          <w:rFonts w:hint="eastAsia" w:ascii="宋体" w:hAnsi="宋体" w:eastAsia="宋体"/>
          <w:sz w:val="24"/>
          <w:szCs w:val="24"/>
        </w:rPr>
        <w:t>联系方式：</w:t>
      </w:r>
      <w:r>
        <w:rPr>
          <w:rFonts w:hint="eastAsia" w:ascii="宋体" w:hAnsi="宋体" w:eastAsia="宋体"/>
          <w:sz w:val="24"/>
          <w:szCs w:val="24"/>
          <w:u w:val="single"/>
        </w:rPr>
        <w:t>0773-2819266</w:t>
      </w:r>
    </w:p>
    <w:p>
      <w:pPr>
        <w:pStyle w:val="2"/>
        <w:spacing w:line="360" w:lineRule="auto"/>
        <w:ind w:firstLine="720" w:firstLineChars="300"/>
        <w:rPr>
          <w:rFonts w:ascii="宋体" w:hAnsi="宋体" w:eastAsia="宋体" w:cs="宋体"/>
          <w:b w:val="0"/>
          <w:sz w:val="24"/>
          <w:szCs w:val="24"/>
        </w:rPr>
      </w:pPr>
      <w:bookmarkStart w:id="37" w:name="_Toc28359098"/>
      <w:bookmarkStart w:id="38" w:name="_Toc28359021"/>
      <w:bookmarkStart w:id="39" w:name="_Toc35393639"/>
      <w:bookmarkStart w:id="40" w:name="_Toc35393808"/>
      <w:r>
        <w:rPr>
          <w:rFonts w:hint="eastAsia" w:ascii="宋体" w:hAnsi="宋体" w:eastAsia="宋体" w:cs="宋体"/>
          <w:b w:val="0"/>
          <w:sz w:val="24"/>
          <w:szCs w:val="24"/>
        </w:rPr>
        <w:t>3.项目联系</w:t>
      </w:r>
      <w:r>
        <w:rPr>
          <w:rFonts w:ascii="宋体" w:hAnsi="宋体" w:eastAsia="宋体" w:cs="宋体"/>
          <w:b w:val="0"/>
          <w:sz w:val="24"/>
          <w:szCs w:val="24"/>
        </w:rPr>
        <w:t>方式</w:t>
      </w:r>
      <w:bookmarkEnd w:id="37"/>
      <w:bookmarkEnd w:id="38"/>
      <w:bookmarkEnd w:id="39"/>
      <w:bookmarkEnd w:id="40"/>
    </w:p>
    <w:p>
      <w:pPr>
        <w:pStyle w:val="5"/>
        <w:spacing w:line="360" w:lineRule="auto"/>
        <w:ind w:firstLine="720" w:firstLineChars="300"/>
        <w:rPr>
          <w:rFonts w:hAnsi="宋体" w:eastAsia="宋体"/>
          <w:sz w:val="24"/>
          <w:szCs w:val="24"/>
        </w:rPr>
      </w:pPr>
      <w:r>
        <w:rPr>
          <w:rFonts w:hint="eastAsia" w:hAnsi="宋体" w:eastAsia="宋体"/>
          <w:sz w:val="24"/>
          <w:szCs w:val="24"/>
        </w:rPr>
        <w:t>项目联系人：</w:t>
      </w:r>
      <w:r>
        <w:rPr>
          <w:rFonts w:hint="eastAsia" w:hAnsi="宋体" w:eastAsia="宋体"/>
          <w:sz w:val="24"/>
          <w:szCs w:val="24"/>
          <w:u w:val="single"/>
        </w:rPr>
        <w:t>范祥意</w:t>
      </w:r>
    </w:p>
    <w:p>
      <w:pPr>
        <w:spacing w:line="360" w:lineRule="auto"/>
        <w:ind w:firstLine="720" w:firstLineChars="3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0773-2819266</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3、监督部门：灵川县政府采购管理办公室，联系电话：0773-6812818。</w:t>
      </w: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pStyle w:val="2"/>
      </w:pPr>
    </w:p>
    <w:p>
      <w:pPr>
        <w:spacing w:after="0" w:line="200" w:lineRule="exact"/>
        <w:rPr>
          <w:color w:val="auto"/>
          <w:sz w:val="20"/>
          <w:szCs w:val="20"/>
        </w:rPr>
      </w:pPr>
      <w:bookmarkStart w:id="41" w:name="page7"/>
      <w:bookmarkEnd w:id="41"/>
    </w:p>
    <w:p>
      <w:pPr>
        <w:spacing w:after="0" w:line="200" w:lineRule="exact"/>
        <w:rPr>
          <w:color w:val="auto"/>
          <w:sz w:val="20"/>
          <w:szCs w:val="20"/>
        </w:rPr>
      </w:pPr>
    </w:p>
    <w:p>
      <w:pPr>
        <w:spacing w:after="0" w:line="285" w:lineRule="exact"/>
        <w:rPr>
          <w:color w:val="auto"/>
          <w:sz w:val="20"/>
          <w:szCs w:val="20"/>
        </w:rPr>
      </w:pPr>
    </w:p>
    <w:tbl>
      <w:tblPr>
        <w:tblStyle w:val="9"/>
        <w:tblW w:w="10640" w:type="dxa"/>
        <w:tblInd w:w="10" w:type="dxa"/>
        <w:tblLayout w:type="fixed"/>
        <w:tblCellMar>
          <w:top w:w="0" w:type="dxa"/>
          <w:left w:w="0" w:type="dxa"/>
          <w:bottom w:w="0" w:type="dxa"/>
          <w:right w:w="0" w:type="dxa"/>
        </w:tblCellMar>
      </w:tblPr>
      <w:tblGrid>
        <w:gridCol w:w="580"/>
        <w:gridCol w:w="720"/>
        <w:gridCol w:w="2120"/>
        <w:gridCol w:w="660"/>
        <w:gridCol w:w="6200"/>
        <w:gridCol w:w="360"/>
      </w:tblGrid>
      <w:tr>
        <w:tblPrEx>
          <w:tblCellMar>
            <w:top w:w="0" w:type="dxa"/>
            <w:left w:w="0" w:type="dxa"/>
            <w:bottom w:w="0" w:type="dxa"/>
            <w:right w:w="0" w:type="dxa"/>
          </w:tblCellMar>
        </w:tblPrEx>
        <w:trPr>
          <w:trHeight w:val="365" w:hRule="atLeast"/>
        </w:trPr>
        <w:tc>
          <w:tcPr>
            <w:tcW w:w="580" w:type="dxa"/>
            <w:vAlign w:val="bottom"/>
          </w:tcPr>
          <w:p>
            <w:pPr>
              <w:spacing w:after="0"/>
              <w:rPr>
                <w:color w:val="auto"/>
                <w:sz w:val="24"/>
                <w:szCs w:val="24"/>
              </w:rPr>
            </w:pPr>
            <w:bookmarkStart w:id="42" w:name="page5"/>
            <w:bookmarkEnd w:id="42"/>
          </w:p>
        </w:tc>
        <w:tc>
          <w:tcPr>
            <w:tcW w:w="720" w:type="dxa"/>
            <w:vAlign w:val="bottom"/>
          </w:tcPr>
          <w:p>
            <w:pPr>
              <w:spacing w:after="0"/>
              <w:rPr>
                <w:color w:val="auto"/>
                <w:sz w:val="24"/>
                <w:szCs w:val="24"/>
              </w:rPr>
            </w:pPr>
          </w:p>
        </w:tc>
        <w:tc>
          <w:tcPr>
            <w:tcW w:w="2780" w:type="dxa"/>
            <w:gridSpan w:val="2"/>
            <w:vAlign w:val="bottom"/>
          </w:tcPr>
          <w:p>
            <w:pPr>
              <w:spacing w:after="0" w:line="366" w:lineRule="exact"/>
              <w:ind w:left="1740"/>
              <w:rPr>
                <w:color w:val="auto"/>
                <w:sz w:val="20"/>
                <w:szCs w:val="20"/>
              </w:rPr>
            </w:pPr>
            <w:r>
              <w:rPr>
                <w:rFonts w:ascii="宋体" w:hAnsi="宋体" w:eastAsia="宋体" w:cs="宋体"/>
                <w:b/>
                <w:bCs/>
                <w:color w:val="auto"/>
                <w:sz w:val="32"/>
                <w:szCs w:val="32"/>
              </w:rPr>
              <w:t>第二章</w:t>
            </w:r>
          </w:p>
        </w:tc>
        <w:tc>
          <w:tcPr>
            <w:tcW w:w="6200" w:type="dxa"/>
            <w:vAlign w:val="bottom"/>
          </w:tcPr>
          <w:p>
            <w:pPr>
              <w:spacing w:after="0" w:line="366" w:lineRule="exact"/>
              <w:ind w:right="2301"/>
              <w:jc w:val="right"/>
              <w:rPr>
                <w:color w:val="auto"/>
                <w:sz w:val="20"/>
                <w:szCs w:val="20"/>
              </w:rPr>
            </w:pPr>
            <w:r>
              <w:rPr>
                <w:rFonts w:ascii="宋体" w:hAnsi="宋体" w:eastAsia="宋体" w:cs="宋体"/>
                <w:b/>
                <w:bCs/>
                <w:color w:val="auto"/>
                <w:sz w:val="32"/>
                <w:szCs w:val="32"/>
              </w:rPr>
              <w:t>磋商供应商须知及前附表</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8" w:hRule="atLeast"/>
        </w:trPr>
        <w:tc>
          <w:tcPr>
            <w:tcW w:w="5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21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6200" w:type="dxa"/>
            <w:vAlign w:val="bottom"/>
          </w:tcPr>
          <w:p>
            <w:pPr>
              <w:spacing w:after="0" w:line="274" w:lineRule="exact"/>
              <w:ind w:right="3581"/>
              <w:jc w:val="right"/>
              <w:rPr>
                <w:color w:val="auto"/>
                <w:sz w:val="20"/>
                <w:szCs w:val="20"/>
              </w:rPr>
            </w:pPr>
            <w:r>
              <w:rPr>
                <w:rFonts w:ascii="宋体" w:hAnsi="宋体" w:eastAsia="宋体" w:cs="宋体"/>
                <w:b/>
                <w:bCs/>
                <w:color w:val="auto"/>
                <w:sz w:val="24"/>
                <w:szCs w:val="24"/>
              </w:rPr>
              <w:t>磋商供应商须知前附表</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580" w:type="dxa"/>
            <w:tcBorders>
              <w:bottom w:val="single" w:color="auto" w:sz="8" w:space="0"/>
            </w:tcBorders>
            <w:vAlign w:val="bottom"/>
          </w:tcPr>
          <w:p>
            <w:pPr>
              <w:spacing w:after="0"/>
              <w:rPr>
                <w:color w:val="auto"/>
                <w:sz w:val="4"/>
                <w:szCs w:val="4"/>
              </w:rPr>
            </w:pPr>
          </w:p>
        </w:tc>
        <w:tc>
          <w:tcPr>
            <w:tcW w:w="720" w:type="dxa"/>
            <w:tcBorders>
              <w:bottom w:val="single" w:color="auto" w:sz="8" w:space="0"/>
            </w:tcBorders>
            <w:vAlign w:val="bottom"/>
          </w:tcPr>
          <w:p>
            <w:pPr>
              <w:spacing w:after="0"/>
              <w:rPr>
                <w:color w:val="auto"/>
                <w:sz w:val="4"/>
                <w:szCs w:val="4"/>
              </w:rPr>
            </w:pPr>
          </w:p>
        </w:tc>
        <w:tc>
          <w:tcPr>
            <w:tcW w:w="2120" w:type="dxa"/>
            <w:tcBorders>
              <w:bottom w:val="single" w:color="auto" w:sz="8" w:space="0"/>
            </w:tcBorders>
            <w:vAlign w:val="bottom"/>
          </w:tcPr>
          <w:p>
            <w:pPr>
              <w:spacing w:after="0"/>
              <w:rPr>
                <w:color w:val="auto"/>
                <w:sz w:val="4"/>
                <w:szCs w:val="4"/>
              </w:rPr>
            </w:pPr>
          </w:p>
        </w:tc>
        <w:tc>
          <w:tcPr>
            <w:tcW w:w="660" w:type="dxa"/>
            <w:tcBorders>
              <w:bottom w:val="single" w:color="auto" w:sz="8" w:space="0"/>
            </w:tcBorders>
            <w:vAlign w:val="bottom"/>
          </w:tcPr>
          <w:p>
            <w:pPr>
              <w:spacing w:after="0"/>
              <w:rPr>
                <w:color w:val="auto"/>
                <w:sz w:val="4"/>
                <w:szCs w:val="4"/>
              </w:rPr>
            </w:pPr>
          </w:p>
        </w:tc>
        <w:tc>
          <w:tcPr>
            <w:tcW w:w="6200" w:type="dxa"/>
            <w:tcBorders>
              <w:bottom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序</w:t>
            </w:r>
          </w:p>
        </w:tc>
        <w:tc>
          <w:tcPr>
            <w:tcW w:w="7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条款</w:t>
            </w:r>
          </w:p>
        </w:tc>
        <w:tc>
          <w:tcPr>
            <w:tcW w:w="21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条款名称</w:t>
            </w:r>
          </w:p>
        </w:tc>
        <w:tc>
          <w:tcPr>
            <w:tcW w:w="660" w:type="dxa"/>
            <w:vAlign w:val="bottom"/>
          </w:tcPr>
          <w:p>
            <w:pPr>
              <w:spacing w:after="0"/>
              <w:rPr>
                <w:color w:val="auto"/>
                <w:sz w:val="24"/>
                <w:szCs w:val="24"/>
              </w:rPr>
            </w:pPr>
          </w:p>
        </w:tc>
        <w:tc>
          <w:tcPr>
            <w:tcW w:w="6200" w:type="dxa"/>
            <w:vMerge w:val="restart"/>
            <w:tcBorders>
              <w:right w:val="single" w:color="auto" w:sz="8" w:space="0"/>
            </w:tcBorders>
            <w:vAlign w:val="bottom"/>
          </w:tcPr>
          <w:p>
            <w:pPr>
              <w:spacing w:after="0" w:line="240" w:lineRule="exact"/>
              <w:ind w:right="2561"/>
              <w:jc w:val="right"/>
              <w:rPr>
                <w:color w:val="auto"/>
                <w:sz w:val="20"/>
                <w:szCs w:val="20"/>
              </w:rPr>
            </w:pPr>
            <w:r>
              <w:rPr>
                <w:rFonts w:ascii="宋体" w:hAnsi="宋体" w:eastAsia="宋体" w:cs="宋体"/>
                <w:color w:val="auto"/>
                <w:sz w:val="21"/>
                <w:szCs w:val="21"/>
              </w:rPr>
              <w:t>内容、要求</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号</w:t>
            </w:r>
          </w:p>
        </w:tc>
        <w:tc>
          <w:tcPr>
            <w:tcW w:w="7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号</w:t>
            </w:r>
          </w:p>
        </w:tc>
        <w:tc>
          <w:tcPr>
            <w:tcW w:w="2120" w:type="dxa"/>
            <w:vMerge w:val="continue"/>
            <w:tcBorders>
              <w:right w:val="single" w:color="auto" w:sz="8" w:space="0"/>
            </w:tcBorders>
            <w:vAlign w:val="bottom"/>
          </w:tcPr>
          <w:p>
            <w:pPr>
              <w:spacing w:after="0"/>
              <w:rPr>
                <w:color w:val="auto"/>
                <w:sz w:val="15"/>
                <w:szCs w:val="15"/>
              </w:rPr>
            </w:pPr>
          </w:p>
        </w:tc>
        <w:tc>
          <w:tcPr>
            <w:tcW w:w="660" w:type="dxa"/>
            <w:vAlign w:val="bottom"/>
          </w:tcPr>
          <w:p>
            <w:pPr>
              <w:spacing w:after="0"/>
              <w:rPr>
                <w:color w:val="auto"/>
                <w:sz w:val="15"/>
                <w:szCs w:val="15"/>
              </w:rPr>
            </w:pPr>
          </w:p>
        </w:tc>
        <w:tc>
          <w:tcPr>
            <w:tcW w:w="6200" w:type="dxa"/>
            <w:vMerge w:val="continue"/>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spacing w:after="0"/>
              <w:rPr>
                <w:color w:val="auto"/>
                <w:sz w:val="15"/>
                <w:szCs w:val="15"/>
              </w:rPr>
            </w:pPr>
          </w:p>
        </w:tc>
        <w:tc>
          <w:tcPr>
            <w:tcW w:w="720" w:type="dxa"/>
            <w:vMerge w:val="continue"/>
            <w:tcBorders>
              <w:right w:val="single" w:color="auto" w:sz="8" w:space="0"/>
            </w:tcBorders>
            <w:vAlign w:val="bottom"/>
          </w:tcPr>
          <w:p>
            <w:pPr>
              <w:spacing w:after="0"/>
              <w:rPr>
                <w:color w:val="auto"/>
                <w:sz w:val="15"/>
                <w:szCs w:val="15"/>
              </w:rPr>
            </w:pPr>
          </w:p>
        </w:tc>
        <w:tc>
          <w:tcPr>
            <w:tcW w:w="2120" w:type="dxa"/>
            <w:tcBorders>
              <w:right w:val="single" w:color="auto" w:sz="8" w:space="0"/>
            </w:tcBorders>
            <w:vAlign w:val="bottom"/>
          </w:tcPr>
          <w:p>
            <w:pPr>
              <w:spacing w:after="0"/>
              <w:rPr>
                <w:color w:val="auto"/>
                <w:sz w:val="15"/>
                <w:szCs w:val="15"/>
              </w:rPr>
            </w:pPr>
          </w:p>
        </w:tc>
        <w:tc>
          <w:tcPr>
            <w:tcW w:w="660" w:type="dxa"/>
            <w:vAlign w:val="bottom"/>
          </w:tcPr>
          <w:p>
            <w:pPr>
              <w:spacing w:after="0"/>
              <w:rPr>
                <w:color w:val="auto"/>
                <w:sz w:val="15"/>
                <w:szCs w:val="15"/>
              </w:rPr>
            </w:pPr>
          </w:p>
        </w:tc>
        <w:tc>
          <w:tcPr>
            <w:tcW w:w="620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rPr>
                <w:color w:val="auto"/>
                <w:sz w:val="3"/>
                <w:szCs w:val="3"/>
              </w:rPr>
            </w:pPr>
          </w:p>
        </w:tc>
        <w:tc>
          <w:tcPr>
            <w:tcW w:w="6860" w:type="dxa"/>
            <w:gridSpan w:val="2"/>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58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1</w:t>
            </w:r>
          </w:p>
        </w:tc>
        <w:tc>
          <w:tcPr>
            <w:tcW w:w="7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1.1</w:t>
            </w:r>
          </w:p>
        </w:tc>
        <w:tc>
          <w:tcPr>
            <w:tcW w:w="21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项目名称及项目编号</w:t>
            </w:r>
          </w:p>
        </w:tc>
        <w:tc>
          <w:tcPr>
            <w:tcW w:w="6860" w:type="dxa"/>
            <w:gridSpan w:val="2"/>
            <w:tcBorders>
              <w:right w:val="single" w:color="auto" w:sz="8" w:space="0"/>
            </w:tcBorders>
            <w:vAlign w:val="bottom"/>
          </w:tcPr>
          <w:p>
            <w:pPr>
              <w:spacing w:after="0" w:line="240" w:lineRule="exact"/>
              <w:ind w:left="100"/>
              <w:rPr>
                <w:rFonts w:hint="eastAsia" w:eastAsia="宋体"/>
                <w:color w:val="auto"/>
                <w:sz w:val="20"/>
                <w:szCs w:val="20"/>
                <w:lang w:eastAsia="zh-CN"/>
              </w:rPr>
            </w:pPr>
            <w:r>
              <w:rPr>
                <w:rFonts w:ascii="宋体" w:hAnsi="宋体" w:eastAsia="宋体" w:cs="宋体"/>
                <w:color w:val="auto"/>
                <w:sz w:val="21"/>
                <w:szCs w:val="21"/>
              </w:rPr>
              <w:t>项目名称：</w:t>
            </w:r>
            <w:r>
              <w:rPr>
                <w:rFonts w:hint="eastAsia" w:ascii="宋体" w:hAnsi="宋体"/>
                <w:szCs w:val="21"/>
                <w:u w:val="single"/>
                <w:lang w:eastAsia="zh-CN"/>
              </w:rPr>
              <w:t>灵川县三街镇人民政府雪亮工程</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spacing w:after="0"/>
              <w:rPr>
                <w:color w:val="auto"/>
                <w:sz w:val="15"/>
                <w:szCs w:val="15"/>
              </w:rPr>
            </w:pPr>
          </w:p>
        </w:tc>
        <w:tc>
          <w:tcPr>
            <w:tcW w:w="720" w:type="dxa"/>
            <w:vMerge w:val="continue"/>
            <w:tcBorders>
              <w:right w:val="single" w:color="auto" w:sz="8" w:space="0"/>
            </w:tcBorders>
            <w:vAlign w:val="bottom"/>
          </w:tcPr>
          <w:p>
            <w:pPr>
              <w:spacing w:after="0"/>
              <w:rPr>
                <w:color w:val="auto"/>
                <w:sz w:val="15"/>
                <w:szCs w:val="15"/>
              </w:rPr>
            </w:pPr>
          </w:p>
        </w:tc>
        <w:tc>
          <w:tcPr>
            <w:tcW w:w="2120" w:type="dxa"/>
            <w:vMerge w:val="continue"/>
            <w:tcBorders>
              <w:right w:val="single" w:color="auto" w:sz="8" w:space="0"/>
            </w:tcBorders>
            <w:vAlign w:val="bottom"/>
          </w:tcPr>
          <w:p>
            <w:pPr>
              <w:spacing w:after="0"/>
              <w:rPr>
                <w:color w:val="auto"/>
                <w:sz w:val="15"/>
                <w:szCs w:val="15"/>
              </w:rPr>
            </w:pPr>
          </w:p>
        </w:tc>
        <w:tc>
          <w:tcPr>
            <w:tcW w:w="6860" w:type="dxa"/>
            <w:gridSpan w:val="2"/>
            <w:vMerge w:val="restart"/>
            <w:tcBorders>
              <w:right w:val="single" w:color="auto" w:sz="8" w:space="0"/>
            </w:tcBorders>
            <w:vAlign w:val="bottom"/>
          </w:tcPr>
          <w:p>
            <w:pPr>
              <w:spacing w:after="0" w:line="240" w:lineRule="exact"/>
              <w:ind w:left="100"/>
              <w:rPr>
                <w:rFonts w:hint="default" w:eastAsia="宋体"/>
                <w:color w:val="auto"/>
                <w:sz w:val="20"/>
                <w:szCs w:val="20"/>
                <w:lang w:val="en-US" w:eastAsia="zh-CN"/>
              </w:rPr>
            </w:pPr>
            <w:r>
              <w:rPr>
                <w:rFonts w:ascii="宋体" w:hAnsi="宋体" w:eastAsia="宋体" w:cs="宋体"/>
                <w:color w:val="auto"/>
                <w:sz w:val="21"/>
                <w:szCs w:val="21"/>
              </w:rPr>
              <w:t>项目编号：</w:t>
            </w:r>
            <w:r>
              <w:rPr>
                <w:rFonts w:hint="eastAsia" w:ascii="宋体" w:hAnsi="宋体"/>
                <w:szCs w:val="21"/>
                <w:u w:val="single"/>
                <w:lang w:eastAsia="zh-CN"/>
              </w:rPr>
              <w:t>GLZC2020-C3-230039-GXBG</w:t>
            </w:r>
            <w:r>
              <w:rPr>
                <w:rFonts w:hint="eastAsia" w:ascii="宋体" w:hAnsi="宋体" w:eastAsia="宋体" w:cs="宋体"/>
                <w:color w:val="auto"/>
                <w:sz w:val="21"/>
                <w:szCs w:val="21"/>
                <w:lang w:val="en-US" w:eastAsia="zh-CN"/>
              </w:rPr>
              <w:t xml:space="preserve">   </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spacing w:after="0"/>
              <w:rPr>
                <w:color w:val="auto"/>
                <w:sz w:val="15"/>
                <w:szCs w:val="15"/>
              </w:rPr>
            </w:pPr>
          </w:p>
        </w:tc>
        <w:tc>
          <w:tcPr>
            <w:tcW w:w="720" w:type="dxa"/>
            <w:tcBorders>
              <w:right w:val="single" w:color="auto" w:sz="8" w:space="0"/>
            </w:tcBorders>
            <w:vAlign w:val="bottom"/>
          </w:tcPr>
          <w:p>
            <w:pPr>
              <w:spacing w:after="0"/>
              <w:rPr>
                <w:color w:val="auto"/>
                <w:sz w:val="15"/>
                <w:szCs w:val="15"/>
              </w:rPr>
            </w:pPr>
          </w:p>
        </w:tc>
        <w:tc>
          <w:tcPr>
            <w:tcW w:w="2120" w:type="dxa"/>
            <w:tcBorders>
              <w:right w:val="single" w:color="auto" w:sz="8" w:space="0"/>
            </w:tcBorders>
            <w:vAlign w:val="bottom"/>
          </w:tcPr>
          <w:p>
            <w:pPr>
              <w:spacing w:after="0"/>
              <w:rPr>
                <w:color w:val="auto"/>
                <w:sz w:val="15"/>
                <w:szCs w:val="15"/>
              </w:rPr>
            </w:pPr>
          </w:p>
        </w:tc>
        <w:tc>
          <w:tcPr>
            <w:tcW w:w="6860" w:type="dxa"/>
            <w:gridSpan w:val="2"/>
            <w:vMerge w:val="continue"/>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rPr>
                <w:color w:val="auto"/>
                <w:sz w:val="3"/>
                <w:szCs w:val="3"/>
              </w:rPr>
            </w:pPr>
          </w:p>
        </w:tc>
        <w:tc>
          <w:tcPr>
            <w:tcW w:w="6860" w:type="dxa"/>
            <w:gridSpan w:val="2"/>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7"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ascii="宋体" w:hAnsi="宋体" w:eastAsia="宋体" w:cs="宋体"/>
                <w:color w:val="auto"/>
                <w:sz w:val="21"/>
                <w:szCs w:val="21"/>
              </w:rPr>
            </w:pPr>
            <w:r>
              <w:rPr>
                <w:rFonts w:hint="eastAsia" w:ascii="宋体" w:hAnsi="宋体" w:eastAsia="宋体" w:cs="宋体"/>
                <w:color w:val="auto"/>
                <w:sz w:val="21"/>
                <w:szCs w:val="21"/>
                <w:lang w:val="en-US" w:eastAsia="zh-CN"/>
              </w:rPr>
              <w:t>3.1.满足《中华人民共和国政府采购法》第二十二条规定；</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spacing w:after="0" w:line="340" w:lineRule="exact"/>
              <w:rPr>
                <w:rFonts w:ascii="宋体" w:hAnsi="宋体" w:eastAsia="宋体" w:cs="宋体"/>
                <w:color w:val="auto"/>
                <w:sz w:val="21"/>
                <w:szCs w:val="21"/>
              </w:rPr>
            </w:pPr>
            <w:r>
              <w:rPr>
                <w:rFonts w:hint="eastAsia" w:ascii="宋体" w:hAnsi="宋体" w:eastAsia="宋体" w:cs="宋体"/>
                <w:color w:val="auto"/>
                <w:sz w:val="21"/>
                <w:szCs w:val="21"/>
                <w:lang w:val="en-US" w:eastAsia="zh-CN"/>
              </w:rPr>
              <w:t>3.2.落实政府采购政策需满足的资格要求：</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spacing w:after="0" w:line="340" w:lineRule="exact"/>
              <w:ind w:left="100"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（1）《政府采购促进中小企业发展暂行办法》（财库[2011]181号）；</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spacing w:after="0" w:line="340" w:lineRule="exact"/>
              <w:ind w:left="100"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（2）《关于政府采购支持监狱企业发展有关问题的通知》（财库[2014]68号）；</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spacing w:after="0" w:line="340" w:lineRule="exact"/>
              <w:ind w:left="100"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（3）《关于促进残疾人就业政府采购政策的通知》（财库[2017]141号）；</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7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3</w:t>
            </w:r>
          </w:p>
        </w:tc>
        <w:tc>
          <w:tcPr>
            <w:tcW w:w="2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供应商资格</w:t>
            </w:r>
          </w:p>
        </w:tc>
        <w:tc>
          <w:tcPr>
            <w:tcW w:w="6860" w:type="dxa"/>
            <w:gridSpan w:val="2"/>
            <w:tcBorders>
              <w:right w:val="single" w:color="auto" w:sz="8" w:space="0"/>
            </w:tcBorders>
            <w:vAlign w:val="bottom"/>
          </w:tcPr>
          <w:p>
            <w:pPr>
              <w:spacing w:after="0" w:line="340" w:lineRule="exact"/>
              <w:ind w:left="100"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 xml:space="preserve">（4）《关于调整优化节能产品、环境标志产品政府采购执行机制的通知》（财库〔2019〕9号）；    </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spacing w:after="0" w:line="340" w:lineRule="exact"/>
              <w:ind w:left="100"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（5） 《广西壮族自治区人民政府办公厅关于印发招标采购促进广西工业产品产销对接实施细则的通知》（桂政办发[2015]78号）；</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ascii="宋体" w:hAnsi="宋体" w:eastAsia="宋体" w:cs="宋体"/>
                <w:color w:val="auto"/>
                <w:sz w:val="21"/>
                <w:szCs w:val="21"/>
              </w:rPr>
            </w:pPr>
            <w:r>
              <w:rPr>
                <w:rFonts w:hint="eastAsia" w:ascii="宋体" w:hAnsi="宋体" w:eastAsia="宋体" w:cs="宋体"/>
                <w:color w:val="auto"/>
                <w:sz w:val="21"/>
                <w:szCs w:val="21"/>
                <w:lang w:val="en-US" w:eastAsia="zh-CN"/>
              </w:rPr>
              <w:t>3.3.本项目的特定资格要求：无；</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ascii="宋体" w:hAnsi="宋体" w:eastAsia="宋体" w:cs="宋体"/>
                <w:color w:val="auto"/>
                <w:sz w:val="21"/>
                <w:szCs w:val="21"/>
              </w:rPr>
            </w:pPr>
            <w:r>
              <w:rPr>
                <w:rFonts w:hint="eastAsia" w:ascii="宋体" w:hAnsi="宋体" w:eastAsia="宋体" w:cs="宋体"/>
                <w:color w:val="auto"/>
                <w:sz w:val="21"/>
                <w:szCs w:val="21"/>
                <w:lang w:val="en-US" w:eastAsia="zh-CN"/>
              </w:rPr>
              <w:t>3.4.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ascii="宋体" w:hAnsi="宋体" w:eastAsia="宋体" w:cs="宋体"/>
                <w:color w:val="auto"/>
                <w:sz w:val="21"/>
                <w:szCs w:val="21"/>
              </w:rPr>
            </w:pPr>
            <w:r>
              <w:rPr>
                <w:rFonts w:hint="eastAsia" w:ascii="宋体" w:hAnsi="宋体" w:eastAsia="宋体" w:cs="宋体"/>
                <w:color w:val="auto"/>
                <w:sz w:val="21"/>
                <w:szCs w:val="21"/>
                <w:lang w:val="en-US" w:eastAsia="zh-CN"/>
              </w:rPr>
              <w:t>3.5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6860" w:type="dxa"/>
            <w:gridSpan w:val="2"/>
            <w:tcBorders>
              <w:right w:val="single" w:color="auto" w:sz="8" w:space="0"/>
            </w:tcBorders>
            <w:vAlign w:val="bottom"/>
          </w:tcPr>
          <w:p>
            <w:pPr>
              <w:spacing w:line="360" w:lineRule="auto"/>
              <w:rPr>
                <w:rFonts w:ascii="宋体" w:hAnsi="宋体" w:eastAsia="宋体" w:cs="宋体"/>
                <w:color w:val="auto"/>
                <w:sz w:val="21"/>
                <w:szCs w:val="21"/>
              </w:rPr>
            </w:pPr>
            <w:r>
              <w:rPr>
                <w:rFonts w:hint="eastAsia" w:asciiTheme="majorEastAsia" w:hAnsiTheme="majorEastAsia" w:eastAsiaTheme="majorEastAsia"/>
                <w:sz w:val="21"/>
                <w:szCs w:val="21"/>
                <w:lang w:val="en-US" w:eastAsia="zh-CN"/>
              </w:rPr>
              <w:t>3.6</w:t>
            </w:r>
            <w:r>
              <w:rPr>
                <w:rFonts w:hint="eastAsia" w:asciiTheme="majorEastAsia" w:hAnsiTheme="majorEastAsia" w:eastAsiaTheme="majorEastAsia"/>
                <w:sz w:val="21"/>
                <w:szCs w:val="21"/>
              </w:rPr>
              <w:t>本项目</w:t>
            </w:r>
            <w:r>
              <w:rPr>
                <w:rFonts w:hint="eastAsia" w:asciiTheme="majorEastAsia" w:hAnsiTheme="majorEastAsia" w:eastAsiaTheme="majorEastAsia"/>
                <w:sz w:val="21"/>
                <w:szCs w:val="21"/>
                <w:u w:val="single"/>
                <w:lang w:eastAsia="zh-CN"/>
              </w:rPr>
              <w:t>不接受</w:t>
            </w:r>
            <w:r>
              <w:rPr>
                <w:rFonts w:hint="eastAsia" w:asciiTheme="majorEastAsia" w:hAnsiTheme="majorEastAsia" w:eastAsiaTheme="majorEastAsia"/>
                <w:sz w:val="21"/>
                <w:szCs w:val="21"/>
              </w:rPr>
              <w:t>联合体。</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rPr>
                <w:color w:val="auto"/>
                <w:sz w:val="3"/>
                <w:szCs w:val="3"/>
              </w:rPr>
            </w:pPr>
          </w:p>
        </w:tc>
        <w:tc>
          <w:tcPr>
            <w:tcW w:w="6860" w:type="dxa"/>
            <w:gridSpan w:val="2"/>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3</w:t>
            </w:r>
          </w:p>
        </w:tc>
        <w:tc>
          <w:tcPr>
            <w:tcW w:w="7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4</w:t>
            </w: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磋商费用</w:t>
            </w: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不论磋商结果如何，供应商均应自行承担所有与磋商有关的全部费用。</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bottom w:val="single" w:color="auto" w:sz="8" w:space="0"/>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采购项目预算金额（人民币）：1071000元。报价超过采购预算金额的，</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响应文件按无效处理。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1"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 供应商必须就“采购需求”中的所有服务内容作完整唯一报价，否</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0" w:hRule="atLeast"/>
        </w:trPr>
        <w:tc>
          <w:tcPr>
            <w:tcW w:w="58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4</w:t>
            </w:r>
          </w:p>
        </w:tc>
        <w:tc>
          <w:tcPr>
            <w:tcW w:w="7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13</w:t>
            </w: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磋商报价及采购预算</w:t>
            </w: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则，其响应文件无效。响应文件只允许有一个报价，有选择的或有条件的</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spacing w:after="0"/>
              <w:rPr>
                <w:color w:val="auto"/>
                <w:sz w:val="15"/>
                <w:szCs w:val="15"/>
              </w:rPr>
            </w:pPr>
          </w:p>
        </w:tc>
        <w:tc>
          <w:tcPr>
            <w:tcW w:w="720" w:type="dxa"/>
            <w:vMerge w:val="continue"/>
            <w:tcBorders>
              <w:right w:val="single" w:color="auto" w:sz="8" w:space="0"/>
            </w:tcBorders>
            <w:vAlign w:val="bottom"/>
          </w:tcPr>
          <w:p>
            <w:pPr>
              <w:spacing w:after="0"/>
              <w:rPr>
                <w:color w:val="auto"/>
                <w:sz w:val="15"/>
                <w:szCs w:val="15"/>
              </w:rPr>
            </w:pPr>
          </w:p>
        </w:tc>
        <w:tc>
          <w:tcPr>
            <w:tcW w:w="2120" w:type="dxa"/>
            <w:vMerge w:val="restart"/>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总金额</w:t>
            </w:r>
          </w:p>
        </w:tc>
        <w:tc>
          <w:tcPr>
            <w:tcW w:w="6860" w:type="dxa"/>
            <w:gridSpan w:val="2"/>
            <w:vMerge w:val="restart"/>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报价将不予接受。</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spacing w:after="0"/>
              <w:rPr>
                <w:color w:val="auto"/>
                <w:sz w:val="15"/>
                <w:szCs w:val="15"/>
              </w:rPr>
            </w:pPr>
          </w:p>
        </w:tc>
        <w:tc>
          <w:tcPr>
            <w:tcW w:w="720" w:type="dxa"/>
            <w:tcBorders>
              <w:right w:val="single" w:color="auto" w:sz="8" w:space="0"/>
            </w:tcBorders>
            <w:vAlign w:val="bottom"/>
          </w:tcPr>
          <w:p>
            <w:pPr>
              <w:spacing w:after="0"/>
              <w:rPr>
                <w:color w:val="auto"/>
                <w:sz w:val="15"/>
                <w:szCs w:val="15"/>
              </w:rPr>
            </w:pPr>
          </w:p>
        </w:tc>
        <w:tc>
          <w:tcPr>
            <w:tcW w:w="2120" w:type="dxa"/>
            <w:vMerge w:val="continue"/>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vMerge w:val="continue"/>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39"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 未书面退出磋商的供应商在规定时间内密封提交最后报价，其最后</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报价超出采购预算金额导致已通过评审的响应文件无效的，按供应商在提</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pageBreakBefore w:val="0"/>
              <w:kinsoku/>
              <w:wordWrap/>
              <w:overflowPunct/>
              <w:topLinePunct w:val="0"/>
              <w:autoSpaceDE/>
              <w:autoSpaceDN/>
              <w:bidi w:val="0"/>
              <w:adjustRightInd/>
              <w:snapToGrid/>
              <w:spacing w:after="0" w:line="3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交响应文件截止时间后撤回响应文件处理。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7" w:hRule="atLeast"/>
        </w:trPr>
        <w:tc>
          <w:tcPr>
            <w:tcW w:w="5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5</w:t>
            </w:r>
          </w:p>
        </w:tc>
        <w:tc>
          <w:tcPr>
            <w:tcW w:w="7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14.1</w:t>
            </w: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响应文件有效期</w:t>
            </w:r>
          </w:p>
        </w:tc>
        <w:tc>
          <w:tcPr>
            <w:tcW w:w="6860" w:type="dxa"/>
            <w:gridSpan w:val="2"/>
            <w:tcBorders>
              <w:right w:val="single" w:color="auto" w:sz="8" w:space="0"/>
            </w:tcBorders>
            <w:vAlign w:val="bottom"/>
          </w:tcPr>
          <w:p>
            <w:pPr>
              <w:spacing w:after="0" w:line="240" w:lineRule="exact"/>
              <w:ind w:left="100"/>
              <w:rPr>
                <w:color w:val="auto"/>
                <w:sz w:val="20"/>
                <w:szCs w:val="20"/>
              </w:rPr>
            </w:pPr>
            <w:r>
              <w:rPr>
                <w:rFonts w:hint="eastAsia" w:ascii="宋体" w:hAnsi="宋体" w:eastAsia="宋体" w:cs="宋体"/>
                <w:color w:val="auto"/>
                <w:sz w:val="21"/>
                <w:szCs w:val="21"/>
                <w:lang w:val="en-US" w:eastAsia="zh-CN"/>
              </w:rPr>
              <w:t>响应文件递交截止时间之日起60 天，有效期不足的响应文件将被拒绝</w:t>
            </w:r>
            <w:r>
              <w:rPr>
                <w:rFonts w:ascii="宋体" w:hAnsi="宋体" w:eastAsia="宋体" w:cs="宋体"/>
                <w:color w:val="auto"/>
                <w:w w:val="99"/>
                <w:sz w:val="21"/>
                <w:szCs w:val="21"/>
              </w:rPr>
              <w:t>。</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 w:hRule="atLeast"/>
        </w:trPr>
        <w:tc>
          <w:tcPr>
            <w:tcW w:w="58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720" w:type="dxa"/>
            <w:tcBorders>
              <w:bottom w:val="single" w:color="auto" w:sz="8" w:space="0"/>
              <w:right w:val="single" w:color="auto" w:sz="8" w:space="0"/>
            </w:tcBorders>
            <w:vAlign w:val="bottom"/>
          </w:tcPr>
          <w:p>
            <w:pPr>
              <w:spacing w:after="0"/>
              <w:rPr>
                <w:color w:val="auto"/>
                <w:sz w:val="2"/>
                <w:szCs w:val="2"/>
              </w:rPr>
            </w:pPr>
          </w:p>
        </w:tc>
        <w:tc>
          <w:tcPr>
            <w:tcW w:w="2120" w:type="dxa"/>
            <w:tcBorders>
              <w:bottom w:val="single" w:color="auto" w:sz="8" w:space="0"/>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6</w:t>
            </w:r>
          </w:p>
        </w:tc>
        <w:tc>
          <w:tcPr>
            <w:tcW w:w="7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15.1</w:t>
            </w: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响应文件份数</w:t>
            </w:r>
          </w:p>
        </w:tc>
        <w:tc>
          <w:tcPr>
            <w:tcW w:w="6860" w:type="dxa"/>
            <w:gridSpan w:val="2"/>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正本壹册，副本叁册，须完整提交（A4 纸装订）。</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spacing w:after="0" w:line="240" w:lineRule="exact"/>
              <w:ind w:left="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供应商应按供应商须知第 11.1 款“响应文件组成”规定的顺序自编目录</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7</w:t>
            </w:r>
          </w:p>
        </w:tc>
        <w:tc>
          <w:tcPr>
            <w:tcW w:w="7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15.2</w:t>
            </w: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响应文件装订要求</w:t>
            </w:r>
          </w:p>
        </w:tc>
        <w:tc>
          <w:tcPr>
            <w:tcW w:w="6860" w:type="dxa"/>
            <w:gridSpan w:val="2"/>
            <w:tcBorders>
              <w:right w:val="single" w:color="auto" w:sz="8" w:space="0"/>
            </w:tcBorders>
            <w:vAlign w:val="bottom"/>
          </w:tcPr>
          <w:p>
            <w:pPr>
              <w:spacing w:after="0" w:line="240" w:lineRule="exact"/>
              <w:ind w:left="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及页码，响应文件的“正本”、“副本”应当单独装订成册并标注页码，装订应牢固，不易拆散和换页。封面应注明“正本”、“副本”字样，封面上</w:t>
            </w:r>
            <w:r>
              <w:rPr>
                <w:rFonts w:ascii="宋体" w:hAnsi="宋体" w:eastAsia="宋体" w:cs="宋体"/>
                <w:color w:val="auto"/>
                <w:sz w:val="21"/>
                <w:szCs w:val="21"/>
              </w:rPr>
              <w:t>写明项目名称、项目编号、采购代理机构、供应商单位名称。</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rPr>
                <w:color w:val="auto"/>
                <w:sz w:val="3"/>
                <w:szCs w:val="3"/>
              </w:rPr>
            </w:pPr>
          </w:p>
        </w:tc>
        <w:tc>
          <w:tcPr>
            <w:tcW w:w="6860" w:type="dxa"/>
            <w:gridSpan w:val="2"/>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7"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15.6.1 响应文件包装、密封：供应商须将响应文件“正本”、“副本”</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r>
              <w:rPr>
                <w:rFonts w:hint="eastAsia" w:ascii="宋体" w:hAnsi="宋体" w:eastAsia="宋体" w:cs="宋体"/>
                <w:color w:val="auto"/>
                <w:sz w:val="21"/>
                <w:szCs w:val="21"/>
                <w:lang w:eastAsia="zh-CN"/>
              </w:rPr>
              <w:t>一</w:t>
            </w:r>
            <w:r>
              <w:rPr>
                <w:rFonts w:ascii="宋体" w:hAnsi="宋体" w:eastAsia="宋体" w:cs="宋体"/>
                <w:color w:val="auto"/>
                <w:sz w:val="21"/>
                <w:szCs w:val="21"/>
              </w:rPr>
              <w:t>并装入一个响应文件袋（盒、箱）中密封，并在密封处密封签章【公</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vMerge w:val="restart"/>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r>
              <w:rPr>
                <w:rFonts w:ascii="宋体" w:hAnsi="宋体" w:eastAsia="宋体" w:cs="宋体"/>
                <w:color w:val="auto"/>
                <w:sz w:val="21"/>
                <w:szCs w:val="21"/>
              </w:rPr>
              <w:t>响应文件包装、密封、标记</w:t>
            </w:r>
          </w:p>
        </w:tc>
        <w:tc>
          <w:tcPr>
            <w:tcW w:w="6860" w:type="dxa"/>
            <w:gridSpan w:val="2"/>
            <w:tcBorders>
              <w:right w:val="single" w:color="auto" w:sz="8" w:space="0"/>
            </w:tcBorders>
            <w:vAlign w:val="bottom"/>
          </w:tcPr>
          <w:p>
            <w:pPr>
              <w:spacing w:after="0" w:line="240" w:lineRule="exact"/>
              <w:ind w:left="100"/>
              <w:jc w:val="left"/>
              <w:rPr>
                <w:rFonts w:ascii="宋体" w:hAnsi="宋体" w:eastAsia="宋体" w:cs="宋体"/>
                <w:color w:val="auto"/>
                <w:sz w:val="21"/>
                <w:szCs w:val="21"/>
              </w:rPr>
            </w:pPr>
            <w:r>
              <w:rPr>
                <w:rFonts w:ascii="宋体" w:hAnsi="宋体" w:eastAsia="宋体" w:cs="宋体"/>
                <w:color w:val="auto"/>
                <w:sz w:val="21"/>
                <w:szCs w:val="21"/>
              </w:rPr>
              <w:t>章、密封章、法定代表人、负责人、自然人或相应的授权委托代理人签字均可】。</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8</w:t>
            </w:r>
          </w:p>
        </w:tc>
        <w:tc>
          <w:tcPr>
            <w:tcW w:w="7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15.6</w:t>
            </w:r>
          </w:p>
        </w:tc>
        <w:tc>
          <w:tcPr>
            <w:tcW w:w="2120" w:type="dxa"/>
            <w:vMerge w:val="continue"/>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vMerge w:val="restart"/>
            <w:tcBorders>
              <w:right w:val="single" w:color="auto" w:sz="8" w:space="0"/>
            </w:tcBorders>
            <w:vAlign w:val="bottom"/>
          </w:tcPr>
          <w:p>
            <w:pPr>
              <w:spacing w:after="0" w:line="240" w:lineRule="exact"/>
              <w:ind w:left="100"/>
              <w:jc w:val="left"/>
              <w:rPr>
                <w:rFonts w:ascii="宋体" w:hAnsi="宋体" w:eastAsia="宋体" w:cs="宋体"/>
                <w:color w:val="auto"/>
                <w:sz w:val="21"/>
                <w:szCs w:val="21"/>
              </w:rPr>
            </w:pPr>
            <w:r>
              <w:rPr>
                <w:rFonts w:ascii="宋体" w:hAnsi="宋体" w:eastAsia="宋体" w:cs="宋体"/>
                <w:color w:val="auto"/>
                <w:sz w:val="21"/>
                <w:szCs w:val="21"/>
              </w:rPr>
              <w:t>15.6.2 响应文件袋（盒、箱）标记：</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spacing w:after="0"/>
              <w:rPr>
                <w:color w:val="auto"/>
                <w:sz w:val="15"/>
                <w:szCs w:val="15"/>
              </w:rPr>
            </w:pPr>
          </w:p>
        </w:tc>
        <w:tc>
          <w:tcPr>
            <w:tcW w:w="720" w:type="dxa"/>
            <w:vMerge w:val="continue"/>
            <w:tcBorders>
              <w:right w:val="single" w:color="auto" w:sz="8" w:space="0"/>
            </w:tcBorders>
            <w:vAlign w:val="bottom"/>
          </w:tcPr>
          <w:p>
            <w:pPr>
              <w:spacing w:after="0"/>
              <w:rPr>
                <w:color w:val="auto"/>
                <w:sz w:val="15"/>
                <w:szCs w:val="15"/>
              </w:rPr>
            </w:pPr>
          </w:p>
        </w:tc>
        <w:tc>
          <w:tcPr>
            <w:tcW w:w="2120" w:type="dxa"/>
            <w:vMerge w:val="restart"/>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vMerge w:val="continue"/>
            <w:tcBorders>
              <w:right w:val="single" w:color="auto" w:sz="8" w:space="0"/>
            </w:tcBorders>
            <w:vAlign w:val="bottom"/>
          </w:tcPr>
          <w:p>
            <w:pPr>
              <w:spacing w:after="0" w:line="240" w:lineRule="exact"/>
              <w:ind w:left="100"/>
              <w:jc w:val="lef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spacing w:after="0"/>
              <w:rPr>
                <w:color w:val="auto"/>
                <w:sz w:val="15"/>
                <w:szCs w:val="15"/>
              </w:rPr>
            </w:pPr>
          </w:p>
        </w:tc>
        <w:tc>
          <w:tcPr>
            <w:tcW w:w="720" w:type="dxa"/>
            <w:tcBorders>
              <w:right w:val="single" w:color="auto" w:sz="8" w:space="0"/>
            </w:tcBorders>
            <w:vAlign w:val="bottom"/>
          </w:tcPr>
          <w:p>
            <w:pPr>
              <w:spacing w:after="0"/>
              <w:rPr>
                <w:color w:val="auto"/>
                <w:sz w:val="15"/>
                <w:szCs w:val="15"/>
              </w:rPr>
            </w:pPr>
          </w:p>
        </w:tc>
        <w:tc>
          <w:tcPr>
            <w:tcW w:w="2120" w:type="dxa"/>
            <w:vMerge w:val="continue"/>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vMerge w:val="restart"/>
            <w:tcBorders>
              <w:right w:val="single" w:color="auto" w:sz="8" w:space="0"/>
            </w:tcBorders>
            <w:vAlign w:val="bottom"/>
          </w:tcPr>
          <w:p>
            <w:pPr>
              <w:spacing w:after="0" w:line="240" w:lineRule="exact"/>
              <w:ind w:left="100"/>
              <w:jc w:val="left"/>
              <w:rPr>
                <w:rFonts w:hint="eastAsia" w:ascii="宋体" w:hAnsi="宋体" w:eastAsia="宋体" w:cs="宋体"/>
                <w:color w:val="auto"/>
                <w:sz w:val="21"/>
                <w:szCs w:val="21"/>
                <w:lang w:eastAsia="zh-CN"/>
              </w:rPr>
            </w:pPr>
            <w:r>
              <w:rPr>
                <w:rFonts w:ascii="宋体" w:hAnsi="宋体" w:eastAsia="宋体" w:cs="宋体"/>
                <w:color w:val="auto"/>
                <w:sz w:val="21"/>
                <w:szCs w:val="21"/>
              </w:rPr>
              <w:t>项目名称：</w:t>
            </w:r>
            <w:r>
              <w:rPr>
                <w:rFonts w:hint="eastAsia" w:ascii="宋体" w:hAnsi="宋体" w:eastAsia="宋体" w:cs="宋体"/>
                <w:color w:val="auto"/>
                <w:sz w:val="21"/>
                <w:szCs w:val="21"/>
                <w:lang w:eastAsia="zh-CN"/>
              </w:rPr>
              <w:t>灵川县三街镇人民政府雪亮工程</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spacing w:after="0"/>
              <w:rPr>
                <w:color w:val="auto"/>
                <w:sz w:val="15"/>
                <w:szCs w:val="15"/>
              </w:rPr>
            </w:pPr>
          </w:p>
        </w:tc>
        <w:tc>
          <w:tcPr>
            <w:tcW w:w="720" w:type="dxa"/>
            <w:tcBorders>
              <w:right w:val="single" w:color="auto" w:sz="8" w:space="0"/>
            </w:tcBorders>
            <w:vAlign w:val="bottom"/>
          </w:tcPr>
          <w:p>
            <w:pPr>
              <w:spacing w:after="0"/>
              <w:rPr>
                <w:color w:val="auto"/>
                <w:sz w:val="15"/>
                <w:szCs w:val="15"/>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vMerge w:val="continue"/>
            <w:tcBorders>
              <w:right w:val="single" w:color="auto" w:sz="8" w:space="0"/>
            </w:tcBorders>
            <w:vAlign w:val="bottom"/>
          </w:tcPr>
          <w:p>
            <w:pPr>
              <w:spacing w:after="0" w:line="240" w:lineRule="exact"/>
              <w:ind w:left="100"/>
              <w:jc w:val="lef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spacing w:after="0" w:line="240" w:lineRule="exact"/>
              <w:ind w:left="100"/>
              <w:jc w:val="left"/>
              <w:rPr>
                <w:rFonts w:hint="eastAsia" w:ascii="宋体" w:hAnsi="宋体" w:eastAsia="宋体" w:cs="宋体"/>
                <w:color w:val="auto"/>
                <w:sz w:val="21"/>
                <w:szCs w:val="21"/>
                <w:lang w:eastAsia="zh-CN"/>
              </w:rPr>
            </w:pPr>
            <w:r>
              <w:rPr>
                <w:rFonts w:ascii="宋体" w:hAnsi="宋体" w:eastAsia="宋体" w:cs="宋体"/>
                <w:color w:val="auto"/>
                <w:sz w:val="21"/>
                <w:szCs w:val="21"/>
              </w:rPr>
              <w:t>项目编号：</w:t>
            </w:r>
            <w:r>
              <w:rPr>
                <w:rFonts w:hint="eastAsia" w:ascii="宋体" w:hAnsi="宋体" w:eastAsia="宋体" w:cs="宋体"/>
                <w:color w:val="auto"/>
                <w:sz w:val="21"/>
                <w:szCs w:val="21"/>
                <w:lang w:eastAsia="zh-CN"/>
              </w:rPr>
              <w:t>GLZC2020-C3-230039-GXBG</w:t>
            </w:r>
            <w:r>
              <w:rPr>
                <w:rFonts w:hint="eastAsia" w:ascii="宋体" w:hAnsi="宋体" w:eastAsia="宋体" w:cs="宋体"/>
                <w:color w:val="auto"/>
                <w:sz w:val="21"/>
                <w:szCs w:val="21"/>
                <w:lang w:val="en-US" w:eastAsia="zh-CN"/>
              </w:rPr>
              <w:t xml:space="preserve"> </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jc w:val="center"/>
              <w:rPr>
                <w:rFonts w:ascii="宋体" w:hAnsi="宋体" w:eastAsia="宋体" w:cs="宋体"/>
                <w:color w:val="auto"/>
                <w:sz w:val="21"/>
                <w:szCs w:val="21"/>
              </w:rPr>
            </w:pPr>
          </w:p>
        </w:tc>
        <w:tc>
          <w:tcPr>
            <w:tcW w:w="6860" w:type="dxa"/>
            <w:gridSpan w:val="2"/>
            <w:tcBorders>
              <w:right w:val="single" w:color="auto" w:sz="8" w:space="0"/>
            </w:tcBorders>
            <w:vAlign w:val="bottom"/>
          </w:tcPr>
          <w:p>
            <w:pPr>
              <w:spacing w:after="0" w:line="240" w:lineRule="exact"/>
              <w:ind w:left="100"/>
              <w:jc w:val="left"/>
              <w:rPr>
                <w:rFonts w:hint="eastAsia" w:ascii="宋体" w:hAnsi="宋体" w:eastAsia="宋体" w:cs="宋体"/>
                <w:color w:val="auto"/>
                <w:sz w:val="21"/>
                <w:szCs w:val="21"/>
                <w:lang w:eastAsia="zh-CN"/>
              </w:rPr>
            </w:pPr>
            <w:r>
              <w:rPr>
                <w:rFonts w:ascii="宋体" w:hAnsi="宋体" w:eastAsia="宋体" w:cs="宋体"/>
                <w:color w:val="auto"/>
                <w:sz w:val="21"/>
                <w:szCs w:val="21"/>
              </w:rPr>
              <w:t>采购代理机构：</w:t>
            </w:r>
            <w:r>
              <w:rPr>
                <w:rFonts w:hint="eastAsia" w:ascii="宋体" w:hAnsi="宋体" w:eastAsia="宋体" w:cs="宋体"/>
                <w:color w:val="auto"/>
                <w:sz w:val="21"/>
                <w:szCs w:val="21"/>
                <w:lang w:eastAsia="zh-CN"/>
              </w:rPr>
              <w:t>广西八桂建设项目管理有限公司</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tcBorders>
            <w:vAlign w:val="bottom"/>
          </w:tcPr>
          <w:p>
            <w:pPr>
              <w:spacing w:after="0"/>
              <w:rPr>
                <w:color w:val="auto"/>
                <w:sz w:val="3"/>
                <w:szCs w:val="3"/>
              </w:rPr>
            </w:pPr>
          </w:p>
        </w:tc>
        <w:tc>
          <w:tcPr>
            <w:tcW w:w="620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bl>
    <w:p>
      <w:pPr>
        <w:spacing w:after="0" w:line="1" w:lineRule="exact"/>
        <w:rPr>
          <w:color w:val="auto"/>
          <w:sz w:val="20"/>
          <w:szCs w:val="20"/>
        </w:rPr>
      </w:pPr>
      <w:bookmarkStart w:id="43" w:name="page6"/>
      <w:bookmarkEnd w:id="43"/>
    </w:p>
    <w:tbl>
      <w:tblPr>
        <w:tblStyle w:val="9"/>
        <w:tblW w:w="10640" w:type="dxa"/>
        <w:tblInd w:w="10" w:type="dxa"/>
        <w:tblLayout w:type="fixed"/>
        <w:tblCellMar>
          <w:top w:w="0" w:type="dxa"/>
          <w:left w:w="0" w:type="dxa"/>
          <w:bottom w:w="0" w:type="dxa"/>
          <w:right w:w="0" w:type="dxa"/>
        </w:tblCellMar>
      </w:tblPr>
      <w:tblGrid>
        <w:gridCol w:w="580"/>
        <w:gridCol w:w="720"/>
        <w:gridCol w:w="2120"/>
        <w:gridCol w:w="100"/>
        <w:gridCol w:w="200"/>
        <w:gridCol w:w="840"/>
        <w:gridCol w:w="420"/>
        <w:gridCol w:w="840"/>
        <w:gridCol w:w="1020"/>
        <w:gridCol w:w="1280"/>
        <w:gridCol w:w="160"/>
        <w:gridCol w:w="2000"/>
        <w:gridCol w:w="360"/>
      </w:tblGrid>
      <w:tr>
        <w:tblPrEx>
          <w:tblCellMar>
            <w:top w:w="0" w:type="dxa"/>
            <w:left w:w="0" w:type="dxa"/>
            <w:bottom w:w="0" w:type="dxa"/>
            <w:right w:w="0" w:type="dxa"/>
          </w:tblCellMar>
        </w:tblPrEx>
        <w:trPr>
          <w:trHeight w:val="326" w:hRule="atLeast"/>
        </w:trPr>
        <w:tc>
          <w:tcPr>
            <w:tcW w:w="5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720" w:type="dxa"/>
            <w:tcBorders>
              <w:top w:val="single" w:color="auto" w:sz="8" w:space="0"/>
              <w:right w:val="single" w:color="auto" w:sz="8" w:space="0"/>
            </w:tcBorders>
            <w:vAlign w:val="bottom"/>
          </w:tcPr>
          <w:p>
            <w:pPr>
              <w:spacing w:after="0"/>
              <w:rPr>
                <w:color w:val="auto"/>
                <w:sz w:val="24"/>
                <w:szCs w:val="24"/>
              </w:rPr>
            </w:pPr>
          </w:p>
        </w:tc>
        <w:tc>
          <w:tcPr>
            <w:tcW w:w="2120" w:type="dxa"/>
            <w:tcBorders>
              <w:top w:val="single" w:color="auto" w:sz="8" w:space="0"/>
              <w:right w:val="single" w:color="auto" w:sz="8" w:space="0"/>
            </w:tcBorders>
            <w:vAlign w:val="bottom"/>
          </w:tcPr>
          <w:p>
            <w:pPr>
              <w:spacing w:after="0"/>
              <w:rPr>
                <w:color w:val="auto"/>
                <w:sz w:val="24"/>
                <w:szCs w:val="24"/>
              </w:rPr>
            </w:pPr>
          </w:p>
        </w:tc>
        <w:tc>
          <w:tcPr>
            <w:tcW w:w="100" w:type="dxa"/>
            <w:tcBorders>
              <w:top w:val="single" w:color="auto" w:sz="8" w:space="0"/>
            </w:tcBorders>
            <w:vAlign w:val="bottom"/>
          </w:tcPr>
          <w:p>
            <w:pPr>
              <w:spacing w:after="0"/>
              <w:rPr>
                <w:color w:val="auto"/>
                <w:sz w:val="24"/>
                <w:szCs w:val="24"/>
              </w:rPr>
            </w:pPr>
          </w:p>
        </w:tc>
        <w:tc>
          <w:tcPr>
            <w:tcW w:w="6760" w:type="dxa"/>
            <w:gridSpan w:val="8"/>
            <w:tcBorders>
              <w:top w:val="single" w:color="auto" w:sz="8" w:space="0"/>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供应商单位名称：</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 xml:space="preserve">在 </w:t>
            </w:r>
            <w:r>
              <w:rPr>
                <w:rFonts w:hint="eastAsia" w:ascii="宋体" w:hAnsi="宋体" w:eastAsia="宋体" w:cs="宋体"/>
                <w:color w:val="auto"/>
                <w:sz w:val="21"/>
                <w:szCs w:val="21"/>
                <w:lang w:eastAsia="zh-CN"/>
              </w:rPr>
              <w:t>2020</w:t>
            </w:r>
            <w:r>
              <w:rPr>
                <w:rFonts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ascii="宋体" w:hAnsi="宋体" w:eastAsia="宋体" w:cs="宋体"/>
                <w:color w:val="auto"/>
                <w:sz w:val="21"/>
                <w:szCs w:val="21"/>
              </w:rPr>
              <w:t>月</w:t>
            </w:r>
            <w:r>
              <w:rPr>
                <w:rFonts w:hint="eastAsia" w:ascii="宋体" w:hAnsi="宋体" w:eastAsia="宋体" w:cs="宋体"/>
                <w:color w:val="auto"/>
                <w:sz w:val="21"/>
                <w:szCs w:val="21"/>
                <w:lang w:val="en-US" w:eastAsia="zh-CN"/>
              </w:rPr>
              <w:t>15</w:t>
            </w:r>
            <w:r>
              <w:rPr>
                <w:rFonts w:ascii="宋体" w:hAnsi="宋体" w:eastAsia="宋体" w:cs="宋体"/>
                <w:color w:val="auto"/>
                <w:sz w:val="21"/>
                <w:szCs w:val="21"/>
              </w:rPr>
              <w:t>日</w:t>
            </w:r>
            <w:r>
              <w:rPr>
                <w:rFonts w:hint="eastAsia" w:ascii="宋体" w:hAnsi="宋体" w:eastAsia="宋体" w:cs="宋体"/>
                <w:color w:val="auto"/>
                <w:sz w:val="21"/>
                <w:szCs w:val="21"/>
                <w:lang w:val="en-US" w:eastAsia="zh-CN"/>
              </w:rPr>
              <w:t>10</w:t>
            </w:r>
            <w:r>
              <w:rPr>
                <w:rFonts w:ascii="宋体" w:hAnsi="宋体" w:eastAsia="宋体" w:cs="宋体"/>
                <w:color w:val="auto"/>
                <w:sz w:val="21"/>
                <w:szCs w:val="21"/>
              </w:rPr>
              <w:t>时</w:t>
            </w:r>
            <w:r>
              <w:rPr>
                <w:rFonts w:hint="eastAsia" w:ascii="宋体" w:hAnsi="宋体" w:eastAsia="宋体" w:cs="宋体"/>
                <w:color w:val="auto"/>
                <w:sz w:val="21"/>
                <w:szCs w:val="21"/>
                <w:lang w:val="en-US" w:eastAsia="zh-CN"/>
              </w:rPr>
              <w:t>30</w:t>
            </w:r>
            <w:r>
              <w:rPr>
                <w:rFonts w:ascii="宋体" w:hAnsi="宋体" w:eastAsia="宋体" w:cs="宋体"/>
                <w:color w:val="auto"/>
                <w:sz w:val="21"/>
                <w:szCs w:val="21"/>
              </w:rPr>
              <w:t>分前不得开启（此处供应商填写响应文件</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递交截止时间）</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20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84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42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84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102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128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16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200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7"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本竞争性磋商文件中描述供应商的“公章”是指根据我国对公章的管理规</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定，用供应商法定主体行为名称制作的印章，除本文件有特殊规定外，供</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9</w:t>
            </w:r>
          </w:p>
        </w:tc>
        <w:tc>
          <w:tcPr>
            <w:tcW w:w="7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15.7</w:t>
            </w: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供应商公章</w:t>
            </w: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应商的财务章、部门章、分公司章、工会章、合同章、磋商专用章、业务</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专用章及银行的转账章、现金收讫章、现金付讫章等其它形式印章均不能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代替公章。</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20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84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42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84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102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128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16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200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响应文件递交起止时间：</w:t>
            </w:r>
            <w:r>
              <w:rPr>
                <w:rFonts w:hint="eastAsia" w:ascii="宋体" w:hAnsi="宋体" w:eastAsia="宋体" w:cs="宋体"/>
                <w:color w:val="auto"/>
                <w:sz w:val="21"/>
                <w:szCs w:val="21"/>
                <w:lang w:eastAsia="zh-CN"/>
              </w:rPr>
              <w:t>2020</w:t>
            </w:r>
            <w:r>
              <w:rPr>
                <w:rFonts w:ascii="宋体" w:hAnsi="宋体" w:eastAsia="宋体" w:cs="宋体"/>
                <w:color w:val="auto"/>
                <w:sz w:val="21"/>
                <w:szCs w:val="21"/>
              </w:rPr>
              <w:t>年</w:t>
            </w:r>
            <w:r>
              <w:rPr>
                <w:rFonts w:hint="eastAsia" w:ascii="宋体" w:hAnsi="宋体" w:eastAsia="宋体" w:cs="宋体"/>
                <w:color w:val="auto"/>
                <w:sz w:val="21"/>
                <w:szCs w:val="21"/>
                <w:lang w:val="en-US" w:eastAsia="zh-CN"/>
              </w:rPr>
              <w:t>10</w:t>
            </w:r>
            <w:r>
              <w:rPr>
                <w:rFonts w:ascii="宋体" w:hAnsi="宋体" w:eastAsia="宋体" w:cs="宋体"/>
                <w:color w:val="auto"/>
                <w:sz w:val="21"/>
                <w:szCs w:val="21"/>
              </w:rPr>
              <w:t>月</w:t>
            </w:r>
            <w:r>
              <w:rPr>
                <w:rFonts w:hint="eastAsia" w:ascii="宋体" w:hAnsi="宋体" w:eastAsia="宋体" w:cs="宋体"/>
                <w:color w:val="auto"/>
                <w:sz w:val="21"/>
                <w:szCs w:val="21"/>
                <w:lang w:val="en-US" w:eastAsia="zh-CN"/>
              </w:rPr>
              <w:t>15</w:t>
            </w:r>
            <w:r>
              <w:rPr>
                <w:rFonts w:ascii="宋体" w:hAnsi="宋体" w:eastAsia="宋体" w:cs="宋体"/>
                <w:color w:val="auto"/>
                <w:sz w:val="21"/>
                <w:szCs w:val="21"/>
              </w:rPr>
              <w:t>日</w:t>
            </w:r>
            <w:r>
              <w:rPr>
                <w:rFonts w:hint="eastAsia" w:ascii="宋体" w:hAnsi="宋体" w:eastAsia="宋体" w:cs="宋体"/>
                <w:color w:val="auto"/>
                <w:sz w:val="21"/>
                <w:szCs w:val="21"/>
                <w:lang w:val="en-US" w:eastAsia="zh-CN"/>
              </w:rPr>
              <w:t>10</w:t>
            </w:r>
            <w:r>
              <w:rPr>
                <w:rFonts w:ascii="宋体" w:hAnsi="宋体" w:eastAsia="宋体" w:cs="宋体"/>
                <w:color w:val="auto"/>
                <w:sz w:val="21"/>
                <w:szCs w:val="21"/>
              </w:rPr>
              <w:t>时至</w:t>
            </w:r>
            <w:r>
              <w:rPr>
                <w:rFonts w:hint="eastAsia" w:ascii="宋体" w:hAnsi="宋体" w:eastAsia="宋体" w:cs="宋体"/>
                <w:color w:val="auto"/>
                <w:sz w:val="21"/>
                <w:szCs w:val="21"/>
                <w:lang w:val="en-US" w:eastAsia="zh-CN"/>
              </w:rPr>
              <w:t>10</w:t>
            </w:r>
            <w:r>
              <w:rPr>
                <w:rFonts w:ascii="宋体" w:hAnsi="宋体" w:eastAsia="宋体" w:cs="宋体"/>
                <w:color w:val="auto"/>
                <w:sz w:val="21"/>
                <w:szCs w:val="21"/>
              </w:rPr>
              <w:t>时</w:t>
            </w:r>
            <w:r>
              <w:rPr>
                <w:rFonts w:hint="eastAsia" w:ascii="宋体" w:hAnsi="宋体" w:eastAsia="宋体" w:cs="宋体"/>
                <w:color w:val="auto"/>
                <w:sz w:val="21"/>
                <w:szCs w:val="21"/>
                <w:lang w:val="en-US" w:eastAsia="zh-CN"/>
              </w:rPr>
              <w:t>30</w:t>
            </w:r>
            <w:r>
              <w:rPr>
                <w:rFonts w:ascii="宋体" w:hAnsi="宋体" w:eastAsia="宋体" w:cs="宋体"/>
                <w:color w:val="auto"/>
                <w:sz w:val="21"/>
                <w:szCs w:val="21"/>
              </w:rPr>
              <w:t>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10</w:t>
            </w:r>
          </w:p>
        </w:tc>
        <w:tc>
          <w:tcPr>
            <w:tcW w:w="7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17.1</w:t>
            </w: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响应文件递交起止时</w:t>
            </w: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供应商递交响应文件时，须携带加盖单位公章的授权委托书原件（委托代</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spacing w:after="0"/>
              <w:rPr>
                <w:color w:val="auto"/>
                <w:sz w:val="15"/>
                <w:szCs w:val="15"/>
              </w:rPr>
            </w:pPr>
          </w:p>
        </w:tc>
        <w:tc>
          <w:tcPr>
            <w:tcW w:w="720" w:type="dxa"/>
            <w:vMerge w:val="continue"/>
            <w:tcBorders>
              <w:right w:val="single" w:color="auto" w:sz="8" w:space="0"/>
            </w:tcBorders>
            <w:vAlign w:val="bottom"/>
          </w:tcPr>
          <w:p>
            <w:pPr>
              <w:spacing w:after="0"/>
              <w:rPr>
                <w:color w:val="auto"/>
                <w:sz w:val="15"/>
                <w:szCs w:val="15"/>
              </w:rPr>
            </w:pPr>
          </w:p>
        </w:tc>
        <w:tc>
          <w:tcPr>
            <w:tcW w:w="2120" w:type="dxa"/>
            <w:vMerge w:val="restart"/>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间</w:t>
            </w: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vMerge w:val="restart"/>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理时，不须密封，单独提交），未携带以上相关材料递交的或逾期送达的</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spacing w:after="0"/>
              <w:rPr>
                <w:color w:val="auto"/>
                <w:sz w:val="15"/>
                <w:szCs w:val="15"/>
              </w:rPr>
            </w:pPr>
          </w:p>
        </w:tc>
        <w:tc>
          <w:tcPr>
            <w:tcW w:w="720" w:type="dxa"/>
            <w:tcBorders>
              <w:right w:val="single" w:color="auto" w:sz="8" w:space="0"/>
            </w:tcBorders>
            <w:vAlign w:val="bottom"/>
          </w:tcPr>
          <w:p>
            <w:pPr>
              <w:spacing w:after="0"/>
              <w:rPr>
                <w:color w:val="auto"/>
                <w:sz w:val="15"/>
                <w:szCs w:val="15"/>
              </w:rPr>
            </w:pPr>
          </w:p>
        </w:tc>
        <w:tc>
          <w:tcPr>
            <w:tcW w:w="2120" w:type="dxa"/>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或未按竞争性磋商文件要求密封的响应文件将予以拒收。</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20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84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42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3140" w:type="dxa"/>
            <w:gridSpan w:val="3"/>
            <w:tcBorders>
              <w:bottom w:val="single" w:color="auto" w:sz="8" w:space="0"/>
            </w:tcBorders>
            <w:vAlign w:val="bottom"/>
          </w:tcPr>
          <w:p>
            <w:pPr>
              <w:spacing w:after="0" w:line="240" w:lineRule="exact"/>
              <w:rPr>
                <w:rFonts w:ascii="宋体" w:hAnsi="宋体" w:eastAsia="宋体" w:cs="宋体"/>
                <w:color w:val="auto"/>
                <w:sz w:val="21"/>
                <w:szCs w:val="21"/>
              </w:rPr>
            </w:pPr>
          </w:p>
        </w:tc>
        <w:tc>
          <w:tcPr>
            <w:tcW w:w="16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200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0" w:hRule="atLeast"/>
        </w:trPr>
        <w:tc>
          <w:tcPr>
            <w:tcW w:w="58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11</w:t>
            </w:r>
          </w:p>
        </w:tc>
        <w:tc>
          <w:tcPr>
            <w:tcW w:w="7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17.2</w:t>
            </w:r>
          </w:p>
        </w:tc>
        <w:tc>
          <w:tcPr>
            <w:tcW w:w="2120" w:type="dxa"/>
            <w:vMerge w:val="restart"/>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响应文件递交地点</w:t>
            </w: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桂林市公共资源交易中心</w:t>
            </w:r>
            <w:r>
              <w:rPr>
                <w:rFonts w:hint="eastAsia" w:ascii="宋体" w:hAnsi="宋体" w:eastAsia="宋体" w:cs="宋体"/>
                <w:color w:val="auto"/>
                <w:sz w:val="21"/>
                <w:szCs w:val="21"/>
                <w:lang w:val="en-US" w:eastAsia="zh-CN"/>
              </w:rPr>
              <w:t>14</w:t>
            </w:r>
            <w:r>
              <w:rPr>
                <w:rFonts w:ascii="宋体" w:hAnsi="宋体" w:eastAsia="宋体" w:cs="宋体"/>
                <w:color w:val="auto"/>
                <w:sz w:val="21"/>
                <w:szCs w:val="21"/>
              </w:rPr>
              <w:t>号开标室（广西桂林市临桂区西城中路 69 号</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spacing w:after="0"/>
              <w:rPr>
                <w:color w:val="auto"/>
                <w:sz w:val="15"/>
                <w:szCs w:val="15"/>
              </w:rPr>
            </w:pPr>
          </w:p>
        </w:tc>
        <w:tc>
          <w:tcPr>
            <w:tcW w:w="720" w:type="dxa"/>
            <w:vMerge w:val="continue"/>
            <w:tcBorders>
              <w:right w:val="single" w:color="auto" w:sz="8" w:space="0"/>
            </w:tcBorders>
            <w:vAlign w:val="bottom"/>
          </w:tcPr>
          <w:p>
            <w:pPr>
              <w:spacing w:after="0"/>
              <w:rPr>
                <w:color w:val="auto"/>
                <w:sz w:val="15"/>
                <w:szCs w:val="15"/>
              </w:rPr>
            </w:pPr>
          </w:p>
        </w:tc>
        <w:tc>
          <w:tcPr>
            <w:tcW w:w="2120" w:type="dxa"/>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2300" w:type="dxa"/>
            <w:gridSpan w:val="4"/>
            <w:vMerge w:val="restart"/>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西辅楼 4 楼）。</w:t>
            </w:r>
          </w:p>
        </w:tc>
        <w:tc>
          <w:tcPr>
            <w:tcW w:w="1020" w:type="dxa"/>
            <w:vMerge w:val="restart"/>
            <w:tcBorders>
              <w:top w:val="single" w:color="auto" w:sz="8" w:space="0"/>
            </w:tcBorders>
            <w:vAlign w:val="bottom"/>
          </w:tcPr>
          <w:p>
            <w:pPr>
              <w:spacing w:after="0" w:line="240" w:lineRule="exact"/>
              <w:rPr>
                <w:rFonts w:ascii="宋体" w:hAnsi="宋体" w:eastAsia="宋体" w:cs="宋体"/>
                <w:color w:val="auto"/>
                <w:sz w:val="21"/>
                <w:szCs w:val="21"/>
              </w:rPr>
            </w:pPr>
          </w:p>
        </w:tc>
        <w:tc>
          <w:tcPr>
            <w:tcW w:w="3440" w:type="dxa"/>
            <w:gridSpan w:val="3"/>
            <w:vMerge w:val="restart"/>
            <w:tcBorders>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60" w:hRule="atLeast"/>
        </w:trPr>
        <w:tc>
          <w:tcPr>
            <w:tcW w:w="580" w:type="dxa"/>
            <w:tcBorders>
              <w:left w:val="single" w:color="auto" w:sz="8" w:space="0"/>
              <w:right w:val="single" w:color="auto" w:sz="8" w:space="0"/>
            </w:tcBorders>
            <w:vAlign w:val="bottom"/>
          </w:tcPr>
          <w:p>
            <w:pPr>
              <w:spacing w:after="0"/>
              <w:rPr>
                <w:color w:val="auto"/>
                <w:sz w:val="13"/>
                <w:szCs w:val="13"/>
              </w:rPr>
            </w:pPr>
          </w:p>
        </w:tc>
        <w:tc>
          <w:tcPr>
            <w:tcW w:w="720" w:type="dxa"/>
            <w:tcBorders>
              <w:right w:val="single" w:color="auto" w:sz="8" w:space="0"/>
            </w:tcBorders>
            <w:vAlign w:val="bottom"/>
          </w:tcPr>
          <w:p>
            <w:pPr>
              <w:spacing w:after="0"/>
              <w:rPr>
                <w:color w:val="auto"/>
                <w:sz w:val="13"/>
                <w:szCs w:val="13"/>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2300" w:type="dxa"/>
            <w:gridSpan w:val="4"/>
            <w:vMerge w:val="continue"/>
            <w:vAlign w:val="bottom"/>
          </w:tcPr>
          <w:p>
            <w:pPr>
              <w:spacing w:after="0" w:line="240" w:lineRule="exact"/>
              <w:rPr>
                <w:rFonts w:ascii="宋体" w:hAnsi="宋体" w:eastAsia="宋体" w:cs="宋体"/>
                <w:color w:val="auto"/>
                <w:sz w:val="21"/>
                <w:szCs w:val="21"/>
              </w:rPr>
            </w:pPr>
          </w:p>
        </w:tc>
        <w:tc>
          <w:tcPr>
            <w:tcW w:w="1020" w:type="dxa"/>
            <w:vMerge w:val="continue"/>
            <w:vAlign w:val="bottom"/>
          </w:tcPr>
          <w:p>
            <w:pPr>
              <w:spacing w:after="0" w:line="240" w:lineRule="exact"/>
              <w:rPr>
                <w:rFonts w:ascii="宋体" w:hAnsi="宋体" w:eastAsia="宋体" w:cs="宋体"/>
                <w:color w:val="auto"/>
                <w:sz w:val="21"/>
                <w:szCs w:val="21"/>
              </w:rPr>
            </w:pPr>
          </w:p>
        </w:tc>
        <w:tc>
          <w:tcPr>
            <w:tcW w:w="3440" w:type="dxa"/>
            <w:gridSpan w:val="3"/>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7" w:hRule="atLeast"/>
        </w:trPr>
        <w:tc>
          <w:tcPr>
            <w:tcW w:w="58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12</w:t>
            </w:r>
          </w:p>
        </w:tc>
        <w:tc>
          <w:tcPr>
            <w:tcW w:w="7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18.1</w:t>
            </w:r>
          </w:p>
        </w:tc>
        <w:tc>
          <w:tcPr>
            <w:tcW w:w="2120" w:type="dxa"/>
            <w:vMerge w:val="restart"/>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磋商小组组成</w:t>
            </w: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磋商小组由采购人代表和有关方面的专家组成，共 3人，其中采购人代表</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spacing w:after="0"/>
              <w:rPr>
                <w:color w:val="auto"/>
                <w:sz w:val="15"/>
                <w:szCs w:val="15"/>
              </w:rPr>
            </w:pPr>
          </w:p>
        </w:tc>
        <w:tc>
          <w:tcPr>
            <w:tcW w:w="720" w:type="dxa"/>
            <w:vMerge w:val="continue"/>
            <w:tcBorders>
              <w:right w:val="single" w:color="auto" w:sz="8" w:space="0"/>
            </w:tcBorders>
            <w:vAlign w:val="bottom"/>
          </w:tcPr>
          <w:p>
            <w:pPr>
              <w:spacing w:after="0"/>
              <w:rPr>
                <w:color w:val="auto"/>
                <w:sz w:val="15"/>
                <w:szCs w:val="15"/>
              </w:rPr>
            </w:pPr>
          </w:p>
        </w:tc>
        <w:tc>
          <w:tcPr>
            <w:tcW w:w="2120" w:type="dxa"/>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4600" w:type="dxa"/>
            <w:gridSpan w:val="6"/>
            <w:vMerge w:val="restart"/>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1 人，专家 2 人。</w:t>
            </w:r>
          </w:p>
        </w:tc>
        <w:tc>
          <w:tcPr>
            <w:tcW w:w="160" w:type="dxa"/>
            <w:vMerge w:val="restart"/>
            <w:tcBorders>
              <w:top w:val="single" w:color="auto" w:sz="8" w:space="0"/>
            </w:tcBorders>
            <w:vAlign w:val="bottom"/>
          </w:tcPr>
          <w:p>
            <w:pPr>
              <w:spacing w:after="0" w:line="240" w:lineRule="exact"/>
              <w:rPr>
                <w:rFonts w:ascii="宋体" w:hAnsi="宋体" w:eastAsia="宋体" w:cs="宋体"/>
                <w:color w:val="auto"/>
                <w:sz w:val="21"/>
                <w:szCs w:val="21"/>
              </w:rPr>
            </w:pPr>
          </w:p>
        </w:tc>
        <w:tc>
          <w:tcPr>
            <w:tcW w:w="2000" w:type="dxa"/>
            <w:vMerge w:val="restart"/>
            <w:tcBorders>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61" w:hRule="atLeast"/>
        </w:trPr>
        <w:tc>
          <w:tcPr>
            <w:tcW w:w="580" w:type="dxa"/>
            <w:tcBorders>
              <w:left w:val="single" w:color="auto" w:sz="8" w:space="0"/>
              <w:right w:val="single" w:color="auto" w:sz="8" w:space="0"/>
            </w:tcBorders>
            <w:vAlign w:val="bottom"/>
          </w:tcPr>
          <w:p>
            <w:pPr>
              <w:spacing w:after="0"/>
              <w:rPr>
                <w:color w:val="auto"/>
                <w:sz w:val="14"/>
                <w:szCs w:val="14"/>
              </w:rPr>
            </w:pPr>
          </w:p>
        </w:tc>
        <w:tc>
          <w:tcPr>
            <w:tcW w:w="720" w:type="dxa"/>
            <w:tcBorders>
              <w:right w:val="single" w:color="auto" w:sz="8" w:space="0"/>
            </w:tcBorders>
            <w:vAlign w:val="bottom"/>
          </w:tcPr>
          <w:p>
            <w:pPr>
              <w:spacing w:after="0"/>
              <w:rPr>
                <w:color w:val="auto"/>
                <w:sz w:val="14"/>
                <w:szCs w:val="1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4600" w:type="dxa"/>
            <w:gridSpan w:val="6"/>
            <w:vMerge w:val="continue"/>
            <w:vAlign w:val="bottom"/>
          </w:tcPr>
          <w:p>
            <w:pPr>
              <w:spacing w:after="0" w:line="240" w:lineRule="exact"/>
              <w:rPr>
                <w:rFonts w:ascii="宋体" w:hAnsi="宋体" w:eastAsia="宋体" w:cs="宋体"/>
                <w:color w:val="auto"/>
                <w:sz w:val="21"/>
                <w:szCs w:val="21"/>
              </w:rPr>
            </w:pPr>
          </w:p>
        </w:tc>
        <w:tc>
          <w:tcPr>
            <w:tcW w:w="160" w:type="dxa"/>
            <w:vMerge w:val="continue"/>
            <w:vAlign w:val="bottom"/>
          </w:tcPr>
          <w:p>
            <w:pPr>
              <w:spacing w:after="0" w:line="240" w:lineRule="exact"/>
              <w:rPr>
                <w:rFonts w:ascii="宋体" w:hAnsi="宋体" w:eastAsia="宋体" w:cs="宋体"/>
                <w:color w:val="auto"/>
                <w:sz w:val="21"/>
                <w:szCs w:val="21"/>
              </w:rPr>
            </w:pPr>
          </w:p>
        </w:tc>
        <w:tc>
          <w:tcPr>
            <w:tcW w:w="2000" w:type="dxa"/>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2" w:hRule="atLeast"/>
        </w:trPr>
        <w:tc>
          <w:tcPr>
            <w:tcW w:w="580" w:type="dxa"/>
            <w:tcBorders>
              <w:left w:val="single" w:color="auto" w:sz="8" w:space="0"/>
              <w:bottom w:val="single" w:color="auto" w:sz="8" w:space="0"/>
              <w:right w:val="single" w:color="auto" w:sz="8" w:space="0"/>
            </w:tcBorders>
            <w:vAlign w:val="bottom"/>
          </w:tcPr>
          <w:p>
            <w:pPr>
              <w:spacing w:after="0" w:line="20" w:lineRule="exact"/>
              <w:rPr>
                <w:color w:val="auto"/>
                <w:sz w:val="1"/>
                <w:szCs w:val="1"/>
              </w:rPr>
            </w:pPr>
          </w:p>
        </w:tc>
        <w:tc>
          <w:tcPr>
            <w:tcW w:w="720" w:type="dxa"/>
            <w:tcBorders>
              <w:bottom w:val="single" w:color="auto" w:sz="8" w:space="0"/>
              <w:right w:val="single" w:color="auto" w:sz="8" w:space="0"/>
            </w:tcBorders>
            <w:vAlign w:val="bottom"/>
          </w:tcPr>
          <w:p>
            <w:pPr>
              <w:spacing w:after="0" w:line="20" w:lineRule="exact"/>
              <w:rPr>
                <w:color w:val="auto"/>
                <w:sz w:val="1"/>
                <w:szCs w:val="1"/>
              </w:rPr>
            </w:pPr>
          </w:p>
        </w:tc>
        <w:tc>
          <w:tcPr>
            <w:tcW w:w="212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200" w:type="dxa"/>
            <w:tcBorders>
              <w:top w:val="single" w:color="auto" w:sz="8" w:space="0"/>
              <w:bottom w:val="single" w:color="auto" w:sz="8" w:space="0"/>
            </w:tcBorders>
            <w:vAlign w:val="bottom"/>
          </w:tcPr>
          <w:p>
            <w:pPr>
              <w:spacing w:after="0" w:line="240" w:lineRule="exact"/>
              <w:rPr>
                <w:rFonts w:ascii="宋体" w:hAnsi="宋体" w:eastAsia="宋体" w:cs="宋体"/>
                <w:color w:val="auto"/>
                <w:sz w:val="21"/>
                <w:szCs w:val="21"/>
              </w:rPr>
            </w:pPr>
          </w:p>
        </w:tc>
        <w:tc>
          <w:tcPr>
            <w:tcW w:w="84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420" w:type="dxa"/>
            <w:tcBorders>
              <w:top w:val="single" w:color="auto" w:sz="8" w:space="0"/>
              <w:bottom w:val="single" w:color="auto" w:sz="8" w:space="0"/>
            </w:tcBorders>
            <w:vAlign w:val="bottom"/>
          </w:tcPr>
          <w:p>
            <w:pPr>
              <w:spacing w:after="0" w:line="240" w:lineRule="exact"/>
              <w:rPr>
                <w:rFonts w:ascii="宋体" w:hAnsi="宋体" w:eastAsia="宋体" w:cs="宋体"/>
                <w:color w:val="auto"/>
                <w:sz w:val="21"/>
                <w:szCs w:val="21"/>
              </w:rPr>
            </w:pPr>
          </w:p>
        </w:tc>
        <w:tc>
          <w:tcPr>
            <w:tcW w:w="5300" w:type="dxa"/>
            <w:gridSpan w:val="5"/>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18.2.1 磋商时间：响应文件递交截止时间后。</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18.2.2 磋商地点：桂林市公共资源交易中心评标室（临桂区西城中路 69</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vMerge w:val="restart"/>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磋商时间、地点、人</w:t>
            </w: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号创业大厦西辅楼 4 楼，具体事项评标室另行通知）。</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13</w:t>
            </w:r>
          </w:p>
        </w:tc>
        <w:tc>
          <w:tcPr>
            <w:tcW w:w="7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18.2</w:t>
            </w:r>
          </w:p>
        </w:tc>
        <w:tc>
          <w:tcPr>
            <w:tcW w:w="2120" w:type="dxa"/>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vMerge w:val="restart"/>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18.2.3 磋商参加人员：供应商法定代表人、负责人、自然人或相应的委</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spacing w:after="0"/>
              <w:rPr>
                <w:color w:val="auto"/>
                <w:sz w:val="15"/>
                <w:szCs w:val="15"/>
              </w:rPr>
            </w:pPr>
          </w:p>
        </w:tc>
        <w:tc>
          <w:tcPr>
            <w:tcW w:w="720" w:type="dxa"/>
            <w:vMerge w:val="continue"/>
            <w:tcBorders>
              <w:right w:val="single" w:color="auto" w:sz="8" w:space="0"/>
            </w:tcBorders>
            <w:vAlign w:val="bottom"/>
          </w:tcPr>
          <w:p>
            <w:pPr>
              <w:spacing w:after="0"/>
              <w:rPr>
                <w:color w:val="auto"/>
                <w:sz w:val="15"/>
                <w:szCs w:val="15"/>
              </w:rPr>
            </w:pPr>
          </w:p>
        </w:tc>
        <w:tc>
          <w:tcPr>
            <w:tcW w:w="2120" w:type="dxa"/>
            <w:vMerge w:val="restart"/>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员</w:t>
            </w:r>
          </w:p>
        </w:tc>
        <w:tc>
          <w:tcPr>
            <w:tcW w:w="6860" w:type="dxa"/>
            <w:gridSpan w:val="9"/>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spacing w:after="0"/>
              <w:rPr>
                <w:color w:val="auto"/>
                <w:sz w:val="15"/>
                <w:szCs w:val="15"/>
              </w:rPr>
            </w:pPr>
          </w:p>
        </w:tc>
        <w:tc>
          <w:tcPr>
            <w:tcW w:w="720" w:type="dxa"/>
            <w:tcBorders>
              <w:right w:val="single" w:color="auto" w:sz="8" w:space="0"/>
            </w:tcBorders>
            <w:vAlign w:val="bottom"/>
          </w:tcPr>
          <w:p>
            <w:pPr>
              <w:spacing w:after="0"/>
              <w:rPr>
                <w:color w:val="auto"/>
                <w:sz w:val="15"/>
                <w:szCs w:val="15"/>
              </w:rPr>
            </w:pPr>
          </w:p>
        </w:tc>
        <w:tc>
          <w:tcPr>
            <w:tcW w:w="2120" w:type="dxa"/>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vMerge w:val="restart"/>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托代理人持有效身份证原件参加磋商。请供应商按时到达指定地点等候当</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spacing w:after="0"/>
              <w:rPr>
                <w:color w:val="auto"/>
                <w:sz w:val="15"/>
                <w:szCs w:val="15"/>
              </w:rPr>
            </w:pPr>
          </w:p>
        </w:tc>
        <w:tc>
          <w:tcPr>
            <w:tcW w:w="720" w:type="dxa"/>
            <w:tcBorders>
              <w:right w:val="single" w:color="auto" w:sz="8" w:space="0"/>
            </w:tcBorders>
            <w:vAlign w:val="bottom"/>
          </w:tcPr>
          <w:p>
            <w:pPr>
              <w:spacing w:after="0"/>
              <w:rPr>
                <w:color w:val="auto"/>
                <w:sz w:val="15"/>
                <w:szCs w:val="15"/>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vMerge w:val="continue"/>
            <w:tcBorders>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面磋商。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18.2.4 响应文件递交截止时间后，由磋商小组在评标室内开启响应文件。</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51" w:hRule="atLeast"/>
        </w:trPr>
        <w:tc>
          <w:tcPr>
            <w:tcW w:w="5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14</w:t>
            </w:r>
          </w:p>
        </w:tc>
        <w:tc>
          <w:tcPr>
            <w:tcW w:w="7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19.2</w:t>
            </w: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评审办法</w:t>
            </w:r>
          </w:p>
        </w:tc>
        <w:tc>
          <w:tcPr>
            <w:tcW w:w="6860" w:type="dxa"/>
            <w:gridSpan w:val="9"/>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具体详见第四章评审办法。</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88" w:hRule="atLeast"/>
        </w:trPr>
        <w:tc>
          <w:tcPr>
            <w:tcW w:w="58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720" w:type="dxa"/>
            <w:tcBorders>
              <w:bottom w:val="single" w:color="auto" w:sz="8" w:space="0"/>
              <w:right w:val="single" w:color="auto" w:sz="8" w:space="0"/>
            </w:tcBorders>
            <w:vAlign w:val="bottom"/>
          </w:tcPr>
          <w:p>
            <w:pPr>
              <w:spacing w:after="0"/>
              <w:rPr>
                <w:color w:val="auto"/>
                <w:sz w:val="7"/>
                <w:szCs w:val="7"/>
              </w:rPr>
            </w:pPr>
          </w:p>
        </w:tc>
        <w:tc>
          <w:tcPr>
            <w:tcW w:w="212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tcBorders>
              <w:bottom w:val="single" w:color="auto" w:sz="8" w:space="0"/>
            </w:tcBorders>
            <w:vAlign w:val="bottom"/>
          </w:tcPr>
          <w:p>
            <w:pPr>
              <w:spacing w:after="0" w:line="240" w:lineRule="exact"/>
              <w:rPr>
                <w:rFonts w:ascii="宋体" w:hAnsi="宋体" w:eastAsia="宋体" w:cs="宋体"/>
                <w:color w:val="auto"/>
                <w:sz w:val="21"/>
                <w:szCs w:val="21"/>
              </w:rPr>
            </w:pPr>
          </w:p>
        </w:tc>
        <w:tc>
          <w:tcPr>
            <w:tcW w:w="6760" w:type="dxa"/>
            <w:gridSpan w:val="8"/>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4"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根据《关于做好政府采购有关信用主体标识码登记及在政府采购活动中查</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询使用信用记录有关问题的通知》（桂财采〔2016〕37），由采购代理机构</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对第一成交候选人进行信用查询：</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（1）查询渠道：“信用中国”网站(www.creditchina.gov.cn)、中国政府</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采购网(www.ccgp.gov.cn)等；</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（2）查询截止时点：成交通知书发出前；</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3" w:hRule="atLeast"/>
        </w:trPr>
        <w:tc>
          <w:tcPr>
            <w:tcW w:w="5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15</w:t>
            </w:r>
          </w:p>
        </w:tc>
        <w:tc>
          <w:tcPr>
            <w:tcW w:w="7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20.3</w:t>
            </w: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信用查询</w:t>
            </w: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（3）信用信息查询记录和证据留存方式：在查询网站中直接打印查询记</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37"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录，打印材料作为采购活动资料保存。</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3"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（4）信用信息使用规则：对在“信用中国”网站</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"http://www.creditchina.gov.cn/" \h </w:instrText>
            </w:r>
            <w:r>
              <w:rPr>
                <w:rFonts w:ascii="宋体" w:hAnsi="宋体" w:eastAsia="宋体" w:cs="宋体"/>
                <w:color w:val="auto"/>
                <w:sz w:val="21"/>
                <w:szCs w:val="21"/>
              </w:rPr>
              <w:fldChar w:fldCharType="separate"/>
            </w:r>
            <w:r>
              <w:rPr>
                <w:rFonts w:ascii="宋体" w:hAnsi="宋体" w:eastAsia="宋体" w:cs="宋体"/>
                <w:color w:val="auto"/>
                <w:sz w:val="21"/>
                <w:szCs w:val="21"/>
              </w:rPr>
              <w:t>www.creditchina.gov.cn</w:t>
            </w:r>
            <w:r>
              <w:rPr>
                <w:rFonts w:ascii="宋体" w:hAnsi="宋体" w:eastAsia="宋体" w:cs="宋体"/>
                <w:color w:val="auto"/>
                <w:sz w:val="21"/>
                <w:szCs w:val="21"/>
              </w:rPr>
              <w:fldChar w:fldCharType="end"/>
            </w:r>
            <w:r>
              <w:rPr>
                <w:rFonts w:ascii="宋体" w:hAnsi="宋体" w:eastAsia="宋体" w:cs="宋体"/>
                <w:color w:val="auto"/>
                <w:sz w:val="21"/>
                <w:szCs w:val="21"/>
              </w:rPr>
              <w:t>）、中国政府采购网（</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"http://www.ccgp.gov.cn/" \h </w:instrText>
            </w:r>
            <w:r>
              <w:rPr>
                <w:rFonts w:ascii="宋体" w:hAnsi="宋体" w:eastAsia="宋体" w:cs="宋体"/>
                <w:color w:val="auto"/>
                <w:sz w:val="21"/>
                <w:szCs w:val="21"/>
              </w:rPr>
              <w:fldChar w:fldCharType="separate"/>
            </w:r>
            <w:r>
              <w:rPr>
                <w:rFonts w:ascii="宋体" w:hAnsi="宋体" w:eastAsia="宋体" w:cs="宋体"/>
                <w:color w:val="auto"/>
                <w:sz w:val="21"/>
                <w:szCs w:val="21"/>
              </w:rPr>
              <w:t>www.ccgp.gov.cn</w:t>
            </w:r>
            <w:r>
              <w:rPr>
                <w:rFonts w:ascii="宋体" w:hAnsi="宋体" w:eastAsia="宋体" w:cs="宋体"/>
                <w:color w:val="auto"/>
                <w:sz w:val="21"/>
                <w:szCs w:val="21"/>
              </w:rPr>
              <w:fldChar w:fldCharType="end"/>
            </w:r>
            <w:r>
              <w:rPr>
                <w:rFonts w:ascii="宋体" w:hAnsi="宋体" w:eastAsia="宋体" w:cs="宋体"/>
                <w:color w:val="auto"/>
                <w:sz w:val="21"/>
                <w:szCs w:val="21"/>
              </w:rPr>
              <w:t>）等渠</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道列入失信被执行人、重大税收违法案件当事人名单、政府采购严重违法</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失信行为记录名单及其他不符合《中华人民共和国政府采购法》第二十二</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rPr>
                <w:rFonts w:ascii="宋体" w:hAnsi="宋体" w:eastAsia="宋体" w:cs="宋体"/>
                <w:color w:val="auto"/>
                <w:sz w:val="21"/>
                <w:szCs w:val="21"/>
              </w:rPr>
            </w:pPr>
          </w:p>
        </w:tc>
        <w:tc>
          <w:tcPr>
            <w:tcW w:w="100" w:type="dxa"/>
            <w:vAlign w:val="bottom"/>
          </w:tcPr>
          <w:p>
            <w:pPr>
              <w:spacing w:after="0" w:line="240" w:lineRule="exact"/>
              <w:rPr>
                <w:rFonts w:ascii="宋体" w:hAnsi="宋体" w:eastAsia="宋体" w:cs="宋体"/>
                <w:color w:val="auto"/>
                <w:sz w:val="21"/>
                <w:szCs w:val="21"/>
              </w:rPr>
            </w:pPr>
          </w:p>
        </w:tc>
        <w:tc>
          <w:tcPr>
            <w:tcW w:w="6760" w:type="dxa"/>
            <w:gridSpan w:val="8"/>
            <w:tcBorders>
              <w:right w:val="single" w:color="auto" w:sz="8" w:space="0"/>
            </w:tcBorders>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条规定条件的供应商，取消其成交候选人资格。</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6860" w:type="dxa"/>
            <w:gridSpan w:val="9"/>
            <w:tcBorders>
              <w:bottom w:val="single" w:color="auto" w:sz="8" w:space="0"/>
              <w:right w:val="single" w:color="auto" w:sz="8" w:space="0"/>
            </w:tcBorders>
            <w:vAlign w:val="bottom"/>
          </w:tcPr>
          <w:p>
            <w:pPr>
              <w:spacing w:after="0" w:line="240" w:lineRule="exact"/>
              <w:rPr>
                <w:rFonts w:ascii="宋体" w:hAnsi="宋体" w:eastAsia="宋体" w:cs="宋体"/>
                <w:color w:val="auto"/>
                <w:sz w:val="21"/>
                <w:szCs w:val="21"/>
              </w:rPr>
            </w:pPr>
          </w:p>
        </w:tc>
        <w:tc>
          <w:tcPr>
            <w:tcW w:w="360" w:type="dxa"/>
            <w:vAlign w:val="bottom"/>
          </w:tcPr>
          <w:p>
            <w:pPr>
              <w:spacing w:after="0"/>
              <w:rPr>
                <w:color w:val="auto"/>
                <w:sz w:val="1"/>
                <w:szCs w:val="1"/>
              </w:rPr>
            </w:pPr>
          </w:p>
        </w:tc>
      </w:tr>
    </w:tbl>
    <w:p>
      <w:pPr>
        <w:spacing w:after="0" w:line="1" w:lineRule="exact"/>
        <w:rPr>
          <w:color w:val="auto"/>
          <w:sz w:val="20"/>
          <w:szCs w:val="20"/>
        </w:rPr>
      </w:pPr>
    </w:p>
    <w:tbl>
      <w:tblPr>
        <w:tblStyle w:val="9"/>
        <w:tblW w:w="10640" w:type="dxa"/>
        <w:tblInd w:w="10" w:type="dxa"/>
        <w:tblLayout w:type="fixed"/>
        <w:tblCellMar>
          <w:top w:w="0" w:type="dxa"/>
          <w:left w:w="0" w:type="dxa"/>
          <w:bottom w:w="0" w:type="dxa"/>
          <w:right w:w="0" w:type="dxa"/>
        </w:tblCellMar>
      </w:tblPr>
      <w:tblGrid>
        <w:gridCol w:w="580"/>
        <w:gridCol w:w="720"/>
        <w:gridCol w:w="2120"/>
        <w:gridCol w:w="6860"/>
        <w:gridCol w:w="360"/>
      </w:tblGrid>
      <w:tr>
        <w:tblPrEx>
          <w:tblCellMar>
            <w:top w:w="0" w:type="dxa"/>
            <w:left w:w="0" w:type="dxa"/>
            <w:bottom w:w="0" w:type="dxa"/>
            <w:right w:w="0" w:type="dxa"/>
          </w:tblCellMar>
        </w:tblPrEx>
        <w:trPr>
          <w:trHeight w:val="326" w:hRule="atLeast"/>
        </w:trPr>
        <w:tc>
          <w:tcPr>
            <w:tcW w:w="580" w:type="dxa"/>
            <w:tcBorders>
              <w:top w:val="single" w:color="auto" w:sz="8" w:space="0"/>
              <w:left w:val="single" w:color="auto" w:sz="8" w:space="0"/>
              <w:right w:val="single" w:color="auto" w:sz="8" w:space="0"/>
            </w:tcBorders>
            <w:vAlign w:val="bottom"/>
          </w:tcPr>
          <w:p>
            <w:pPr>
              <w:spacing w:after="0"/>
              <w:jc w:val="center"/>
              <w:rPr>
                <w:rFonts w:hint="default" w:eastAsiaTheme="minorEastAsia"/>
                <w:color w:val="auto"/>
                <w:sz w:val="24"/>
                <w:szCs w:val="24"/>
                <w:lang w:val="en-US" w:eastAsia="zh-CN"/>
              </w:rPr>
            </w:pPr>
            <w:r>
              <w:rPr>
                <w:rFonts w:hint="eastAsia"/>
                <w:color w:val="auto"/>
                <w:sz w:val="24"/>
                <w:szCs w:val="24"/>
                <w:lang w:val="en-US" w:eastAsia="zh-CN"/>
              </w:rPr>
              <w:t>16</w:t>
            </w:r>
          </w:p>
        </w:tc>
        <w:tc>
          <w:tcPr>
            <w:tcW w:w="720" w:type="dxa"/>
            <w:tcBorders>
              <w:top w:val="single" w:color="auto" w:sz="8" w:space="0"/>
              <w:right w:val="single" w:color="auto" w:sz="8" w:space="0"/>
            </w:tcBorders>
            <w:vAlign w:val="bottom"/>
          </w:tcPr>
          <w:p>
            <w:pPr>
              <w:spacing w:after="0"/>
              <w:jc w:val="center"/>
              <w:rPr>
                <w:rFonts w:hint="default" w:eastAsiaTheme="minorEastAsia"/>
                <w:color w:val="auto"/>
                <w:sz w:val="24"/>
                <w:szCs w:val="24"/>
                <w:lang w:val="en-US" w:eastAsia="zh-CN"/>
              </w:rPr>
            </w:pPr>
            <w:r>
              <w:rPr>
                <w:rFonts w:hint="eastAsia"/>
                <w:color w:val="auto"/>
                <w:sz w:val="24"/>
                <w:szCs w:val="24"/>
                <w:lang w:val="en-US" w:eastAsia="zh-CN"/>
              </w:rPr>
              <w:t>26</w:t>
            </w:r>
          </w:p>
        </w:tc>
        <w:tc>
          <w:tcPr>
            <w:tcW w:w="2120" w:type="dxa"/>
            <w:tcBorders>
              <w:top w:val="single" w:color="auto" w:sz="8" w:space="0"/>
              <w:right w:val="single" w:color="auto" w:sz="8" w:space="0"/>
            </w:tcBorders>
            <w:vAlign w:val="bottom"/>
          </w:tcPr>
          <w:p>
            <w:pPr>
              <w:spacing w:after="0" w:line="240" w:lineRule="exact"/>
              <w:jc w:val="center"/>
              <w:rPr>
                <w:rFonts w:ascii="宋体" w:hAnsi="宋体" w:eastAsia="宋体" w:cs="宋体"/>
                <w:color w:val="auto"/>
                <w:sz w:val="21"/>
                <w:szCs w:val="21"/>
              </w:rPr>
            </w:pPr>
            <w:r>
              <w:rPr>
                <w:rFonts w:ascii="宋体" w:hAnsi="宋体" w:eastAsia="宋体" w:cs="宋体"/>
                <w:color w:val="auto"/>
                <w:sz w:val="21"/>
                <w:szCs w:val="21"/>
              </w:rPr>
              <w:t>成交公告</w:t>
            </w:r>
          </w:p>
        </w:tc>
        <w:tc>
          <w:tcPr>
            <w:tcW w:w="6860" w:type="dxa"/>
            <w:tcBorders>
              <w:top w:val="single" w:color="auto" w:sz="8" w:space="0"/>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中按顺序确定成交供应商，采购代理机构在成交供应商确定之日起两个工</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jc w:val="center"/>
              <w:rPr>
                <w:rFonts w:ascii="宋体" w:hAnsi="宋体" w:eastAsia="宋体" w:cs="宋体"/>
                <w:color w:val="auto"/>
                <w:sz w:val="21"/>
                <w:szCs w:val="21"/>
              </w:rPr>
            </w:pPr>
            <w:r>
              <w:rPr>
                <w:rFonts w:ascii="宋体" w:hAnsi="宋体" w:eastAsia="宋体" w:cs="宋体"/>
                <w:color w:val="auto"/>
                <w:sz w:val="21"/>
                <w:szCs w:val="21"/>
              </w:rPr>
              <w:t>及成交通知书</w:t>
            </w:r>
          </w:p>
        </w:tc>
        <w:tc>
          <w:tcPr>
            <w:tcW w:w="6860" w:type="dxa"/>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作日内发出成交通知书，并在指定媒体上公告成交信息。</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jc w:val="center"/>
              <w:rPr>
                <w:rFonts w:ascii="宋体" w:hAnsi="宋体" w:eastAsia="宋体" w:cs="宋体"/>
                <w:color w:val="auto"/>
                <w:sz w:val="21"/>
                <w:szCs w:val="21"/>
              </w:rPr>
            </w:pPr>
          </w:p>
        </w:tc>
        <w:tc>
          <w:tcPr>
            <w:tcW w:w="6860" w:type="dxa"/>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26.2 在发布成交公告的同时，采购代理机构向成交供应商发出成交通知</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rPr>
                <w:rFonts w:ascii="宋体" w:hAnsi="宋体" w:eastAsia="宋体" w:cs="宋体"/>
                <w:color w:val="auto"/>
                <w:sz w:val="21"/>
                <w:szCs w:val="21"/>
              </w:rPr>
            </w:pPr>
          </w:p>
        </w:tc>
        <w:tc>
          <w:tcPr>
            <w:tcW w:w="6860" w:type="dxa"/>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书。成交供应商应自接到通知之日起七个工作日内，办理成交通知书领取</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line="240" w:lineRule="exact"/>
              <w:ind w:left="100"/>
              <w:rPr>
                <w:rFonts w:ascii="宋体" w:hAnsi="宋体" w:eastAsia="宋体" w:cs="宋体"/>
                <w:color w:val="auto"/>
                <w:sz w:val="21"/>
                <w:szCs w:val="21"/>
              </w:rPr>
            </w:pPr>
          </w:p>
        </w:tc>
        <w:tc>
          <w:tcPr>
            <w:tcW w:w="6860" w:type="dxa"/>
            <w:tcBorders>
              <w:right w:val="single" w:color="auto" w:sz="8" w:space="0"/>
            </w:tcBorders>
            <w:vAlign w:val="bottom"/>
          </w:tcPr>
          <w:p>
            <w:pPr>
              <w:spacing w:after="0" w:line="240" w:lineRule="exact"/>
              <w:ind w:left="100"/>
              <w:rPr>
                <w:rFonts w:ascii="宋体" w:hAnsi="宋体" w:eastAsia="宋体" w:cs="宋体"/>
                <w:color w:val="auto"/>
                <w:sz w:val="21"/>
                <w:szCs w:val="21"/>
              </w:rPr>
            </w:pPr>
            <w:r>
              <w:rPr>
                <w:rFonts w:ascii="宋体" w:hAnsi="宋体" w:eastAsia="宋体" w:cs="宋体"/>
                <w:color w:val="auto"/>
                <w:sz w:val="21"/>
                <w:szCs w:val="21"/>
              </w:rPr>
              <w:t>手续。</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right w:val="single" w:color="auto" w:sz="8" w:space="0"/>
            </w:tcBorders>
            <w:vAlign w:val="bottom"/>
          </w:tcPr>
          <w:p>
            <w:pPr>
              <w:spacing w:after="0"/>
              <w:rPr>
                <w:color w:val="auto"/>
                <w:sz w:val="3"/>
                <w:szCs w:val="3"/>
              </w:rPr>
            </w:pPr>
          </w:p>
        </w:tc>
        <w:tc>
          <w:tcPr>
            <w:tcW w:w="2120" w:type="dxa"/>
            <w:tcBorders>
              <w:bottom w:val="single" w:color="auto" w:sz="8" w:space="0"/>
              <w:right w:val="single" w:color="auto" w:sz="8" w:space="0"/>
            </w:tcBorders>
            <w:vAlign w:val="bottom"/>
          </w:tcPr>
          <w:p>
            <w:pPr>
              <w:spacing w:after="0" w:line="240" w:lineRule="exact"/>
              <w:ind w:left="100"/>
              <w:rPr>
                <w:rFonts w:ascii="宋体" w:hAnsi="宋体" w:eastAsia="宋体" w:cs="宋体"/>
                <w:color w:val="auto"/>
                <w:sz w:val="21"/>
                <w:szCs w:val="21"/>
              </w:rPr>
            </w:pPr>
          </w:p>
        </w:tc>
        <w:tc>
          <w:tcPr>
            <w:tcW w:w="6860" w:type="dxa"/>
            <w:tcBorders>
              <w:bottom w:val="single" w:color="auto" w:sz="8" w:space="0"/>
              <w:right w:val="single" w:color="auto" w:sz="8" w:space="0"/>
            </w:tcBorders>
            <w:vAlign w:val="bottom"/>
          </w:tcPr>
          <w:p>
            <w:pPr>
              <w:spacing w:after="0" w:line="240" w:lineRule="exact"/>
              <w:ind w:left="100"/>
              <w:rPr>
                <w:rFonts w:ascii="宋体" w:hAnsi="宋体" w:eastAsia="宋体" w:cs="宋体"/>
                <w:color w:val="auto"/>
                <w:sz w:val="21"/>
                <w:szCs w:val="21"/>
              </w:rPr>
            </w:pPr>
          </w:p>
        </w:tc>
        <w:tc>
          <w:tcPr>
            <w:tcW w:w="360" w:type="dxa"/>
            <w:vAlign w:val="bottom"/>
          </w:tcPr>
          <w:p>
            <w:pPr>
              <w:spacing w:after="0"/>
              <w:rPr>
                <w:color w:val="auto"/>
                <w:sz w:val="1"/>
                <w:szCs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321" w:hRule="atLeast"/>
        </w:trPr>
        <w:tc>
          <w:tcPr>
            <w:tcW w:w="580" w:type="dxa"/>
            <w:noWrap w:val="0"/>
            <w:vAlign w:val="center"/>
          </w:tcPr>
          <w:p>
            <w:pPr>
              <w:spacing w:line="34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17</w:t>
            </w:r>
          </w:p>
        </w:tc>
        <w:tc>
          <w:tcPr>
            <w:tcW w:w="720" w:type="dxa"/>
            <w:noWrap w:val="0"/>
            <w:vAlign w:val="center"/>
          </w:tcPr>
          <w:p>
            <w:pPr>
              <w:spacing w:line="340" w:lineRule="exact"/>
              <w:jc w:val="center"/>
              <w:rPr>
                <w:rFonts w:hint="eastAsia" w:ascii="宋体" w:hAnsi="宋体"/>
                <w:color w:val="000000"/>
                <w:szCs w:val="21"/>
              </w:rPr>
            </w:pPr>
            <w:r>
              <w:rPr>
                <w:rFonts w:hint="eastAsia" w:ascii="宋体" w:hAnsi="宋体"/>
                <w:color w:val="000000"/>
                <w:szCs w:val="21"/>
              </w:rPr>
              <w:t>31</w:t>
            </w:r>
          </w:p>
        </w:tc>
        <w:tc>
          <w:tcPr>
            <w:tcW w:w="2120"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中标公告及中标通知书</w:t>
            </w:r>
          </w:p>
        </w:tc>
        <w:tc>
          <w:tcPr>
            <w:tcW w:w="6860" w:type="dxa"/>
            <w:noWrap w:val="0"/>
            <w:vAlign w:val="top"/>
          </w:tcPr>
          <w:p>
            <w:pPr>
              <w:pStyle w:val="5"/>
              <w:tabs>
                <w:tab w:val="left" w:pos="455"/>
              </w:tabs>
              <w:spacing w:line="360" w:lineRule="exact"/>
              <w:rPr>
                <w:rFonts w:hint="eastAsia" w:hAnsi="宋体"/>
                <w:color w:val="000000"/>
              </w:rPr>
            </w:pPr>
            <w:r>
              <w:rPr>
                <w:rFonts w:hint="eastAsia" w:hAnsi="宋体"/>
                <w:color w:val="000000"/>
              </w:rPr>
              <w:t xml:space="preserve">31.1 </w:t>
            </w:r>
            <w:r>
              <w:rPr>
                <w:rFonts w:hint="eastAsia" w:hAnsi="宋体"/>
                <w:color w:val="000000"/>
                <w:szCs w:val="21"/>
              </w:rPr>
              <w:t>采购代理机构于评标结束后两个工作日内将评审报告送交采购人，采购人应当自收到评标报告五个工作日内在评标报告推荐的中标候选供应商中按顺序确定中标供应商，采购代理机构在中标供应商确定之日起两个工作日内发出中标通知书，并在指定媒体上公告中标信息。</w:t>
            </w:r>
          </w:p>
          <w:p>
            <w:pPr>
              <w:pStyle w:val="5"/>
              <w:spacing w:line="360" w:lineRule="exact"/>
              <w:rPr>
                <w:rFonts w:hint="eastAsia" w:hAnsi="宋体"/>
                <w:color w:val="000000"/>
                <w:szCs w:val="21"/>
              </w:rPr>
            </w:pPr>
            <w:r>
              <w:rPr>
                <w:rFonts w:hint="eastAsia" w:hAnsi="宋体"/>
                <w:color w:val="000000"/>
              </w:rPr>
              <w:t>31.2 中标供应商应自接到通知之日起七个工作日内，办理中标通知书领取手续，如不按期办理领取手续，视为自动放弃中标资格。中标供应商所投相应标的投标保证金将不予退还，上缴同级财政国库，并从评标委员会推荐的中标候选供应商中按顺序重新确定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462" w:hRule="atLeast"/>
        </w:trPr>
        <w:tc>
          <w:tcPr>
            <w:tcW w:w="580" w:type="dxa"/>
            <w:noWrap w:val="0"/>
            <w:vAlign w:val="center"/>
          </w:tcPr>
          <w:p>
            <w:pPr>
              <w:spacing w:line="34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18</w:t>
            </w:r>
          </w:p>
        </w:tc>
        <w:tc>
          <w:tcPr>
            <w:tcW w:w="720" w:type="dxa"/>
            <w:noWrap w:val="0"/>
            <w:vAlign w:val="center"/>
          </w:tcPr>
          <w:p>
            <w:pPr>
              <w:spacing w:line="340" w:lineRule="exact"/>
              <w:jc w:val="center"/>
              <w:rPr>
                <w:rFonts w:hint="eastAsia" w:ascii="宋体" w:hAnsi="宋体"/>
                <w:color w:val="000000"/>
                <w:szCs w:val="21"/>
              </w:rPr>
            </w:pPr>
            <w:r>
              <w:rPr>
                <w:rFonts w:hint="eastAsia" w:ascii="宋体" w:hAnsi="宋体"/>
                <w:color w:val="000000"/>
                <w:szCs w:val="21"/>
              </w:rPr>
              <w:t>32.1</w:t>
            </w:r>
          </w:p>
        </w:tc>
        <w:tc>
          <w:tcPr>
            <w:tcW w:w="2120"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履约保证金</w:t>
            </w:r>
          </w:p>
        </w:tc>
        <w:tc>
          <w:tcPr>
            <w:tcW w:w="6860" w:type="dxa"/>
            <w:noWrap w:val="0"/>
            <w:vAlign w:val="center"/>
          </w:tcPr>
          <w:p>
            <w:pPr>
              <w:spacing w:line="320" w:lineRule="exact"/>
              <w:rPr>
                <w:rFonts w:hint="eastAsia" w:ascii="宋体" w:hAnsi="宋体"/>
                <w:color w:val="000000"/>
                <w:szCs w:val="21"/>
              </w:rPr>
            </w:pPr>
            <w:r>
              <w:rPr>
                <w:rFonts w:hint="eastAsia" w:ascii="宋体" w:hAnsi="宋体"/>
                <w:color w:val="000000"/>
                <w:szCs w:val="21"/>
              </w:rPr>
              <w:t>履约保证金金额</w:t>
            </w:r>
            <w:r>
              <w:rPr>
                <w:rFonts w:hint="eastAsia" w:ascii="宋体" w:hAnsi="宋体"/>
                <w:color w:val="000000"/>
              </w:rPr>
              <w:t>按中标价的5%</w:t>
            </w:r>
            <w:r>
              <w:rPr>
                <w:rFonts w:hint="eastAsia" w:ascii="宋体" w:hAnsi="宋体"/>
                <w:color w:val="000000"/>
                <w:szCs w:val="21"/>
              </w:rPr>
              <w:t>（人民币，四舍五入到元）</w:t>
            </w:r>
            <w:r>
              <w:rPr>
                <w:rFonts w:hint="eastAsia" w:ascii="宋体" w:hAnsi="宋体"/>
                <w:color w:val="000000"/>
              </w:rPr>
              <w:t>缴纳，由中标供应商在领取中标通知书前将履约保证金以转账、电汇等非现金形式缴入桂林市公共资源交易中心保证金专户 ,并由资源交易中心转入桂林市政府采购管理办公室履约保证金专户。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463" w:hRule="atLeast"/>
        </w:trPr>
        <w:tc>
          <w:tcPr>
            <w:tcW w:w="580" w:type="dxa"/>
            <w:noWrap w:val="0"/>
            <w:vAlign w:val="center"/>
          </w:tcPr>
          <w:p>
            <w:pPr>
              <w:spacing w:line="34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19</w:t>
            </w:r>
          </w:p>
        </w:tc>
        <w:tc>
          <w:tcPr>
            <w:tcW w:w="720" w:type="dxa"/>
            <w:noWrap w:val="0"/>
            <w:vAlign w:val="center"/>
          </w:tcPr>
          <w:p>
            <w:pPr>
              <w:spacing w:line="340" w:lineRule="exact"/>
              <w:jc w:val="center"/>
              <w:rPr>
                <w:rFonts w:hint="eastAsia" w:ascii="宋体" w:hAnsi="宋体"/>
                <w:color w:val="000000"/>
                <w:szCs w:val="21"/>
              </w:rPr>
            </w:pPr>
            <w:r>
              <w:rPr>
                <w:rFonts w:hint="eastAsia" w:ascii="宋体" w:hAnsi="宋体"/>
                <w:color w:val="000000"/>
                <w:szCs w:val="21"/>
              </w:rPr>
              <w:t>33.1</w:t>
            </w:r>
          </w:p>
        </w:tc>
        <w:tc>
          <w:tcPr>
            <w:tcW w:w="2120"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签订合同时间</w:t>
            </w:r>
          </w:p>
        </w:tc>
        <w:tc>
          <w:tcPr>
            <w:tcW w:w="6860" w:type="dxa"/>
            <w:noWrap w:val="0"/>
            <w:vAlign w:val="center"/>
          </w:tcPr>
          <w:p>
            <w:pPr>
              <w:spacing w:line="320" w:lineRule="exact"/>
              <w:rPr>
                <w:rFonts w:hint="eastAsia" w:ascii="宋体" w:hAnsi="宋体"/>
                <w:color w:val="000000"/>
                <w:szCs w:val="21"/>
              </w:rPr>
            </w:pPr>
            <w:r>
              <w:rPr>
                <w:rFonts w:hint="eastAsia" w:ascii="宋体" w:hAnsi="宋体"/>
                <w:color w:val="000000"/>
                <w:szCs w:val="21"/>
              </w:rPr>
              <w:t>中标通知书发出之日起三十日内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956" w:hRule="atLeast"/>
        </w:trPr>
        <w:tc>
          <w:tcPr>
            <w:tcW w:w="580" w:type="dxa"/>
            <w:noWrap w:val="0"/>
            <w:vAlign w:val="center"/>
          </w:tcPr>
          <w:p>
            <w:pPr>
              <w:spacing w:line="34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20</w:t>
            </w:r>
          </w:p>
        </w:tc>
        <w:tc>
          <w:tcPr>
            <w:tcW w:w="720" w:type="dxa"/>
            <w:noWrap w:val="0"/>
            <w:vAlign w:val="center"/>
          </w:tcPr>
          <w:p>
            <w:pPr>
              <w:spacing w:line="340" w:lineRule="exact"/>
              <w:jc w:val="center"/>
              <w:rPr>
                <w:rFonts w:hint="eastAsia" w:ascii="宋体" w:hAnsi="宋体"/>
                <w:color w:val="000000"/>
                <w:szCs w:val="21"/>
              </w:rPr>
            </w:pPr>
            <w:r>
              <w:rPr>
                <w:rFonts w:hint="eastAsia" w:ascii="宋体" w:hAnsi="宋体"/>
                <w:color w:val="000000"/>
                <w:szCs w:val="21"/>
              </w:rPr>
              <w:t>33.3</w:t>
            </w:r>
          </w:p>
        </w:tc>
        <w:tc>
          <w:tcPr>
            <w:tcW w:w="2120"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合同备案存档</w:t>
            </w:r>
          </w:p>
        </w:tc>
        <w:tc>
          <w:tcPr>
            <w:tcW w:w="6860" w:type="dxa"/>
            <w:noWrap w:val="0"/>
            <w:vAlign w:val="center"/>
          </w:tcPr>
          <w:p>
            <w:pPr>
              <w:spacing w:line="320" w:lineRule="exact"/>
              <w:rPr>
                <w:rFonts w:hint="eastAsia" w:ascii="宋体" w:hAnsi="宋体"/>
                <w:color w:val="000000"/>
                <w:szCs w:val="21"/>
              </w:rPr>
            </w:pPr>
            <w:r>
              <w:rPr>
                <w:rFonts w:hint="eastAsia" w:ascii="宋体" w:hAnsi="宋体"/>
                <w:color w:val="000000"/>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1001" w:hRule="atLeast"/>
        </w:trPr>
        <w:tc>
          <w:tcPr>
            <w:tcW w:w="580" w:type="dxa"/>
            <w:noWrap w:val="0"/>
            <w:vAlign w:val="center"/>
          </w:tcPr>
          <w:p>
            <w:pPr>
              <w:spacing w:line="34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21</w:t>
            </w:r>
          </w:p>
        </w:tc>
        <w:tc>
          <w:tcPr>
            <w:tcW w:w="720" w:type="dxa"/>
            <w:noWrap w:val="0"/>
            <w:vAlign w:val="center"/>
          </w:tcPr>
          <w:p>
            <w:pPr>
              <w:spacing w:line="340" w:lineRule="exact"/>
              <w:jc w:val="center"/>
              <w:rPr>
                <w:rFonts w:hint="eastAsia" w:ascii="宋体" w:hAnsi="宋体"/>
                <w:color w:val="000000"/>
                <w:szCs w:val="21"/>
              </w:rPr>
            </w:pPr>
            <w:r>
              <w:rPr>
                <w:rFonts w:hint="eastAsia" w:ascii="宋体" w:hAnsi="宋体"/>
                <w:color w:val="000000"/>
                <w:szCs w:val="21"/>
              </w:rPr>
              <w:t>34</w:t>
            </w:r>
          </w:p>
        </w:tc>
        <w:tc>
          <w:tcPr>
            <w:tcW w:w="2120"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招标代理服务费</w:t>
            </w:r>
          </w:p>
        </w:tc>
        <w:tc>
          <w:tcPr>
            <w:tcW w:w="6860" w:type="dxa"/>
            <w:noWrap w:val="0"/>
            <w:vAlign w:val="center"/>
          </w:tcPr>
          <w:p>
            <w:pPr>
              <w:spacing w:line="320" w:lineRule="exact"/>
              <w:rPr>
                <w:rFonts w:hint="eastAsia" w:ascii="宋体" w:hAnsi="宋体"/>
                <w:color w:val="000000"/>
                <w:szCs w:val="21"/>
              </w:rPr>
            </w:pPr>
            <w:r>
              <w:rPr>
                <w:rFonts w:hint="eastAsia" w:ascii="宋体" w:hAnsi="宋体"/>
                <w:color w:val="000000"/>
                <w:szCs w:val="21"/>
              </w:rPr>
              <w:t>本项目招标代理服务收费标准参照计价格[2002]1980号《招标代理服务收费管理暂行办法》</w:t>
            </w:r>
            <w:r>
              <w:rPr>
                <w:rFonts w:hint="eastAsia" w:ascii="宋体" w:hAnsi="宋体"/>
                <w:color w:val="000000"/>
                <w:szCs w:val="21"/>
                <w:lang w:eastAsia="zh-CN"/>
              </w:rPr>
              <w:t>服务</w:t>
            </w:r>
            <w:r>
              <w:rPr>
                <w:rFonts w:hint="eastAsia" w:ascii="宋体" w:hAnsi="宋体"/>
                <w:color w:val="000000"/>
                <w:szCs w:val="21"/>
              </w:rPr>
              <w:t>类收费标准</w:t>
            </w:r>
            <w:r>
              <w:rPr>
                <w:rFonts w:hint="eastAsia" w:ascii="宋体" w:hAnsi="宋体"/>
                <w:color w:val="000000"/>
                <w:szCs w:val="21"/>
                <w:lang w:eastAsia="zh-CN"/>
              </w:rPr>
              <w:t>向</w:t>
            </w:r>
            <w:r>
              <w:rPr>
                <w:rFonts w:hint="eastAsia" w:ascii="宋体" w:hAnsi="宋体"/>
                <w:color w:val="000000"/>
                <w:szCs w:val="21"/>
              </w:rPr>
              <w:t>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1024" w:hRule="atLeast"/>
        </w:trPr>
        <w:tc>
          <w:tcPr>
            <w:tcW w:w="580" w:type="dxa"/>
            <w:noWrap w:val="0"/>
            <w:vAlign w:val="center"/>
          </w:tcPr>
          <w:p>
            <w:pPr>
              <w:spacing w:line="34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22</w:t>
            </w:r>
          </w:p>
        </w:tc>
        <w:tc>
          <w:tcPr>
            <w:tcW w:w="720" w:type="dxa"/>
            <w:noWrap w:val="0"/>
            <w:vAlign w:val="center"/>
          </w:tcPr>
          <w:p>
            <w:pPr>
              <w:spacing w:line="340" w:lineRule="exact"/>
              <w:jc w:val="center"/>
              <w:rPr>
                <w:rFonts w:hint="eastAsia" w:ascii="宋体" w:hAnsi="宋体"/>
                <w:color w:val="000000"/>
                <w:szCs w:val="21"/>
              </w:rPr>
            </w:pPr>
            <w:r>
              <w:rPr>
                <w:rFonts w:hint="eastAsia" w:ascii="宋体" w:hAnsi="宋体"/>
                <w:color w:val="000000"/>
                <w:szCs w:val="21"/>
              </w:rPr>
              <w:t>36</w:t>
            </w:r>
          </w:p>
        </w:tc>
        <w:tc>
          <w:tcPr>
            <w:tcW w:w="2120"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解释权</w:t>
            </w:r>
          </w:p>
        </w:tc>
        <w:tc>
          <w:tcPr>
            <w:tcW w:w="6860" w:type="dxa"/>
            <w:noWrap w:val="0"/>
            <w:vAlign w:val="center"/>
          </w:tcPr>
          <w:p>
            <w:pPr>
              <w:spacing w:line="320" w:lineRule="exact"/>
              <w:rPr>
                <w:rFonts w:hint="eastAsia" w:ascii="宋体" w:hAnsi="宋体"/>
                <w:color w:val="000000"/>
                <w:szCs w:val="21"/>
              </w:rPr>
            </w:pPr>
            <w:r>
              <w:rPr>
                <w:rFonts w:hint="eastAsia" w:ascii="宋体" w:hAnsi="宋体"/>
                <w:color w:val="000000"/>
              </w:rPr>
              <w:t>本招标文件是根据《中华人民共和国政府采购法》、《中华人民共和国政府采购法实施条例》和政府采购管理有关规定编制，</w:t>
            </w:r>
            <w:r>
              <w:rPr>
                <w:rFonts w:hint="eastAsia" w:ascii="宋体" w:hAnsi="宋体"/>
                <w:color w:val="000000"/>
                <w:szCs w:val="21"/>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540" w:hRule="atLeast"/>
        </w:trPr>
        <w:tc>
          <w:tcPr>
            <w:tcW w:w="580" w:type="dxa"/>
            <w:noWrap w:val="0"/>
            <w:vAlign w:val="center"/>
          </w:tcPr>
          <w:p>
            <w:pPr>
              <w:spacing w:line="34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23</w:t>
            </w:r>
          </w:p>
        </w:tc>
        <w:tc>
          <w:tcPr>
            <w:tcW w:w="720" w:type="dxa"/>
            <w:noWrap w:val="0"/>
            <w:vAlign w:val="center"/>
          </w:tcPr>
          <w:p>
            <w:pPr>
              <w:spacing w:line="340" w:lineRule="exact"/>
              <w:jc w:val="center"/>
              <w:rPr>
                <w:rFonts w:hint="eastAsia" w:ascii="宋体" w:hAnsi="宋体"/>
                <w:color w:val="000000"/>
                <w:szCs w:val="21"/>
              </w:rPr>
            </w:pPr>
            <w:r>
              <w:rPr>
                <w:rFonts w:hint="eastAsia" w:ascii="宋体" w:hAnsi="宋体"/>
                <w:color w:val="000000"/>
                <w:szCs w:val="21"/>
              </w:rPr>
              <w:t>37</w:t>
            </w:r>
          </w:p>
        </w:tc>
        <w:tc>
          <w:tcPr>
            <w:tcW w:w="2120" w:type="dxa"/>
            <w:noWrap w:val="0"/>
            <w:vAlign w:val="center"/>
          </w:tcPr>
          <w:p>
            <w:pPr>
              <w:spacing w:line="320" w:lineRule="exact"/>
              <w:jc w:val="center"/>
              <w:rPr>
                <w:rFonts w:ascii="宋体" w:hAnsi="宋体"/>
                <w:color w:val="000000"/>
                <w:position w:val="10"/>
                <w:szCs w:val="21"/>
              </w:rPr>
            </w:pPr>
            <w:r>
              <w:rPr>
                <w:rFonts w:hint="eastAsia" w:ascii="宋体" w:hAnsi="宋体"/>
                <w:color w:val="000000"/>
                <w:szCs w:val="21"/>
              </w:rPr>
              <w:t>监督管理部门</w:t>
            </w:r>
          </w:p>
        </w:tc>
        <w:tc>
          <w:tcPr>
            <w:tcW w:w="6860" w:type="dxa"/>
            <w:noWrap w:val="0"/>
            <w:vAlign w:val="center"/>
          </w:tcPr>
          <w:p>
            <w:pPr>
              <w:spacing w:line="320" w:lineRule="exact"/>
              <w:rPr>
                <w:rFonts w:hint="eastAsia" w:ascii="宋体" w:hAnsi="宋体"/>
                <w:color w:val="000000"/>
                <w:szCs w:val="21"/>
              </w:rPr>
            </w:pPr>
            <w:r>
              <w:rPr>
                <w:rFonts w:hint="eastAsia" w:ascii="宋体" w:hAnsi="宋体" w:eastAsiaTheme="minorEastAsia" w:cstheme="minorBidi"/>
                <w:color w:val="000000"/>
                <w:sz w:val="22"/>
                <w:szCs w:val="21"/>
                <w:lang w:val="en-US" w:eastAsia="zh-CN" w:bidi="ar-SA"/>
              </w:rPr>
              <w:t>灵川县政府采购管理办公室</w:t>
            </w:r>
            <w:r>
              <w:rPr>
                <w:rFonts w:hint="eastAsia" w:ascii="宋体" w:hAnsi="宋体"/>
                <w:color w:val="000000"/>
                <w:szCs w:val="21"/>
              </w:rPr>
              <w:t xml:space="preserve">   电话：</w:t>
            </w:r>
            <w:r>
              <w:rPr>
                <w:rFonts w:ascii="宋体" w:hAnsi="宋体" w:eastAsia="宋体" w:cs="宋体"/>
                <w:sz w:val="24"/>
                <w:szCs w:val="24"/>
              </w:rPr>
              <w:t>0773-6812818。</w:t>
            </w:r>
            <w:r>
              <w:rPr>
                <w:rFonts w:hint="eastAsia" w:ascii="宋体" w:hAnsi="宋体"/>
                <w:color w:val="000000"/>
                <w:szCs w:val="21"/>
              </w:rPr>
              <w:t xml:space="preserve"> </w:t>
            </w:r>
          </w:p>
        </w:tc>
      </w:tr>
    </w:tbl>
    <w:p>
      <w:pPr>
        <w:pStyle w:val="2"/>
        <w:rPr>
          <w:rFonts w:ascii="宋体" w:hAnsi="宋体" w:eastAsia="宋体"/>
          <w:sz w:val="24"/>
          <w:szCs w:val="24"/>
        </w:rPr>
      </w:pPr>
    </w:p>
    <w:p>
      <w:pPr>
        <w:rPr>
          <w:rFonts w:ascii="宋体" w:hAnsi="宋体" w:eastAsia="宋体"/>
          <w:sz w:val="24"/>
          <w:szCs w:val="24"/>
        </w:rPr>
      </w:pPr>
    </w:p>
    <w:p>
      <w:pPr>
        <w:pStyle w:val="2"/>
        <w:rPr>
          <w:rFonts w:ascii="宋体" w:hAnsi="宋体" w:eastAsia="宋体"/>
          <w:sz w:val="24"/>
          <w:szCs w:val="24"/>
        </w:rPr>
      </w:pPr>
    </w:p>
    <w:p>
      <w:pPr>
        <w:rPr>
          <w:rFonts w:ascii="宋体" w:hAnsi="宋体" w:eastAsia="宋体"/>
          <w:sz w:val="24"/>
          <w:szCs w:val="24"/>
        </w:rPr>
      </w:pPr>
    </w:p>
    <w:p>
      <w:pPr>
        <w:pStyle w:val="2"/>
      </w:pPr>
    </w:p>
    <w:p/>
    <w:p>
      <w:pPr>
        <w:pStyle w:val="2"/>
      </w:pPr>
    </w:p>
    <w:p/>
    <w:p>
      <w:pPr>
        <w:pStyle w:val="2"/>
      </w:pPr>
    </w:p>
    <w:p/>
    <w:p>
      <w:pPr>
        <w:pStyle w:val="2"/>
      </w:pPr>
    </w:p>
    <w:p/>
    <w:p>
      <w:pPr>
        <w:pStyle w:val="2"/>
      </w:pPr>
    </w:p>
    <w:p/>
    <w:p>
      <w:pPr>
        <w:pStyle w:val="2"/>
      </w:pPr>
    </w:p>
    <w:p>
      <w:pPr>
        <w:pStyle w:val="2"/>
      </w:pPr>
    </w:p>
    <w:p>
      <w:pPr>
        <w:pStyle w:val="2"/>
      </w:pPr>
    </w:p>
    <w:p>
      <w:pPr>
        <w:spacing w:line="320" w:lineRule="exact"/>
        <w:ind w:right="100"/>
        <w:jc w:val="both"/>
        <w:rPr>
          <w:rFonts w:ascii="宋体" w:hAnsi="宋体" w:eastAsia="宋体" w:cs="宋体"/>
          <w:b/>
          <w:bCs/>
          <w:sz w:val="24"/>
          <w:szCs w:val="24"/>
        </w:rPr>
      </w:pPr>
      <w:bookmarkStart w:id="44" w:name="page8"/>
      <w:bookmarkEnd w:id="44"/>
    </w:p>
    <w:p>
      <w:pPr>
        <w:spacing w:line="320" w:lineRule="exact"/>
        <w:ind w:right="100"/>
        <w:jc w:val="center"/>
        <w:rPr>
          <w:rFonts w:ascii="宋体" w:hAnsi="宋体" w:eastAsia="宋体"/>
          <w:sz w:val="24"/>
          <w:szCs w:val="24"/>
        </w:rPr>
      </w:pPr>
      <w:r>
        <w:rPr>
          <w:rFonts w:ascii="宋体" w:hAnsi="宋体" w:eastAsia="宋体" w:cs="宋体"/>
          <w:b/>
          <w:bCs/>
          <w:sz w:val="24"/>
          <w:szCs w:val="24"/>
        </w:rPr>
        <w:t>一、总则</w:t>
      </w:r>
    </w:p>
    <w:p>
      <w:pPr>
        <w:spacing w:line="110" w:lineRule="exact"/>
        <w:rPr>
          <w:rFonts w:ascii="宋体" w:hAnsi="宋体" w:eastAsia="宋体"/>
          <w:sz w:val="24"/>
          <w:szCs w:val="24"/>
        </w:rPr>
      </w:pPr>
    </w:p>
    <w:p>
      <w:pPr>
        <w:numPr>
          <w:ilvl w:val="0"/>
          <w:numId w:val="2"/>
        </w:numPr>
        <w:tabs>
          <w:tab w:val="left" w:pos="740"/>
        </w:tabs>
        <w:spacing w:line="240" w:lineRule="exact"/>
        <w:ind w:left="740" w:hanging="320"/>
        <w:rPr>
          <w:rFonts w:ascii="宋体" w:hAnsi="宋体" w:eastAsia="宋体" w:cs="宋体"/>
          <w:b/>
          <w:bCs/>
          <w:sz w:val="24"/>
          <w:szCs w:val="24"/>
        </w:rPr>
      </w:pPr>
      <w:r>
        <w:rPr>
          <w:rFonts w:ascii="宋体" w:hAnsi="宋体" w:eastAsia="宋体" w:cs="宋体"/>
          <w:b/>
          <w:bCs/>
          <w:sz w:val="24"/>
          <w:szCs w:val="24"/>
        </w:rPr>
        <w:t>适应范围</w:t>
      </w:r>
    </w:p>
    <w:p>
      <w:pPr>
        <w:spacing w:line="120" w:lineRule="exact"/>
        <w:rPr>
          <w:rFonts w:ascii="宋体" w:hAnsi="宋体" w:eastAsia="宋体"/>
          <w:sz w:val="24"/>
          <w:szCs w:val="24"/>
        </w:rPr>
      </w:pPr>
    </w:p>
    <w:p>
      <w:pPr>
        <w:tabs>
          <w:tab w:val="left" w:pos="940"/>
        </w:tabs>
        <w:spacing w:line="240" w:lineRule="exact"/>
        <w:ind w:left="440"/>
        <w:rPr>
          <w:rFonts w:ascii="宋体" w:hAnsi="宋体" w:eastAsia="宋体"/>
          <w:sz w:val="24"/>
          <w:szCs w:val="24"/>
        </w:rPr>
      </w:pPr>
      <w:r>
        <w:rPr>
          <w:rFonts w:ascii="宋体" w:hAnsi="宋体" w:eastAsia="宋体" w:cs="宋体"/>
          <w:sz w:val="24"/>
          <w:szCs w:val="24"/>
        </w:rPr>
        <w:t>1.1</w:t>
      </w:r>
      <w:r>
        <w:rPr>
          <w:rFonts w:ascii="宋体" w:hAnsi="宋体" w:eastAsia="宋体"/>
          <w:sz w:val="24"/>
          <w:szCs w:val="24"/>
        </w:rPr>
        <w:tab/>
      </w:r>
      <w:r>
        <w:rPr>
          <w:rFonts w:ascii="宋体" w:hAnsi="宋体" w:eastAsia="宋体" w:cs="宋体"/>
          <w:sz w:val="24"/>
          <w:szCs w:val="24"/>
        </w:rPr>
        <w:t>项目名称及项目编号</w:t>
      </w:r>
    </w:p>
    <w:p>
      <w:pPr>
        <w:spacing w:line="120" w:lineRule="exact"/>
        <w:rPr>
          <w:rFonts w:ascii="宋体" w:hAnsi="宋体" w:eastAsia="宋体"/>
          <w:sz w:val="24"/>
          <w:szCs w:val="24"/>
        </w:rPr>
      </w:pPr>
    </w:p>
    <w:p>
      <w:pPr>
        <w:spacing w:line="240" w:lineRule="exact"/>
        <w:ind w:left="960"/>
        <w:rPr>
          <w:rFonts w:ascii="宋体" w:hAnsi="宋体" w:eastAsia="宋体"/>
          <w:sz w:val="24"/>
          <w:szCs w:val="24"/>
        </w:rPr>
      </w:pPr>
      <w:r>
        <w:rPr>
          <w:rFonts w:ascii="宋体" w:hAnsi="宋体" w:eastAsia="宋体" w:cs="宋体"/>
          <w:sz w:val="24"/>
          <w:szCs w:val="24"/>
        </w:rPr>
        <w:t>项目名称：</w:t>
      </w:r>
      <w:r>
        <w:rPr>
          <w:rFonts w:hint="eastAsia" w:ascii="宋体" w:hAnsi="宋体" w:eastAsia="宋体" w:cs="宋体"/>
          <w:sz w:val="24"/>
          <w:szCs w:val="24"/>
        </w:rPr>
        <w:t>灵川县三街镇人民政府雪亮工程</w:t>
      </w:r>
    </w:p>
    <w:p>
      <w:pPr>
        <w:spacing w:line="120" w:lineRule="exact"/>
        <w:rPr>
          <w:rFonts w:ascii="宋体" w:hAnsi="宋体" w:eastAsia="宋体"/>
          <w:sz w:val="24"/>
          <w:szCs w:val="24"/>
        </w:rPr>
      </w:pPr>
    </w:p>
    <w:p>
      <w:pPr>
        <w:spacing w:line="240" w:lineRule="exact"/>
        <w:ind w:left="960"/>
        <w:rPr>
          <w:rFonts w:ascii="宋体" w:hAnsi="宋体" w:eastAsia="宋体"/>
          <w:sz w:val="24"/>
          <w:szCs w:val="24"/>
        </w:rPr>
      </w:pPr>
      <w:r>
        <w:rPr>
          <w:rFonts w:ascii="宋体" w:hAnsi="宋体" w:eastAsia="宋体" w:cs="宋体"/>
          <w:sz w:val="24"/>
          <w:szCs w:val="24"/>
        </w:rPr>
        <w:t>项目编号：</w:t>
      </w:r>
      <w:r>
        <w:rPr>
          <w:rFonts w:hint="eastAsia" w:ascii="宋体" w:hAnsi="宋体" w:eastAsia="宋体"/>
          <w:sz w:val="24"/>
          <w:szCs w:val="24"/>
          <w:lang w:eastAsia="zh-CN"/>
        </w:rPr>
        <w:t>GLZC2020-C3-230039-GXBG</w:t>
      </w:r>
      <w:r>
        <w:rPr>
          <w:rFonts w:hint="eastAsia" w:ascii="宋体" w:hAnsi="宋体" w:eastAsia="宋体" w:cs="宋体"/>
          <w:sz w:val="24"/>
          <w:szCs w:val="24"/>
        </w:rPr>
        <w:t xml:space="preserve"> </w:t>
      </w:r>
    </w:p>
    <w:p>
      <w:pPr>
        <w:spacing w:line="152" w:lineRule="exact"/>
        <w:rPr>
          <w:rFonts w:ascii="宋体" w:hAnsi="宋体" w:eastAsia="宋体"/>
          <w:sz w:val="24"/>
          <w:szCs w:val="24"/>
        </w:rPr>
      </w:pPr>
    </w:p>
    <w:p>
      <w:pPr>
        <w:spacing w:line="284" w:lineRule="exact"/>
        <w:ind w:right="100" w:firstLine="412"/>
        <w:rPr>
          <w:rFonts w:ascii="宋体" w:hAnsi="宋体" w:eastAsia="宋体"/>
          <w:sz w:val="24"/>
          <w:szCs w:val="24"/>
        </w:rPr>
      </w:pPr>
      <w:r>
        <w:rPr>
          <w:rFonts w:ascii="宋体" w:hAnsi="宋体" w:eastAsia="宋体" w:cs="宋体"/>
          <w:sz w:val="24"/>
          <w:szCs w:val="24"/>
        </w:rPr>
        <w:t>1.2 本竞争性磋商文件（以下简称磋商文件）适用于本磋商项目的磋商、评审、合同履约、验收、付款等行为（法律、法规另有规定的，从其规定）。</w:t>
      </w:r>
    </w:p>
    <w:p>
      <w:pPr>
        <w:spacing w:line="121" w:lineRule="exact"/>
        <w:rPr>
          <w:rFonts w:ascii="宋体" w:hAnsi="宋体" w:eastAsia="宋体"/>
          <w:sz w:val="24"/>
          <w:szCs w:val="24"/>
        </w:rPr>
      </w:pPr>
    </w:p>
    <w:p>
      <w:pPr>
        <w:numPr>
          <w:ilvl w:val="0"/>
          <w:numId w:val="3"/>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定义</w:t>
      </w:r>
    </w:p>
    <w:p>
      <w:pPr>
        <w:spacing w:line="152" w:lineRule="exact"/>
        <w:rPr>
          <w:rFonts w:ascii="宋体" w:hAnsi="宋体" w:eastAsia="宋体"/>
          <w:sz w:val="24"/>
          <w:szCs w:val="24"/>
        </w:rPr>
      </w:pPr>
    </w:p>
    <w:p>
      <w:pPr>
        <w:spacing w:line="284" w:lineRule="exact"/>
        <w:ind w:right="100" w:firstLine="436"/>
        <w:rPr>
          <w:rFonts w:ascii="宋体" w:hAnsi="宋体" w:eastAsia="宋体"/>
          <w:sz w:val="24"/>
          <w:szCs w:val="24"/>
        </w:rPr>
      </w:pPr>
      <w:r>
        <w:rPr>
          <w:rFonts w:ascii="宋体" w:hAnsi="宋体" w:eastAsia="宋体" w:cs="宋体"/>
          <w:sz w:val="24"/>
          <w:szCs w:val="24"/>
        </w:rPr>
        <w:t>2.1“供应商”是指符合本次采购项目的供应商资格并提交响应文件、参加磋商的供应商。如果该供应商在本次磋商中成交，即成为“成交供应商”。</w:t>
      </w:r>
    </w:p>
    <w:p>
      <w:pPr>
        <w:spacing w:line="153" w:lineRule="exact"/>
        <w:rPr>
          <w:rFonts w:ascii="宋体" w:hAnsi="宋体" w:eastAsia="宋体"/>
          <w:sz w:val="24"/>
          <w:szCs w:val="24"/>
        </w:rPr>
      </w:pPr>
    </w:p>
    <w:p>
      <w:pPr>
        <w:spacing w:line="284" w:lineRule="exact"/>
        <w:ind w:right="100" w:firstLine="436"/>
        <w:rPr>
          <w:rFonts w:ascii="宋体" w:hAnsi="宋体" w:eastAsia="宋体"/>
          <w:sz w:val="24"/>
          <w:szCs w:val="24"/>
        </w:rPr>
      </w:pPr>
      <w:r>
        <w:rPr>
          <w:rFonts w:ascii="宋体" w:hAnsi="宋体" w:eastAsia="宋体" w:cs="宋体"/>
          <w:sz w:val="24"/>
          <w:szCs w:val="24"/>
        </w:rPr>
        <w:t>2.2“货物”系指按磋商文件规定，供应商须向采购人提供的一切设备、保险、税金、备品备件、工具、手册及其它有关技术资料和材料。</w:t>
      </w:r>
    </w:p>
    <w:p>
      <w:pPr>
        <w:spacing w:line="153" w:lineRule="exact"/>
        <w:rPr>
          <w:rFonts w:ascii="宋体" w:hAnsi="宋体" w:eastAsia="宋体"/>
          <w:sz w:val="24"/>
          <w:szCs w:val="24"/>
        </w:rPr>
      </w:pPr>
    </w:p>
    <w:p>
      <w:pPr>
        <w:spacing w:line="284" w:lineRule="exact"/>
        <w:ind w:right="100" w:firstLine="436"/>
        <w:rPr>
          <w:rFonts w:ascii="宋体" w:hAnsi="宋体" w:eastAsia="宋体"/>
          <w:sz w:val="24"/>
          <w:szCs w:val="24"/>
        </w:rPr>
      </w:pPr>
      <w:r>
        <w:rPr>
          <w:rFonts w:ascii="宋体" w:hAnsi="宋体" w:eastAsia="宋体" w:cs="宋体"/>
          <w:sz w:val="24"/>
          <w:szCs w:val="24"/>
        </w:rPr>
        <w:t>2.3“服务”系指按磋商文件规定，供应商须承担的安装、调试、技术协助、校准、培训、技术指导以及其他类似的义务。</w:t>
      </w:r>
    </w:p>
    <w:p>
      <w:pPr>
        <w:spacing w:line="121"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2.4“项目”系指供应商按磋商文件规定向采购人提供的货物和服务。</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2.5“书面形式”包括信函、传真、电报等。</w:t>
      </w:r>
    </w:p>
    <w:p>
      <w:pPr>
        <w:spacing w:line="121" w:lineRule="exact"/>
        <w:rPr>
          <w:rFonts w:ascii="宋体" w:hAnsi="宋体" w:eastAsia="宋体"/>
          <w:sz w:val="24"/>
          <w:szCs w:val="24"/>
        </w:rPr>
      </w:pPr>
    </w:p>
    <w:p>
      <w:pPr>
        <w:numPr>
          <w:ilvl w:val="0"/>
          <w:numId w:val="4"/>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供应商资格</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见磋商供应商须知前附表第 2 条内容。</w:t>
      </w:r>
    </w:p>
    <w:p>
      <w:pPr>
        <w:spacing w:line="120" w:lineRule="exact"/>
        <w:rPr>
          <w:rFonts w:ascii="宋体" w:hAnsi="宋体" w:eastAsia="宋体"/>
          <w:sz w:val="24"/>
          <w:szCs w:val="24"/>
        </w:rPr>
      </w:pPr>
    </w:p>
    <w:p>
      <w:pPr>
        <w:numPr>
          <w:ilvl w:val="0"/>
          <w:numId w:val="5"/>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磋商费用</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不论磋商结果如何，供应商均应自行承担所有与磋商有关的全部费用。</w:t>
      </w:r>
    </w:p>
    <w:p>
      <w:pPr>
        <w:spacing w:line="120" w:lineRule="exact"/>
        <w:rPr>
          <w:rFonts w:ascii="宋体" w:hAnsi="宋体" w:eastAsia="宋体"/>
          <w:sz w:val="24"/>
          <w:szCs w:val="24"/>
        </w:rPr>
      </w:pPr>
    </w:p>
    <w:p>
      <w:pPr>
        <w:numPr>
          <w:ilvl w:val="0"/>
          <w:numId w:val="6"/>
        </w:numPr>
        <w:tabs>
          <w:tab w:val="left" w:pos="680"/>
        </w:tabs>
        <w:spacing w:line="240" w:lineRule="exact"/>
        <w:ind w:left="680" w:hanging="260"/>
        <w:rPr>
          <w:rFonts w:ascii="宋体" w:hAnsi="宋体" w:eastAsia="宋体" w:cs="宋体"/>
          <w:b/>
          <w:bCs/>
          <w:sz w:val="24"/>
          <w:szCs w:val="24"/>
        </w:rPr>
      </w:pPr>
      <w:r>
        <w:rPr>
          <w:rFonts w:ascii="宋体" w:hAnsi="宋体" w:eastAsia="宋体" w:cs="宋体"/>
          <w:b/>
          <w:bCs/>
          <w:sz w:val="24"/>
          <w:szCs w:val="24"/>
        </w:rPr>
        <w:t>联合体要求</w:t>
      </w:r>
    </w:p>
    <w:p>
      <w:pPr>
        <w:spacing w:line="120" w:lineRule="exact"/>
        <w:rPr>
          <w:rFonts w:ascii="宋体" w:hAnsi="宋体" w:eastAsia="宋体"/>
          <w:sz w:val="24"/>
          <w:szCs w:val="24"/>
        </w:rPr>
      </w:pPr>
    </w:p>
    <w:p>
      <w:pPr>
        <w:spacing w:line="240" w:lineRule="exact"/>
        <w:ind w:left="540"/>
        <w:rPr>
          <w:rFonts w:ascii="宋体" w:hAnsi="宋体" w:eastAsia="宋体"/>
          <w:sz w:val="24"/>
          <w:szCs w:val="24"/>
        </w:rPr>
      </w:pPr>
      <w:r>
        <w:rPr>
          <w:rFonts w:ascii="宋体" w:hAnsi="宋体" w:eastAsia="宋体" w:cs="宋体"/>
          <w:sz w:val="24"/>
          <w:szCs w:val="24"/>
        </w:rPr>
        <w:t>本项目不接受联合体磋商。</w:t>
      </w:r>
    </w:p>
    <w:p>
      <w:pPr>
        <w:spacing w:line="120" w:lineRule="exact"/>
        <w:rPr>
          <w:rFonts w:ascii="宋体" w:hAnsi="宋体" w:eastAsia="宋体"/>
          <w:sz w:val="24"/>
          <w:szCs w:val="24"/>
        </w:rPr>
      </w:pPr>
    </w:p>
    <w:p>
      <w:pPr>
        <w:numPr>
          <w:ilvl w:val="0"/>
          <w:numId w:val="7"/>
        </w:numPr>
        <w:tabs>
          <w:tab w:val="left" w:pos="740"/>
        </w:tabs>
        <w:spacing w:line="240" w:lineRule="exact"/>
        <w:ind w:left="740" w:hanging="320"/>
        <w:rPr>
          <w:rFonts w:ascii="宋体" w:hAnsi="宋体" w:eastAsia="宋体" w:cs="宋体"/>
          <w:b/>
          <w:bCs/>
          <w:sz w:val="24"/>
          <w:szCs w:val="24"/>
        </w:rPr>
      </w:pPr>
      <w:r>
        <w:rPr>
          <w:rFonts w:ascii="宋体" w:hAnsi="宋体" w:eastAsia="宋体" w:cs="宋体"/>
          <w:b/>
          <w:bCs/>
          <w:sz w:val="24"/>
          <w:szCs w:val="24"/>
        </w:rPr>
        <w:t>质疑和投诉</w:t>
      </w:r>
    </w:p>
    <w:p>
      <w:pPr>
        <w:spacing w:line="120" w:lineRule="exact"/>
        <w:rPr>
          <w:rFonts w:ascii="宋体" w:hAnsi="宋体" w:eastAsia="宋体"/>
          <w:sz w:val="24"/>
          <w:szCs w:val="24"/>
        </w:rPr>
      </w:pPr>
    </w:p>
    <w:p>
      <w:pPr>
        <w:spacing w:line="143" w:lineRule="exact"/>
        <w:rPr>
          <w:rFonts w:ascii="宋体" w:hAnsi="宋体" w:eastAsia="宋体"/>
          <w:sz w:val="24"/>
          <w:szCs w:val="24"/>
        </w:rPr>
      </w:pPr>
    </w:p>
    <w:p>
      <w:pPr>
        <w:spacing w:line="307" w:lineRule="exact"/>
        <w:ind w:firstLine="434"/>
        <w:jc w:val="both"/>
        <w:rPr>
          <w:rFonts w:ascii="宋体" w:hAnsi="宋体" w:eastAsia="宋体"/>
          <w:sz w:val="24"/>
          <w:szCs w:val="24"/>
        </w:rPr>
      </w:pPr>
      <w:r>
        <w:rPr>
          <w:rFonts w:ascii="宋体" w:hAnsi="宋体" w:eastAsia="宋体" w:cs="宋体"/>
          <w:sz w:val="24"/>
          <w:szCs w:val="24"/>
        </w:rPr>
        <w:t>6.1 供应商认为磋商文件使自己的合法权益受到损害的，应当在公告期限届满之日起 7 个工作日内，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spacing w:line="133" w:lineRule="exact"/>
        <w:rPr>
          <w:rFonts w:ascii="宋体" w:hAnsi="宋体" w:eastAsia="宋体"/>
          <w:sz w:val="24"/>
          <w:szCs w:val="24"/>
        </w:rPr>
      </w:pPr>
    </w:p>
    <w:p>
      <w:pPr>
        <w:spacing w:line="275" w:lineRule="exact"/>
        <w:ind w:firstLine="434"/>
        <w:jc w:val="both"/>
        <w:rPr>
          <w:rFonts w:ascii="宋体" w:hAnsi="宋体" w:eastAsia="宋体"/>
          <w:sz w:val="24"/>
          <w:szCs w:val="24"/>
        </w:rPr>
      </w:pPr>
      <w:r>
        <w:rPr>
          <w:rFonts w:ascii="宋体" w:hAnsi="宋体" w:eastAsia="宋体" w:cs="宋体"/>
          <w:sz w:val="24"/>
          <w:szCs w:val="24"/>
        </w:rPr>
        <w:t>6.2 供应商对采购代理机构的质疑答复不满意或者采购代理机构未在规定的时间内作出答复的，可以在答复期满后十五个工作日内向灵川县政府采购管理办公室投诉。</w:t>
      </w:r>
    </w:p>
    <w:p>
      <w:pPr>
        <w:spacing w:line="253" w:lineRule="exact"/>
        <w:rPr>
          <w:rFonts w:ascii="宋体" w:hAnsi="宋体" w:eastAsia="宋体"/>
          <w:sz w:val="24"/>
          <w:szCs w:val="24"/>
        </w:rPr>
      </w:pPr>
    </w:p>
    <w:p>
      <w:pPr>
        <w:spacing w:line="296" w:lineRule="exact"/>
        <w:ind w:firstLine="199"/>
        <w:rPr>
          <w:rFonts w:ascii="宋体" w:hAnsi="宋体" w:eastAsia="宋体"/>
          <w:sz w:val="24"/>
          <w:szCs w:val="24"/>
        </w:rPr>
      </w:pPr>
      <w:r>
        <w:rPr>
          <w:rFonts w:ascii="宋体" w:hAnsi="宋体" w:eastAsia="宋体" w:cs="宋体"/>
          <w:sz w:val="24"/>
          <w:szCs w:val="24"/>
        </w:rPr>
        <w:t>6.3 质疑、投诉应当采用书面形式(</w:t>
      </w:r>
      <w:r>
        <w:rPr>
          <w:rFonts w:ascii="宋体" w:hAnsi="宋体" w:eastAsia="宋体" w:cs="宋体"/>
          <w:b/>
          <w:bCs/>
          <w:sz w:val="24"/>
          <w:szCs w:val="24"/>
        </w:rPr>
        <w:t>质疑与投诉模板在中国政府采购网上下载</w:t>
      </w:r>
      <w:r>
        <w:rPr>
          <w:rFonts w:ascii="宋体" w:hAnsi="宋体" w:eastAsia="宋体" w:cs="宋体"/>
          <w:sz w:val="24"/>
          <w:szCs w:val="24"/>
        </w:rPr>
        <w:t>),质疑书、投诉书实行实名制，均应明确阐述磋商文件、磋商过程或成交结果中使自己合法权益受到损害的实质性内容，并提供必要的证明材料。</w:t>
      </w:r>
    </w:p>
    <w:p>
      <w:pPr>
        <w:spacing w:line="122" w:lineRule="exact"/>
        <w:rPr>
          <w:rFonts w:ascii="宋体" w:hAnsi="宋体" w:eastAsia="宋体"/>
          <w:sz w:val="24"/>
          <w:szCs w:val="24"/>
        </w:rPr>
      </w:pPr>
    </w:p>
    <w:p>
      <w:pPr>
        <w:numPr>
          <w:ilvl w:val="0"/>
          <w:numId w:val="8"/>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转包与分包</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7.1 本项目不允许转包。</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7.2 本项目不可以分包。</w:t>
      </w:r>
    </w:p>
    <w:p>
      <w:pPr>
        <w:spacing w:line="121" w:lineRule="exact"/>
        <w:rPr>
          <w:rFonts w:ascii="宋体" w:hAnsi="宋体" w:eastAsia="宋体"/>
          <w:sz w:val="24"/>
          <w:szCs w:val="24"/>
        </w:rPr>
      </w:pPr>
    </w:p>
    <w:p>
      <w:pPr>
        <w:numPr>
          <w:ilvl w:val="0"/>
          <w:numId w:val="9"/>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特别说明</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8.1 关联供应商不得参加同一合同项下政府采购活动，否则响应文件将被视为无效：</w:t>
      </w:r>
    </w:p>
    <w:p>
      <w:pPr>
        <w:spacing w:line="284" w:lineRule="exact"/>
        <w:ind w:firstLine="480" w:firstLineChars="200"/>
        <w:jc w:val="both"/>
        <w:rPr>
          <w:rFonts w:ascii="宋体" w:hAnsi="宋体" w:eastAsia="宋体"/>
          <w:sz w:val="24"/>
          <w:szCs w:val="24"/>
        </w:rPr>
      </w:pPr>
      <w:bookmarkStart w:id="45" w:name="page9"/>
      <w:bookmarkEnd w:id="45"/>
      <w:r>
        <w:rPr>
          <w:rFonts w:ascii="宋体" w:hAnsi="宋体" w:eastAsia="宋体" w:cs="宋体"/>
          <w:sz w:val="24"/>
          <w:szCs w:val="24"/>
        </w:rPr>
        <w:t>8.1.1 单位负责人为同一人或者存在直接控股、管理关系的不同供应商，不得参加同一合同项下的政府采购活动。</w:t>
      </w:r>
    </w:p>
    <w:p>
      <w:pPr>
        <w:spacing w:line="153" w:lineRule="exact"/>
        <w:rPr>
          <w:rFonts w:ascii="宋体" w:hAnsi="宋体" w:eastAsia="宋体"/>
          <w:sz w:val="24"/>
          <w:szCs w:val="24"/>
        </w:rPr>
      </w:pPr>
    </w:p>
    <w:p>
      <w:pPr>
        <w:spacing w:line="284" w:lineRule="exact"/>
        <w:ind w:firstLine="436"/>
        <w:jc w:val="both"/>
        <w:rPr>
          <w:rFonts w:ascii="宋体" w:hAnsi="宋体" w:eastAsia="宋体"/>
          <w:sz w:val="24"/>
          <w:szCs w:val="24"/>
        </w:rPr>
      </w:pPr>
      <w:r>
        <w:rPr>
          <w:rFonts w:ascii="宋体" w:hAnsi="宋体" w:eastAsia="宋体" w:cs="宋体"/>
          <w:sz w:val="24"/>
          <w:szCs w:val="24"/>
        </w:rPr>
        <w:t>8.1.2 除单一来源采购项目外，为本采购项目提供整体设计、规范编制或者项目管理、监理、检测等服务的供应商，不得再参加本次采购活动。</w:t>
      </w:r>
    </w:p>
    <w:p>
      <w:pPr>
        <w:spacing w:line="153" w:lineRule="exact"/>
        <w:rPr>
          <w:rFonts w:ascii="宋体" w:hAnsi="宋体" w:eastAsia="宋体"/>
          <w:sz w:val="24"/>
          <w:szCs w:val="24"/>
        </w:rPr>
      </w:pPr>
    </w:p>
    <w:p>
      <w:pPr>
        <w:spacing w:line="284" w:lineRule="exact"/>
        <w:ind w:firstLine="436"/>
        <w:jc w:val="both"/>
        <w:rPr>
          <w:rFonts w:ascii="宋体" w:hAnsi="宋体" w:eastAsia="宋体"/>
          <w:sz w:val="24"/>
          <w:szCs w:val="24"/>
        </w:rPr>
      </w:pPr>
      <w:r>
        <w:rPr>
          <w:rFonts w:ascii="宋体" w:hAnsi="宋体" w:eastAsia="宋体" w:cs="宋体"/>
          <w:sz w:val="24"/>
          <w:szCs w:val="24"/>
        </w:rPr>
        <w:t>8.2 供应商磋商所使用的资格、信誉、荣誉、业绩与企业认证必须为本法人所拥有，供应商磋商所使用的采购项目实施人员必须为磋商供应商员工。</w:t>
      </w:r>
    </w:p>
    <w:p>
      <w:pPr>
        <w:spacing w:line="153" w:lineRule="exact"/>
        <w:rPr>
          <w:rFonts w:ascii="宋体" w:hAnsi="宋体" w:eastAsia="宋体"/>
          <w:sz w:val="24"/>
          <w:szCs w:val="24"/>
        </w:rPr>
      </w:pPr>
    </w:p>
    <w:p>
      <w:pPr>
        <w:spacing w:line="284" w:lineRule="exact"/>
        <w:ind w:firstLine="436"/>
        <w:jc w:val="both"/>
        <w:rPr>
          <w:rFonts w:ascii="宋体" w:hAnsi="宋体" w:eastAsia="宋体"/>
          <w:sz w:val="24"/>
          <w:szCs w:val="24"/>
        </w:rPr>
      </w:pPr>
      <w:r>
        <w:rPr>
          <w:rFonts w:ascii="宋体" w:hAnsi="宋体" w:eastAsia="宋体" w:cs="宋体"/>
          <w:sz w:val="24"/>
          <w:szCs w:val="24"/>
        </w:rPr>
        <w:t>8.3 供应商应仔细阅读磋商文件的所有内容，按照磋商文件的要求提交响应文件，并对所提供的全部资料的真实性承担法律责任。</w:t>
      </w:r>
    </w:p>
    <w:p>
      <w:pPr>
        <w:spacing w:line="153" w:lineRule="exact"/>
        <w:rPr>
          <w:rFonts w:ascii="宋体" w:hAnsi="宋体" w:eastAsia="宋体"/>
          <w:sz w:val="24"/>
          <w:szCs w:val="24"/>
        </w:rPr>
      </w:pPr>
    </w:p>
    <w:p>
      <w:pPr>
        <w:spacing w:line="309" w:lineRule="exact"/>
        <w:ind w:firstLine="436"/>
        <w:jc w:val="both"/>
        <w:rPr>
          <w:rFonts w:ascii="宋体" w:hAnsi="宋体" w:eastAsia="宋体"/>
          <w:sz w:val="24"/>
          <w:szCs w:val="24"/>
        </w:rPr>
      </w:pPr>
      <w:r>
        <w:rPr>
          <w:rFonts w:ascii="宋体" w:hAnsi="宋体" w:eastAsia="宋体" w:cs="宋体"/>
          <w:sz w:val="24"/>
          <w:szCs w:val="24"/>
        </w:rPr>
        <w:t>8.4 供应商在磋商活动中提供任何虚假材料，其磋商无效，并报监管部门查处；成交后发现的，成交人须依照《中华人民共和国消费者权益保护法》赔偿采购人，且民事赔偿并不免除违法供应商的行政与刑事责任。</w:t>
      </w:r>
    </w:p>
    <w:p>
      <w:pPr>
        <w:spacing w:line="200" w:lineRule="exact"/>
        <w:rPr>
          <w:rFonts w:ascii="宋体" w:hAnsi="宋体" w:eastAsia="宋体"/>
          <w:sz w:val="24"/>
          <w:szCs w:val="24"/>
        </w:rPr>
      </w:pPr>
    </w:p>
    <w:p>
      <w:pPr>
        <w:spacing w:line="213" w:lineRule="exact"/>
        <w:rPr>
          <w:rFonts w:ascii="宋体" w:hAnsi="宋体" w:eastAsia="宋体"/>
          <w:sz w:val="24"/>
          <w:szCs w:val="24"/>
        </w:rPr>
      </w:pPr>
    </w:p>
    <w:p>
      <w:pPr>
        <w:spacing w:line="320" w:lineRule="exact"/>
        <w:ind w:left="4080"/>
        <w:rPr>
          <w:rFonts w:ascii="宋体" w:hAnsi="宋体" w:eastAsia="宋体"/>
          <w:sz w:val="24"/>
          <w:szCs w:val="24"/>
        </w:rPr>
      </w:pPr>
      <w:r>
        <w:rPr>
          <w:rFonts w:ascii="宋体" w:hAnsi="宋体" w:eastAsia="宋体" w:cs="宋体"/>
          <w:b/>
          <w:bCs/>
          <w:sz w:val="24"/>
          <w:szCs w:val="24"/>
        </w:rPr>
        <w:t>二、磋商文件</w:t>
      </w:r>
    </w:p>
    <w:p>
      <w:pPr>
        <w:spacing w:line="110" w:lineRule="exact"/>
        <w:rPr>
          <w:rFonts w:ascii="宋体" w:hAnsi="宋体" w:eastAsia="宋体"/>
          <w:sz w:val="24"/>
          <w:szCs w:val="24"/>
        </w:rPr>
      </w:pPr>
    </w:p>
    <w:p>
      <w:pPr>
        <w:numPr>
          <w:ilvl w:val="0"/>
          <w:numId w:val="10"/>
        </w:numPr>
        <w:tabs>
          <w:tab w:val="left" w:pos="760"/>
        </w:tabs>
        <w:spacing w:line="240" w:lineRule="exact"/>
        <w:ind w:left="760" w:hanging="316"/>
        <w:rPr>
          <w:rFonts w:ascii="宋体" w:hAnsi="宋体" w:eastAsia="宋体" w:cs="宋体"/>
          <w:b/>
          <w:bCs/>
          <w:sz w:val="24"/>
          <w:szCs w:val="24"/>
        </w:rPr>
      </w:pPr>
      <w:r>
        <w:rPr>
          <w:rFonts w:ascii="宋体" w:hAnsi="宋体" w:eastAsia="宋体" w:cs="宋体"/>
          <w:b/>
          <w:bCs/>
          <w:sz w:val="24"/>
          <w:szCs w:val="24"/>
        </w:rPr>
        <w:t>磋商文件的构成</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（1）竞争性磋商公告；</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（2）供应商须知；</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（3）采购需求；</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（4）评审办法；</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（5）采购合同（合同主要条款及格式）；</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（6）响应文件格式。</w:t>
      </w:r>
    </w:p>
    <w:p>
      <w:pPr>
        <w:spacing w:line="121" w:lineRule="exact"/>
        <w:rPr>
          <w:rFonts w:ascii="宋体" w:hAnsi="宋体" w:eastAsia="宋体"/>
          <w:sz w:val="24"/>
          <w:szCs w:val="24"/>
        </w:rPr>
      </w:pPr>
    </w:p>
    <w:p>
      <w:pPr>
        <w:numPr>
          <w:ilvl w:val="0"/>
          <w:numId w:val="11"/>
        </w:numPr>
        <w:tabs>
          <w:tab w:val="left" w:pos="860"/>
        </w:tabs>
        <w:spacing w:line="240" w:lineRule="exact"/>
        <w:ind w:left="860" w:hanging="416"/>
        <w:rPr>
          <w:rFonts w:ascii="宋体" w:hAnsi="宋体" w:eastAsia="宋体" w:cs="宋体"/>
          <w:b/>
          <w:bCs/>
          <w:sz w:val="24"/>
          <w:szCs w:val="24"/>
        </w:rPr>
      </w:pPr>
      <w:r>
        <w:rPr>
          <w:rFonts w:ascii="宋体" w:hAnsi="宋体" w:eastAsia="宋体" w:cs="宋体"/>
          <w:b/>
          <w:bCs/>
          <w:sz w:val="24"/>
          <w:szCs w:val="24"/>
        </w:rPr>
        <w:t>磋商文件的澄清与修改</w:t>
      </w:r>
    </w:p>
    <w:p>
      <w:pPr>
        <w:spacing w:line="152" w:lineRule="exact"/>
        <w:rPr>
          <w:rFonts w:ascii="宋体" w:hAnsi="宋体" w:eastAsia="宋体"/>
          <w:sz w:val="24"/>
          <w:szCs w:val="24"/>
        </w:rPr>
      </w:pPr>
    </w:p>
    <w:p>
      <w:pPr>
        <w:spacing w:line="284" w:lineRule="exact"/>
        <w:ind w:firstLine="437"/>
        <w:jc w:val="both"/>
        <w:rPr>
          <w:rFonts w:ascii="宋体" w:hAnsi="宋体" w:eastAsia="宋体"/>
          <w:sz w:val="24"/>
          <w:szCs w:val="24"/>
        </w:rPr>
      </w:pPr>
      <w:r>
        <w:rPr>
          <w:rFonts w:ascii="宋体" w:hAnsi="宋体" w:eastAsia="宋体" w:cs="宋体"/>
          <w:sz w:val="24"/>
          <w:szCs w:val="24"/>
        </w:rPr>
        <w:t>10.1 供应商应认真阅读磋商文件，发现其中有误或有不合理要求的，应在磋商截止日期 5 日前以书面形式要求采购代理机构澄清。</w:t>
      </w:r>
    </w:p>
    <w:p>
      <w:pPr>
        <w:spacing w:line="153" w:lineRule="exact"/>
        <w:rPr>
          <w:rFonts w:ascii="宋体" w:hAnsi="宋体" w:eastAsia="宋体"/>
          <w:sz w:val="24"/>
          <w:szCs w:val="24"/>
        </w:rPr>
      </w:pPr>
    </w:p>
    <w:p>
      <w:pPr>
        <w:spacing w:line="322" w:lineRule="exact"/>
        <w:ind w:firstLine="437"/>
        <w:jc w:val="both"/>
        <w:rPr>
          <w:rFonts w:ascii="宋体" w:hAnsi="宋体" w:eastAsia="宋体"/>
          <w:sz w:val="24"/>
          <w:szCs w:val="24"/>
        </w:rPr>
      </w:pPr>
      <w:r>
        <w:rPr>
          <w:rFonts w:ascii="宋体" w:hAnsi="宋体" w:eastAsia="宋体" w:cs="宋体"/>
          <w:sz w:val="24"/>
          <w:szCs w:val="24"/>
        </w:rPr>
        <w:t>10.2 提交首次响应文件截止之日前，采购代理机构可以对已发出的磋商文件进行必要澄清或者修改，澄清或者修改的内容可能影响响应文件编制的，采购代理机构应当在提交首次响应文件递交截止时间 5 日前在本项目竞争性磋商公告发布的同一媒体上发布更正公告，不足 5 日的，应当顺延首次响应文件递交截止时间。</w:t>
      </w:r>
    </w:p>
    <w:p>
      <w:pPr>
        <w:spacing w:line="154" w:lineRule="exact"/>
        <w:rPr>
          <w:rFonts w:ascii="宋体" w:hAnsi="宋体" w:eastAsia="宋体"/>
          <w:sz w:val="24"/>
          <w:szCs w:val="24"/>
        </w:rPr>
      </w:pPr>
    </w:p>
    <w:p>
      <w:pPr>
        <w:spacing w:line="309" w:lineRule="exact"/>
        <w:ind w:firstLine="437"/>
        <w:jc w:val="both"/>
        <w:rPr>
          <w:rFonts w:ascii="宋体" w:hAnsi="宋体" w:eastAsia="宋体"/>
          <w:sz w:val="24"/>
          <w:szCs w:val="24"/>
        </w:rPr>
      </w:pPr>
      <w:r>
        <w:rPr>
          <w:rFonts w:ascii="宋体" w:hAnsi="宋体" w:eastAsia="宋体" w:cs="宋体"/>
          <w:sz w:val="24"/>
          <w:szCs w:val="24"/>
        </w:rPr>
        <w:t>10.3 供应商获得竞争性磋商文件后应实时关注相关网站了解澄清、修改等与项目有关的内容，如因供应商未及时登录相关网站了解澄清、修改等与项目有关的内容，从而导致磋商无效的，由供应商自行承担责任。</w:t>
      </w:r>
    </w:p>
    <w:p>
      <w:pPr>
        <w:spacing w:line="155" w:lineRule="exact"/>
        <w:rPr>
          <w:rFonts w:ascii="宋体" w:hAnsi="宋体" w:eastAsia="宋体"/>
          <w:sz w:val="24"/>
          <w:szCs w:val="24"/>
        </w:rPr>
      </w:pPr>
    </w:p>
    <w:p>
      <w:pPr>
        <w:spacing w:line="284" w:lineRule="exact"/>
        <w:ind w:firstLine="437"/>
        <w:jc w:val="both"/>
        <w:rPr>
          <w:rFonts w:ascii="宋体" w:hAnsi="宋体" w:eastAsia="宋体"/>
          <w:sz w:val="24"/>
          <w:szCs w:val="24"/>
        </w:rPr>
      </w:pPr>
      <w:r>
        <w:rPr>
          <w:rFonts w:ascii="宋体" w:hAnsi="宋体" w:eastAsia="宋体" w:cs="宋体"/>
          <w:sz w:val="24"/>
          <w:szCs w:val="24"/>
        </w:rPr>
        <w:t>10.4 澄清或者修改的内容为磋商文件的组成部分。当澄清或者修改通知就同一内容的表述不一致时，以最后发出的文件为准。</w:t>
      </w:r>
    </w:p>
    <w:p>
      <w:pPr>
        <w:spacing w:line="153" w:lineRule="exact"/>
        <w:rPr>
          <w:rFonts w:ascii="宋体" w:hAnsi="宋体" w:eastAsia="宋体"/>
          <w:sz w:val="24"/>
          <w:szCs w:val="24"/>
        </w:rPr>
      </w:pPr>
    </w:p>
    <w:p>
      <w:pPr>
        <w:spacing w:line="284" w:lineRule="exact"/>
        <w:ind w:firstLine="437"/>
        <w:jc w:val="both"/>
        <w:rPr>
          <w:rFonts w:ascii="宋体" w:hAnsi="宋体" w:eastAsia="宋体"/>
          <w:sz w:val="24"/>
          <w:szCs w:val="24"/>
        </w:rPr>
      </w:pPr>
      <w:r>
        <w:rPr>
          <w:rFonts w:ascii="宋体" w:hAnsi="宋体" w:eastAsia="宋体" w:cs="宋体"/>
          <w:sz w:val="24"/>
          <w:szCs w:val="24"/>
        </w:rPr>
        <w:t>10.5 磋商文件的澄清或者修改都应该通过本项目采购代理机构以法定形式发布，采购人非通过本机构，不得擅自澄清或者修改磋商文件。</w:t>
      </w:r>
    </w:p>
    <w:p>
      <w:pPr>
        <w:spacing w:line="153" w:lineRule="exact"/>
        <w:rPr>
          <w:rFonts w:ascii="宋体" w:hAnsi="宋体" w:eastAsia="宋体"/>
          <w:sz w:val="24"/>
          <w:szCs w:val="24"/>
        </w:rPr>
      </w:pPr>
    </w:p>
    <w:p>
      <w:pPr>
        <w:spacing w:line="284" w:lineRule="exact"/>
        <w:ind w:firstLine="420"/>
        <w:jc w:val="both"/>
        <w:rPr>
          <w:rFonts w:ascii="宋体" w:hAnsi="宋体" w:eastAsia="宋体"/>
          <w:sz w:val="24"/>
          <w:szCs w:val="24"/>
        </w:rPr>
      </w:pPr>
      <w:r>
        <w:rPr>
          <w:rFonts w:ascii="宋体" w:hAnsi="宋体" w:eastAsia="宋体" w:cs="宋体"/>
          <w:sz w:val="24"/>
          <w:szCs w:val="24"/>
        </w:rPr>
        <w:t>10.6 采购代理机构可以视采购具体情况，延长首次响应文件递交截止时间和磋商时间，并将变更时间通知所有获取磋商文件收受人，在本项目竞争性磋商公告发布的同一媒体上发布变更公告。</w:t>
      </w:r>
    </w:p>
    <w:p>
      <w:pPr>
        <w:spacing w:line="200" w:lineRule="exact"/>
        <w:rPr>
          <w:rFonts w:ascii="宋体" w:hAnsi="宋体" w:eastAsia="宋体"/>
          <w:sz w:val="24"/>
          <w:szCs w:val="24"/>
        </w:rPr>
      </w:pPr>
    </w:p>
    <w:p>
      <w:pPr>
        <w:spacing w:line="212" w:lineRule="exact"/>
        <w:rPr>
          <w:rFonts w:ascii="宋体" w:hAnsi="宋体" w:eastAsia="宋体"/>
          <w:sz w:val="24"/>
          <w:szCs w:val="24"/>
        </w:rPr>
      </w:pPr>
    </w:p>
    <w:p>
      <w:pPr>
        <w:pStyle w:val="2"/>
      </w:pPr>
    </w:p>
    <w:p>
      <w:pPr>
        <w:spacing w:line="320" w:lineRule="exact"/>
        <w:ind w:left="2960"/>
        <w:rPr>
          <w:rFonts w:ascii="宋体" w:hAnsi="宋体" w:eastAsia="宋体" w:cs="宋体"/>
          <w:b/>
          <w:bCs/>
          <w:sz w:val="24"/>
          <w:szCs w:val="24"/>
        </w:rPr>
      </w:pPr>
    </w:p>
    <w:p>
      <w:pPr>
        <w:spacing w:line="320" w:lineRule="exact"/>
        <w:ind w:left="2960"/>
        <w:rPr>
          <w:rFonts w:ascii="宋体" w:hAnsi="宋体" w:eastAsia="宋体" w:cs="宋体"/>
          <w:b/>
          <w:bCs/>
          <w:sz w:val="24"/>
          <w:szCs w:val="24"/>
        </w:rPr>
      </w:pPr>
    </w:p>
    <w:p>
      <w:pPr>
        <w:spacing w:line="320" w:lineRule="exact"/>
        <w:ind w:left="2960"/>
        <w:rPr>
          <w:rFonts w:ascii="宋体" w:hAnsi="宋体" w:eastAsia="宋体" w:cs="宋体"/>
          <w:b/>
          <w:bCs/>
          <w:sz w:val="24"/>
          <w:szCs w:val="24"/>
        </w:rPr>
      </w:pPr>
    </w:p>
    <w:p>
      <w:pPr>
        <w:spacing w:line="320" w:lineRule="exact"/>
        <w:ind w:left="2960"/>
        <w:rPr>
          <w:rFonts w:ascii="宋体" w:hAnsi="宋体" w:eastAsia="宋体"/>
          <w:sz w:val="24"/>
          <w:szCs w:val="24"/>
        </w:rPr>
      </w:pPr>
      <w:r>
        <w:rPr>
          <w:rFonts w:ascii="宋体" w:hAnsi="宋体" w:eastAsia="宋体" w:cs="宋体"/>
          <w:b/>
          <w:bCs/>
          <w:sz w:val="24"/>
          <w:szCs w:val="24"/>
        </w:rPr>
        <w:t>三、竞争性磋商响应文件的编制</w:t>
      </w:r>
    </w:p>
    <w:p>
      <w:pPr>
        <w:spacing w:line="11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b/>
          <w:bCs/>
          <w:sz w:val="24"/>
          <w:szCs w:val="24"/>
        </w:rPr>
        <w:t>11.竞争性磋商响应文件（以下简称响应文件）的组成及要求</w:t>
      </w:r>
    </w:p>
    <w:p>
      <w:pPr>
        <w:spacing w:line="240" w:lineRule="exact"/>
        <w:rPr>
          <w:rFonts w:ascii="宋体" w:hAnsi="宋体" w:eastAsia="宋体"/>
          <w:sz w:val="24"/>
          <w:szCs w:val="24"/>
        </w:rPr>
      </w:pPr>
      <w:bookmarkStart w:id="46" w:name="page10"/>
      <w:bookmarkEnd w:id="46"/>
      <w:r>
        <w:rPr>
          <w:rFonts w:ascii="宋体" w:hAnsi="宋体" w:eastAsia="宋体" w:cs="宋体"/>
          <w:b/>
          <w:bCs/>
          <w:sz w:val="24"/>
          <w:szCs w:val="24"/>
        </w:rPr>
        <w:t>11.1 响应文件组成【格式见第六章“响应文件格式”】</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（1）响应函</w:t>
      </w:r>
      <w:r>
        <w:rPr>
          <w:rFonts w:ascii="宋体" w:hAnsi="宋体" w:eastAsia="宋体" w:cs="宋体"/>
          <w:b/>
          <w:bCs/>
          <w:sz w:val="24"/>
          <w:szCs w:val="24"/>
        </w:rPr>
        <w:t>（必须提供）；</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（2）供应商相应的法定代表人、负责人、自然人身份证正反两面复印件</w:t>
      </w:r>
      <w:r>
        <w:rPr>
          <w:rFonts w:ascii="宋体" w:hAnsi="宋体" w:eastAsia="宋体" w:cs="宋体"/>
          <w:b/>
          <w:bCs/>
          <w:sz w:val="24"/>
          <w:szCs w:val="24"/>
        </w:rPr>
        <w:t>（必须提供）；</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3）供应商的授权委托书原件、委托代理人身份证正反面复印件以及由县级以上（含县级）社保部门出具的供应商为委托代理人交纳的社保证明复印件【属自然人的应提供由县级以上（含县级）社保部门出具的自然人本人及委托代理人所交纳的社保证明复印件】</w:t>
      </w:r>
      <w:r>
        <w:rPr>
          <w:rFonts w:ascii="宋体" w:hAnsi="宋体" w:eastAsia="宋体" w:cs="宋体"/>
          <w:b/>
          <w:bCs/>
          <w:sz w:val="24"/>
          <w:szCs w:val="24"/>
        </w:rPr>
        <w:t>（委托代理时必须提供）；</w:t>
      </w:r>
    </w:p>
    <w:p>
      <w:pPr>
        <w:spacing w:line="155"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（4）供应商参加政府采购活动前 3 年内在经营活动中没有重大违法记录的书面声明及有关信用信息的书面声明</w:t>
      </w:r>
      <w:r>
        <w:rPr>
          <w:rFonts w:ascii="宋体" w:hAnsi="宋体" w:eastAsia="宋体" w:cs="宋体"/>
          <w:b/>
          <w:bCs/>
          <w:sz w:val="24"/>
          <w:szCs w:val="24"/>
        </w:rPr>
        <w:t>（必须提供）；</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（5）供应商的法人或者其他组织营业执照复印件等证明文件</w:t>
      </w:r>
      <w:r>
        <w:rPr>
          <w:rFonts w:ascii="宋体" w:hAnsi="宋体" w:eastAsia="宋体" w:cs="宋体"/>
          <w:b/>
          <w:bCs/>
          <w:sz w:val="24"/>
          <w:szCs w:val="24"/>
        </w:rPr>
        <w:t>（必须提供，自然人除外）；</w:t>
      </w:r>
    </w:p>
    <w:p>
      <w:pPr>
        <w:spacing w:line="152" w:lineRule="exact"/>
        <w:rPr>
          <w:rFonts w:ascii="宋体" w:hAnsi="宋体" w:eastAsia="宋体"/>
          <w:sz w:val="24"/>
          <w:szCs w:val="24"/>
        </w:rPr>
      </w:pPr>
    </w:p>
    <w:p>
      <w:pPr>
        <w:spacing w:line="330" w:lineRule="exact"/>
        <w:ind w:right="100" w:firstLine="422"/>
        <w:jc w:val="both"/>
        <w:rPr>
          <w:rFonts w:ascii="宋体" w:hAnsi="宋体" w:eastAsia="宋体"/>
          <w:sz w:val="24"/>
          <w:szCs w:val="24"/>
        </w:rPr>
      </w:pPr>
      <w:r>
        <w:rPr>
          <w:rFonts w:ascii="宋体" w:hAnsi="宋体" w:eastAsia="宋体" w:cs="宋体"/>
          <w:b/>
          <w:bCs/>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121" w:lineRule="exact"/>
        <w:rPr>
          <w:rFonts w:ascii="宋体" w:hAnsi="宋体" w:eastAsia="宋体"/>
          <w:sz w:val="24"/>
          <w:szCs w:val="24"/>
        </w:rPr>
      </w:pPr>
    </w:p>
    <w:p>
      <w:pPr>
        <w:numPr>
          <w:ilvl w:val="0"/>
          <w:numId w:val="12"/>
        </w:numPr>
        <w:spacing w:line="240" w:lineRule="exact"/>
        <w:ind w:left="420"/>
        <w:rPr>
          <w:rFonts w:ascii="宋体" w:hAnsi="宋体" w:eastAsia="宋体" w:cs="宋体"/>
          <w:b/>
          <w:bCs/>
          <w:sz w:val="24"/>
          <w:szCs w:val="24"/>
        </w:rPr>
      </w:pPr>
      <w:r>
        <w:rPr>
          <w:rFonts w:ascii="宋体" w:hAnsi="宋体" w:eastAsia="宋体" w:cs="宋体"/>
          <w:sz w:val="24"/>
          <w:szCs w:val="24"/>
        </w:rPr>
        <w:t>磋商报价表（格式见附件）</w:t>
      </w:r>
      <w:r>
        <w:rPr>
          <w:rFonts w:ascii="宋体" w:hAnsi="宋体" w:eastAsia="宋体" w:cs="宋体"/>
          <w:b/>
          <w:bCs/>
          <w:sz w:val="24"/>
          <w:szCs w:val="24"/>
        </w:rPr>
        <w:t>（必须提供）；</w:t>
      </w:r>
    </w:p>
    <w:p>
      <w:pPr>
        <w:tabs>
          <w:tab w:val="left" w:pos="1305"/>
        </w:tabs>
        <w:spacing w:line="380" w:lineRule="exact"/>
        <w:ind w:left="898" w:leftChars="190" w:hanging="480" w:hangingChars="200"/>
        <w:rPr>
          <w:rFonts w:ascii="宋体" w:hAnsi="宋体" w:eastAsia="宋体" w:cs="宋体"/>
          <w:b/>
          <w:bCs/>
          <w:sz w:val="24"/>
          <w:szCs w:val="24"/>
        </w:rPr>
      </w:pPr>
      <w:r>
        <w:rPr>
          <w:rFonts w:hint="eastAsia" w:ascii="宋体" w:hAnsi="宋体" w:eastAsia="宋体" w:cs="宋体"/>
          <w:sz w:val="24"/>
          <w:szCs w:val="24"/>
        </w:rPr>
        <w:t>（7）项目实施人员一览表【并一起提供由县级以上（含县级）社会养老保险经办机构出具的供应商为项目实施人员缴纳社保证明复印件，无缴费记录的，应提供由社保部门出具的《依法缴纳或依法免缴社保证明》社保证明复印件】（必须提供）</w:t>
      </w:r>
    </w:p>
    <w:p>
      <w:pPr>
        <w:spacing w:line="120" w:lineRule="exact"/>
        <w:rPr>
          <w:rFonts w:ascii="宋体" w:hAnsi="宋体" w:eastAsia="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8</w:t>
      </w:r>
      <w:r>
        <w:rPr>
          <w:rFonts w:ascii="宋体" w:hAnsi="宋体" w:eastAsia="宋体" w:cs="宋体"/>
          <w:sz w:val="24"/>
          <w:szCs w:val="24"/>
        </w:rPr>
        <w:t>）</w:t>
      </w:r>
      <w:r>
        <w:rPr>
          <w:rFonts w:hint="eastAsia" w:ascii="宋体" w:hAnsi="宋体" w:eastAsia="宋体" w:cs="宋体"/>
          <w:sz w:val="24"/>
          <w:szCs w:val="24"/>
          <w:lang w:eastAsia="zh-CN"/>
        </w:rPr>
        <w:t>技术方案</w:t>
      </w:r>
      <w:r>
        <w:rPr>
          <w:rFonts w:hint="eastAsia" w:ascii="宋体" w:hAnsi="宋体" w:eastAsia="宋体" w:cs="宋体"/>
          <w:sz w:val="24"/>
          <w:szCs w:val="24"/>
        </w:rPr>
        <w:t>（供应商根据服务需求自行编写）</w:t>
      </w:r>
      <w:r>
        <w:rPr>
          <w:rFonts w:ascii="宋体" w:hAnsi="宋体" w:eastAsia="宋体" w:cs="宋体"/>
          <w:b/>
          <w:bCs/>
          <w:sz w:val="24"/>
          <w:szCs w:val="24"/>
        </w:rPr>
        <w:t>（如有，请提供）</w:t>
      </w:r>
      <w:r>
        <w:rPr>
          <w:rFonts w:ascii="宋体" w:hAnsi="宋体" w:eastAsia="宋体" w:cs="宋体"/>
          <w:sz w:val="24"/>
          <w:szCs w:val="24"/>
        </w:rPr>
        <w:t>；</w:t>
      </w:r>
    </w:p>
    <w:p>
      <w:pPr>
        <w:spacing w:line="120" w:lineRule="exact"/>
        <w:rPr>
          <w:rFonts w:ascii="宋体" w:hAnsi="宋体" w:eastAsia="宋体"/>
          <w:sz w:val="24"/>
          <w:szCs w:val="24"/>
        </w:rPr>
      </w:pPr>
    </w:p>
    <w:p>
      <w:pPr>
        <w:spacing w:line="120" w:lineRule="exact"/>
        <w:rPr>
          <w:rFonts w:ascii="宋体" w:hAnsi="宋体" w:eastAsia="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9</w:t>
      </w:r>
      <w:r>
        <w:rPr>
          <w:rFonts w:ascii="宋体" w:hAnsi="宋体" w:eastAsia="宋体" w:cs="宋体"/>
          <w:sz w:val="24"/>
          <w:szCs w:val="24"/>
        </w:rPr>
        <w:t>）</w:t>
      </w:r>
      <w:r>
        <w:rPr>
          <w:rFonts w:hint="eastAsia" w:ascii="宋体" w:hAnsi="宋体" w:eastAsia="宋体" w:cs="宋体"/>
          <w:sz w:val="24"/>
          <w:szCs w:val="24"/>
        </w:rPr>
        <w:t>实施方案（供应商根据服务需求自行编写）</w:t>
      </w:r>
      <w:r>
        <w:rPr>
          <w:rFonts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firstLine="480" w:firstLineChars="200"/>
        <w:rPr>
          <w:rFonts w:ascii="宋体" w:hAnsi="宋体" w:eastAsia="宋体" w:cs="宋体"/>
          <w:sz w:val="24"/>
          <w:szCs w:val="24"/>
        </w:rPr>
      </w:pPr>
      <w:r>
        <w:rPr>
          <w:rFonts w:hint="eastAsia" w:ascii="宋体" w:hAnsi="宋体" w:eastAsia="宋体" w:cs="宋体"/>
          <w:sz w:val="24"/>
          <w:szCs w:val="24"/>
        </w:rPr>
        <w:t>（10）第三方检验（测）机构出具的检验（测）报告</w:t>
      </w:r>
      <w:r>
        <w:rPr>
          <w:rFonts w:hint="eastAsia" w:ascii="宋体" w:hAnsi="宋体" w:eastAsia="宋体" w:cs="宋体"/>
          <w:b/>
          <w:bCs/>
          <w:color w:val="000000" w:themeColor="text1"/>
          <w:sz w:val="24"/>
          <w:szCs w:val="24"/>
        </w:rPr>
        <w:t>（</w:t>
      </w:r>
      <w:r>
        <w:rPr>
          <w:rFonts w:ascii="宋体" w:hAnsi="宋体" w:eastAsia="宋体" w:cs="宋体"/>
          <w:b/>
          <w:bCs/>
          <w:sz w:val="24"/>
          <w:szCs w:val="24"/>
        </w:rPr>
        <w:t>如有，请提供</w:t>
      </w:r>
      <w:r>
        <w:rPr>
          <w:rFonts w:hint="eastAsia" w:ascii="宋体" w:hAnsi="宋体" w:eastAsia="宋体" w:cs="宋体"/>
          <w:b/>
          <w:bCs/>
          <w:color w:val="000000" w:themeColor="text1"/>
          <w:sz w:val="24"/>
          <w:szCs w:val="24"/>
        </w:rPr>
        <w:t>）</w:t>
      </w:r>
      <w:r>
        <w:rPr>
          <w:rFonts w:ascii="宋体" w:hAnsi="宋体" w:eastAsia="宋体" w:cs="宋体"/>
          <w:sz w:val="24"/>
          <w:szCs w:val="24"/>
        </w:rPr>
        <w:t>；</w:t>
      </w:r>
    </w:p>
    <w:p>
      <w:pPr>
        <w:spacing w:line="240" w:lineRule="exact"/>
        <w:rPr>
          <w:rFonts w:ascii="宋体" w:hAnsi="宋体" w:eastAsia="宋体" w:cs="宋体"/>
          <w:sz w:val="24"/>
          <w:szCs w:val="24"/>
        </w:rPr>
      </w:pPr>
    </w:p>
    <w:p>
      <w:pPr>
        <w:spacing w:line="240" w:lineRule="exact"/>
        <w:ind w:firstLine="480" w:firstLineChars="200"/>
        <w:rPr>
          <w:rFonts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售后服务方案</w:t>
      </w:r>
      <w:r>
        <w:rPr>
          <w:rFonts w:hint="eastAsia" w:ascii="宋体" w:hAnsi="宋体" w:eastAsia="宋体" w:cs="宋体"/>
          <w:b/>
          <w:bCs/>
          <w:color w:val="000000" w:themeColor="text1"/>
          <w:sz w:val="24"/>
          <w:szCs w:val="24"/>
        </w:rPr>
        <w:t>（</w:t>
      </w:r>
      <w:r>
        <w:rPr>
          <w:rFonts w:ascii="宋体" w:hAnsi="宋体" w:eastAsia="宋体" w:cs="宋体"/>
          <w:b/>
          <w:bCs/>
          <w:sz w:val="24"/>
          <w:szCs w:val="24"/>
        </w:rPr>
        <w:t>如有，请提供</w:t>
      </w:r>
      <w:r>
        <w:rPr>
          <w:rFonts w:hint="eastAsia" w:ascii="宋体" w:hAnsi="宋体" w:eastAsia="宋体" w:cs="宋体"/>
          <w:b/>
          <w:bCs/>
          <w:color w:val="000000" w:themeColor="text1"/>
          <w:sz w:val="24"/>
          <w:szCs w:val="24"/>
        </w:rPr>
        <w:t>）</w:t>
      </w:r>
      <w:r>
        <w:rPr>
          <w:rFonts w:ascii="宋体" w:hAnsi="宋体" w:eastAsia="宋体" w:cs="宋体"/>
          <w:sz w:val="24"/>
          <w:szCs w:val="24"/>
        </w:rPr>
        <w:t>；</w:t>
      </w:r>
    </w:p>
    <w:p>
      <w:pPr>
        <w:spacing w:line="240" w:lineRule="exact"/>
        <w:rPr>
          <w:rFonts w:ascii="宋体" w:hAnsi="宋体" w:eastAsia="宋体" w:cs="宋体"/>
          <w:sz w:val="24"/>
          <w:szCs w:val="24"/>
        </w:rPr>
      </w:pPr>
    </w:p>
    <w:p>
      <w:pPr>
        <w:spacing w:line="240" w:lineRule="exact"/>
        <w:ind w:firstLine="480" w:firstLineChars="200"/>
        <w:rPr>
          <w:rFonts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应急保障方案</w:t>
      </w:r>
      <w:r>
        <w:rPr>
          <w:rFonts w:hint="eastAsia" w:ascii="宋体" w:hAnsi="宋体" w:eastAsia="宋体" w:cs="宋体"/>
          <w:sz w:val="24"/>
          <w:szCs w:val="24"/>
        </w:rPr>
        <w:t>（供应商根据服务需求自行编写）</w:t>
      </w:r>
      <w:r>
        <w:rPr>
          <w:rFonts w:ascii="宋体" w:hAnsi="宋体" w:eastAsia="宋体" w:cs="宋体"/>
          <w:b/>
          <w:bCs/>
          <w:sz w:val="24"/>
          <w:szCs w:val="24"/>
        </w:rPr>
        <w:t>（如有，请提供）</w:t>
      </w:r>
      <w:r>
        <w:rPr>
          <w:rFonts w:hint="eastAsia" w:ascii="宋体" w:hAnsi="宋体" w:eastAsia="宋体" w:cs="宋体"/>
          <w:b/>
          <w:bCs/>
          <w:sz w:val="24"/>
          <w:szCs w:val="24"/>
        </w:rPr>
        <w:t>；</w:t>
      </w:r>
    </w:p>
    <w:p>
      <w:pPr>
        <w:spacing w:line="240" w:lineRule="exact"/>
        <w:rPr>
          <w:rFonts w:ascii="宋体" w:hAnsi="宋体" w:eastAsia="宋体" w:cs="宋体"/>
          <w:sz w:val="24"/>
          <w:szCs w:val="24"/>
        </w:rPr>
      </w:pPr>
    </w:p>
    <w:p>
      <w:pPr>
        <w:spacing w:line="240" w:lineRule="exact"/>
        <w:ind w:firstLine="480" w:firstLineChars="200"/>
        <w:rPr>
          <w:rFonts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供应商业绩及企业信誉</w:t>
      </w:r>
      <w:r>
        <w:rPr>
          <w:rFonts w:ascii="宋体" w:hAnsi="宋体" w:eastAsia="宋体" w:cs="宋体"/>
          <w:b/>
          <w:bCs/>
          <w:sz w:val="24"/>
          <w:szCs w:val="24"/>
        </w:rPr>
        <w:t>（如有，请提供）</w:t>
      </w:r>
      <w:r>
        <w:rPr>
          <w:rFonts w:hint="eastAsia" w:ascii="宋体" w:hAnsi="宋体" w:eastAsia="宋体" w:cs="宋体"/>
          <w:b/>
          <w:bCs/>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14</w:t>
      </w:r>
      <w:r>
        <w:rPr>
          <w:rFonts w:ascii="宋体" w:hAnsi="宋体" w:eastAsia="宋体" w:cs="宋体"/>
          <w:sz w:val="24"/>
          <w:szCs w:val="24"/>
        </w:rPr>
        <w:t>“采购需求”需提供的有效证明文件</w:t>
      </w:r>
      <w:r>
        <w:rPr>
          <w:rFonts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15</w:t>
      </w:r>
      <w:r>
        <w:rPr>
          <w:rFonts w:ascii="宋体" w:hAnsi="宋体" w:eastAsia="宋体" w:cs="宋体"/>
          <w:sz w:val="24"/>
          <w:szCs w:val="24"/>
        </w:rPr>
        <w:t>）</w:t>
      </w:r>
      <w:r>
        <w:rPr>
          <w:rFonts w:hint="eastAsia" w:ascii="宋体" w:hAnsi="宋体" w:eastAsia="宋体" w:cs="宋体"/>
          <w:sz w:val="24"/>
          <w:szCs w:val="24"/>
        </w:rPr>
        <w:t>供应商2018年以来通过中介审计的有效完整的财务审计报告复印件</w:t>
      </w:r>
      <w:r>
        <w:rPr>
          <w:rFonts w:hint="eastAsia"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16</w:t>
      </w:r>
      <w:r>
        <w:rPr>
          <w:rFonts w:ascii="宋体" w:hAnsi="宋体" w:eastAsia="宋体" w:cs="宋体"/>
          <w:sz w:val="24"/>
          <w:szCs w:val="24"/>
        </w:rPr>
        <w:t>）</w:t>
      </w:r>
      <w:r>
        <w:rPr>
          <w:rFonts w:hint="eastAsia" w:ascii="宋体" w:hAnsi="宋体" w:eastAsia="宋体" w:cs="宋体"/>
          <w:sz w:val="24"/>
          <w:szCs w:val="24"/>
        </w:rPr>
        <w:t>供应商相关获奖证书、认证证书等复印件</w:t>
      </w:r>
      <w:r>
        <w:rPr>
          <w:rFonts w:hint="eastAsia"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17</w:t>
      </w:r>
      <w:r>
        <w:rPr>
          <w:rFonts w:ascii="宋体" w:hAnsi="宋体" w:eastAsia="宋体" w:cs="宋体"/>
          <w:sz w:val="24"/>
          <w:szCs w:val="24"/>
        </w:rPr>
        <w:t>）</w:t>
      </w:r>
      <w:r>
        <w:rPr>
          <w:rFonts w:hint="eastAsia" w:ascii="宋体" w:hAnsi="宋体" w:eastAsia="宋体" w:cs="宋体"/>
          <w:sz w:val="24"/>
          <w:szCs w:val="24"/>
        </w:rPr>
        <w:t>如产品属于小型、微型企业、监狱企业的，以提供工商注册地的工业和信息化部门等其他行政部门出具的相关证明材料为准</w:t>
      </w:r>
      <w:r>
        <w:rPr>
          <w:rFonts w:hint="eastAsia"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18</w:t>
      </w:r>
      <w:r>
        <w:rPr>
          <w:rFonts w:ascii="宋体" w:hAnsi="宋体" w:eastAsia="宋体" w:cs="宋体"/>
          <w:sz w:val="24"/>
          <w:szCs w:val="24"/>
        </w:rPr>
        <w:t>）</w:t>
      </w:r>
      <w:r>
        <w:rPr>
          <w:rFonts w:hint="eastAsia" w:ascii="宋体" w:hAnsi="宋体" w:eastAsia="宋体" w:cs="宋体"/>
          <w:sz w:val="24"/>
          <w:szCs w:val="24"/>
        </w:rPr>
        <w:t>符合条件的残疾人福利性单位在参加政府采购活动时，应当提供《残疾人福利性单位声明函》（见附件），并对声明的真实性负责</w:t>
      </w:r>
      <w:r>
        <w:rPr>
          <w:rFonts w:hint="eastAsia"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121" w:lineRule="exact"/>
        <w:rPr>
          <w:rFonts w:ascii="宋体" w:hAnsi="宋体" w:eastAsia="宋体"/>
          <w:sz w:val="24"/>
          <w:szCs w:val="24"/>
        </w:rPr>
      </w:pPr>
    </w:p>
    <w:p>
      <w:pPr>
        <w:tabs>
          <w:tab w:val="left" w:pos="1060"/>
        </w:tabs>
        <w:spacing w:line="240" w:lineRule="exact"/>
        <w:ind w:left="532"/>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ascii="宋体" w:hAnsi="宋体" w:eastAsia="宋体" w:cs="宋体"/>
          <w:sz w:val="24"/>
          <w:szCs w:val="24"/>
        </w:rPr>
        <w:t>供应商可结合本项目的评标办法视自身情况自行提交相关证明材料</w:t>
      </w:r>
      <w:r>
        <w:rPr>
          <w:rFonts w:ascii="宋体" w:hAnsi="宋体" w:eastAsia="宋体" w:cs="宋体"/>
          <w:b/>
          <w:bCs/>
          <w:sz w:val="24"/>
          <w:szCs w:val="24"/>
        </w:rPr>
        <w:t>（如有，请提供）。</w:t>
      </w:r>
    </w:p>
    <w:p>
      <w:pPr>
        <w:spacing w:line="120" w:lineRule="exact"/>
        <w:rPr>
          <w:rFonts w:ascii="宋体" w:hAnsi="宋体" w:eastAsia="宋体" w:cs="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供应商提供的相关材料应真实有效，属于“必须提供”的文件应加盖供应商公章（扫描公章无效，自然人除外），并于本项目磋商截止时间前与响应文件同时提交。</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11.2 供应商应按竞争性磋商文件第六章“响应文件格式”编制响应文件。</w:t>
      </w:r>
    </w:p>
    <w:p>
      <w:pPr>
        <w:spacing w:line="121" w:lineRule="exact"/>
        <w:rPr>
          <w:rFonts w:ascii="宋体" w:hAnsi="宋体" w:eastAsia="宋体"/>
          <w:sz w:val="24"/>
          <w:szCs w:val="24"/>
        </w:rPr>
      </w:pPr>
    </w:p>
    <w:p>
      <w:pPr>
        <w:numPr>
          <w:ilvl w:val="0"/>
          <w:numId w:val="13"/>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响应文件的语言及计量</w:t>
      </w:r>
    </w:p>
    <w:p>
      <w:pPr>
        <w:spacing w:line="152" w:lineRule="exact"/>
        <w:rPr>
          <w:rFonts w:ascii="宋体" w:hAnsi="宋体" w:eastAsia="宋体"/>
          <w:sz w:val="24"/>
          <w:szCs w:val="24"/>
        </w:rPr>
      </w:pPr>
    </w:p>
    <w:p>
      <w:pPr>
        <w:spacing w:line="309" w:lineRule="exact"/>
        <w:ind w:firstLine="420"/>
        <w:jc w:val="both"/>
        <w:rPr>
          <w:rFonts w:ascii="宋体" w:hAnsi="宋体" w:eastAsia="宋体"/>
          <w:sz w:val="24"/>
          <w:szCs w:val="24"/>
        </w:rPr>
      </w:pPr>
      <w:r>
        <w:rPr>
          <w:rFonts w:ascii="宋体" w:hAnsi="宋体" w:eastAsia="宋体" w:cs="宋体"/>
          <w:sz w:val="24"/>
          <w:szCs w:val="24"/>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286" w:lineRule="exact"/>
        <w:rPr>
          <w:rFonts w:ascii="宋体" w:hAnsi="宋体" w:eastAsia="宋体"/>
          <w:sz w:val="24"/>
          <w:szCs w:val="24"/>
        </w:rPr>
      </w:pPr>
    </w:p>
    <w:p>
      <w:pPr>
        <w:spacing w:line="284" w:lineRule="exact"/>
        <w:ind w:right="100" w:firstLine="420"/>
        <w:rPr>
          <w:rFonts w:ascii="宋体" w:hAnsi="宋体" w:eastAsia="宋体" w:cs="宋体"/>
          <w:sz w:val="24"/>
          <w:szCs w:val="24"/>
        </w:rPr>
      </w:pPr>
      <w:bookmarkStart w:id="47" w:name="page11"/>
      <w:bookmarkEnd w:id="47"/>
      <w:r>
        <w:rPr>
          <w:rFonts w:ascii="宋体" w:hAnsi="宋体" w:eastAsia="宋体" w:cs="宋体"/>
          <w:sz w:val="24"/>
          <w:szCs w:val="24"/>
        </w:rPr>
        <w:t>12.2 磋商计量单位，磋商文件已有明确规定的，使用磋商文件规定的计量单位；磋商文件没有规定的，应采用中华人民共和国法定计量单位（货币单位：人民币元），否则视同未响应。</w:t>
      </w:r>
    </w:p>
    <w:p>
      <w:pPr>
        <w:spacing w:line="284" w:lineRule="exact"/>
        <w:ind w:right="100" w:firstLine="420"/>
        <w:rPr>
          <w:rFonts w:ascii="宋体" w:hAnsi="宋体" w:eastAsia="宋体" w:cs="宋体"/>
          <w:sz w:val="24"/>
          <w:szCs w:val="24"/>
        </w:rPr>
      </w:pPr>
    </w:p>
    <w:p>
      <w:pPr>
        <w:spacing w:line="121" w:lineRule="exact"/>
        <w:rPr>
          <w:rFonts w:ascii="宋体" w:hAnsi="宋体" w:eastAsia="宋体"/>
          <w:sz w:val="24"/>
          <w:szCs w:val="24"/>
        </w:rPr>
      </w:pPr>
    </w:p>
    <w:p>
      <w:pPr>
        <w:numPr>
          <w:ilvl w:val="0"/>
          <w:numId w:val="14"/>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磋商报价</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13.1 磋商报价应按磋商文件中相关附表格式填写，报价超过采购预算总金额的，响应文件按无效处理。</w:t>
      </w:r>
    </w:p>
    <w:p>
      <w:pPr>
        <w:spacing w:line="153"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13.2 供应商必须就“采购需求”中的所有服务内容作完整唯一报价，否则，其响应文件无效。响应文件只允许有一个报价，有选择的或有条件的报价将不予接受。</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13.3 磋商报价包括本次采购范围内货物价款、货物随配标准附件、包装、运输、装卸、保险、税金、货到位、检验、售后服务、培训、保修、其他等所涉及到的一切费用及在项目采购中产生的服务费的总和；供应商综合考虑在报价中，甲方将不再支付任何费用。</w:t>
      </w:r>
    </w:p>
    <w:p>
      <w:pPr>
        <w:spacing w:line="155"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13.4 未书面退出磋商的供应商在规定时间内密封提交最后报价，其最后报价超出采购预算导致已通过评审的响应文件无效的，按供应商在提交响应文件截止时间后撤回响应文件处理。</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13.5 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spacing w:line="123" w:lineRule="exact"/>
        <w:rPr>
          <w:rFonts w:ascii="宋体" w:hAnsi="宋体" w:eastAsia="宋体"/>
          <w:sz w:val="24"/>
          <w:szCs w:val="24"/>
        </w:rPr>
      </w:pPr>
    </w:p>
    <w:p>
      <w:pPr>
        <w:numPr>
          <w:ilvl w:val="0"/>
          <w:numId w:val="15"/>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响应文件有效期</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14.1 响应文件有效期：响应文件递交截止时间之日起</w:t>
      </w:r>
      <w:r>
        <w:rPr>
          <w:rFonts w:hint="eastAsia" w:ascii="宋体" w:hAnsi="宋体" w:eastAsia="宋体" w:cs="宋体"/>
          <w:sz w:val="24"/>
          <w:szCs w:val="24"/>
          <w:lang w:val="en-US" w:eastAsia="zh-CN"/>
        </w:rPr>
        <w:t>60</w:t>
      </w:r>
      <w:r>
        <w:rPr>
          <w:rFonts w:ascii="宋体" w:hAnsi="宋体" w:eastAsia="宋体" w:cs="宋体"/>
          <w:sz w:val="24"/>
          <w:szCs w:val="24"/>
        </w:rPr>
        <w:t>天，有效期不足的响应文件将被拒绝。</w:t>
      </w:r>
    </w:p>
    <w:p>
      <w:pPr>
        <w:spacing w:line="152"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14.2 出现特殊情况下，需要延长响应文件有效期的，采购代理机构以书面形式通知供应商延长响应文件有效期。供应商同意延长的，不能修改响应文件。供应商拒绝延长的，其响应文件无效。</w:t>
      </w:r>
    </w:p>
    <w:p>
      <w:pPr>
        <w:spacing w:line="121" w:lineRule="exact"/>
        <w:rPr>
          <w:rFonts w:ascii="宋体" w:hAnsi="宋体" w:eastAsia="宋体"/>
          <w:sz w:val="24"/>
          <w:szCs w:val="24"/>
        </w:rPr>
      </w:pPr>
    </w:p>
    <w:p>
      <w:pPr>
        <w:numPr>
          <w:ilvl w:val="0"/>
          <w:numId w:val="16"/>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响应文件的份数、装订、签署和包装、密封</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15.1 响应文件份数：正本壹册、副本叁册（A4 纸装订），须完整提交。</w:t>
      </w:r>
    </w:p>
    <w:p>
      <w:pPr>
        <w:spacing w:line="152" w:lineRule="exact"/>
        <w:rPr>
          <w:rFonts w:ascii="宋体" w:hAnsi="宋体" w:eastAsia="宋体"/>
          <w:sz w:val="24"/>
          <w:szCs w:val="24"/>
        </w:rPr>
      </w:pPr>
    </w:p>
    <w:p>
      <w:pPr>
        <w:spacing w:line="309" w:lineRule="exact"/>
        <w:ind w:firstLine="420"/>
        <w:jc w:val="both"/>
        <w:rPr>
          <w:rFonts w:ascii="宋体" w:hAnsi="宋体" w:eastAsia="宋体"/>
          <w:sz w:val="24"/>
          <w:szCs w:val="24"/>
        </w:rPr>
      </w:pPr>
      <w:r>
        <w:rPr>
          <w:rFonts w:ascii="宋体" w:hAnsi="宋体" w:eastAsia="宋体" w:cs="宋体"/>
          <w:sz w:val="24"/>
          <w:szCs w:val="24"/>
        </w:rPr>
        <w:t>15.2 响应文件装订要求：供应商应按供应商须知第 11.1 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spacing w:line="153"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15.3 响应文件的正本需打印或用不褪色的墨水填写，响应文件正本除本磋商文件中规定的可提供复印件外均须提供原件。</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15.4 响应文件须由供应商在规定位置加盖供应商公章（扫描公章无效，自然人除外）并由法定代表人、负责人、自然人或相应的授权委托代理人签字，供应商应写全称，响应文件副本可以是加盖公章（自然人除外）的正本的复印件，当正本与副本不一致时，以正本为准。</w:t>
      </w:r>
    </w:p>
    <w:p>
      <w:pPr>
        <w:spacing w:line="155" w:lineRule="exact"/>
        <w:rPr>
          <w:rFonts w:ascii="宋体" w:hAnsi="宋体" w:eastAsia="宋体"/>
          <w:sz w:val="24"/>
          <w:szCs w:val="24"/>
        </w:rPr>
      </w:pPr>
    </w:p>
    <w:p>
      <w:pPr>
        <w:spacing w:line="309" w:lineRule="exact"/>
        <w:ind w:right="100" w:firstLine="420"/>
        <w:jc w:val="both"/>
        <w:rPr>
          <w:rFonts w:ascii="宋体" w:hAnsi="宋体" w:eastAsia="宋体" w:cs="宋体"/>
          <w:sz w:val="24"/>
          <w:szCs w:val="24"/>
        </w:rPr>
      </w:pPr>
      <w:r>
        <w:rPr>
          <w:rFonts w:ascii="宋体" w:hAnsi="宋体" w:eastAsia="宋体" w:cs="宋体"/>
          <w:sz w:val="24"/>
          <w:szCs w:val="24"/>
        </w:rPr>
        <w:t>15.5 响应文件不得涂改，若有修改错漏处，须加盖供应商公章（自然人除外）及法定代表人、负责人、自然人或相应的授权委托代理人签字。响应文件因字迹潦草或表达不清所引起的后果由供应商负责。</w:t>
      </w:r>
    </w:p>
    <w:p>
      <w:pPr>
        <w:spacing w:line="240" w:lineRule="exact"/>
        <w:rPr>
          <w:rFonts w:ascii="宋体" w:hAnsi="宋体" w:eastAsia="宋体" w:cs="宋体"/>
          <w:sz w:val="24"/>
          <w:szCs w:val="24"/>
        </w:rPr>
      </w:pPr>
    </w:p>
    <w:p>
      <w:pPr>
        <w:spacing w:line="240" w:lineRule="exact"/>
        <w:ind w:firstLine="480" w:firstLineChars="200"/>
        <w:rPr>
          <w:rFonts w:ascii="宋体" w:hAnsi="宋体" w:eastAsia="宋体"/>
          <w:sz w:val="24"/>
          <w:szCs w:val="24"/>
        </w:rPr>
      </w:pPr>
      <w:r>
        <w:rPr>
          <w:rFonts w:ascii="宋体" w:hAnsi="宋体" w:eastAsia="宋体" w:cs="宋体"/>
          <w:sz w:val="24"/>
          <w:szCs w:val="24"/>
        </w:rPr>
        <w:t>15.6 响应文件包装、密封、标记：</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15.6.1 响应文件包装、密封：供应商须将响应文件“正本”、“副本”一并装入一个响应文件袋（盒、箱）中密封，并在密封处密封签章【公章、密封章、法定代表人、负责人、自然人或相应的授权委托代理人签字均可】。</w:t>
      </w:r>
    </w:p>
    <w:p>
      <w:pPr>
        <w:spacing w:line="123"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15.6.2 响应文件袋（盒、箱）标记：</w:t>
      </w:r>
    </w:p>
    <w:p>
      <w:pPr>
        <w:spacing w:line="120" w:lineRule="exact"/>
        <w:rPr>
          <w:rFonts w:ascii="宋体" w:hAnsi="宋体" w:eastAsia="宋体"/>
          <w:sz w:val="24"/>
          <w:szCs w:val="24"/>
        </w:rPr>
      </w:pPr>
    </w:p>
    <w:p>
      <w:pPr>
        <w:spacing w:line="240" w:lineRule="exact"/>
        <w:ind w:left="1160"/>
        <w:rPr>
          <w:rFonts w:ascii="宋体" w:hAnsi="宋体" w:eastAsia="宋体"/>
          <w:sz w:val="24"/>
          <w:szCs w:val="24"/>
        </w:rPr>
      </w:pPr>
      <w:r>
        <w:rPr>
          <w:rFonts w:ascii="宋体" w:hAnsi="宋体" w:eastAsia="宋体" w:cs="宋体"/>
          <w:sz w:val="24"/>
          <w:szCs w:val="24"/>
        </w:rPr>
        <w:t>项目名称：</w:t>
      </w:r>
      <w:r>
        <w:rPr>
          <w:rFonts w:hint="eastAsia" w:ascii="宋体" w:hAnsi="宋体" w:eastAsia="宋体" w:cs="宋体"/>
          <w:sz w:val="24"/>
          <w:szCs w:val="24"/>
        </w:rPr>
        <w:t>灵川县三街镇人民政府雪亮工程</w:t>
      </w:r>
    </w:p>
    <w:p>
      <w:pPr>
        <w:spacing w:line="120" w:lineRule="exact"/>
        <w:rPr>
          <w:rFonts w:ascii="宋体" w:hAnsi="宋体" w:eastAsia="宋体"/>
          <w:sz w:val="24"/>
          <w:szCs w:val="24"/>
        </w:rPr>
      </w:pPr>
    </w:p>
    <w:p>
      <w:pPr>
        <w:spacing w:line="240" w:lineRule="exact"/>
        <w:ind w:left="1160"/>
        <w:rPr>
          <w:rFonts w:ascii="宋体" w:hAnsi="宋体" w:eastAsia="宋体"/>
          <w:sz w:val="24"/>
          <w:szCs w:val="24"/>
        </w:rPr>
      </w:pPr>
      <w:r>
        <w:rPr>
          <w:rFonts w:ascii="宋体" w:hAnsi="宋体" w:eastAsia="宋体" w:cs="宋体"/>
          <w:sz w:val="24"/>
          <w:szCs w:val="24"/>
        </w:rPr>
        <w:t>项目编号：</w:t>
      </w:r>
      <w:r>
        <w:rPr>
          <w:rFonts w:hint="eastAsia" w:ascii="宋体" w:hAnsi="宋体" w:eastAsia="宋体"/>
          <w:sz w:val="24"/>
          <w:szCs w:val="24"/>
          <w:lang w:eastAsia="zh-CN"/>
        </w:rPr>
        <w:t>GLZC2020-C3-230039-GXBG</w:t>
      </w:r>
    </w:p>
    <w:p>
      <w:pPr>
        <w:spacing w:line="285" w:lineRule="exact"/>
        <w:rPr>
          <w:rFonts w:ascii="宋体" w:hAnsi="宋体" w:eastAsia="宋体"/>
          <w:sz w:val="24"/>
          <w:szCs w:val="24"/>
        </w:rPr>
      </w:pPr>
    </w:p>
    <w:p>
      <w:pPr>
        <w:spacing w:line="240" w:lineRule="exact"/>
        <w:ind w:left="1160"/>
        <w:rPr>
          <w:rFonts w:ascii="宋体" w:hAnsi="宋体" w:eastAsia="宋体"/>
          <w:sz w:val="24"/>
          <w:szCs w:val="24"/>
        </w:rPr>
      </w:pPr>
      <w:bookmarkStart w:id="48" w:name="page12"/>
      <w:bookmarkEnd w:id="48"/>
      <w:r>
        <w:rPr>
          <w:rFonts w:ascii="宋体" w:hAnsi="宋体" w:eastAsia="宋体" w:cs="宋体"/>
          <w:sz w:val="24"/>
          <w:szCs w:val="24"/>
        </w:rPr>
        <w:t>采购代理机构：</w:t>
      </w:r>
      <w:r>
        <w:rPr>
          <w:rFonts w:hint="eastAsia" w:ascii="宋体" w:hAnsi="宋体" w:eastAsia="宋体" w:cs="宋体"/>
          <w:sz w:val="24"/>
          <w:szCs w:val="24"/>
        </w:rPr>
        <w:t>广西八桂建设项目管理有限公司</w:t>
      </w:r>
    </w:p>
    <w:p>
      <w:pPr>
        <w:spacing w:line="120" w:lineRule="exact"/>
        <w:rPr>
          <w:rFonts w:ascii="宋体" w:hAnsi="宋体" w:eastAsia="宋体"/>
          <w:sz w:val="24"/>
          <w:szCs w:val="24"/>
        </w:rPr>
      </w:pPr>
    </w:p>
    <w:p>
      <w:pPr>
        <w:spacing w:line="240" w:lineRule="exact"/>
        <w:ind w:left="1160"/>
        <w:rPr>
          <w:rFonts w:ascii="宋体" w:hAnsi="宋体" w:eastAsia="宋体"/>
          <w:sz w:val="24"/>
          <w:szCs w:val="24"/>
        </w:rPr>
      </w:pPr>
      <w:r>
        <w:rPr>
          <w:rFonts w:ascii="宋体" w:hAnsi="宋体" w:eastAsia="宋体" w:cs="宋体"/>
          <w:sz w:val="24"/>
          <w:szCs w:val="24"/>
        </w:rPr>
        <w:t>供应商单位名称：</w:t>
      </w:r>
    </w:p>
    <w:p>
      <w:pPr>
        <w:spacing w:line="120" w:lineRule="exact"/>
        <w:rPr>
          <w:rFonts w:ascii="宋体" w:hAnsi="宋体" w:eastAsia="宋体"/>
          <w:sz w:val="24"/>
          <w:szCs w:val="24"/>
        </w:rPr>
      </w:pPr>
    </w:p>
    <w:p>
      <w:pPr>
        <w:spacing w:line="240" w:lineRule="exact"/>
        <w:ind w:left="1160"/>
        <w:rPr>
          <w:rFonts w:ascii="宋体" w:hAnsi="宋体" w:eastAsia="宋体"/>
          <w:sz w:val="24"/>
          <w:szCs w:val="24"/>
        </w:rPr>
      </w:pPr>
      <w:r>
        <w:rPr>
          <w:rFonts w:ascii="宋体" w:hAnsi="宋体" w:eastAsia="宋体" w:cs="宋体"/>
          <w:sz w:val="24"/>
          <w:szCs w:val="24"/>
        </w:rPr>
        <w:t xml:space="preserve">在 </w:t>
      </w:r>
      <w:r>
        <w:rPr>
          <w:rFonts w:hint="eastAsia" w:ascii="宋体" w:hAnsi="宋体" w:eastAsia="宋体" w:cs="宋体"/>
          <w:sz w:val="24"/>
          <w:szCs w:val="24"/>
        </w:rPr>
        <w:t>2020</w:t>
      </w:r>
      <w:r>
        <w:rPr>
          <w:rFonts w:ascii="宋体" w:hAnsi="宋体" w:eastAsia="宋体" w:cs="宋体"/>
          <w:sz w:val="24"/>
          <w:szCs w:val="24"/>
        </w:rPr>
        <w:t>年</w:t>
      </w:r>
      <w:r>
        <w:rPr>
          <w:rFonts w:hint="eastAsia" w:ascii="宋体" w:hAnsi="宋体" w:eastAsia="宋体" w:cs="宋体"/>
          <w:sz w:val="24"/>
          <w:szCs w:val="24"/>
          <w:lang w:val="en-US" w:eastAsia="zh-CN"/>
        </w:rPr>
        <w:t>10</w:t>
      </w:r>
      <w:r>
        <w:rPr>
          <w:rFonts w:ascii="宋体" w:hAnsi="宋体" w:eastAsia="宋体" w:cs="宋体"/>
          <w:sz w:val="24"/>
          <w:szCs w:val="24"/>
        </w:rPr>
        <w:t>月</w:t>
      </w:r>
      <w:r>
        <w:rPr>
          <w:rFonts w:hint="eastAsia" w:ascii="宋体" w:hAnsi="宋体" w:eastAsia="宋体" w:cs="宋体"/>
          <w:sz w:val="24"/>
          <w:szCs w:val="24"/>
          <w:lang w:val="en-US" w:eastAsia="zh-CN"/>
        </w:rPr>
        <w:t>15</w:t>
      </w:r>
      <w:r>
        <w:rPr>
          <w:rFonts w:ascii="宋体" w:hAnsi="宋体" w:eastAsia="宋体" w:cs="宋体"/>
          <w:sz w:val="24"/>
          <w:szCs w:val="24"/>
        </w:rPr>
        <w:t>日</w:t>
      </w:r>
      <w:r>
        <w:rPr>
          <w:rFonts w:hint="eastAsia" w:ascii="宋体" w:hAnsi="宋体" w:eastAsia="宋体" w:cs="宋体"/>
          <w:sz w:val="24"/>
          <w:szCs w:val="24"/>
          <w:lang w:val="en-US" w:eastAsia="zh-CN"/>
        </w:rPr>
        <w:t>10</w:t>
      </w:r>
      <w:r>
        <w:rPr>
          <w:rFonts w:ascii="宋体" w:hAnsi="宋体" w:eastAsia="宋体" w:cs="宋体"/>
          <w:sz w:val="24"/>
          <w:szCs w:val="24"/>
        </w:rPr>
        <w:t>时</w:t>
      </w:r>
      <w:r>
        <w:rPr>
          <w:rFonts w:hint="eastAsia" w:ascii="宋体" w:hAnsi="宋体" w:eastAsia="宋体" w:cs="宋体"/>
          <w:sz w:val="24"/>
          <w:szCs w:val="24"/>
          <w:lang w:val="en-US" w:eastAsia="zh-CN"/>
        </w:rPr>
        <w:t>30</w:t>
      </w:r>
      <w:r>
        <w:rPr>
          <w:rFonts w:ascii="宋体" w:hAnsi="宋体" w:eastAsia="宋体" w:cs="宋体"/>
          <w:sz w:val="24"/>
          <w:szCs w:val="24"/>
        </w:rPr>
        <w:t>分前不得开启(此处供应商填写响应文件递交截止时间)</w:t>
      </w:r>
    </w:p>
    <w:p>
      <w:pPr>
        <w:spacing w:line="152" w:lineRule="exact"/>
        <w:rPr>
          <w:rFonts w:ascii="宋体" w:hAnsi="宋体" w:eastAsia="宋体"/>
          <w:sz w:val="24"/>
          <w:szCs w:val="24"/>
        </w:rPr>
      </w:pPr>
    </w:p>
    <w:p>
      <w:pPr>
        <w:spacing w:line="322" w:lineRule="exact"/>
        <w:ind w:firstLine="420"/>
        <w:jc w:val="both"/>
        <w:rPr>
          <w:rFonts w:ascii="宋体" w:hAnsi="宋体" w:eastAsia="宋体"/>
          <w:sz w:val="24"/>
          <w:szCs w:val="24"/>
        </w:rPr>
      </w:pPr>
      <w:r>
        <w:rPr>
          <w:rFonts w:ascii="宋体" w:hAnsi="宋体" w:eastAsia="宋体" w:cs="宋体"/>
          <w:sz w:val="24"/>
          <w:szCs w:val="24"/>
        </w:rPr>
        <w:t>15.7 供应商公章：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p>
      <w:pPr>
        <w:spacing w:line="123" w:lineRule="exact"/>
        <w:rPr>
          <w:rFonts w:ascii="宋体" w:hAnsi="宋体" w:eastAsia="宋体"/>
          <w:sz w:val="24"/>
          <w:szCs w:val="24"/>
        </w:rPr>
      </w:pPr>
    </w:p>
    <w:p>
      <w:pPr>
        <w:numPr>
          <w:ilvl w:val="0"/>
          <w:numId w:val="17"/>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响应文件的修改和撤回</w:t>
      </w:r>
    </w:p>
    <w:p>
      <w:pPr>
        <w:spacing w:line="152" w:lineRule="exact"/>
        <w:rPr>
          <w:rFonts w:ascii="宋体" w:hAnsi="宋体" w:eastAsia="宋体"/>
          <w:sz w:val="24"/>
          <w:szCs w:val="24"/>
        </w:rPr>
      </w:pPr>
    </w:p>
    <w:p>
      <w:pPr>
        <w:spacing w:line="284" w:lineRule="exact"/>
        <w:ind w:firstLine="436"/>
        <w:rPr>
          <w:rFonts w:ascii="宋体" w:hAnsi="宋体" w:eastAsia="宋体"/>
          <w:sz w:val="24"/>
          <w:szCs w:val="24"/>
        </w:rPr>
      </w:pPr>
      <w:r>
        <w:rPr>
          <w:rFonts w:ascii="宋体" w:hAnsi="宋体" w:eastAsia="宋体" w:cs="宋体"/>
          <w:sz w:val="24"/>
          <w:szCs w:val="24"/>
        </w:rPr>
        <w:t>16.1 供应商在响应文件递交截止时间之前，可以对已递交的响应文件进行修改或撤回，并书面通知采购代理机构。</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16.2 在响应文件递交截止时间后的响应文件有效期内，供应商不得撤回其响应文件。</w:t>
      </w:r>
    </w:p>
    <w:p>
      <w:pPr>
        <w:spacing w:line="121" w:lineRule="exact"/>
        <w:rPr>
          <w:rFonts w:ascii="宋体" w:hAnsi="宋体" w:eastAsia="宋体"/>
          <w:sz w:val="24"/>
          <w:szCs w:val="24"/>
        </w:rPr>
      </w:pPr>
    </w:p>
    <w:p>
      <w:pPr>
        <w:numPr>
          <w:ilvl w:val="0"/>
          <w:numId w:val="18"/>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响应文件的递交</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17.1 响应文件递交起止时间</w:t>
      </w:r>
    </w:p>
    <w:p>
      <w:pPr>
        <w:spacing w:line="152" w:lineRule="exact"/>
        <w:rPr>
          <w:rFonts w:ascii="宋体" w:hAnsi="宋体" w:eastAsia="宋体"/>
          <w:sz w:val="24"/>
          <w:szCs w:val="24"/>
        </w:rPr>
      </w:pPr>
    </w:p>
    <w:p>
      <w:pPr>
        <w:spacing w:line="284" w:lineRule="exact"/>
        <w:ind w:firstLine="423"/>
        <w:rPr>
          <w:rFonts w:ascii="宋体" w:hAnsi="宋体" w:eastAsia="宋体"/>
          <w:sz w:val="24"/>
          <w:szCs w:val="24"/>
        </w:rPr>
      </w:pPr>
      <w:r>
        <w:rPr>
          <w:rFonts w:ascii="宋体" w:hAnsi="宋体" w:eastAsia="宋体" w:cs="宋体"/>
          <w:b/>
          <w:bCs/>
          <w:sz w:val="24"/>
          <w:szCs w:val="24"/>
        </w:rPr>
        <w:t>响应文件递交起止时间</w:t>
      </w:r>
      <w:r>
        <w:rPr>
          <w:rFonts w:ascii="宋体" w:hAnsi="宋体" w:eastAsia="宋体" w:cs="宋体"/>
          <w:sz w:val="24"/>
          <w:szCs w:val="24"/>
        </w:rPr>
        <w:t>：</w:t>
      </w:r>
      <w:r>
        <w:rPr>
          <w:rFonts w:hint="eastAsia" w:ascii="宋体" w:hAnsi="宋体" w:eastAsia="宋体" w:cs="宋体"/>
          <w:sz w:val="24"/>
          <w:szCs w:val="24"/>
        </w:rPr>
        <w:t>2020</w:t>
      </w:r>
      <w:r>
        <w:rPr>
          <w:rFonts w:ascii="宋体" w:hAnsi="宋体" w:eastAsia="宋体" w:cs="宋体"/>
          <w:sz w:val="24"/>
          <w:szCs w:val="24"/>
        </w:rPr>
        <w:t>年</w:t>
      </w:r>
      <w:r>
        <w:rPr>
          <w:rFonts w:hint="eastAsia" w:ascii="宋体" w:hAnsi="宋体" w:eastAsia="宋体" w:cs="宋体"/>
          <w:b/>
          <w:bCs/>
          <w:sz w:val="24"/>
          <w:szCs w:val="24"/>
          <w:lang w:val="en-US" w:eastAsia="zh-CN"/>
        </w:rPr>
        <w:t>10</w:t>
      </w:r>
      <w:r>
        <w:rPr>
          <w:rFonts w:ascii="宋体" w:hAnsi="宋体" w:eastAsia="宋体" w:cs="宋体"/>
          <w:sz w:val="24"/>
          <w:szCs w:val="24"/>
        </w:rPr>
        <w:t>月</w:t>
      </w:r>
      <w:r>
        <w:rPr>
          <w:rFonts w:hint="eastAsia" w:ascii="宋体" w:hAnsi="宋体" w:eastAsia="宋体" w:cs="宋体"/>
          <w:b/>
          <w:bCs/>
          <w:sz w:val="24"/>
          <w:szCs w:val="24"/>
          <w:lang w:val="en-US" w:eastAsia="zh-CN"/>
        </w:rPr>
        <w:t>15</w:t>
      </w:r>
      <w:r>
        <w:rPr>
          <w:rFonts w:ascii="宋体" w:hAnsi="宋体" w:eastAsia="宋体" w:cs="宋体"/>
          <w:sz w:val="24"/>
          <w:szCs w:val="24"/>
        </w:rPr>
        <w:t>日</w:t>
      </w:r>
      <w:r>
        <w:rPr>
          <w:rFonts w:hint="eastAsia" w:ascii="宋体" w:hAnsi="宋体" w:eastAsia="宋体" w:cs="宋体"/>
          <w:b/>
          <w:bCs/>
          <w:sz w:val="24"/>
          <w:szCs w:val="24"/>
          <w:lang w:val="en-US" w:eastAsia="zh-CN"/>
        </w:rPr>
        <w:t>10</w:t>
      </w:r>
      <w:r>
        <w:rPr>
          <w:rFonts w:ascii="宋体" w:hAnsi="宋体" w:eastAsia="宋体" w:cs="宋体"/>
          <w:sz w:val="24"/>
          <w:szCs w:val="24"/>
        </w:rPr>
        <w:t>时至</w:t>
      </w:r>
      <w:r>
        <w:rPr>
          <w:rFonts w:hint="eastAsia" w:ascii="宋体" w:hAnsi="宋体" w:eastAsia="宋体" w:cs="宋体"/>
          <w:b/>
          <w:bCs/>
          <w:sz w:val="24"/>
          <w:szCs w:val="24"/>
          <w:lang w:val="en-US" w:eastAsia="zh-CN"/>
        </w:rPr>
        <w:t>10</w:t>
      </w:r>
      <w:r>
        <w:rPr>
          <w:rFonts w:ascii="宋体" w:hAnsi="宋体" w:eastAsia="宋体" w:cs="宋体"/>
          <w:sz w:val="24"/>
          <w:szCs w:val="24"/>
        </w:rPr>
        <w:t>时</w:t>
      </w:r>
      <w:r>
        <w:rPr>
          <w:rFonts w:hint="eastAsia" w:ascii="宋体" w:hAnsi="宋体" w:eastAsia="宋体" w:cs="宋体"/>
          <w:b/>
          <w:bCs/>
          <w:sz w:val="24"/>
          <w:szCs w:val="24"/>
          <w:lang w:val="en-US" w:eastAsia="zh-CN"/>
        </w:rPr>
        <w:t>30</w:t>
      </w:r>
      <w:r>
        <w:rPr>
          <w:rFonts w:ascii="宋体" w:hAnsi="宋体" w:eastAsia="宋体" w:cs="宋体"/>
          <w:sz w:val="24"/>
          <w:szCs w:val="24"/>
        </w:rPr>
        <w:t>分，供应商应按竞争性磋商文件规定的响应文件递交截止时间前递交响应文件。</w:t>
      </w:r>
    </w:p>
    <w:p>
      <w:pPr>
        <w:spacing w:line="153" w:lineRule="exact"/>
        <w:rPr>
          <w:rFonts w:ascii="宋体" w:hAnsi="宋体" w:eastAsia="宋体"/>
          <w:sz w:val="24"/>
          <w:szCs w:val="24"/>
        </w:rPr>
      </w:pPr>
    </w:p>
    <w:p>
      <w:pPr>
        <w:spacing w:line="284" w:lineRule="exact"/>
        <w:ind w:firstLine="420"/>
        <w:rPr>
          <w:rFonts w:ascii="宋体" w:hAnsi="宋体" w:eastAsia="宋体"/>
          <w:sz w:val="24"/>
          <w:szCs w:val="24"/>
        </w:rPr>
      </w:pPr>
      <w:r>
        <w:rPr>
          <w:rFonts w:ascii="宋体" w:hAnsi="宋体" w:eastAsia="宋体" w:cs="宋体"/>
          <w:sz w:val="24"/>
          <w:szCs w:val="24"/>
        </w:rPr>
        <w:t>17.2 响应文件递交地点：桂林市公共资源交易中心</w:t>
      </w:r>
      <w:r>
        <w:rPr>
          <w:rFonts w:hint="eastAsia" w:ascii="宋体" w:hAnsi="宋体" w:eastAsia="宋体" w:cs="宋体"/>
          <w:sz w:val="24"/>
          <w:szCs w:val="24"/>
          <w:lang w:val="en-US" w:eastAsia="zh-CN"/>
        </w:rPr>
        <w:t>14</w:t>
      </w:r>
      <w:r>
        <w:rPr>
          <w:rFonts w:ascii="宋体" w:hAnsi="宋体" w:eastAsia="宋体" w:cs="宋体"/>
          <w:sz w:val="24"/>
          <w:szCs w:val="24"/>
        </w:rPr>
        <w:t>号开标室（广西桂林市临桂区西城中路 69 号西辅楼 4 楼）。</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17.3 除竞争性磋商文件另有规定外，供应商所递交的响应文件不予退还。</w:t>
      </w:r>
    </w:p>
    <w:p>
      <w:pPr>
        <w:spacing w:line="120" w:lineRule="exact"/>
        <w:rPr>
          <w:rFonts w:ascii="宋体" w:hAnsi="宋体" w:eastAsia="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17.4 逾期送达的或者未送达指定地点的响应文件，采购代理机构不予受理。</w:t>
      </w:r>
    </w:p>
    <w:p>
      <w:pPr>
        <w:pStyle w:val="2"/>
      </w:pPr>
    </w:p>
    <w:p/>
    <w:p>
      <w:pPr>
        <w:spacing w:line="211" w:lineRule="exact"/>
        <w:rPr>
          <w:rFonts w:ascii="宋体" w:hAnsi="宋体" w:eastAsia="宋体"/>
          <w:sz w:val="24"/>
          <w:szCs w:val="24"/>
        </w:rPr>
      </w:pPr>
    </w:p>
    <w:p>
      <w:pPr>
        <w:spacing w:line="320" w:lineRule="exact"/>
        <w:ind w:left="2740"/>
        <w:rPr>
          <w:rFonts w:ascii="宋体" w:hAnsi="宋体" w:eastAsia="宋体"/>
          <w:sz w:val="24"/>
          <w:szCs w:val="24"/>
        </w:rPr>
      </w:pPr>
      <w:r>
        <w:rPr>
          <w:rFonts w:ascii="宋体" w:hAnsi="宋体" w:eastAsia="宋体" w:cs="宋体"/>
          <w:b/>
          <w:bCs/>
          <w:sz w:val="24"/>
          <w:szCs w:val="24"/>
        </w:rPr>
        <w:t>四、竞争性磋商（简称磋商）与评审</w:t>
      </w:r>
    </w:p>
    <w:p>
      <w:pPr>
        <w:spacing w:line="110" w:lineRule="exact"/>
        <w:rPr>
          <w:rFonts w:ascii="宋体" w:hAnsi="宋体" w:eastAsia="宋体"/>
          <w:sz w:val="24"/>
          <w:szCs w:val="24"/>
        </w:rPr>
      </w:pPr>
    </w:p>
    <w:p>
      <w:pPr>
        <w:numPr>
          <w:ilvl w:val="0"/>
          <w:numId w:val="19"/>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磋商小组组成及磋商时间、地点、人员</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b/>
          <w:bCs/>
          <w:sz w:val="24"/>
          <w:szCs w:val="24"/>
        </w:rPr>
        <w:t>18.1 磋商小组组成：</w:t>
      </w:r>
    </w:p>
    <w:p>
      <w:pPr>
        <w:spacing w:line="152" w:lineRule="exact"/>
        <w:rPr>
          <w:rFonts w:ascii="宋体" w:hAnsi="宋体" w:eastAsia="宋体"/>
          <w:sz w:val="24"/>
          <w:szCs w:val="24"/>
        </w:rPr>
      </w:pPr>
    </w:p>
    <w:p>
      <w:pPr>
        <w:spacing w:line="284" w:lineRule="exact"/>
        <w:ind w:firstLine="436"/>
        <w:rPr>
          <w:rFonts w:ascii="宋体" w:hAnsi="宋体" w:eastAsia="宋体"/>
          <w:sz w:val="24"/>
          <w:szCs w:val="24"/>
        </w:rPr>
      </w:pPr>
      <w:r>
        <w:rPr>
          <w:rFonts w:ascii="宋体" w:hAnsi="宋体" w:eastAsia="宋体" w:cs="宋体"/>
          <w:sz w:val="24"/>
          <w:szCs w:val="24"/>
        </w:rPr>
        <w:t>磋商及评审工作由采购代理机构负责组织，具体磋商、评审工作由依法组建的磋商小组负责，磋商小组由采购人代表和有关方面的专家组成。磋商小组的构成：3 人，其中采购人代表 1 人，专家 2 人。</w:t>
      </w:r>
    </w:p>
    <w:p>
      <w:pPr>
        <w:spacing w:line="121" w:lineRule="exact"/>
        <w:rPr>
          <w:rFonts w:ascii="宋体" w:hAnsi="宋体" w:eastAsia="宋体"/>
          <w:sz w:val="24"/>
          <w:szCs w:val="24"/>
        </w:rPr>
      </w:pPr>
    </w:p>
    <w:p>
      <w:pPr>
        <w:spacing w:line="240" w:lineRule="exact"/>
        <w:ind w:left="360"/>
        <w:rPr>
          <w:rFonts w:ascii="宋体" w:hAnsi="宋体" w:eastAsia="宋体"/>
          <w:sz w:val="24"/>
          <w:szCs w:val="24"/>
        </w:rPr>
      </w:pPr>
      <w:r>
        <w:rPr>
          <w:rFonts w:ascii="宋体" w:hAnsi="宋体" w:eastAsia="宋体" w:cs="宋体"/>
          <w:b/>
          <w:bCs/>
          <w:sz w:val="24"/>
          <w:szCs w:val="24"/>
        </w:rPr>
        <w:t>18.2 磋商时间、地点、人员：</w:t>
      </w:r>
    </w:p>
    <w:p>
      <w:pPr>
        <w:spacing w:line="14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18.2.1 磋商时间：响应文件递交截止时间后。</w:t>
      </w:r>
    </w:p>
    <w:p>
      <w:pPr>
        <w:spacing w:line="132" w:lineRule="exact"/>
        <w:rPr>
          <w:rFonts w:ascii="宋体" w:hAnsi="宋体" w:eastAsia="宋体"/>
          <w:sz w:val="24"/>
          <w:szCs w:val="24"/>
        </w:rPr>
      </w:pPr>
    </w:p>
    <w:p>
      <w:pPr>
        <w:spacing w:line="284" w:lineRule="exact"/>
        <w:ind w:firstLine="420"/>
        <w:rPr>
          <w:rFonts w:ascii="宋体" w:hAnsi="宋体" w:eastAsia="宋体"/>
          <w:sz w:val="24"/>
          <w:szCs w:val="24"/>
        </w:rPr>
      </w:pPr>
      <w:r>
        <w:rPr>
          <w:rFonts w:ascii="宋体" w:hAnsi="宋体" w:eastAsia="宋体" w:cs="宋体"/>
          <w:sz w:val="24"/>
          <w:szCs w:val="24"/>
        </w:rPr>
        <w:t>18.2.2 磋商地点：桂林市公共资源交易中心评标室（广西桂林市临桂区西城中路 69 号西辅楼 4 楼，具体事项评标室另行通知）</w:t>
      </w:r>
    </w:p>
    <w:p>
      <w:pPr>
        <w:spacing w:line="153" w:lineRule="exact"/>
        <w:rPr>
          <w:rFonts w:ascii="宋体" w:hAnsi="宋体" w:eastAsia="宋体"/>
          <w:sz w:val="24"/>
          <w:szCs w:val="24"/>
        </w:rPr>
      </w:pPr>
    </w:p>
    <w:p>
      <w:pPr>
        <w:spacing w:line="284" w:lineRule="exact"/>
        <w:ind w:left="420"/>
        <w:rPr>
          <w:rFonts w:ascii="宋体" w:hAnsi="宋体" w:eastAsia="宋体"/>
          <w:sz w:val="24"/>
          <w:szCs w:val="24"/>
        </w:rPr>
      </w:pPr>
      <w:r>
        <w:rPr>
          <w:rFonts w:ascii="宋体" w:hAnsi="宋体" w:eastAsia="宋体" w:cs="宋体"/>
          <w:sz w:val="24"/>
          <w:szCs w:val="24"/>
        </w:rPr>
        <w:t>18.2.3 磋商参加人员：供应商法定代表人、负责人、自然人或相应的委托代理人持有效身份证原件参加磋商。请供应商按时到达指定地点等候当面磋商。</w:t>
      </w:r>
    </w:p>
    <w:p>
      <w:pPr>
        <w:spacing w:line="141" w:lineRule="exact"/>
        <w:rPr>
          <w:rFonts w:ascii="宋体" w:hAnsi="宋体" w:eastAsia="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18.2.4 响应文件递交截止时间后，由磋商小组在评标室内开启响应文件。</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p>
    <w:p>
      <w:pPr>
        <w:spacing w:line="100" w:lineRule="exact"/>
        <w:rPr>
          <w:rFonts w:ascii="宋体" w:hAnsi="宋体" w:eastAsia="宋体"/>
          <w:sz w:val="24"/>
          <w:szCs w:val="24"/>
        </w:rPr>
      </w:pPr>
    </w:p>
    <w:p>
      <w:pPr>
        <w:numPr>
          <w:ilvl w:val="0"/>
          <w:numId w:val="20"/>
        </w:numPr>
        <w:tabs>
          <w:tab w:val="left" w:pos="800"/>
        </w:tabs>
        <w:spacing w:line="240" w:lineRule="exact"/>
        <w:ind w:left="800" w:hanging="432"/>
        <w:rPr>
          <w:rFonts w:ascii="宋体" w:hAnsi="宋体" w:eastAsia="宋体" w:cs="宋体"/>
          <w:b/>
          <w:bCs/>
          <w:sz w:val="24"/>
          <w:szCs w:val="24"/>
        </w:rPr>
      </w:pPr>
      <w:r>
        <w:rPr>
          <w:rFonts w:ascii="宋体" w:hAnsi="宋体" w:eastAsia="宋体" w:cs="宋体"/>
          <w:b/>
          <w:bCs/>
          <w:sz w:val="24"/>
          <w:szCs w:val="24"/>
        </w:rPr>
        <w:t>评审原则和评审办法</w:t>
      </w:r>
    </w:p>
    <w:p>
      <w:pPr>
        <w:spacing w:line="120" w:lineRule="exact"/>
        <w:rPr>
          <w:rFonts w:ascii="宋体" w:hAnsi="宋体" w:eastAsia="宋体"/>
          <w:sz w:val="24"/>
          <w:szCs w:val="24"/>
        </w:rPr>
      </w:pPr>
    </w:p>
    <w:p>
      <w:pPr>
        <w:spacing w:line="240" w:lineRule="exact"/>
        <w:ind w:left="360"/>
        <w:rPr>
          <w:rFonts w:ascii="宋体" w:hAnsi="宋体" w:eastAsia="宋体"/>
          <w:sz w:val="24"/>
          <w:szCs w:val="24"/>
        </w:rPr>
      </w:pPr>
      <w:r>
        <w:rPr>
          <w:rFonts w:ascii="宋体" w:hAnsi="宋体" w:eastAsia="宋体" w:cs="宋体"/>
          <w:sz w:val="24"/>
          <w:szCs w:val="24"/>
        </w:rPr>
        <w:t>19.1 磋商小组必须坚持公平、公正、科学和择优的原则。</w:t>
      </w:r>
    </w:p>
    <w:p>
      <w:pPr>
        <w:spacing w:line="120" w:lineRule="exact"/>
        <w:rPr>
          <w:rFonts w:ascii="宋体" w:hAnsi="宋体" w:eastAsia="宋体"/>
          <w:sz w:val="24"/>
          <w:szCs w:val="24"/>
        </w:rPr>
      </w:pPr>
    </w:p>
    <w:p>
      <w:pPr>
        <w:spacing w:line="240" w:lineRule="exact"/>
        <w:ind w:left="360"/>
        <w:rPr>
          <w:rFonts w:ascii="宋体" w:hAnsi="宋体" w:eastAsia="宋体"/>
          <w:sz w:val="24"/>
          <w:szCs w:val="24"/>
        </w:rPr>
      </w:pPr>
      <w:r>
        <w:rPr>
          <w:rFonts w:ascii="宋体" w:hAnsi="宋体" w:eastAsia="宋体" w:cs="宋体"/>
          <w:sz w:val="24"/>
          <w:szCs w:val="24"/>
        </w:rPr>
        <w:t>19.2 评审办法：具体详见第四章评审办法。</w:t>
      </w:r>
    </w:p>
    <w:p>
      <w:pPr>
        <w:spacing w:line="120" w:lineRule="exact"/>
        <w:rPr>
          <w:rFonts w:ascii="宋体" w:hAnsi="宋体" w:eastAsia="宋体"/>
          <w:sz w:val="24"/>
          <w:szCs w:val="24"/>
        </w:rPr>
      </w:pPr>
    </w:p>
    <w:p>
      <w:pPr>
        <w:spacing w:line="240" w:lineRule="exact"/>
        <w:ind w:left="360"/>
        <w:rPr>
          <w:rFonts w:ascii="宋体" w:hAnsi="宋体" w:eastAsia="宋体"/>
          <w:sz w:val="24"/>
          <w:szCs w:val="24"/>
        </w:rPr>
      </w:pPr>
      <w:r>
        <w:rPr>
          <w:rFonts w:ascii="宋体" w:hAnsi="宋体" w:eastAsia="宋体" w:cs="宋体"/>
          <w:sz w:val="24"/>
          <w:szCs w:val="24"/>
        </w:rPr>
        <w:t>19.3 磋商小组应按磋商文件进行评审，不得擅自更改评审办法。</w:t>
      </w:r>
    </w:p>
    <w:p>
      <w:pPr>
        <w:spacing w:line="152" w:lineRule="exact"/>
        <w:rPr>
          <w:rFonts w:ascii="宋体" w:hAnsi="宋体" w:eastAsia="宋体"/>
          <w:sz w:val="24"/>
          <w:szCs w:val="24"/>
        </w:rPr>
      </w:pPr>
    </w:p>
    <w:p>
      <w:pPr>
        <w:spacing w:line="284" w:lineRule="exact"/>
        <w:ind w:firstLine="359"/>
        <w:rPr>
          <w:rFonts w:ascii="宋体" w:hAnsi="宋体" w:eastAsia="宋体"/>
          <w:sz w:val="24"/>
          <w:szCs w:val="24"/>
        </w:rPr>
      </w:pPr>
      <w:r>
        <w:rPr>
          <w:rFonts w:ascii="宋体" w:hAnsi="宋体" w:eastAsia="宋体" w:cs="宋体"/>
          <w:sz w:val="24"/>
          <w:szCs w:val="24"/>
        </w:rPr>
        <w:t>19.4 在评审过程中，磋商小组任何人不得对某个供应商发表任何倾向性意见，不得向其他磋商小组成员明示或者暗示自己的评审意见。</w:t>
      </w:r>
    </w:p>
    <w:p>
      <w:pPr>
        <w:spacing w:line="133" w:lineRule="exact"/>
        <w:rPr>
          <w:rFonts w:ascii="宋体" w:hAnsi="宋体" w:eastAsia="宋体"/>
          <w:sz w:val="24"/>
          <w:szCs w:val="24"/>
        </w:rPr>
      </w:pPr>
    </w:p>
    <w:p>
      <w:pPr>
        <w:spacing w:line="229" w:lineRule="exact"/>
        <w:ind w:right="-359"/>
        <w:jc w:val="center"/>
        <w:rPr>
          <w:rFonts w:ascii="宋体" w:hAnsi="宋体" w:eastAsia="宋体"/>
          <w:sz w:val="24"/>
          <w:szCs w:val="24"/>
        </w:rPr>
      </w:pPr>
      <w:r>
        <w:rPr>
          <w:rFonts w:ascii="宋体" w:hAnsi="宋体" w:eastAsia="宋体" w:cs="宋体"/>
          <w:sz w:val="24"/>
          <w:szCs w:val="24"/>
        </w:rPr>
        <w:t>19.5 磋商小组成员对需要共同认定的事项存在争议的，按照少数服从多数的原则作出结论。持不同</w:t>
      </w:r>
    </w:p>
    <w:p>
      <w:pPr>
        <w:spacing w:line="240" w:lineRule="exact"/>
        <w:rPr>
          <w:rFonts w:ascii="宋体" w:hAnsi="宋体" w:eastAsia="宋体"/>
          <w:sz w:val="24"/>
          <w:szCs w:val="24"/>
        </w:rPr>
      </w:pPr>
      <w:bookmarkStart w:id="49" w:name="page13"/>
      <w:bookmarkEnd w:id="49"/>
      <w:r>
        <w:rPr>
          <w:rFonts w:ascii="宋体" w:hAnsi="宋体" w:eastAsia="宋体" w:cs="宋体"/>
          <w:sz w:val="24"/>
          <w:szCs w:val="24"/>
        </w:rPr>
        <w:t>意见的磋商小组成员应当在评审报告上签署不同意见并说明理由，否则视为同意。</w:t>
      </w:r>
    </w:p>
    <w:p>
      <w:pPr>
        <w:spacing w:line="120" w:lineRule="exact"/>
        <w:rPr>
          <w:rFonts w:ascii="宋体" w:hAnsi="宋体" w:eastAsia="宋体"/>
          <w:sz w:val="24"/>
          <w:szCs w:val="24"/>
        </w:rPr>
      </w:pPr>
    </w:p>
    <w:p>
      <w:pPr>
        <w:numPr>
          <w:ilvl w:val="0"/>
          <w:numId w:val="21"/>
        </w:numPr>
        <w:tabs>
          <w:tab w:val="left" w:pos="800"/>
        </w:tabs>
        <w:spacing w:line="240" w:lineRule="exact"/>
        <w:ind w:left="800" w:hanging="432"/>
        <w:rPr>
          <w:rFonts w:ascii="宋体" w:hAnsi="宋体" w:eastAsia="宋体" w:cs="宋体"/>
          <w:b/>
          <w:bCs/>
          <w:sz w:val="24"/>
          <w:szCs w:val="24"/>
        </w:rPr>
      </w:pPr>
      <w:r>
        <w:rPr>
          <w:rFonts w:ascii="宋体" w:hAnsi="宋体" w:eastAsia="宋体" w:cs="宋体"/>
          <w:b/>
          <w:bCs/>
          <w:sz w:val="24"/>
          <w:szCs w:val="24"/>
        </w:rPr>
        <w:t>评审程序及磋商要求</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20.1 交易中心工作人员核实磋商小组成员身份，磋商小组确认回避要求、评审工作纪律和程序，统一保管通讯工具或相关电子设备，推选磋商小组组长。</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20.2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155"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20.3 磋商小组依据法律法规和竞争性磋商文件的规定，首先对响应文件中的资格证明等进行资格性审查，以确定供应商是否具备本项目供应商资格；</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在进行资格性审查时，磋商小组将进入《国家企业信用信息公示系统》对企业股东及出资等信息进行查询，对存在《中华人民共和国政府采购法实施条例》第十八条第一款情形的，其响应文件将被视为无效文件。</w:t>
      </w:r>
    </w:p>
    <w:p>
      <w:pPr>
        <w:spacing w:line="123"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审查流程：</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（1）进入《国家企业信用信息公示系统》（网址：http://www.gsxt.gov.cn/index.html），输入企业名称，进入企业信息主页面。</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（2）查看主页 “股东及出资信息”栏，或年报中的“股东及出资信息”栏信息。</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（3）将各供应商的股东及出资信息进行比对，如发现存在单位负责人为同一人或者存在直接控股、管理关系的不同供应商参加同一合同项下的政府采购活动，按无效处理。</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（4）将相关资料打印存档。</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磋商小组依据竞争性磋商文件的规定对通过资格性审查的供应商响应文件的有效性、完整性和对磋商文件的响应程度进行符合性审查，以确定是否对磋商文件的实质性要求做出响应。</w:t>
      </w:r>
    </w:p>
    <w:p>
      <w:pPr>
        <w:spacing w:line="153"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20.4 磋商小组如发现供应商提供的证明文件不齐全或不符合规定格式的，应一次性告知供应商，供应商应在规定的时间内当场补正或更正。</w:t>
      </w:r>
    </w:p>
    <w:p>
      <w:pPr>
        <w:spacing w:line="153" w:lineRule="exact"/>
        <w:rPr>
          <w:rFonts w:ascii="宋体" w:hAnsi="宋体" w:eastAsia="宋体"/>
          <w:sz w:val="24"/>
          <w:szCs w:val="24"/>
        </w:rPr>
      </w:pPr>
    </w:p>
    <w:p>
      <w:pPr>
        <w:spacing w:line="335" w:lineRule="exact"/>
        <w:ind w:right="100" w:firstLine="420"/>
        <w:jc w:val="both"/>
        <w:rPr>
          <w:rFonts w:ascii="宋体" w:hAnsi="宋体" w:eastAsia="宋体"/>
          <w:sz w:val="24"/>
          <w:szCs w:val="24"/>
        </w:rPr>
      </w:pPr>
      <w:r>
        <w:rPr>
          <w:rFonts w:ascii="宋体" w:hAnsi="宋体" w:eastAsia="宋体" w:cs="宋体"/>
          <w:sz w:val="24"/>
          <w:szCs w:val="24"/>
        </w:rPr>
        <w:t>20.5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或者加盖供应商公章（自然人除外）。由授权委托代表签字的，应当附授权委托书。供应商为自然人的，应当由本人签字并附身份证明。</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根据磋商文件规定的程序、评审办法等事项与实质性响应竞争性磋商文件要求的供应商进行磋商。</w:t>
      </w:r>
    </w:p>
    <w:p>
      <w:pPr>
        <w:spacing w:line="120" w:lineRule="exact"/>
        <w:rPr>
          <w:rFonts w:ascii="宋体" w:hAnsi="宋体" w:eastAsia="宋体"/>
          <w:sz w:val="24"/>
          <w:szCs w:val="24"/>
        </w:rPr>
      </w:pPr>
    </w:p>
    <w:p>
      <w:pPr>
        <w:spacing w:line="240" w:lineRule="exact"/>
        <w:rPr>
          <w:rFonts w:ascii="宋体" w:hAnsi="宋体" w:eastAsia="宋体"/>
          <w:sz w:val="24"/>
          <w:szCs w:val="24"/>
        </w:rPr>
      </w:pPr>
      <w:r>
        <w:rPr>
          <w:rFonts w:ascii="宋体" w:hAnsi="宋体" w:eastAsia="宋体" w:cs="宋体"/>
          <w:sz w:val="24"/>
          <w:szCs w:val="24"/>
        </w:rPr>
        <w:t>未实质性响应磋商文件的响应文件按无效处理，磋商小组应当告知有关供应商。</w:t>
      </w:r>
    </w:p>
    <w:p>
      <w:pPr>
        <w:spacing w:line="152"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磋商小组所有成员应当按已确定的磋商顺序集中与单一供应商分别进行磋商，并给予所有实质性响应竞争性磋商文件要求的供应商平等的磋商机会。</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磋商中，磋商小组不得透露与磋商有关的其他供应商的技术资料、价格和其他信息。</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磋商小组应对磋商过程和重要磋商内容进行记录，磋商双方在记录上签字确认。</w:t>
      </w:r>
    </w:p>
    <w:p>
      <w:pPr>
        <w:spacing w:line="152"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20.6 在磋商过程中，磋商小组可以根据磋商文件和磋商情况实质性变动采购需求中的技术、服务要求以及合同草案条款，但不得变动磋商文件中的其他内容。实质性变动的内容，须经采购人代表确认。</w:t>
      </w:r>
    </w:p>
    <w:p>
      <w:pPr>
        <w:spacing w:line="153"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对磋商文件作出的实质性变动是磋商文件的有效组成部分，磋商小组应当及时以书面形式同时通知所有参加磋商的供应商。</w:t>
      </w:r>
    </w:p>
    <w:p>
      <w:pPr>
        <w:spacing w:line="309" w:lineRule="exact"/>
        <w:ind w:right="100" w:firstLine="480" w:firstLineChars="200"/>
        <w:jc w:val="both"/>
        <w:rPr>
          <w:rFonts w:ascii="宋体" w:hAnsi="宋体" w:eastAsia="宋体"/>
          <w:sz w:val="24"/>
          <w:szCs w:val="24"/>
        </w:rPr>
      </w:pPr>
      <w:bookmarkStart w:id="50" w:name="page14"/>
      <w:bookmarkEnd w:id="50"/>
      <w:r>
        <w:rPr>
          <w:rFonts w:ascii="宋体" w:hAnsi="宋体" w:eastAsia="宋体" w:cs="宋体"/>
          <w:sz w:val="24"/>
          <w:szCs w:val="24"/>
        </w:rPr>
        <w:t>供应商应当按照磋商文件的变动情况和磋商小组的要求重新提交响应文件，并由其法定代表人、负责人、自然人或相应的授权委托代表签字或者加盖供应商公章（自然人除外）。逾时不交的，视同放弃磋商。</w:t>
      </w:r>
    </w:p>
    <w:p>
      <w:pPr>
        <w:spacing w:line="123"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20.7 最后报价</w:t>
      </w:r>
    </w:p>
    <w:p>
      <w:pPr>
        <w:spacing w:line="152" w:lineRule="exact"/>
        <w:rPr>
          <w:rFonts w:ascii="宋体" w:hAnsi="宋体" w:eastAsia="宋体"/>
          <w:sz w:val="24"/>
          <w:szCs w:val="24"/>
        </w:rPr>
      </w:pPr>
    </w:p>
    <w:p>
      <w:pPr>
        <w:spacing w:line="330" w:lineRule="exact"/>
        <w:ind w:right="100" w:firstLine="420"/>
        <w:jc w:val="both"/>
        <w:rPr>
          <w:rFonts w:ascii="宋体" w:hAnsi="宋体" w:eastAsia="宋体"/>
          <w:sz w:val="24"/>
          <w:szCs w:val="24"/>
        </w:rPr>
      </w:pPr>
      <w:r>
        <w:rPr>
          <w:rFonts w:ascii="宋体" w:hAnsi="宋体" w:eastAsia="宋体" w:cs="宋体"/>
          <w:sz w:val="24"/>
          <w:szCs w:val="24"/>
        </w:rPr>
        <w:t>20.7.1 根据财库【2015】124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20.7.2 已提交响应文件的供应商，在提交最后报价之前，可以根据磋商情况书面退出磋商。</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20.7.3 最后报价是供应商响应文件的有效组成部分。未书面退出磋商的供应商在规定时间内密封提交最后报价，其最后报价超出采购预算导致已通过评审的响应文件无效的，按供应商在提交响应文件截止时间后撤回响应文件处理。</w:t>
      </w:r>
    </w:p>
    <w:p>
      <w:pPr>
        <w:spacing w:line="123"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20.8 综合比较与评价</w:t>
      </w:r>
    </w:p>
    <w:p>
      <w:pPr>
        <w:spacing w:line="152" w:lineRule="exact"/>
        <w:rPr>
          <w:rFonts w:ascii="宋体" w:hAnsi="宋体" w:eastAsia="宋体"/>
          <w:sz w:val="24"/>
          <w:szCs w:val="24"/>
        </w:rPr>
      </w:pPr>
    </w:p>
    <w:p>
      <w:pPr>
        <w:spacing w:line="284" w:lineRule="exact"/>
        <w:ind w:right="160" w:firstLine="420"/>
        <w:rPr>
          <w:rFonts w:ascii="宋体" w:hAnsi="宋体" w:eastAsia="宋体"/>
          <w:sz w:val="24"/>
          <w:szCs w:val="24"/>
        </w:rPr>
      </w:pPr>
      <w:r>
        <w:rPr>
          <w:rFonts w:ascii="宋体" w:hAnsi="宋体" w:eastAsia="宋体" w:cs="宋体"/>
          <w:sz w:val="24"/>
          <w:szCs w:val="24"/>
        </w:rPr>
        <w:t>20.8.1 磋商小组按竞争性磋商文件中规定的评审办法，对资格性审查和符合性审查合格的响应文件进行商务和技术评估，综合比较与评价。</w:t>
      </w:r>
    </w:p>
    <w:p>
      <w:pPr>
        <w:spacing w:line="153" w:lineRule="exact"/>
        <w:rPr>
          <w:rFonts w:ascii="宋体" w:hAnsi="宋体" w:eastAsia="宋体"/>
          <w:sz w:val="24"/>
          <w:szCs w:val="24"/>
        </w:rPr>
      </w:pPr>
    </w:p>
    <w:p>
      <w:pPr>
        <w:spacing w:line="284" w:lineRule="exact"/>
        <w:ind w:right="160" w:firstLine="420"/>
        <w:rPr>
          <w:rFonts w:ascii="宋体" w:hAnsi="宋体" w:eastAsia="宋体"/>
          <w:sz w:val="24"/>
          <w:szCs w:val="24"/>
        </w:rPr>
      </w:pPr>
      <w:r>
        <w:rPr>
          <w:rFonts w:ascii="宋体" w:hAnsi="宋体" w:eastAsia="宋体" w:cs="宋体"/>
          <w:sz w:val="24"/>
          <w:szCs w:val="24"/>
        </w:rPr>
        <w:t>20.8.2 采购代理机构对评审数据进行校对、核对，对畸高、畸低的重大差异评分提示磋商小组复核或书面说明理由。</w:t>
      </w:r>
    </w:p>
    <w:p>
      <w:pPr>
        <w:spacing w:line="153" w:lineRule="exact"/>
        <w:rPr>
          <w:rFonts w:ascii="宋体" w:hAnsi="宋体" w:eastAsia="宋体"/>
          <w:sz w:val="24"/>
          <w:szCs w:val="24"/>
        </w:rPr>
      </w:pPr>
    </w:p>
    <w:p>
      <w:pPr>
        <w:spacing w:line="338" w:lineRule="exact"/>
        <w:ind w:right="100" w:firstLine="420"/>
        <w:jc w:val="both"/>
        <w:rPr>
          <w:rFonts w:ascii="宋体" w:hAnsi="宋体" w:eastAsia="宋体"/>
          <w:sz w:val="24"/>
          <w:szCs w:val="24"/>
        </w:rPr>
      </w:pPr>
      <w:r>
        <w:rPr>
          <w:rFonts w:ascii="宋体" w:hAnsi="宋体" w:eastAsia="宋体" w:cs="宋体"/>
          <w:sz w:val="24"/>
          <w:szCs w:val="24"/>
        </w:rPr>
        <w:t>20.8.3 磋商小组应当根据综合评分情况，按照评审得分由高到低顺序推荐 3 名以上（含 3 名）成交候选供应商，并编写评审报告；如采购项目为政府购买服务项目（含政府和社会资本合作项目），在采购过程中符合要求的供应商（社会资本）只有 2 家的，竞争性磋商采购活动可以继续进行，磋商小组应当根据综合评分情况，按照评审得分由高到低顺序推荐 2 名以上（含 2 名）成交候选供应商，并编写评审报告。磋商小组根据综合得分由高到低排列次序，若得分相同时，以评标报价由低到高顺序排列；若得分相同且评标报价相同的，以磋商报价由低到高顺序排列；若仍相同时，按服务方案得分由高到低的顺序排列并推荐成交供应商。若仍相同时，则由磋商小组集体讨论确定。</w:t>
      </w:r>
    </w:p>
    <w:p>
      <w:pPr>
        <w:spacing w:line="158" w:lineRule="exact"/>
        <w:rPr>
          <w:rFonts w:ascii="宋体" w:hAnsi="宋体" w:eastAsia="宋体"/>
          <w:sz w:val="24"/>
          <w:szCs w:val="24"/>
        </w:rPr>
      </w:pPr>
    </w:p>
    <w:p>
      <w:pPr>
        <w:spacing w:line="284" w:lineRule="exact"/>
        <w:ind w:firstLine="420"/>
        <w:rPr>
          <w:rFonts w:ascii="宋体" w:hAnsi="宋体" w:eastAsia="宋体"/>
          <w:sz w:val="24"/>
          <w:szCs w:val="24"/>
        </w:rPr>
      </w:pPr>
      <w:r>
        <w:rPr>
          <w:rFonts w:ascii="宋体" w:hAnsi="宋体" w:eastAsia="宋体" w:cs="宋体"/>
          <w:sz w:val="24"/>
          <w:szCs w:val="24"/>
        </w:rPr>
        <w:t>20.9、在评审过程中出现法律法规和磋商文件均没有明确规定的情形时，由磋商小组现场协商解决，协商不一致的，由全体磋商小组投票表决，以得票率二分之一以上专家的意见为准。</w:t>
      </w:r>
    </w:p>
    <w:p>
      <w:pPr>
        <w:spacing w:line="153" w:lineRule="exact"/>
        <w:rPr>
          <w:rFonts w:ascii="宋体" w:hAnsi="宋体" w:eastAsia="宋体"/>
          <w:sz w:val="24"/>
          <w:szCs w:val="24"/>
        </w:rPr>
      </w:pPr>
    </w:p>
    <w:p>
      <w:pPr>
        <w:spacing w:line="284" w:lineRule="exact"/>
        <w:ind w:right="160" w:firstLine="420"/>
        <w:rPr>
          <w:rFonts w:ascii="宋体" w:hAnsi="宋体" w:eastAsia="宋体"/>
          <w:sz w:val="24"/>
          <w:szCs w:val="24"/>
        </w:rPr>
      </w:pPr>
      <w:r>
        <w:rPr>
          <w:rFonts w:ascii="宋体" w:hAnsi="宋体" w:eastAsia="宋体" w:cs="宋体"/>
          <w:sz w:val="24"/>
          <w:szCs w:val="24"/>
        </w:rPr>
        <w:t>20.10、采购代理机构发现磋商小组有明显的违规倾向或歧视现象，或不按评审办法进行，或其他不正常行为的，应当及时制止。如制止无效，应及时向灵川县政府采购监督管理机构报告。</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20.11、磋商小组判断响应文件的响应性仅基于响应文件本身而不靠外部证据。</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21、本磋商项目是以采购预算总金额为最高限价，超出采购预算总金额的最后报价，磋商小组可以不予以评审。当全部最后报价均超出采购预算总金额时，磋商小组有权决定全部废标或以书面形式要求所有供应商在规定时间内以书面密封形式重新报价。</w:t>
      </w:r>
    </w:p>
    <w:p>
      <w:pPr>
        <w:spacing w:line="124" w:lineRule="exact"/>
        <w:rPr>
          <w:rFonts w:ascii="宋体" w:hAnsi="宋体" w:eastAsia="宋体"/>
          <w:sz w:val="24"/>
          <w:szCs w:val="24"/>
        </w:rPr>
      </w:pPr>
    </w:p>
    <w:p>
      <w:pPr>
        <w:numPr>
          <w:ilvl w:val="0"/>
          <w:numId w:val="22"/>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确定成交供应商</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22.1 采购单位应当确定磋商小组推荐排名第一的成交候选人为成交供应商。</w:t>
      </w:r>
    </w:p>
    <w:p>
      <w:pPr>
        <w:spacing w:line="152" w:lineRule="exact"/>
        <w:rPr>
          <w:rFonts w:ascii="宋体" w:hAnsi="宋体" w:eastAsia="宋体"/>
          <w:sz w:val="24"/>
          <w:szCs w:val="24"/>
        </w:rPr>
      </w:pPr>
    </w:p>
    <w:p>
      <w:pPr>
        <w:spacing w:line="284" w:lineRule="exact"/>
        <w:ind w:firstLine="448"/>
        <w:rPr>
          <w:rFonts w:ascii="宋体" w:hAnsi="宋体" w:eastAsia="宋体"/>
          <w:sz w:val="24"/>
          <w:szCs w:val="24"/>
        </w:rPr>
      </w:pPr>
      <w:r>
        <w:rPr>
          <w:rFonts w:ascii="宋体" w:hAnsi="宋体" w:eastAsia="宋体" w:cs="宋体"/>
          <w:sz w:val="24"/>
          <w:szCs w:val="24"/>
        </w:rPr>
        <w:t>22.2 排名第一的成交候选人放弃成交、因不可抗力提出不能履行合同，或者磋商文件规定应当提交履约保证金而在规定的期限内未能提交的，采购单位可以确定排名第二的成交候选人为成交供应商。</w:t>
      </w:r>
    </w:p>
    <w:p>
      <w:pPr>
        <w:spacing w:line="153"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22.3 排名第二的成交候选人因前款规定的同样原因不能签订合同的，采购单位可以确定排名第三的成交候选人为成交供应商。</w:t>
      </w:r>
    </w:p>
    <w:p>
      <w:pPr>
        <w:spacing w:line="240" w:lineRule="exact"/>
        <w:rPr>
          <w:rFonts w:ascii="宋体" w:hAnsi="宋体" w:eastAsia="宋体" w:cs="宋体"/>
          <w:sz w:val="24"/>
          <w:szCs w:val="24"/>
        </w:rPr>
      </w:pPr>
      <w:bookmarkStart w:id="51" w:name="page15"/>
      <w:bookmarkEnd w:id="51"/>
    </w:p>
    <w:p>
      <w:pPr>
        <w:spacing w:line="240" w:lineRule="exact"/>
        <w:ind w:firstLine="480" w:firstLineChars="200"/>
        <w:rPr>
          <w:rFonts w:ascii="宋体" w:hAnsi="宋体" w:eastAsia="宋体"/>
          <w:sz w:val="24"/>
          <w:szCs w:val="24"/>
        </w:rPr>
      </w:pPr>
      <w:r>
        <w:rPr>
          <w:rFonts w:ascii="宋体" w:hAnsi="宋体" w:eastAsia="宋体" w:cs="宋体"/>
          <w:sz w:val="24"/>
          <w:szCs w:val="24"/>
        </w:rPr>
        <w:t>22.4 成交人信用信息查询：</w:t>
      </w:r>
    </w:p>
    <w:p>
      <w:pPr>
        <w:spacing w:line="152" w:lineRule="exact"/>
        <w:rPr>
          <w:rFonts w:ascii="宋体" w:hAnsi="宋体" w:eastAsia="宋体"/>
          <w:sz w:val="24"/>
          <w:szCs w:val="24"/>
        </w:rPr>
      </w:pPr>
    </w:p>
    <w:p>
      <w:pPr>
        <w:spacing w:line="284" w:lineRule="exact"/>
        <w:ind w:firstLine="420"/>
        <w:jc w:val="both"/>
        <w:rPr>
          <w:rFonts w:ascii="宋体" w:hAnsi="宋体" w:eastAsia="宋体"/>
          <w:sz w:val="24"/>
          <w:szCs w:val="24"/>
        </w:rPr>
      </w:pPr>
      <w:r>
        <w:rPr>
          <w:rFonts w:ascii="宋体" w:hAnsi="宋体" w:eastAsia="宋体" w:cs="宋体"/>
          <w:sz w:val="24"/>
          <w:szCs w:val="24"/>
        </w:rPr>
        <w:t>根据《关于做好政府采购有关信用主体标识码登记及在政府采购活动中查询使用信用记录有关问题的通知》（桂财采〔2016〕37），由采购代理机构对第一成交候选人进行信用查询：</w:t>
      </w:r>
    </w:p>
    <w:p>
      <w:pPr>
        <w:spacing w:line="153" w:lineRule="exact"/>
        <w:rPr>
          <w:rFonts w:ascii="宋体" w:hAnsi="宋体" w:eastAsia="宋体"/>
          <w:sz w:val="24"/>
          <w:szCs w:val="24"/>
        </w:rPr>
      </w:pPr>
    </w:p>
    <w:p>
      <w:pPr>
        <w:spacing w:line="284" w:lineRule="exact"/>
        <w:ind w:firstLine="420"/>
        <w:jc w:val="both"/>
        <w:rPr>
          <w:rFonts w:ascii="宋体" w:hAnsi="宋体" w:eastAsia="宋体"/>
          <w:sz w:val="24"/>
          <w:szCs w:val="24"/>
        </w:rPr>
      </w:pPr>
      <w:r>
        <w:rPr>
          <w:rFonts w:ascii="宋体" w:hAnsi="宋体" w:eastAsia="宋体" w:cs="宋体"/>
          <w:sz w:val="24"/>
          <w:szCs w:val="24"/>
        </w:rPr>
        <w:t>（1）查询渠道：“信用中国”网站(www.creditchina.gov.cn)、中国政府采购网(www.ccgp.gov.cn)等；</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（2）查询截止时点：成交通知书发出前；</w:t>
      </w:r>
    </w:p>
    <w:p>
      <w:pPr>
        <w:spacing w:line="152" w:lineRule="exact"/>
        <w:rPr>
          <w:rFonts w:ascii="宋体" w:hAnsi="宋体" w:eastAsia="宋体"/>
          <w:sz w:val="24"/>
          <w:szCs w:val="24"/>
        </w:rPr>
      </w:pPr>
    </w:p>
    <w:p>
      <w:pPr>
        <w:spacing w:line="284" w:lineRule="exact"/>
        <w:ind w:firstLine="420"/>
        <w:jc w:val="both"/>
        <w:rPr>
          <w:rFonts w:ascii="宋体" w:hAnsi="宋体" w:eastAsia="宋体"/>
          <w:sz w:val="24"/>
          <w:szCs w:val="24"/>
        </w:rPr>
      </w:pPr>
      <w:r>
        <w:rPr>
          <w:rFonts w:ascii="宋体" w:hAnsi="宋体" w:eastAsia="宋体" w:cs="宋体"/>
          <w:sz w:val="24"/>
          <w:szCs w:val="24"/>
        </w:rPr>
        <w:t>（3）信用信息查询记录和证据留存方式：在查询网站中直接打印查询记录，打印材料作为采购活动资料保存。</w:t>
      </w:r>
    </w:p>
    <w:p>
      <w:pPr>
        <w:spacing w:line="153" w:lineRule="exact"/>
        <w:rPr>
          <w:rFonts w:ascii="宋体" w:hAnsi="宋体" w:eastAsia="宋体"/>
          <w:sz w:val="24"/>
          <w:szCs w:val="24"/>
        </w:rPr>
      </w:pPr>
    </w:p>
    <w:p>
      <w:pPr>
        <w:spacing w:line="322" w:lineRule="exact"/>
        <w:ind w:firstLine="420"/>
        <w:jc w:val="both"/>
        <w:rPr>
          <w:rFonts w:ascii="宋体" w:hAnsi="宋体" w:eastAsia="宋体" w:cs="宋体"/>
          <w:sz w:val="24"/>
          <w:szCs w:val="24"/>
        </w:rPr>
      </w:pPr>
      <w:r>
        <w:rPr>
          <w:rFonts w:ascii="宋体" w:hAnsi="宋体" w:eastAsia="宋体" w:cs="宋体"/>
          <w:sz w:val="24"/>
          <w:szCs w:val="24"/>
        </w:rPr>
        <w:t>（4）信用信息使用规则：对在“信用中国”网站（</w:t>
      </w:r>
      <w:r>
        <w:fldChar w:fldCharType="begin"/>
      </w:r>
      <w:r>
        <w:instrText xml:space="preserve"> HYPERLINK "http://www.creditchina.gov.cn/" \h </w:instrText>
      </w:r>
      <w:r>
        <w:fldChar w:fldCharType="separate"/>
      </w:r>
      <w:r>
        <w:rPr>
          <w:rFonts w:ascii="宋体" w:hAnsi="宋体" w:eastAsia="宋体" w:cs="宋体"/>
          <w:sz w:val="24"/>
          <w:szCs w:val="24"/>
        </w:rPr>
        <w:t>www.creditchina.gov.cn</w:t>
      </w:r>
      <w:r>
        <w:rPr>
          <w:rFonts w:ascii="宋体" w:hAnsi="宋体" w:eastAsia="宋体" w:cs="宋体"/>
          <w:sz w:val="24"/>
          <w:szCs w:val="24"/>
        </w:rPr>
        <w:fldChar w:fldCharType="end"/>
      </w:r>
      <w:r>
        <w:rPr>
          <w:rFonts w:ascii="宋体" w:hAnsi="宋体" w:eastAsia="宋体" w:cs="宋体"/>
          <w:sz w:val="24"/>
          <w:szCs w:val="24"/>
        </w:rPr>
        <w:t>）、中国政府采购网（</w:t>
      </w:r>
      <w:r>
        <w:fldChar w:fldCharType="begin"/>
      </w:r>
      <w:r>
        <w:instrText xml:space="preserve"> HYPERLINK "http://www.ccgp.gov.cn/" \h </w:instrText>
      </w:r>
      <w:r>
        <w:fldChar w:fldCharType="separate"/>
      </w:r>
      <w:r>
        <w:rPr>
          <w:rFonts w:ascii="宋体" w:hAnsi="宋体" w:eastAsia="宋体" w:cs="宋体"/>
          <w:sz w:val="24"/>
          <w:szCs w:val="24"/>
        </w:rPr>
        <w:t>www.ccgp.gov.cn</w:t>
      </w:r>
      <w:r>
        <w:rPr>
          <w:rFonts w:ascii="宋体" w:hAnsi="宋体" w:eastAsia="宋体" w:cs="宋体"/>
          <w:sz w:val="24"/>
          <w:szCs w:val="24"/>
        </w:rPr>
        <w:fldChar w:fldCharType="end"/>
      </w:r>
      <w:r>
        <w:rPr>
          <w:rFonts w:ascii="宋体" w:hAnsi="宋体" w:eastAsia="宋体" w:cs="宋体"/>
          <w:sz w:val="24"/>
          <w:szCs w:val="24"/>
        </w:rPr>
        <w:t>）等渠道列入失信被执行人、重大税收违法案件当事人名单、政府采购严重违法失信行为记录名单及其他不符合《中华人民共和国政府采购法》第二十二条规定条件的供应商，取消其成交候选人资格。</w:t>
      </w:r>
    </w:p>
    <w:p>
      <w:pPr>
        <w:spacing w:line="123" w:lineRule="exact"/>
        <w:rPr>
          <w:rFonts w:ascii="宋体" w:hAnsi="宋体" w:eastAsia="宋体"/>
          <w:sz w:val="24"/>
          <w:szCs w:val="24"/>
        </w:rPr>
      </w:pPr>
    </w:p>
    <w:p>
      <w:pPr>
        <w:numPr>
          <w:ilvl w:val="0"/>
          <w:numId w:val="23"/>
        </w:numPr>
        <w:tabs>
          <w:tab w:val="left" w:pos="920"/>
        </w:tabs>
        <w:spacing w:line="240" w:lineRule="exact"/>
        <w:ind w:left="920" w:hanging="433"/>
        <w:rPr>
          <w:rFonts w:ascii="宋体" w:hAnsi="宋体" w:eastAsia="宋体" w:cs="宋体"/>
          <w:b/>
          <w:bCs/>
          <w:sz w:val="24"/>
          <w:szCs w:val="24"/>
        </w:rPr>
      </w:pPr>
      <w:r>
        <w:rPr>
          <w:rFonts w:ascii="宋体" w:hAnsi="宋体" w:eastAsia="宋体" w:cs="宋体"/>
          <w:b/>
          <w:bCs/>
          <w:sz w:val="24"/>
          <w:szCs w:val="24"/>
        </w:rPr>
        <w:t>属于下列情况之一者，响应文件无效：</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（1）未按磋商文件规定完整提交响应文件或未按规定要求密封、签字、盖章的；</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（2）超越了行政审批的经营范围的；</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（3）不具备磋商文件规定的资格要求的；</w:t>
      </w:r>
    </w:p>
    <w:p>
      <w:pPr>
        <w:spacing w:line="152" w:lineRule="exact"/>
        <w:rPr>
          <w:rFonts w:ascii="宋体" w:hAnsi="宋体" w:eastAsia="宋体"/>
          <w:sz w:val="24"/>
          <w:szCs w:val="24"/>
        </w:rPr>
      </w:pPr>
    </w:p>
    <w:p>
      <w:pPr>
        <w:spacing w:line="309" w:lineRule="exact"/>
        <w:ind w:left="420" w:right="2600"/>
        <w:rPr>
          <w:rFonts w:ascii="宋体" w:hAnsi="宋体" w:eastAsia="宋体"/>
          <w:sz w:val="24"/>
          <w:szCs w:val="24"/>
        </w:rPr>
      </w:pPr>
      <w:r>
        <w:rPr>
          <w:rFonts w:ascii="宋体" w:hAnsi="宋体" w:eastAsia="宋体" w:cs="宋体"/>
          <w:sz w:val="24"/>
          <w:szCs w:val="24"/>
        </w:rPr>
        <w:t>（4）响应文件未按磋商文件的内容和要求编制，或提供虚假材料的；（5）属于“必须提供”的响应文件未能按时提供或补正、更正的；（6）响应文件有效期、交付时间、服务期不能满足磋商文件要求的；</w:t>
      </w:r>
    </w:p>
    <w:p>
      <w:pPr>
        <w:spacing w:line="153" w:lineRule="exact"/>
        <w:rPr>
          <w:rFonts w:ascii="宋体" w:hAnsi="宋体" w:eastAsia="宋体"/>
          <w:sz w:val="24"/>
          <w:szCs w:val="24"/>
        </w:rPr>
      </w:pPr>
    </w:p>
    <w:p>
      <w:pPr>
        <w:spacing w:line="284" w:lineRule="exact"/>
        <w:ind w:left="420" w:right="80" w:hanging="7"/>
        <w:rPr>
          <w:rFonts w:ascii="宋体" w:hAnsi="宋体" w:eastAsia="宋体"/>
          <w:sz w:val="24"/>
          <w:szCs w:val="24"/>
        </w:rPr>
      </w:pPr>
      <w:r>
        <w:rPr>
          <w:rFonts w:ascii="宋体" w:hAnsi="宋体" w:eastAsia="宋体" w:cs="宋体"/>
          <w:sz w:val="24"/>
          <w:szCs w:val="24"/>
        </w:rPr>
        <w:t>（7）供应商未就“采购需求”中的所有内容作完整唯一报价的，或报价超出采购预算总金额的；（8）未在磋商小组规定的时间内重新提交响应文件的；</w:t>
      </w:r>
    </w:p>
    <w:p>
      <w:pPr>
        <w:spacing w:line="153" w:lineRule="exact"/>
        <w:rPr>
          <w:rFonts w:ascii="宋体" w:hAnsi="宋体" w:eastAsia="宋体"/>
          <w:sz w:val="24"/>
          <w:szCs w:val="24"/>
        </w:rPr>
      </w:pPr>
    </w:p>
    <w:p>
      <w:pPr>
        <w:spacing w:line="284" w:lineRule="exact"/>
        <w:ind w:firstLine="420"/>
        <w:rPr>
          <w:rFonts w:ascii="宋体" w:hAnsi="宋体" w:eastAsia="宋体"/>
          <w:sz w:val="24"/>
          <w:szCs w:val="24"/>
        </w:rPr>
      </w:pPr>
      <w:r>
        <w:rPr>
          <w:rFonts w:ascii="宋体" w:hAnsi="宋体" w:eastAsia="宋体" w:cs="宋体"/>
          <w:sz w:val="24"/>
          <w:szCs w:val="24"/>
        </w:rPr>
        <w:t>（9）单位负责人为同一人或者存在直接控股、管理关系的不同供应商参加同一合同项下的政府采购活动的；</w:t>
      </w:r>
    </w:p>
    <w:p>
      <w:pPr>
        <w:spacing w:line="153" w:lineRule="exact"/>
        <w:rPr>
          <w:rFonts w:ascii="宋体" w:hAnsi="宋体" w:eastAsia="宋体"/>
          <w:sz w:val="24"/>
          <w:szCs w:val="24"/>
        </w:rPr>
      </w:pPr>
    </w:p>
    <w:p>
      <w:pPr>
        <w:spacing w:line="284" w:lineRule="exact"/>
        <w:ind w:left="420" w:right="800" w:firstLine="8"/>
        <w:rPr>
          <w:rFonts w:ascii="宋体" w:hAnsi="宋体" w:eastAsia="宋体"/>
          <w:sz w:val="24"/>
          <w:szCs w:val="24"/>
        </w:rPr>
      </w:pPr>
      <w:r>
        <w:rPr>
          <w:rFonts w:ascii="宋体" w:hAnsi="宋体" w:eastAsia="宋体" w:cs="宋体"/>
          <w:sz w:val="24"/>
          <w:szCs w:val="24"/>
        </w:rPr>
        <w:t>（10）未完全响应磋商文件实质性要求的或者响应文件有采购人不能接受的附加条件的；（11）不符合法律、法规和磋商文件规定的其他实质性要求和条件的。</w:t>
      </w:r>
    </w:p>
    <w:p>
      <w:pPr>
        <w:spacing w:line="122" w:lineRule="exact"/>
        <w:rPr>
          <w:rFonts w:ascii="宋体" w:hAnsi="宋体" w:eastAsia="宋体"/>
          <w:sz w:val="24"/>
          <w:szCs w:val="24"/>
        </w:rPr>
      </w:pPr>
    </w:p>
    <w:p>
      <w:pPr>
        <w:spacing w:line="240" w:lineRule="exact"/>
        <w:ind w:left="460"/>
        <w:rPr>
          <w:rFonts w:ascii="宋体" w:hAnsi="宋体" w:eastAsia="宋体"/>
          <w:sz w:val="24"/>
          <w:szCs w:val="24"/>
        </w:rPr>
      </w:pPr>
      <w:r>
        <w:rPr>
          <w:rFonts w:ascii="宋体" w:hAnsi="宋体" w:eastAsia="宋体" w:cs="宋体"/>
          <w:b/>
          <w:bCs/>
          <w:sz w:val="24"/>
          <w:szCs w:val="24"/>
        </w:rPr>
        <w:t>磋商供应商有下列情形之一的，视为串通磋商，响应文件将被视为无效：</w:t>
      </w:r>
    </w:p>
    <w:p>
      <w:pPr>
        <w:spacing w:line="152" w:lineRule="exact"/>
        <w:rPr>
          <w:rFonts w:ascii="宋体" w:hAnsi="宋体" w:eastAsia="宋体"/>
          <w:sz w:val="24"/>
          <w:szCs w:val="24"/>
        </w:rPr>
      </w:pPr>
    </w:p>
    <w:p>
      <w:pPr>
        <w:spacing w:line="284" w:lineRule="exact"/>
        <w:ind w:left="360" w:firstLine="103"/>
        <w:rPr>
          <w:rFonts w:ascii="宋体" w:hAnsi="宋体" w:eastAsia="宋体"/>
          <w:sz w:val="24"/>
          <w:szCs w:val="24"/>
        </w:rPr>
      </w:pPr>
      <w:r>
        <w:rPr>
          <w:rFonts w:ascii="宋体" w:hAnsi="宋体" w:eastAsia="宋体" w:cs="宋体"/>
          <w:sz w:val="24"/>
          <w:szCs w:val="24"/>
        </w:rPr>
        <w:t>（1）不同磋商供应商的响应文件由同一单位或者个人编制；或不同磋商供应商报名的 IP 地址一致的；</w:t>
      </w:r>
    </w:p>
    <w:p>
      <w:pPr>
        <w:spacing w:line="121" w:lineRule="exact"/>
        <w:rPr>
          <w:rFonts w:ascii="宋体" w:hAnsi="宋体" w:eastAsia="宋体"/>
          <w:sz w:val="24"/>
          <w:szCs w:val="24"/>
        </w:rPr>
      </w:pPr>
    </w:p>
    <w:p>
      <w:pPr>
        <w:spacing w:line="240" w:lineRule="exact"/>
        <w:ind w:left="460"/>
        <w:rPr>
          <w:rFonts w:ascii="宋体" w:hAnsi="宋体" w:eastAsia="宋体"/>
          <w:sz w:val="24"/>
          <w:szCs w:val="24"/>
        </w:rPr>
      </w:pPr>
      <w:r>
        <w:rPr>
          <w:rFonts w:ascii="宋体" w:hAnsi="宋体" w:eastAsia="宋体" w:cs="宋体"/>
          <w:sz w:val="24"/>
          <w:szCs w:val="24"/>
        </w:rPr>
        <w:t>（2）不同磋商供应商委托同一单位或者个人办理磋商事宜；</w:t>
      </w:r>
    </w:p>
    <w:p>
      <w:pPr>
        <w:spacing w:line="152" w:lineRule="exact"/>
        <w:rPr>
          <w:rFonts w:ascii="宋体" w:hAnsi="宋体" w:eastAsia="宋体"/>
          <w:sz w:val="24"/>
          <w:szCs w:val="24"/>
        </w:rPr>
      </w:pPr>
    </w:p>
    <w:p>
      <w:pPr>
        <w:spacing w:line="309" w:lineRule="exact"/>
        <w:ind w:left="460" w:right="2560"/>
        <w:jc w:val="both"/>
        <w:rPr>
          <w:rFonts w:ascii="宋体" w:hAnsi="宋体" w:eastAsia="宋体"/>
          <w:sz w:val="24"/>
          <w:szCs w:val="24"/>
        </w:rPr>
      </w:pPr>
      <w:r>
        <w:rPr>
          <w:rFonts w:ascii="宋体" w:hAnsi="宋体" w:eastAsia="宋体" w:cs="宋体"/>
          <w:sz w:val="24"/>
          <w:szCs w:val="24"/>
        </w:rPr>
        <w:t>（3）不同的磋商供应商的响应文件载明的项目管理员为同一个人；（4）不同磋商供应商的响应文件异常一致或磋商报价呈规律性差异；（5）不同磋商供应商的响应文件相互混装；</w:t>
      </w:r>
    </w:p>
    <w:p>
      <w:pPr>
        <w:spacing w:line="123"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（6）响应文件实质性要求未做变动，磋商供应商最后报价高于第一次报价的。</w:t>
      </w:r>
    </w:p>
    <w:p>
      <w:pPr>
        <w:spacing w:line="153" w:lineRule="exact"/>
        <w:rPr>
          <w:rFonts w:ascii="宋体" w:hAnsi="宋体" w:eastAsia="宋体"/>
          <w:sz w:val="24"/>
          <w:szCs w:val="24"/>
        </w:rPr>
      </w:pPr>
    </w:p>
    <w:p>
      <w:pPr>
        <w:numPr>
          <w:ilvl w:val="0"/>
          <w:numId w:val="24"/>
        </w:numPr>
        <w:tabs>
          <w:tab w:val="left" w:pos="836"/>
        </w:tabs>
        <w:spacing w:line="284" w:lineRule="exact"/>
        <w:ind w:firstLine="420"/>
        <w:rPr>
          <w:rFonts w:ascii="宋体" w:hAnsi="宋体" w:eastAsia="宋体" w:cs="宋体"/>
          <w:b/>
          <w:bCs/>
          <w:sz w:val="24"/>
          <w:szCs w:val="24"/>
        </w:rPr>
      </w:pPr>
      <w:r>
        <w:rPr>
          <w:rFonts w:ascii="宋体" w:hAnsi="宋体" w:eastAsia="宋体" w:cs="宋体"/>
          <w:b/>
          <w:bCs/>
          <w:sz w:val="24"/>
          <w:szCs w:val="24"/>
        </w:rPr>
        <w:t>出现下列情形之一的，采购人或者采购代理机构应当终止竞争性磋商采购活动，发布项目终止公告并说明原因，重新开展采购活动：</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（1）因情况变化，不再符合规定的竞争性磋商采购方式适用情形的；</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（2）出现影响采购公正的违法、违规行为的；</w:t>
      </w:r>
    </w:p>
    <w:p>
      <w:pPr>
        <w:spacing w:line="152" w:lineRule="exact"/>
        <w:rPr>
          <w:rFonts w:ascii="宋体" w:hAnsi="宋体" w:eastAsia="宋体"/>
          <w:sz w:val="24"/>
          <w:szCs w:val="24"/>
        </w:rPr>
      </w:pPr>
    </w:p>
    <w:p>
      <w:pPr>
        <w:spacing w:line="284" w:lineRule="exact"/>
        <w:ind w:firstLine="412"/>
        <w:rPr>
          <w:rFonts w:ascii="宋体" w:hAnsi="宋体" w:eastAsia="宋体"/>
          <w:sz w:val="24"/>
          <w:szCs w:val="24"/>
        </w:rPr>
      </w:pPr>
      <w:r>
        <w:rPr>
          <w:rFonts w:ascii="宋体" w:hAnsi="宋体" w:eastAsia="宋体" w:cs="宋体"/>
          <w:sz w:val="24"/>
          <w:szCs w:val="24"/>
        </w:rPr>
        <w:t>（3）采购项目为政府购买服务项目（含政府和社会资本合作项目），在采购过程中符合要求的供应商（社会资本）只有 1 家的。</w:t>
      </w:r>
    </w:p>
    <w:p>
      <w:pPr>
        <w:spacing w:line="285" w:lineRule="exact"/>
        <w:rPr>
          <w:rFonts w:ascii="宋体" w:hAnsi="宋体" w:eastAsia="宋体"/>
          <w:sz w:val="24"/>
          <w:szCs w:val="24"/>
        </w:rPr>
      </w:pPr>
    </w:p>
    <w:p>
      <w:pPr>
        <w:numPr>
          <w:ilvl w:val="0"/>
          <w:numId w:val="25"/>
        </w:numPr>
        <w:tabs>
          <w:tab w:val="left" w:pos="860"/>
        </w:tabs>
        <w:spacing w:line="240" w:lineRule="exact"/>
        <w:ind w:left="860" w:hanging="431"/>
        <w:rPr>
          <w:rFonts w:ascii="宋体" w:hAnsi="宋体" w:eastAsia="宋体" w:cs="宋体"/>
          <w:b/>
          <w:bCs/>
          <w:sz w:val="24"/>
          <w:szCs w:val="24"/>
        </w:rPr>
      </w:pPr>
      <w:bookmarkStart w:id="52" w:name="page16"/>
      <w:bookmarkEnd w:id="52"/>
      <w:r>
        <w:rPr>
          <w:rFonts w:ascii="宋体" w:hAnsi="宋体" w:eastAsia="宋体" w:cs="宋体"/>
          <w:b/>
          <w:bCs/>
          <w:sz w:val="24"/>
          <w:szCs w:val="24"/>
        </w:rPr>
        <w:t>磋商过程的监控</w:t>
      </w:r>
    </w:p>
    <w:p>
      <w:pPr>
        <w:spacing w:line="152" w:lineRule="exact"/>
        <w:rPr>
          <w:rFonts w:ascii="宋体" w:hAnsi="宋体" w:eastAsia="宋体"/>
          <w:sz w:val="24"/>
          <w:szCs w:val="24"/>
        </w:rPr>
      </w:pPr>
    </w:p>
    <w:p>
      <w:pPr>
        <w:spacing w:line="284" w:lineRule="exact"/>
        <w:ind w:right="100" w:firstLine="412"/>
        <w:rPr>
          <w:rFonts w:ascii="宋体" w:hAnsi="宋体" w:eastAsia="宋体"/>
          <w:sz w:val="24"/>
          <w:szCs w:val="24"/>
        </w:rPr>
      </w:pPr>
      <w:r>
        <w:rPr>
          <w:rFonts w:ascii="宋体" w:hAnsi="宋体" w:eastAsia="宋体" w:cs="宋体"/>
          <w:sz w:val="24"/>
          <w:szCs w:val="24"/>
        </w:rPr>
        <w:t>本项目磋商过程实行全程录音、录像监控，供应商在磋商过程中所进行的试图影响磋商结果的不公正活动，可能导致其磋商被拒绝。</w:t>
      </w:r>
    </w:p>
    <w:p>
      <w:pPr>
        <w:spacing w:line="121" w:lineRule="exact"/>
        <w:rPr>
          <w:rFonts w:ascii="宋体" w:hAnsi="宋体" w:eastAsia="宋体"/>
          <w:sz w:val="24"/>
          <w:szCs w:val="24"/>
        </w:rPr>
      </w:pPr>
    </w:p>
    <w:p>
      <w:pPr>
        <w:numPr>
          <w:ilvl w:val="0"/>
          <w:numId w:val="26"/>
        </w:numPr>
        <w:tabs>
          <w:tab w:val="left" w:pos="840"/>
        </w:tabs>
        <w:spacing w:line="240" w:lineRule="exact"/>
        <w:ind w:left="840" w:hanging="420"/>
        <w:rPr>
          <w:rFonts w:ascii="宋体" w:hAnsi="宋体" w:eastAsia="宋体" w:cs="宋体"/>
          <w:b/>
          <w:bCs/>
          <w:sz w:val="24"/>
          <w:szCs w:val="24"/>
        </w:rPr>
      </w:pPr>
      <w:r>
        <w:rPr>
          <w:rFonts w:ascii="宋体" w:hAnsi="宋体" w:eastAsia="宋体" w:cs="宋体"/>
          <w:b/>
          <w:bCs/>
          <w:sz w:val="24"/>
          <w:szCs w:val="24"/>
        </w:rPr>
        <w:t>成交公告及成交通知书</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26.1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155" w:lineRule="exact"/>
        <w:rPr>
          <w:rFonts w:ascii="宋体" w:hAnsi="宋体" w:eastAsia="宋体"/>
          <w:sz w:val="24"/>
          <w:szCs w:val="24"/>
        </w:rPr>
      </w:pPr>
    </w:p>
    <w:p>
      <w:pPr>
        <w:spacing w:line="284" w:lineRule="exact"/>
        <w:ind w:right="100" w:firstLine="412"/>
        <w:jc w:val="both"/>
        <w:rPr>
          <w:rFonts w:ascii="宋体" w:hAnsi="宋体" w:eastAsia="宋体"/>
          <w:sz w:val="24"/>
          <w:szCs w:val="24"/>
        </w:rPr>
      </w:pPr>
      <w:r>
        <w:rPr>
          <w:rFonts w:ascii="宋体" w:hAnsi="宋体" w:eastAsia="宋体" w:cs="宋体"/>
          <w:sz w:val="24"/>
          <w:szCs w:val="24"/>
        </w:rPr>
        <w:t>26.2 在发布成交公告的同时，采购代理机构向成交供应商发出成交通知书。成交供应商应自接到通知之日起七个工作日内，办理成交通知书领取手续。</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26.3 采购代理机构无义务向未成交的供应商解释未成交原因和退还响应文件。</w:t>
      </w:r>
    </w:p>
    <w:p>
      <w:pPr>
        <w:spacing w:line="200" w:lineRule="exact"/>
        <w:rPr>
          <w:rFonts w:ascii="宋体" w:hAnsi="宋体" w:eastAsia="宋体"/>
          <w:sz w:val="24"/>
          <w:szCs w:val="24"/>
        </w:rPr>
      </w:pPr>
    </w:p>
    <w:p>
      <w:pPr>
        <w:spacing w:line="211" w:lineRule="exact"/>
        <w:rPr>
          <w:rFonts w:ascii="宋体" w:hAnsi="宋体" w:eastAsia="宋体"/>
          <w:sz w:val="24"/>
          <w:szCs w:val="24"/>
        </w:rPr>
      </w:pPr>
    </w:p>
    <w:p>
      <w:pPr>
        <w:spacing w:line="320" w:lineRule="exact"/>
        <w:ind w:right="100"/>
        <w:jc w:val="center"/>
        <w:rPr>
          <w:rFonts w:ascii="宋体" w:hAnsi="宋体" w:eastAsia="宋体"/>
          <w:sz w:val="24"/>
          <w:szCs w:val="24"/>
        </w:rPr>
      </w:pPr>
      <w:r>
        <w:rPr>
          <w:rFonts w:ascii="宋体" w:hAnsi="宋体" w:eastAsia="宋体" w:cs="宋体"/>
          <w:b/>
          <w:bCs/>
          <w:sz w:val="24"/>
          <w:szCs w:val="24"/>
        </w:rPr>
        <w:t>五、签订合同</w:t>
      </w:r>
    </w:p>
    <w:p>
      <w:pPr>
        <w:spacing w:line="110" w:lineRule="exact"/>
        <w:rPr>
          <w:rFonts w:ascii="宋体" w:hAnsi="宋体" w:eastAsia="宋体"/>
          <w:sz w:val="24"/>
          <w:szCs w:val="24"/>
        </w:rPr>
      </w:pPr>
    </w:p>
    <w:p>
      <w:pPr>
        <w:numPr>
          <w:ilvl w:val="0"/>
          <w:numId w:val="27"/>
        </w:numPr>
        <w:tabs>
          <w:tab w:val="left" w:pos="840"/>
        </w:tabs>
        <w:spacing w:line="240" w:lineRule="exact"/>
        <w:ind w:left="840" w:hanging="420"/>
        <w:rPr>
          <w:rFonts w:ascii="宋体" w:hAnsi="宋体" w:eastAsia="宋体" w:cs="宋体"/>
          <w:b/>
          <w:bCs/>
          <w:sz w:val="24"/>
          <w:szCs w:val="24"/>
        </w:rPr>
      </w:pPr>
      <w:r>
        <w:rPr>
          <w:rFonts w:ascii="宋体" w:hAnsi="宋体" w:eastAsia="宋体" w:cs="宋体"/>
          <w:b/>
          <w:bCs/>
          <w:sz w:val="24"/>
          <w:szCs w:val="24"/>
        </w:rPr>
        <w:t>履约保证金</w:t>
      </w:r>
    </w:p>
    <w:p>
      <w:pPr>
        <w:spacing w:line="152" w:lineRule="exact"/>
        <w:rPr>
          <w:rFonts w:ascii="宋体" w:hAnsi="宋体" w:eastAsia="宋体"/>
          <w:sz w:val="24"/>
          <w:szCs w:val="24"/>
        </w:rPr>
      </w:pPr>
    </w:p>
    <w:p>
      <w:pPr>
        <w:spacing w:line="309" w:lineRule="exact"/>
        <w:ind w:left="20" w:right="100" w:firstLine="420"/>
        <w:jc w:val="both"/>
        <w:rPr>
          <w:rFonts w:ascii="宋体" w:hAnsi="宋体" w:eastAsia="宋体"/>
          <w:sz w:val="24"/>
          <w:szCs w:val="24"/>
        </w:rPr>
      </w:pPr>
      <w:r>
        <w:rPr>
          <w:rFonts w:ascii="宋体" w:hAnsi="宋体" w:eastAsia="宋体" w:cs="宋体"/>
          <w:sz w:val="24"/>
          <w:szCs w:val="24"/>
        </w:rPr>
        <w:t>27.1 履约保证金金额为政府采购合同金额的 5%（人民币，四舍五入到元），由成交供应商在签订合同时将履约保证金以非现金形式直接转入采购人的单位往来账户。供应商在提交履约保证金时，须在转款凭证上注明采购人及采购项目名称，到账后再由采购人开具往来款收据给转款供应商。</w:t>
      </w:r>
    </w:p>
    <w:p>
      <w:pPr>
        <w:spacing w:line="155" w:lineRule="exact"/>
        <w:rPr>
          <w:rFonts w:ascii="宋体" w:hAnsi="宋体" w:eastAsia="宋体"/>
          <w:sz w:val="24"/>
          <w:szCs w:val="24"/>
        </w:rPr>
      </w:pPr>
    </w:p>
    <w:p>
      <w:pPr>
        <w:spacing w:line="309" w:lineRule="exact"/>
        <w:ind w:left="20" w:right="100" w:firstLine="420"/>
        <w:jc w:val="both"/>
        <w:rPr>
          <w:rFonts w:ascii="宋体" w:hAnsi="宋体" w:eastAsia="宋体"/>
          <w:sz w:val="24"/>
          <w:szCs w:val="24"/>
        </w:rPr>
      </w:pPr>
      <w:r>
        <w:rPr>
          <w:rFonts w:ascii="宋体" w:hAnsi="宋体" w:eastAsia="宋体" w:cs="宋体"/>
          <w:sz w:val="24"/>
          <w:szCs w:val="24"/>
        </w:rPr>
        <w:t>27.2 如果成交供应商没能按上述第 27.1 款规定执行，采购代理机构将上报灵川县政府采购监督管理机构，取消该成交资格，其保证金不予退还，并有权授予第二成交候选人为成交供应商资格或重新组织采购。</w:t>
      </w:r>
    </w:p>
    <w:p>
      <w:pPr>
        <w:spacing w:line="155" w:lineRule="exact"/>
        <w:rPr>
          <w:rFonts w:ascii="宋体" w:hAnsi="宋体" w:eastAsia="宋体"/>
          <w:sz w:val="24"/>
          <w:szCs w:val="24"/>
        </w:rPr>
      </w:pPr>
    </w:p>
    <w:p>
      <w:pPr>
        <w:spacing w:line="322" w:lineRule="exact"/>
        <w:ind w:right="100" w:firstLine="420"/>
        <w:jc w:val="both"/>
        <w:rPr>
          <w:rFonts w:ascii="宋体" w:hAnsi="宋体" w:eastAsia="宋体"/>
          <w:sz w:val="24"/>
          <w:szCs w:val="24"/>
        </w:rPr>
      </w:pPr>
      <w:r>
        <w:rPr>
          <w:rFonts w:ascii="宋体" w:hAnsi="宋体" w:eastAsia="宋体" w:cs="宋体"/>
          <w:sz w:val="24"/>
          <w:szCs w:val="24"/>
        </w:rPr>
        <w:t>27.3 成交供应商履行完合同约定权利义务事项后，凭《政府采购项目履约验收单》、履约保证金转款凭证及往来款收据向采购人申请办理退还手续，采购人不得额外要求供应商提交其他证明材料，并应当自收到退还资料之日起 5 个工作日内退还其履约保证金（无息）。如成交供应商不按双方签订的合同规定履约，则没收其全部履约保证金，履约保证金不足以赔偿损失的，按实际损失赔偿。</w:t>
      </w:r>
    </w:p>
    <w:p>
      <w:pPr>
        <w:spacing w:line="154" w:lineRule="exact"/>
        <w:rPr>
          <w:rFonts w:ascii="宋体" w:hAnsi="宋体" w:eastAsia="宋体"/>
          <w:sz w:val="24"/>
          <w:szCs w:val="24"/>
        </w:rPr>
      </w:pPr>
    </w:p>
    <w:p>
      <w:pPr>
        <w:spacing w:line="284" w:lineRule="exact"/>
        <w:ind w:left="20" w:right="100" w:firstLine="420"/>
        <w:jc w:val="both"/>
        <w:rPr>
          <w:rFonts w:ascii="宋体" w:hAnsi="宋体" w:eastAsia="宋体"/>
          <w:sz w:val="24"/>
          <w:szCs w:val="24"/>
        </w:rPr>
      </w:pPr>
      <w:r>
        <w:rPr>
          <w:rFonts w:ascii="宋体" w:hAnsi="宋体" w:eastAsia="宋体" w:cs="宋体"/>
          <w:sz w:val="24"/>
          <w:szCs w:val="24"/>
        </w:rPr>
        <w:t>27.4 在履约保证金到期退还前，若成交供应商的开户名称、开户银行、账号有变动的，以书面形式通知采购人，否则由此产生的后果由成交供应商自负。</w:t>
      </w:r>
    </w:p>
    <w:p>
      <w:pPr>
        <w:spacing w:line="122" w:lineRule="exact"/>
        <w:rPr>
          <w:rFonts w:ascii="宋体" w:hAnsi="宋体" w:eastAsia="宋体"/>
          <w:sz w:val="24"/>
          <w:szCs w:val="24"/>
        </w:rPr>
      </w:pPr>
    </w:p>
    <w:p>
      <w:pPr>
        <w:numPr>
          <w:ilvl w:val="0"/>
          <w:numId w:val="28"/>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签订合同</w:t>
      </w:r>
    </w:p>
    <w:p>
      <w:pPr>
        <w:spacing w:line="152"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28.1 签订合同时间：成交通知书发出之日起三十日内。成交供应商领取成交通知书后，应按规定与采购人签订合同。</w:t>
      </w:r>
    </w:p>
    <w:p>
      <w:pPr>
        <w:spacing w:line="153" w:lineRule="exact"/>
        <w:rPr>
          <w:rFonts w:ascii="宋体" w:hAnsi="宋体" w:eastAsia="宋体"/>
          <w:sz w:val="24"/>
          <w:szCs w:val="24"/>
        </w:rPr>
      </w:pPr>
    </w:p>
    <w:p>
      <w:pPr>
        <w:spacing w:line="322" w:lineRule="exact"/>
        <w:ind w:firstLine="420"/>
        <w:jc w:val="both"/>
        <w:rPr>
          <w:rFonts w:ascii="宋体" w:hAnsi="宋体" w:eastAsia="宋体"/>
          <w:sz w:val="24"/>
          <w:szCs w:val="24"/>
        </w:rPr>
      </w:pPr>
      <w:r>
        <w:rPr>
          <w:rFonts w:ascii="宋体" w:hAnsi="宋体" w:eastAsia="宋体" w:cs="宋体"/>
          <w:sz w:val="24"/>
          <w:szCs w:val="24"/>
        </w:rPr>
        <w:t>28.2 如成交供应商有下列情形之一的，成交供应商的全部保证金不予退还，并上缴同级财政国库，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122"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（1）成交后不与采购人签订合同的（不可抗力除外）；</w:t>
      </w:r>
    </w:p>
    <w:p>
      <w:pPr>
        <w:spacing w:line="152" w:lineRule="exact"/>
        <w:rPr>
          <w:rFonts w:ascii="宋体" w:hAnsi="宋体" w:eastAsia="宋体"/>
          <w:sz w:val="24"/>
          <w:szCs w:val="24"/>
        </w:rPr>
      </w:pPr>
    </w:p>
    <w:p>
      <w:pPr>
        <w:spacing w:line="284" w:lineRule="exact"/>
        <w:ind w:right="160" w:firstLine="421"/>
        <w:rPr>
          <w:rFonts w:ascii="宋体" w:hAnsi="宋体" w:eastAsia="宋体"/>
          <w:sz w:val="24"/>
          <w:szCs w:val="24"/>
        </w:rPr>
      </w:pPr>
      <w:r>
        <w:rPr>
          <w:rFonts w:ascii="宋体" w:hAnsi="宋体" w:eastAsia="宋体" w:cs="宋体"/>
          <w:sz w:val="24"/>
          <w:szCs w:val="24"/>
        </w:rPr>
        <w:t>（2）将成交项目转让给他人，或者在响应文件中未说明，且未经采购人同意，将成交项目分包给他人的；</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（3）拒绝履行合同义务的。</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28.3 合同备案存档：政府采购合同双方自签订之日起 1 个工作日内将合同原件一份交采购代理机构、7 个工作日内将一份合同原件送灵川县政府采购管理办公室备案。采购代理机构将政府采购合同在省级以上人民政府财政部门指定媒体上公告并存档。</w:t>
      </w:r>
    </w:p>
    <w:p>
      <w:pPr>
        <w:spacing w:line="287" w:lineRule="exact"/>
        <w:rPr>
          <w:rFonts w:ascii="宋体" w:hAnsi="宋体" w:eastAsia="宋体"/>
          <w:sz w:val="24"/>
          <w:szCs w:val="24"/>
        </w:rPr>
      </w:pPr>
    </w:p>
    <w:p>
      <w:pPr>
        <w:spacing w:line="320" w:lineRule="exact"/>
        <w:jc w:val="center"/>
        <w:rPr>
          <w:rFonts w:ascii="宋体" w:hAnsi="宋体" w:eastAsia="宋体" w:cs="宋体"/>
          <w:b/>
          <w:bCs/>
          <w:sz w:val="24"/>
          <w:szCs w:val="24"/>
        </w:rPr>
      </w:pPr>
      <w:bookmarkStart w:id="53" w:name="page17"/>
      <w:bookmarkEnd w:id="53"/>
    </w:p>
    <w:p>
      <w:pPr>
        <w:spacing w:line="320" w:lineRule="exact"/>
        <w:jc w:val="cente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pPr>
    </w:p>
    <w:p/>
    <w:p>
      <w:pPr>
        <w:pStyle w:val="2"/>
      </w:pPr>
    </w:p>
    <w:p>
      <w:pPr>
        <w:spacing w:line="320" w:lineRule="exact"/>
        <w:jc w:val="center"/>
        <w:rPr>
          <w:rFonts w:ascii="宋体" w:hAnsi="宋体" w:eastAsia="宋体"/>
          <w:sz w:val="24"/>
          <w:szCs w:val="24"/>
        </w:rPr>
      </w:pPr>
      <w:r>
        <w:rPr>
          <w:rFonts w:ascii="宋体" w:hAnsi="宋体" w:eastAsia="宋体" w:cs="宋体"/>
          <w:b/>
          <w:bCs/>
          <w:sz w:val="24"/>
          <w:szCs w:val="24"/>
        </w:rPr>
        <w:t>六、其他事项</w:t>
      </w:r>
    </w:p>
    <w:p>
      <w:pPr>
        <w:spacing w:line="110" w:lineRule="exact"/>
        <w:rPr>
          <w:rFonts w:ascii="宋体" w:hAnsi="宋体" w:eastAsia="宋体"/>
          <w:sz w:val="24"/>
          <w:szCs w:val="24"/>
        </w:rPr>
      </w:pPr>
    </w:p>
    <w:p>
      <w:pPr>
        <w:numPr>
          <w:ilvl w:val="0"/>
          <w:numId w:val="29"/>
        </w:numPr>
        <w:tabs>
          <w:tab w:val="left" w:pos="940"/>
        </w:tabs>
        <w:spacing w:line="240" w:lineRule="exact"/>
        <w:ind w:left="940" w:hanging="416"/>
        <w:rPr>
          <w:rFonts w:ascii="宋体" w:hAnsi="宋体" w:eastAsia="宋体" w:cs="宋体"/>
          <w:b/>
          <w:bCs/>
          <w:sz w:val="24"/>
          <w:szCs w:val="24"/>
        </w:rPr>
      </w:pPr>
      <w:r>
        <w:rPr>
          <w:rFonts w:ascii="宋体" w:hAnsi="宋体" w:eastAsia="宋体" w:cs="宋体"/>
          <w:b/>
          <w:bCs/>
          <w:sz w:val="24"/>
          <w:szCs w:val="24"/>
        </w:rPr>
        <w:t>采购代理服务费</w:t>
      </w:r>
    </w:p>
    <w:p>
      <w:pPr>
        <w:spacing w:line="152" w:lineRule="exact"/>
        <w:rPr>
          <w:rFonts w:ascii="宋体" w:hAnsi="宋体" w:eastAsia="宋体"/>
          <w:sz w:val="24"/>
          <w:szCs w:val="24"/>
        </w:rPr>
      </w:pPr>
    </w:p>
    <w:p>
      <w:pPr>
        <w:spacing w:line="284" w:lineRule="exact"/>
        <w:ind w:firstLine="421"/>
        <w:rPr>
          <w:rFonts w:ascii="宋体" w:hAnsi="宋体" w:eastAsia="宋体"/>
          <w:sz w:val="24"/>
          <w:szCs w:val="24"/>
        </w:rPr>
      </w:pPr>
      <w:r>
        <w:rPr>
          <w:rFonts w:ascii="宋体" w:hAnsi="宋体" w:eastAsia="宋体" w:cs="宋体"/>
          <w:sz w:val="24"/>
          <w:szCs w:val="24"/>
        </w:rPr>
        <w:t>成交供应商领取成交通知书前，参照计价格[2002]1980 号《招标代理服务收费管理暂行办法》服务类收费标准向采购代理机构一次性付清代理服务费。</w:t>
      </w:r>
    </w:p>
    <w:p>
      <w:pPr>
        <w:spacing w:line="121" w:lineRule="exact"/>
        <w:rPr>
          <w:rFonts w:ascii="宋体" w:hAnsi="宋体" w:eastAsia="宋体"/>
          <w:sz w:val="24"/>
          <w:szCs w:val="24"/>
        </w:rPr>
      </w:pPr>
    </w:p>
    <w:p>
      <w:pPr>
        <w:spacing w:line="240" w:lineRule="exact"/>
        <w:jc w:val="center"/>
        <w:rPr>
          <w:rFonts w:ascii="宋体" w:hAnsi="宋体" w:eastAsia="宋体"/>
          <w:sz w:val="24"/>
          <w:szCs w:val="24"/>
        </w:rPr>
      </w:pPr>
      <w:r>
        <w:rPr>
          <w:rFonts w:ascii="宋体" w:hAnsi="宋体" w:eastAsia="宋体" w:cs="宋体"/>
          <w:sz w:val="24"/>
          <w:szCs w:val="24"/>
        </w:rPr>
        <w:t>采购代理服务收费标准</w:t>
      </w:r>
    </w:p>
    <w:p>
      <w:pPr>
        <w:spacing w:line="24" w:lineRule="exact"/>
        <w:rPr>
          <w:rFonts w:ascii="宋体" w:hAnsi="宋体" w:eastAsia="宋体"/>
          <w:sz w:val="24"/>
          <w:szCs w:val="24"/>
        </w:rPr>
      </w:pPr>
    </w:p>
    <w:tbl>
      <w:tblPr>
        <w:tblStyle w:val="9"/>
        <w:tblW w:w="0" w:type="auto"/>
        <w:tblInd w:w="210" w:type="dxa"/>
        <w:tblLayout w:type="fixed"/>
        <w:tblCellMar>
          <w:top w:w="0" w:type="dxa"/>
          <w:left w:w="0" w:type="dxa"/>
          <w:bottom w:w="0" w:type="dxa"/>
          <w:right w:w="0" w:type="dxa"/>
        </w:tblCellMar>
      </w:tblPr>
      <w:tblGrid>
        <w:gridCol w:w="1360"/>
        <w:gridCol w:w="1380"/>
        <w:gridCol w:w="2000"/>
        <w:gridCol w:w="2000"/>
        <w:gridCol w:w="2300"/>
      </w:tblGrid>
      <w:tr>
        <w:tblPrEx>
          <w:tblCellMar>
            <w:top w:w="0" w:type="dxa"/>
            <w:left w:w="0" w:type="dxa"/>
            <w:bottom w:w="0" w:type="dxa"/>
            <w:right w:w="0" w:type="dxa"/>
          </w:tblCellMar>
        </w:tblPrEx>
        <w:trPr>
          <w:trHeight w:val="326" w:hRule="atLeast"/>
        </w:trPr>
        <w:tc>
          <w:tcPr>
            <w:tcW w:w="1360" w:type="dxa"/>
            <w:tcBorders>
              <w:top w:val="single" w:color="auto" w:sz="8" w:space="0"/>
              <w:left w:val="single" w:color="auto" w:sz="8" w:space="0"/>
            </w:tcBorders>
            <w:shd w:val="clear" w:color="auto" w:fill="CFE8CC"/>
            <w:vAlign w:val="bottom"/>
          </w:tcPr>
          <w:p>
            <w:pPr>
              <w:spacing w:line="240" w:lineRule="exact"/>
              <w:ind w:left="140"/>
              <w:rPr>
                <w:rFonts w:ascii="宋体" w:hAnsi="宋体" w:eastAsia="宋体"/>
                <w:sz w:val="24"/>
                <w:szCs w:val="24"/>
              </w:rPr>
            </w:pPr>
            <w:r>
              <w:rPr>
                <w:rFonts w:ascii="宋体" w:hAnsi="宋体" w:eastAsia="宋体" w:cs="宋体"/>
                <w:sz w:val="24"/>
                <w:szCs w:val="24"/>
              </w:rPr>
              <w:t>费率</w:t>
            </w:r>
          </w:p>
        </w:tc>
        <w:tc>
          <w:tcPr>
            <w:tcW w:w="1380" w:type="dxa"/>
            <w:tcBorders>
              <w:top w:val="single" w:color="auto" w:sz="8" w:space="0"/>
              <w:right w:val="single" w:color="auto" w:sz="8" w:space="0"/>
            </w:tcBorders>
            <w:shd w:val="clear" w:color="auto" w:fill="CFE8CC"/>
            <w:vAlign w:val="bottom"/>
          </w:tcPr>
          <w:p>
            <w:pPr>
              <w:spacing w:line="240" w:lineRule="exact"/>
              <w:ind w:left="360"/>
              <w:rPr>
                <w:rFonts w:ascii="宋体" w:hAnsi="宋体" w:eastAsia="宋体"/>
                <w:sz w:val="24"/>
                <w:szCs w:val="24"/>
              </w:rPr>
            </w:pPr>
            <w:r>
              <w:rPr>
                <w:rFonts w:ascii="宋体" w:hAnsi="宋体" w:eastAsia="宋体" w:cs="宋体"/>
                <w:sz w:val="24"/>
                <w:szCs w:val="24"/>
              </w:rPr>
              <w:t>服务类型</w:t>
            </w:r>
          </w:p>
        </w:tc>
        <w:tc>
          <w:tcPr>
            <w:tcW w:w="2000" w:type="dxa"/>
            <w:tcBorders>
              <w:top w:val="single" w:color="auto" w:sz="8" w:space="0"/>
              <w:right w:val="single" w:color="auto" w:sz="8" w:space="0"/>
            </w:tcBorders>
            <w:vAlign w:val="bottom"/>
          </w:tcPr>
          <w:p>
            <w:pPr>
              <w:rPr>
                <w:rFonts w:ascii="宋体" w:hAnsi="宋体" w:eastAsia="宋体"/>
                <w:sz w:val="24"/>
                <w:szCs w:val="24"/>
              </w:rPr>
            </w:pPr>
          </w:p>
        </w:tc>
        <w:tc>
          <w:tcPr>
            <w:tcW w:w="2000" w:type="dxa"/>
            <w:tcBorders>
              <w:top w:val="single" w:color="auto" w:sz="8" w:space="0"/>
              <w:right w:val="single" w:color="auto" w:sz="8" w:space="0"/>
            </w:tcBorders>
            <w:vAlign w:val="bottom"/>
          </w:tcPr>
          <w:p>
            <w:pPr>
              <w:rPr>
                <w:rFonts w:ascii="宋体" w:hAnsi="宋体" w:eastAsia="宋体"/>
                <w:sz w:val="24"/>
                <w:szCs w:val="24"/>
              </w:rPr>
            </w:pPr>
          </w:p>
        </w:tc>
        <w:tc>
          <w:tcPr>
            <w:tcW w:w="2300" w:type="dxa"/>
            <w:tcBorders>
              <w:top w:val="single" w:color="auto" w:sz="8" w:space="0"/>
              <w:right w:val="single" w:color="auto" w:sz="8" w:space="0"/>
            </w:tcBorders>
            <w:vAlign w:val="bottom"/>
          </w:tcPr>
          <w:p>
            <w:pPr>
              <w:rPr>
                <w:rFonts w:ascii="宋体" w:hAnsi="宋体" w:eastAsia="宋体"/>
                <w:sz w:val="24"/>
                <w:szCs w:val="24"/>
              </w:rPr>
            </w:pPr>
          </w:p>
        </w:tc>
      </w:tr>
      <w:tr>
        <w:tblPrEx>
          <w:tblCellMar>
            <w:top w:w="0" w:type="dxa"/>
            <w:left w:w="0" w:type="dxa"/>
            <w:bottom w:w="0" w:type="dxa"/>
            <w:right w:w="0" w:type="dxa"/>
          </w:tblCellMar>
        </w:tblPrEx>
        <w:trPr>
          <w:trHeight w:val="360" w:hRule="atLeast"/>
        </w:trPr>
        <w:tc>
          <w:tcPr>
            <w:tcW w:w="1360" w:type="dxa"/>
            <w:tcBorders>
              <w:left w:val="single" w:color="auto" w:sz="8" w:space="0"/>
            </w:tcBorders>
            <w:shd w:val="clear" w:color="auto" w:fill="CFE8CC"/>
            <w:vAlign w:val="bottom"/>
          </w:tcPr>
          <w:p>
            <w:pPr>
              <w:rPr>
                <w:rFonts w:ascii="宋体" w:hAnsi="宋体" w:eastAsia="宋体"/>
                <w:sz w:val="24"/>
                <w:szCs w:val="24"/>
              </w:rPr>
            </w:pPr>
          </w:p>
        </w:tc>
        <w:tc>
          <w:tcPr>
            <w:tcW w:w="1380" w:type="dxa"/>
            <w:tcBorders>
              <w:right w:val="single" w:color="auto" w:sz="8" w:space="0"/>
            </w:tcBorders>
            <w:shd w:val="clear" w:color="auto" w:fill="CFE8CC"/>
            <w:vAlign w:val="bottom"/>
          </w:tcPr>
          <w:p>
            <w:pPr>
              <w:rPr>
                <w:rFonts w:ascii="宋体" w:hAnsi="宋体" w:eastAsia="宋体"/>
                <w:sz w:val="24"/>
                <w:szCs w:val="24"/>
              </w:rPr>
            </w:pPr>
          </w:p>
        </w:tc>
        <w:tc>
          <w:tcPr>
            <w:tcW w:w="20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货物招标</w:t>
            </w:r>
          </w:p>
        </w:tc>
        <w:tc>
          <w:tcPr>
            <w:tcW w:w="20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服务招标</w:t>
            </w:r>
          </w:p>
        </w:tc>
        <w:tc>
          <w:tcPr>
            <w:tcW w:w="23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工程招标</w:t>
            </w:r>
          </w:p>
        </w:tc>
      </w:tr>
      <w:tr>
        <w:tblPrEx>
          <w:tblCellMar>
            <w:top w:w="0" w:type="dxa"/>
            <w:left w:w="0" w:type="dxa"/>
            <w:bottom w:w="0" w:type="dxa"/>
            <w:right w:w="0" w:type="dxa"/>
          </w:tblCellMar>
        </w:tblPrEx>
        <w:trPr>
          <w:trHeight w:val="360" w:hRule="atLeast"/>
        </w:trPr>
        <w:tc>
          <w:tcPr>
            <w:tcW w:w="2740" w:type="dxa"/>
            <w:gridSpan w:val="2"/>
            <w:tcBorders>
              <w:left w:val="single" w:color="auto" w:sz="8" w:space="0"/>
              <w:right w:val="single" w:color="auto" w:sz="8" w:space="0"/>
            </w:tcBorders>
            <w:shd w:val="clear" w:color="auto" w:fill="CFE8CC"/>
            <w:vAlign w:val="bottom"/>
          </w:tcPr>
          <w:p>
            <w:pPr>
              <w:spacing w:line="240" w:lineRule="exact"/>
              <w:ind w:left="140"/>
              <w:rPr>
                <w:rFonts w:ascii="宋体" w:hAnsi="宋体" w:eastAsia="宋体"/>
                <w:sz w:val="24"/>
                <w:szCs w:val="24"/>
              </w:rPr>
            </w:pPr>
            <w:r>
              <w:rPr>
                <w:rFonts w:ascii="宋体" w:hAnsi="宋体" w:eastAsia="宋体" w:cs="宋体"/>
                <w:sz w:val="24"/>
                <w:szCs w:val="24"/>
              </w:rPr>
              <w:t>中标金额（万元）</w:t>
            </w:r>
          </w:p>
        </w:tc>
        <w:tc>
          <w:tcPr>
            <w:tcW w:w="2000" w:type="dxa"/>
            <w:tcBorders>
              <w:right w:val="single" w:color="auto" w:sz="8" w:space="0"/>
            </w:tcBorders>
            <w:vAlign w:val="bottom"/>
          </w:tcPr>
          <w:p>
            <w:pPr>
              <w:rPr>
                <w:rFonts w:ascii="宋体" w:hAnsi="宋体" w:eastAsia="宋体"/>
                <w:sz w:val="24"/>
                <w:szCs w:val="24"/>
              </w:rPr>
            </w:pPr>
          </w:p>
        </w:tc>
        <w:tc>
          <w:tcPr>
            <w:tcW w:w="2000" w:type="dxa"/>
            <w:tcBorders>
              <w:right w:val="single" w:color="auto" w:sz="8" w:space="0"/>
            </w:tcBorders>
            <w:vAlign w:val="bottom"/>
          </w:tcPr>
          <w:p>
            <w:pPr>
              <w:rPr>
                <w:rFonts w:ascii="宋体" w:hAnsi="宋体" w:eastAsia="宋体"/>
                <w:sz w:val="24"/>
                <w:szCs w:val="24"/>
              </w:rPr>
            </w:pPr>
          </w:p>
        </w:tc>
        <w:tc>
          <w:tcPr>
            <w:tcW w:w="2300" w:type="dxa"/>
            <w:tcBorders>
              <w:right w:val="single" w:color="auto" w:sz="8" w:space="0"/>
            </w:tcBorders>
            <w:vAlign w:val="bottom"/>
          </w:tcPr>
          <w:p>
            <w:pPr>
              <w:rPr>
                <w:rFonts w:ascii="宋体" w:hAnsi="宋体" w:eastAsia="宋体"/>
                <w:sz w:val="24"/>
                <w:szCs w:val="24"/>
              </w:rPr>
            </w:pPr>
          </w:p>
        </w:tc>
      </w:tr>
      <w:tr>
        <w:tblPrEx>
          <w:tblCellMar>
            <w:top w:w="0" w:type="dxa"/>
            <w:left w:w="0" w:type="dxa"/>
            <w:bottom w:w="0" w:type="dxa"/>
            <w:right w:w="0" w:type="dxa"/>
          </w:tblCellMar>
        </w:tblPrEx>
        <w:trPr>
          <w:trHeight w:val="44" w:hRule="atLeast"/>
        </w:trPr>
        <w:tc>
          <w:tcPr>
            <w:tcW w:w="1360" w:type="dxa"/>
            <w:tcBorders>
              <w:left w:val="single" w:color="auto" w:sz="8" w:space="0"/>
              <w:bottom w:val="single" w:color="auto" w:sz="8" w:space="0"/>
            </w:tcBorders>
            <w:vAlign w:val="bottom"/>
          </w:tcPr>
          <w:p>
            <w:pPr>
              <w:rPr>
                <w:rFonts w:ascii="宋体" w:hAnsi="宋体" w:eastAsia="宋体"/>
                <w:sz w:val="24"/>
                <w:szCs w:val="24"/>
              </w:rPr>
            </w:pPr>
          </w:p>
        </w:tc>
        <w:tc>
          <w:tcPr>
            <w:tcW w:w="1380" w:type="dxa"/>
            <w:tcBorders>
              <w:bottom w:val="single" w:color="auto" w:sz="8" w:space="0"/>
              <w:right w:val="single" w:color="auto" w:sz="8" w:space="0"/>
            </w:tcBorders>
            <w:vAlign w:val="bottom"/>
          </w:tcPr>
          <w:p>
            <w:pPr>
              <w:rPr>
                <w:rFonts w:ascii="宋体" w:hAnsi="宋体" w:eastAsia="宋体"/>
                <w:sz w:val="24"/>
                <w:szCs w:val="24"/>
              </w:rPr>
            </w:pPr>
          </w:p>
        </w:tc>
        <w:tc>
          <w:tcPr>
            <w:tcW w:w="2000" w:type="dxa"/>
            <w:tcBorders>
              <w:bottom w:val="single" w:color="auto" w:sz="8" w:space="0"/>
              <w:right w:val="single" w:color="auto" w:sz="8" w:space="0"/>
            </w:tcBorders>
            <w:vAlign w:val="bottom"/>
          </w:tcPr>
          <w:p>
            <w:pPr>
              <w:rPr>
                <w:rFonts w:ascii="宋体" w:hAnsi="宋体" w:eastAsia="宋体"/>
                <w:sz w:val="24"/>
                <w:szCs w:val="24"/>
              </w:rPr>
            </w:pPr>
          </w:p>
        </w:tc>
        <w:tc>
          <w:tcPr>
            <w:tcW w:w="2000" w:type="dxa"/>
            <w:tcBorders>
              <w:bottom w:val="single" w:color="auto" w:sz="8" w:space="0"/>
              <w:right w:val="single" w:color="auto" w:sz="8" w:space="0"/>
            </w:tcBorders>
            <w:vAlign w:val="bottom"/>
          </w:tcPr>
          <w:p>
            <w:pPr>
              <w:rPr>
                <w:rFonts w:ascii="宋体" w:hAnsi="宋体" w:eastAsia="宋体"/>
                <w:sz w:val="24"/>
                <w:szCs w:val="24"/>
              </w:rPr>
            </w:pPr>
          </w:p>
        </w:tc>
        <w:tc>
          <w:tcPr>
            <w:tcW w:w="2300" w:type="dxa"/>
            <w:tcBorders>
              <w:bottom w:val="single" w:color="auto" w:sz="8" w:space="0"/>
              <w:right w:val="single" w:color="auto" w:sz="8" w:space="0"/>
            </w:tcBorders>
            <w:vAlign w:val="bottom"/>
          </w:tcPr>
          <w:p>
            <w:pPr>
              <w:rPr>
                <w:rFonts w:ascii="宋体" w:hAnsi="宋体" w:eastAsia="宋体"/>
                <w:sz w:val="24"/>
                <w:szCs w:val="24"/>
              </w:rPr>
            </w:pPr>
          </w:p>
        </w:tc>
      </w:tr>
      <w:tr>
        <w:tblPrEx>
          <w:tblCellMar>
            <w:top w:w="0" w:type="dxa"/>
            <w:left w:w="0" w:type="dxa"/>
            <w:bottom w:w="0" w:type="dxa"/>
            <w:right w:w="0" w:type="dxa"/>
          </w:tblCellMar>
        </w:tblPrEx>
        <w:trPr>
          <w:trHeight w:val="307" w:hRule="atLeast"/>
        </w:trPr>
        <w:tc>
          <w:tcPr>
            <w:tcW w:w="1360" w:type="dxa"/>
            <w:tcBorders>
              <w:left w:val="single" w:color="auto" w:sz="8" w:space="0"/>
            </w:tcBorders>
            <w:vAlign w:val="bottom"/>
          </w:tcPr>
          <w:p>
            <w:pPr>
              <w:spacing w:line="240" w:lineRule="exact"/>
              <w:ind w:left="140"/>
              <w:rPr>
                <w:rFonts w:ascii="宋体" w:hAnsi="宋体" w:eastAsia="宋体"/>
                <w:sz w:val="24"/>
                <w:szCs w:val="24"/>
              </w:rPr>
            </w:pPr>
            <w:r>
              <w:rPr>
                <w:rFonts w:ascii="宋体" w:hAnsi="宋体" w:eastAsia="宋体" w:cs="宋体"/>
                <w:sz w:val="24"/>
                <w:szCs w:val="24"/>
              </w:rPr>
              <w:t>100 以下</w:t>
            </w:r>
          </w:p>
        </w:tc>
        <w:tc>
          <w:tcPr>
            <w:tcW w:w="1380" w:type="dxa"/>
            <w:tcBorders>
              <w:right w:val="single" w:color="auto" w:sz="8" w:space="0"/>
            </w:tcBorders>
            <w:vAlign w:val="bottom"/>
          </w:tcPr>
          <w:p>
            <w:pPr>
              <w:rPr>
                <w:rFonts w:ascii="宋体" w:hAnsi="宋体" w:eastAsia="宋体"/>
                <w:sz w:val="24"/>
                <w:szCs w:val="24"/>
              </w:rPr>
            </w:pPr>
          </w:p>
        </w:tc>
        <w:tc>
          <w:tcPr>
            <w:tcW w:w="20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1.5%</w:t>
            </w:r>
          </w:p>
        </w:tc>
        <w:tc>
          <w:tcPr>
            <w:tcW w:w="20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1.5%</w:t>
            </w:r>
          </w:p>
        </w:tc>
        <w:tc>
          <w:tcPr>
            <w:tcW w:w="23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1.0%</w:t>
            </w:r>
          </w:p>
        </w:tc>
      </w:tr>
      <w:tr>
        <w:tblPrEx>
          <w:tblCellMar>
            <w:top w:w="0" w:type="dxa"/>
            <w:left w:w="0" w:type="dxa"/>
            <w:bottom w:w="0" w:type="dxa"/>
            <w:right w:w="0" w:type="dxa"/>
          </w:tblCellMar>
        </w:tblPrEx>
        <w:trPr>
          <w:trHeight w:val="44" w:hRule="atLeast"/>
        </w:trPr>
        <w:tc>
          <w:tcPr>
            <w:tcW w:w="1360" w:type="dxa"/>
            <w:tcBorders>
              <w:left w:val="single" w:color="auto" w:sz="8" w:space="0"/>
              <w:bottom w:val="single" w:color="auto" w:sz="8" w:space="0"/>
            </w:tcBorders>
            <w:vAlign w:val="bottom"/>
          </w:tcPr>
          <w:p>
            <w:pPr>
              <w:rPr>
                <w:rFonts w:ascii="宋体" w:hAnsi="宋体" w:eastAsia="宋体"/>
                <w:sz w:val="24"/>
                <w:szCs w:val="24"/>
              </w:rPr>
            </w:pPr>
          </w:p>
        </w:tc>
        <w:tc>
          <w:tcPr>
            <w:tcW w:w="1380" w:type="dxa"/>
            <w:tcBorders>
              <w:bottom w:val="single" w:color="auto" w:sz="8" w:space="0"/>
              <w:right w:val="single" w:color="auto" w:sz="8" w:space="0"/>
            </w:tcBorders>
            <w:vAlign w:val="bottom"/>
          </w:tcPr>
          <w:p>
            <w:pPr>
              <w:rPr>
                <w:rFonts w:ascii="宋体" w:hAnsi="宋体" w:eastAsia="宋体"/>
                <w:sz w:val="24"/>
                <w:szCs w:val="24"/>
              </w:rPr>
            </w:pPr>
          </w:p>
        </w:tc>
        <w:tc>
          <w:tcPr>
            <w:tcW w:w="2000" w:type="dxa"/>
            <w:tcBorders>
              <w:bottom w:val="single" w:color="auto" w:sz="8" w:space="0"/>
              <w:right w:val="single" w:color="auto" w:sz="8" w:space="0"/>
            </w:tcBorders>
            <w:vAlign w:val="bottom"/>
          </w:tcPr>
          <w:p>
            <w:pPr>
              <w:rPr>
                <w:rFonts w:ascii="宋体" w:hAnsi="宋体" w:eastAsia="宋体"/>
                <w:sz w:val="24"/>
                <w:szCs w:val="24"/>
              </w:rPr>
            </w:pPr>
          </w:p>
        </w:tc>
        <w:tc>
          <w:tcPr>
            <w:tcW w:w="2000" w:type="dxa"/>
            <w:tcBorders>
              <w:bottom w:val="single" w:color="auto" w:sz="8" w:space="0"/>
              <w:right w:val="single" w:color="auto" w:sz="8" w:space="0"/>
            </w:tcBorders>
            <w:vAlign w:val="bottom"/>
          </w:tcPr>
          <w:p>
            <w:pPr>
              <w:rPr>
                <w:rFonts w:ascii="宋体" w:hAnsi="宋体" w:eastAsia="宋体"/>
                <w:sz w:val="24"/>
                <w:szCs w:val="24"/>
              </w:rPr>
            </w:pPr>
          </w:p>
        </w:tc>
        <w:tc>
          <w:tcPr>
            <w:tcW w:w="2300" w:type="dxa"/>
            <w:tcBorders>
              <w:bottom w:val="single" w:color="auto" w:sz="8" w:space="0"/>
              <w:right w:val="single" w:color="auto" w:sz="8" w:space="0"/>
            </w:tcBorders>
            <w:vAlign w:val="bottom"/>
          </w:tcPr>
          <w:p>
            <w:pPr>
              <w:rPr>
                <w:rFonts w:ascii="宋体" w:hAnsi="宋体" w:eastAsia="宋体"/>
                <w:sz w:val="24"/>
                <w:szCs w:val="24"/>
              </w:rPr>
            </w:pPr>
          </w:p>
        </w:tc>
      </w:tr>
      <w:tr>
        <w:tblPrEx>
          <w:tblCellMar>
            <w:top w:w="0" w:type="dxa"/>
            <w:left w:w="0" w:type="dxa"/>
            <w:bottom w:w="0" w:type="dxa"/>
            <w:right w:w="0" w:type="dxa"/>
          </w:tblCellMar>
        </w:tblPrEx>
        <w:trPr>
          <w:trHeight w:val="306" w:hRule="atLeast"/>
        </w:trPr>
        <w:tc>
          <w:tcPr>
            <w:tcW w:w="1360" w:type="dxa"/>
            <w:tcBorders>
              <w:left w:val="single" w:color="auto" w:sz="8" w:space="0"/>
            </w:tcBorders>
            <w:vAlign w:val="bottom"/>
          </w:tcPr>
          <w:p>
            <w:pPr>
              <w:spacing w:line="240" w:lineRule="exact"/>
              <w:ind w:left="140"/>
              <w:rPr>
                <w:rFonts w:ascii="宋体" w:hAnsi="宋体" w:eastAsia="宋体"/>
                <w:sz w:val="24"/>
                <w:szCs w:val="24"/>
              </w:rPr>
            </w:pPr>
            <w:r>
              <w:rPr>
                <w:rFonts w:ascii="宋体" w:hAnsi="宋体" w:eastAsia="宋体" w:cs="宋体"/>
                <w:sz w:val="24"/>
                <w:szCs w:val="24"/>
              </w:rPr>
              <w:t>100-500</w:t>
            </w:r>
          </w:p>
        </w:tc>
        <w:tc>
          <w:tcPr>
            <w:tcW w:w="1380" w:type="dxa"/>
            <w:tcBorders>
              <w:right w:val="single" w:color="auto" w:sz="8" w:space="0"/>
            </w:tcBorders>
            <w:vAlign w:val="bottom"/>
          </w:tcPr>
          <w:p>
            <w:pPr>
              <w:rPr>
                <w:rFonts w:ascii="宋体" w:hAnsi="宋体" w:eastAsia="宋体"/>
                <w:sz w:val="24"/>
                <w:szCs w:val="24"/>
              </w:rPr>
            </w:pPr>
          </w:p>
        </w:tc>
        <w:tc>
          <w:tcPr>
            <w:tcW w:w="20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1.1%</w:t>
            </w:r>
          </w:p>
        </w:tc>
        <w:tc>
          <w:tcPr>
            <w:tcW w:w="20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0.8%</w:t>
            </w:r>
          </w:p>
        </w:tc>
        <w:tc>
          <w:tcPr>
            <w:tcW w:w="23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0.7%</w:t>
            </w:r>
          </w:p>
        </w:tc>
      </w:tr>
      <w:tr>
        <w:tblPrEx>
          <w:tblCellMar>
            <w:top w:w="0" w:type="dxa"/>
            <w:left w:w="0" w:type="dxa"/>
            <w:bottom w:w="0" w:type="dxa"/>
            <w:right w:w="0" w:type="dxa"/>
          </w:tblCellMar>
        </w:tblPrEx>
        <w:trPr>
          <w:trHeight w:val="44" w:hRule="atLeast"/>
        </w:trPr>
        <w:tc>
          <w:tcPr>
            <w:tcW w:w="1360" w:type="dxa"/>
            <w:tcBorders>
              <w:left w:val="single" w:color="auto" w:sz="8" w:space="0"/>
              <w:bottom w:val="single" w:color="auto" w:sz="8" w:space="0"/>
            </w:tcBorders>
            <w:vAlign w:val="bottom"/>
          </w:tcPr>
          <w:p>
            <w:pPr>
              <w:rPr>
                <w:rFonts w:ascii="宋体" w:hAnsi="宋体" w:eastAsia="宋体"/>
                <w:sz w:val="24"/>
                <w:szCs w:val="24"/>
              </w:rPr>
            </w:pPr>
          </w:p>
        </w:tc>
        <w:tc>
          <w:tcPr>
            <w:tcW w:w="1380" w:type="dxa"/>
            <w:tcBorders>
              <w:bottom w:val="single" w:color="auto" w:sz="8" w:space="0"/>
              <w:right w:val="single" w:color="auto" w:sz="8" w:space="0"/>
            </w:tcBorders>
            <w:vAlign w:val="bottom"/>
          </w:tcPr>
          <w:p>
            <w:pPr>
              <w:rPr>
                <w:rFonts w:ascii="宋体" w:hAnsi="宋体" w:eastAsia="宋体"/>
                <w:sz w:val="24"/>
                <w:szCs w:val="24"/>
              </w:rPr>
            </w:pPr>
          </w:p>
        </w:tc>
        <w:tc>
          <w:tcPr>
            <w:tcW w:w="2000" w:type="dxa"/>
            <w:tcBorders>
              <w:bottom w:val="single" w:color="auto" w:sz="8" w:space="0"/>
              <w:right w:val="single" w:color="auto" w:sz="8" w:space="0"/>
            </w:tcBorders>
            <w:vAlign w:val="bottom"/>
          </w:tcPr>
          <w:p>
            <w:pPr>
              <w:rPr>
                <w:rFonts w:ascii="宋体" w:hAnsi="宋体" w:eastAsia="宋体"/>
                <w:sz w:val="24"/>
                <w:szCs w:val="24"/>
              </w:rPr>
            </w:pPr>
          </w:p>
        </w:tc>
        <w:tc>
          <w:tcPr>
            <w:tcW w:w="2000" w:type="dxa"/>
            <w:tcBorders>
              <w:bottom w:val="single" w:color="auto" w:sz="8" w:space="0"/>
              <w:right w:val="single" w:color="auto" w:sz="8" w:space="0"/>
            </w:tcBorders>
            <w:vAlign w:val="bottom"/>
          </w:tcPr>
          <w:p>
            <w:pPr>
              <w:rPr>
                <w:rFonts w:ascii="宋体" w:hAnsi="宋体" w:eastAsia="宋体"/>
                <w:sz w:val="24"/>
                <w:szCs w:val="24"/>
              </w:rPr>
            </w:pPr>
          </w:p>
        </w:tc>
        <w:tc>
          <w:tcPr>
            <w:tcW w:w="2300" w:type="dxa"/>
            <w:tcBorders>
              <w:bottom w:val="single" w:color="auto" w:sz="8" w:space="0"/>
              <w:right w:val="single" w:color="auto" w:sz="8" w:space="0"/>
            </w:tcBorders>
            <w:vAlign w:val="bottom"/>
          </w:tcPr>
          <w:p>
            <w:pPr>
              <w:rPr>
                <w:rFonts w:ascii="宋体" w:hAnsi="宋体" w:eastAsia="宋体"/>
                <w:sz w:val="24"/>
                <w:szCs w:val="24"/>
              </w:rPr>
            </w:pPr>
          </w:p>
        </w:tc>
      </w:tr>
      <w:tr>
        <w:tblPrEx>
          <w:tblCellMar>
            <w:top w:w="0" w:type="dxa"/>
            <w:left w:w="0" w:type="dxa"/>
            <w:bottom w:w="0" w:type="dxa"/>
            <w:right w:w="0" w:type="dxa"/>
          </w:tblCellMar>
        </w:tblPrEx>
        <w:trPr>
          <w:trHeight w:val="306" w:hRule="atLeast"/>
        </w:trPr>
        <w:tc>
          <w:tcPr>
            <w:tcW w:w="1360" w:type="dxa"/>
            <w:tcBorders>
              <w:left w:val="single" w:color="auto" w:sz="8" w:space="0"/>
            </w:tcBorders>
            <w:vAlign w:val="bottom"/>
          </w:tcPr>
          <w:p>
            <w:pPr>
              <w:spacing w:line="240" w:lineRule="exact"/>
              <w:ind w:left="140"/>
              <w:rPr>
                <w:rFonts w:ascii="宋体" w:hAnsi="宋体" w:eastAsia="宋体"/>
                <w:sz w:val="24"/>
                <w:szCs w:val="24"/>
              </w:rPr>
            </w:pPr>
            <w:r>
              <w:rPr>
                <w:rFonts w:ascii="宋体" w:hAnsi="宋体" w:eastAsia="宋体" w:cs="宋体"/>
                <w:sz w:val="24"/>
                <w:szCs w:val="24"/>
              </w:rPr>
              <w:t>500-1000</w:t>
            </w:r>
          </w:p>
        </w:tc>
        <w:tc>
          <w:tcPr>
            <w:tcW w:w="1380" w:type="dxa"/>
            <w:tcBorders>
              <w:right w:val="single" w:color="auto" w:sz="8" w:space="0"/>
            </w:tcBorders>
            <w:vAlign w:val="bottom"/>
          </w:tcPr>
          <w:p>
            <w:pPr>
              <w:rPr>
                <w:rFonts w:ascii="宋体" w:hAnsi="宋体" w:eastAsia="宋体"/>
                <w:sz w:val="24"/>
                <w:szCs w:val="24"/>
              </w:rPr>
            </w:pPr>
          </w:p>
        </w:tc>
        <w:tc>
          <w:tcPr>
            <w:tcW w:w="20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9"/>
                <w:sz w:val="24"/>
                <w:szCs w:val="24"/>
              </w:rPr>
              <w:t>0.8%</w:t>
            </w:r>
          </w:p>
        </w:tc>
        <w:tc>
          <w:tcPr>
            <w:tcW w:w="20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8"/>
                <w:sz w:val="24"/>
                <w:szCs w:val="24"/>
              </w:rPr>
              <w:t>0.45%</w:t>
            </w:r>
          </w:p>
        </w:tc>
        <w:tc>
          <w:tcPr>
            <w:tcW w:w="2300" w:type="dxa"/>
            <w:tcBorders>
              <w:right w:val="single" w:color="auto" w:sz="8" w:space="0"/>
            </w:tcBorders>
            <w:vAlign w:val="bottom"/>
          </w:tcPr>
          <w:p>
            <w:pPr>
              <w:spacing w:line="240" w:lineRule="exact"/>
              <w:jc w:val="center"/>
              <w:rPr>
                <w:rFonts w:ascii="宋体" w:hAnsi="宋体" w:eastAsia="宋体"/>
                <w:sz w:val="24"/>
                <w:szCs w:val="24"/>
              </w:rPr>
            </w:pPr>
            <w:r>
              <w:rPr>
                <w:rFonts w:ascii="宋体" w:hAnsi="宋体" w:eastAsia="宋体" w:cs="宋体"/>
                <w:w w:val="98"/>
                <w:sz w:val="24"/>
                <w:szCs w:val="24"/>
              </w:rPr>
              <w:t>0.55%</w:t>
            </w:r>
          </w:p>
        </w:tc>
      </w:tr>
      <w:tr>
        <w:tblPrEx>
          <w:tblCellMar>
            <w:top w:w="0" w:type="dxa"/>
            <w:left w:w="0" w:type="dxa"/>
            <w:bottom w:w="0" w:type="dxa"/>
            <w:right w:w="0" w:type="dxa"/>
          </w:tblCellMar>
        </w:tblPrEx>
        <w:trPr>
          <w:trHeight w:val="45" w:hRule="atLeast"/>
        </w:trPr>
        <w:tc>
          <w:tcPr>
            <w:tcW w:w="1360" w:type="dxa"/>
            <w:tcBorders>
              <w:left w:val="single" w:color="auto" w:sz="8" w:space="0"/>
              <w:bottom w:val="single" w:color="auto" w:sz="8" w:space="0"/>
            </w:tcBorders>
            <w:vAlign w:val="bottom"/>
          </w:tcPr>
          <w:p>
            <w:pPr>
              <w:rPr>
                <w:rFonts w:ascii="宋体" w:hAnsi="宋体" w:eastAsia="宋体"/>
                <w:sz w:val="24"/>
                <w:szCs w:val="24"/>
              </w:rPr>
            </w:pPr>
          </w:p>
        </w:tc>
        <w:tc>
          <w:tcPr>
            <w:tcW w:w="1380" w:type="dxa"/>
            <w:tcBorders>
              <w:bottom w:val="single" w:color="auto" w:sz="8" w:space="0"/>
              <w:right w:val="single" w:color="auto" w:sz="8" w:space="0"/>
            </w:tcBorders>
            <w:vAlign w:val="bottom"/>
          </w:tcPr>
          <w:p>
            <w:pPr>
              <w:rPr>
                <w:rFonts w:ascii="宋体" w:hAnsi="宋体" w:eastAsia="宋体"/>
                <w:sz w:val="24"/>
                <w:szCs w:val="24"/>
              </w:rPr>
            </w:pPr>
          </w:p>
        </w:tc>
        <w:tc>
          <w:tcPr>
            <w:tcW w:w="2000" w:type="dxa"/>
            <w:tcBorders>
              <w:bottom w:val="single" w:color="auto" w:sz="8" w:space="0"/>
              <w:right w:val="single" w:color="auto" w:sz="8" w:space="0"/>
            </w:tcBorders>
            <w:vAlign w:val="bottom"/>
          </w:tcPr>
          <w:p>
            <w:pPr>
              <w:rPr>
                <w:rFonts w:ascii="宋体" w:hAnsi="宋体" w:eastAsia="宋体"/>
                <w:sz w:val="24"/>
                <w:szCs w:val="24"/>
              </w:rPr>
            </w:pPr>
          </w:p>
        </w:tc>
        <w:tc>
          <w:tcPr>
            <w:tcW w:w="2000" w:type="dxa"/>
            <w:tcBorders>
              <w:bottom w:val="single" w:color="auto" w:sz="8" w:space="0"/>
              <w:right w:val="single" w:color="auto" w:sz="8" w:space="0"/>
            </w:tcBorders>
            <w:vAlign w:val="bottom"/>
          </w:tcPr>
          <w:p>
            <w:pPr>
              <w:rPr>
                <w:rFonts w:ascii="宋体" w:hAnsi="宋体" w:eastAsia="宋体"/>
                <w:sz w:val="24"/>
                <w:szCs w:val="24"/>
              </w:rPr>
            </w:pPr>
          </w:p>
        </w:tc>
        <w:tc>
          <w:tcPr>
            <w:tcW w:w="2300" w:type="dxa"/>
            <w:tcBorders>
              <w:bottom w:val="single" w:color="auto" w:sz="8" w:space="0"/>
              <w:right w:val="single" w:color="auto" w:sz="8" w:space="0"/>
            </w:tcBorders>
            <w:vAlign w:val="bottom"/>
          </w:tcPr>
          <w:p>
            <w:pPr>
              <w:rPr>
                <w:rFonts w:ascii="宋体" w:hAnsi="宋体" w:eastAsia="宋体"/>
                <w:sz w:val="24"/>
                <w:szCs w:val="24"/>
              </w:rPr>
            </w:pPr>
          </w:p>
        </w:tc>
      </w:tr>
    </w:tbl>
    <w:p>
      <w:pPr>
        <w:spacing w:line="20" w:lineRule="exact"/>
        <w:rPr>
          <w:rFonts w:ascii="宋体" w:hAnsi="宋体" w:eastAsia="宋体"/>
          <w:sz w:val="24"/>
          <w:szCs w:val="24"/>
        </w:rPr>
      </w:pPr>
      <w:r>
        <w:rPr>
          <w:rFonts w:ascii="宋体" w:hAnsi="宋体" w:eastAsia="宋体"/>
          <w:sz w:val="24"/>
          <w:szCs w:val="24"/>
        </w:rPr>
        <w:drawing>
          <wp:anchor distT="0" distB="0" distL="114300" distR="114300" simplePos="0" relativeHeight="251648000" behindDoc="1" locked="0" layoutInCell="0" allowOverlap="1">
            <wp:simplePos x="0" y="0"/>
            <wp:positionH relativeFrom="column">
              <wp:posOffset>132715</wp:posOffset>
            </wp:positionH>
            <wp:positionV relativeFrom="paragraph">
              <wp:posOffset>-1390015</wp:posOffset>
            </wp:positionV>
            <wp:extent cx="1720215" cy="668020"/>
            <wp:effectExtent l="0" t="0" r="10160" b="146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srcRect/>
                    <a:stretch>
                      <a:fillRect/>
                    </a:stretch>
                  </pic:blipFill>
                  <pic:spPr>
                    <a:xfrm>
                      <a:off x="0" y="0"/>
                      <a:ext cx="1720215" cy="668020"/>
                    </a:xfrm>
                    <a:prstGeom prst="rect">
                      <a:avLst/>
                    </a:prstGeom>
                    <a:noFill/>
                  </pic:spPr>
                </pic:pic>
              </a:graphicData>
            </a:graphic>
          </wp:anchor>
        </w:drawing>
      </w:r>
    </w:p>
    <w:p>
      <w:pPr>
        <w:spacing w:line="56" w:lineRule="exact"/>
        <w:rPr>
          <w:rFonts w:ascii="宋体" w:hAnsi="宋体" w:eastAsia="宋体"/>
          <w:sz w:val="24"/>
          <w:szCs w:val="24"/>
        </w:rPr>
      </w:pPr>
    </w:p>
    <w:p>
      <w:pPr>
        <w:spacing w:line="240" w:lineRule="exact"/>
        <w:ind w:left="40"/>
        <w:rPr>
          <w:rFonts w:ascii="宋体" w:hAnsi="宋体" w:eastAsia="宋体"/>
          <w:sz w:val="24"/>
          <w:szCs w:val="24"/>
        </w:rPr>
      </w:pPr>
      <w:r>
        <w:rPr>
          <w:rFonts w:ascii="宋体" w:hAnsi="宋体" w:eastAsia="宋体" w:cs="宋体"/>
          <w:sz w:val="24"/>
          <w:szCs w:val="24"/>
        </w:rPr>
        <w:t>注：采购代理服务收费按差额定率累进法计算。</w:t>
      </w:r>
    </w:p>
    <w:p>
      <w:pPr>
        <w:spacing w:line="120" w:lineRule="exact"/>
        <w:rPr>
          <w:rFonts w:ascii="宋体" w:hAnsi="宋体" w:eastAsia="宋体"/>
          <w:sz w:val="24"/>
          <w:szCs w:val="24"/>
        </w:rPr>
      </w:pPr>
    </w:p>
    <w:p>
      <w:pPr>
        <w:numPr>
          <w:ilvl w:val="0"/>
          <w:numId w:val="30"/>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采购代理机构银行账户</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开户名称：</w:t>
      </w:r>
      <w:r>
        <w:rPr>
          <w:rFonts w:hint="eastAsia" w:ascii="宋体" w:hAnsi="宋体" w:eastAsia="宋体" w:cs="宋体"/>
          <w:bCs/>
          <w:sz w:val="24"/>
          <w:szCs w:val="24"/>
          <w:u w:val="single"/>
        </w:rPr>
        <w:t>广西八桂建设项目管理有限公司桂林分公司</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开户银行：</w:t>
      </w:r>
      <w:r>
        <w:rPr>
          <w:rFonts w:hint="eastAsia" w:ascii="宋体" w:hAnsi="宋体" w:eastAsia="宋体" w:cs="宋体"/>
          <w:bCs/>
          <w:sz w:val="24"/>
          <w:szCs w:val="24"/>
          <w:u w:val="single"/>
        </w:rPr>
        <w:t>桂林银行南溪支行</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银行帐号：</w:t>
      </w:r>
      <w:r>
        <w:rPr>
          <w:rFonts w:hint="eastAsia" w:ascii="宋体" w:hAnsi="宋体" w:eastAsia="宋体" w:cs="宋体"/>
          <w:bCs/>
          <w:sz w:val="24"/>
          <w:szCs w:val="24"/>
          <w:u w:val="single"/>
        </w:rPr>
        <w:t xml:space="preserve">660011115698900010 </w:t>
      </w:r>
    </w:p>
    <w:p>
      <w:pPr>
        <w:spacing w:line="120" w:lineRule="exact"/>
        <w:rPr>
          <w:rFonts w:ascii="宋体" w:hAnsi="宋体" w:eastAsia="宋体"/>
          <w:sz w:val="24"/>
          <w:szCs w:val="24"/>
        </w:rPr>
      </w:pPr>
    </w:p>
    <w:p>
      <w:pPr>
        <w:spacing w:line="153" w:lineRule="exact"/>
        <w:rPr>
          <w:rFonts w:ascii="宋体" w:hAnsi="宋体" w:eastAsia="宋体"/>
          <w:sz w:val="24"/>
          <w:szCs w:val="24"/>
        </w:rPr>
      </w:pPr>
    </w:p>
    <w:p>
      <w:pPr>
        <w:numPr>
          <w:ilvl w:val="0"/>
          <w:numId w:val="31"/>
        </w:numPr>
        <w:tabs>
          <w:tab w:val="left" w:pos="846"/>
        </w:tabs>
        <w:spacing w:line="309" w:lineRule="exact"/>
        <w:ind w:firstLine="429"/>
        <w:jc w:val="both"/>
        <w:rPr>
          <w:rFonts w:ascii="宋体" w:hAnsi="宋体" w:eastAsia="宋体" w:cs="宋体"/>
          <w:b/>
          <w:bCs/>
          <w:sz w:val="24"/>
          <w:szCs w:val="24"/>
        </w:rPr>
      </w:pPr>
      <w:r>
        <w:rPr>
          <w:rFonts w:ascii="宋体" w:hAnsi="宋体" w:eastAsia="宋体" w:cs="宋体"/>
          <w:b/>
          <w:bCs/>
          <w:sz w:val="24"/>
          <w:szCs w:val="24"/>
        </w:rPr>
        <w:t>解释权：</w:t>
      </w:r>
      <w:r>
        <w:rPr>
          <w:rFonts w:ascii="宋体" w:hAnsi="宋体" w:eastAsia="宋体" w:cs="宋体"/>
          <w:sz w:val="24"/>
          <w:szCs w:val="24"/>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122" w:lineRule="exact"/>
        <w:rPr>
          <w:rFonts w:ascii="宋体" w:hAnsi="宋体" w:eastAsia="宋体" w:cs="宋体"/>
          <w:b/>
          <w:bCs/>
          <w:sz w:val="24"/>
          <w:szCs w:val="24"/>
        </w:rPr>
      </w:pPr>
    </w:p>
    <w:p>
      <w:pPr>
        <w:numPr>
          <w:ilvl w:val="0"/>
          <w:numId w:val="31"/>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监督管理机构：</w:t>
      </w:r>
      <w:r>
        <w:rPr>
          <w:rFonts w:ascii="宋体" w:hAnsi="宋体" w:eastAsia="宋体" w:cs="宋体"/>
          <w:sz w:val="24"/>
          <w:szCs w:val="24"/>
        </w:rPr>
        <w:t>灵川县政府采购管理办公室   电话：0773-6812818</w:t>
      </w: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pStyle w:val="2"/>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tabs>
          <w:tab w:val="left" w:pos="480"/>
        </w:tabs>
        <w:spacing w:line="366" w:lineRule="exact"/>
        <w:jc w:val="center"/>
        <w:rPr>
          <w:rFonts w:ascii="宋体" w:hAnsi="宋体" w:eastAsia="宋体"/>
          <w:sz w:val="24"/>
          <w:szCs w:val="24"/>
        </w:rPr>
      </w:pPr>
      <w:bookmarkStart w:id="54" w:name="page18"/>
      <w:bookmarkEnd w:id="54"/>
      <w:r>
        <w:rPr>
          <w:rFonts w:ascii="宋体" w:hAnsi="宋体" w:eastAsia="宋体" w:cs="宋体"/>
          <w:b/>
          <w:bCs/>
          <w:sz w:val="24"/>
          <w:szCs w:val="24"/>
        </w:rPr>
        <w:t>第三章</w:t>
      </w:r>
      <w:r>
        <w:rPr>
          <w:rFonts w:ascii="宋体" w:hAnsi="宋体" w:eastAsia="宋体"/>
          <w:sz w:val="24"/>
          <w:szCs w:val="24"/>
        </w:rPr>
        <w:tab/>
      </w:r>
      <w:r>
        <w:rPr>
          <w:rFonts w:ascii="宋体" w:hAnsi="宋体" w:eastAsia="宋体" w:cs="宋体"/>
          <w:b/>
          <w:bCs/>
          <w:sz w:val="24"/>
          <w:szCs w:val="24"/>
        </w:rPr>
        <w:t>服务采购需求</w:t>
      </w:r>
    </w:p>
    <w:p>
      <w:pPr>
        <w:spacing w:line="200" w:lineRule="exact"/>
        <w:rPr>
          <w:rFonts w:ascii="宋体" w:hAnsi="宋体" w:eastAsia="宋体"/>
          <w:sz w:val="24"/>
          <w:szCs w:val="24"/>
        </w:rPr>
      </w:pPr>
    </w:p>
    <w:p>
      <w:pPr>
        <w:spacing w:line="204" w:lineRule="exact"/>
        <w:rPr>
          <w:rFonts w:ascii="宋体" w:hAnsi="宋体" w:eastAsia="宋体"/>
          <w:sz w:val="24"/>
          <w:szCs w:val="24"/>
        </w:rPr>
      </w:pPr>
    </w:p>
    <w:tbl>
      <w:tblPr>
        <w:tblStyle w:val="9"/>
        <w:tblW w:w="10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29"/>
        <w:gridCol w:w="618"/>
        <w:gridCol w:w="5048"/>
        <w:gridCol w:w="454"/>
        <w:gridCol w:w="579"/>
        <w:gridCol w:w="877"/>
        <w:gridCol w:w="875"/>
        <w:gridCol w:w="12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0" w:type="dxa"/>
            <w:vAlign w:val="center"/>
          </w:tcPr>
          <w:p>
            <w:pPr>
              <w:rPr>
                <w:rFonts w:ascii="宋体" w:hAnsi="宋体" w:eastAsia="宋体" w:cs="宋体"/>
                <w:sz w:val="24"/>
                <w:szCs w:val="24"/>
              </w:rPr>
            </w:pPr>
            <w:r>
              <w:rPr>
                <w:rFonts w:hint="eastAsia" w:ascii="宋体" w:hAnsi="宋体" w:eastAsia="宋体" w:cs="宋体"/>
                <w:sz w:val="24"/>
                <w:szCs w:val="24"/>
              </w:rPr>
              <w:t>序号</w:t>
            </w:r>
          </w:p>
        </w:tc>
        <w:tc>
          <w:tcPr>
            <w:tcW w:w="729" w:type="dxa"/>
            <w:vAlign w:val="center"/>
          </w:tcPr>
          <w:p>
            <w:pPr>
              <w:jc w:val="center"/>
              <w:rPr>
                <w:rFonts w:ascii="宋体" w:hAnsi="宋体" w:eastAsia="宋体" w:cs="宋体"/>
                <w:sz w:val="24"/>
                <w:szCs w:val="24"/>
              </w:rPr>
            </w:pPr>
            <w:r>
              <w:rPr>
                <w:rFonts w:hint="eastAsia" w:ascii="宋体" w:hAnsi="宋体" w:eastAsia="宋体" w:cs="宋体"/>
                <w:sz w:val="24"/>
                <w:szCs w:val="24"/>
              </w:rPr>
              <w:t>服务名称</w:t>
            </w:r>
          </w:p>
        </w:tc>
        <w:tc>
          <w:tcPr>
            <w:tcW w:w="5666" w:type="dxa"/>
            <w:gridSpan w:val="2"/>
            <w:vAlign w:val="center"/>
          </w:tcPr>
          <w:p>
            <w:pPr>
              <w:ind w:firstLine="1920" w:firstLineChars="800"/>
              <w:rPr>
                <w:rFonts w:ascii="宋体" w:hAnsi="宋体" w:eastAsia="宋体" w:cs="宋体"/>
                <w:sz w:val="24"/>
                <w:szCs w:val="24"/>
              </w:rPr>
            </w:pPr>
            <w:r>
              <w:rPr>
                <w:rFonts w:hint="eastAsia" w:ascii="宋体" w:hAnsi="宋体" w:eastAsia="宋体" w:cs="宋体"/>
                <w:sz w:val="24"/>
                <w:szCs w:val="24"/>
              </w:rPr>
              <w:t>技术</w:t>
            </w:r>
            <w:r>
              <w:rPr>
                <w:rFonts w:ascii="宋体" w:hAnsi="宋体" w:eastAsia="宋体" w:cs="宋体"/>
                <w:sz w:val="24"/>
                <w:szCs w:val="24"/>
              </w:rPr>
              <w:t>参数</w:t>
            </w:r>
          </w:p>
        </w:tc>
        <w:tc>
          <w:tcPr>
            <w:tcW w:w="454" w:type="dxa"/>
            <w:vAlign w:val="center"/>
          </w:tcPr>
          <w:p>
            <w:pPr>
              <w:rPr>
                <w:rFonts w:ascii="宋体" w:hAnsi="宋体" w:eastAsia="宋体" w:cs="宋体"/>
                <w:sz w:val="24"/>
                <w:szCs w:val="24"/>
              </w:rPr>
            </w:pPr>
            <w:r>
              <w:rPr>
                <w:rFonts w:hint="eastAsia" w:ascii="宋体" w:hAnsi="宋体" w:eastAsia="宋体" w:cs="宋体"/>
                <w:sz w:val="24"/>
                <w:szCs w:val="24"/>
              </w:rPr>
              <w:t>单位</w:t>
            </w:r>
          </w:p>
        </w:tc>
        <w:tc>
          <w:tcPr>
            <w:tcW w:w="579" w:type="dxa"/>
            <w:vAlign w:val="center"/>
          </w:tcPr>
          <w:p>
            <w:pPr>
              <w:rPr>
                <w:rFonts w:ascii="宋体" w:hAnsi="宋体" w:eastAsia="宋体" w:cs="宋体"/>
                <w:sz w:val="24"/>
                <w:szCs w:val="24"/>
              </w:rPr>
            </w:pPr>
            <w:r>
              <w:rPr>
                <w:rFonts w:hint="eastAsia" w:ascii="宋体" w:hAnsi="宋体" w:eastAsia="宋体" w:cs="宋体"/>
                <w:sz w:val="24"/>
                <w:szCs w:val="24"/>
              </w:rPr>
              <w:t>数量</w:t>
            </w:r>
          </w:p>
        </w:tc>
        <w:tc>
          <w:tcPr>
            <w:tcW w:w="877" w:type="dxa"/>
            <w:vAlign w:val="center"/>
          </w:tcPr>
          <w:p>
            <w:pPr>
              <w:jc w:val="center"/>
              <w:rPr>
                <w:rFonts w:ascii="宋体" w:hAnsi="宋体" w:eastAsia="宋体" w:cs="宋体"/>
                <w:sz w:val="24"/>
                <w:szCs w:val="24"/>
              </w:rPr>
            </w:pPr>
            <w:r>
              <w:rPr>
                <w:rFonts w:hint="eastAsia" w:ascii="宋体" w:hAnsi="宋体" w:eastAsia="宋体"/>
                <w:sz w:val="24"/>
                <w:szCs w:val="24"/>
              </w:rPr>
              <w:t>单价（元）</w:t>
            </w:r>
          </w:p>
        </w:tc>
        <w:tc>
          <w:tcPr>
            <w:tcW w:w="1002" w:type="dxa"/>
            <w:gridSpan w:val="2"/>
            <w:vAlign w:val="center"/>
          </w:tcPr>
          <w:p>
            <w:pPr>
              <w:jc w:val="center"/>
              <w:rPr>
                <w:rFonts w:ascii="宋体" w:hAnsi="宋体" w:eastAsia="宋体"/>
                <w:sz w:val="24"/>
                <w:szCs w:val="24"/>
              </w:rPr>
            </w:pPr>
            <w:r>
              <w:rPr>
                <w:rFonts w:hint="eastAsia" w:ascii="宋体" w:hAnsi="宋体" w:eastAsia="宋体"/>
                <w:sz w:val="24"/>
                <w:szCs w:val="24"/>
              </w:rPr>
              <w:t>小计（元）</w:t>
            </w:r>
          </w:p>
        </w:tc>
        <w:tc>
          <w:tcPr>
            <w:tcW w:w="706" w:type="dxa"/>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5" w:hRule="atLeast"/>
        </w:trPr>
        <w:tc>
          <w:tcPr>
            <w:tcW w:w="700"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729" w:type="dxa"/>
            <w:vAlign w:val="center"/>
          </w:tcPr>
          <w:p>
            <w:pPr>
              <w:rPr>
                <w:rFonts w:ascii="宋体" w:hAnsi="宋体" w:eastAsia="宋体" w:cs="宋体"/>
                <w:sz w:val="24"/>
                <w:szCs w:val="24"/>
              </w:rPr>
            </w:pPr>
            <w:r>
              <w:rPr>
                <w:rFonts w:hint="eastAsia" w:ascii="宋体" w:hAnsi="宋体" w:eastAsia="宋体"/>
                <w:b/>
                <w:sz w:val="24"/>
                <w:szCs w:val="24"/>
              </w:rPr>
              <w:t>定向视频采集服务</w:t>
            </w:r>
          </w:p>
        </w:tc>
        <w:tc>
          <w:tcPr>
            <w:tcW w:w="5666" w:type="dxa"/>
            <w:gridSpan w:val="2"/>
            <w:vAlign w:val="center"/>
          </w:tcPr>
          <w:p>
            <w:pPr>
              <w:rPr>
                <w:rFonts w:ascii="宋体" w:hAnsi="宋体" w:eastAsia="宋体"/>
                <w:sz w:val="24"/>
                <w:szCs w:val="24"/>
              </w:rPr>
            </w:pPr>
            <w:r>
              <w:rPr>
                <w:rFonts w:hint="eastAsia" w:ascii="宋体" w:hAnsi="宋体" w:eastAsia="宋体"/>
                <w:sz w:val="24"/>
                <w:szCs w:val="24"/>
              </w:rPr>
              <w:t>一、服务要求：</w:t>
            </w:r>
          </w:p>
          <w:p>
            <w:pPr>
              <w:rPr>
                <w:rFonts w:ascii="宋体" w:hAnsi="宋体" w:eastAsia="宋体"/>
                <w:sz w:val="24"/>
                <w:szCs w:val="24"/>
              </w:rPr>
            </w:pPr>
            <w:r>
              <w:rPr>
                <w:rFonts w:hint="eastAsia" w:ascii="宋体" w:hAnsi="宋体" w:eastAsia="宋体"/>
                <w:sz w:val="24"/>
                <w:szCs w:val="24"/>
              </w:rPr>
              <w:t>1、按照采购人需求，提供对指定区域的50套前端定向视频采集服务，进行24小时不间断录像存储，存储分辨率要求达到≥1080P高清画面。</w:t>
            </w:r>
          </w:p>
          <w:p>
            <w:pPr>
              <w:rPr>
                <w:rFonts w:ascii="宋体" w:hAnsi="宋体" w:eastAsia="宋体"/>
                <w:sz w:val="24"/>
                <w:szCs w:val="24"/>
              </w:rPr>
            </w:pPr>
            <w:r>
              <w:rPr>
                <w:rFonts w:hint="eastAsia" w:ascii="宋体" w:hAnsi="宋体" w:eastAsia="宋体"/>
                <w:sz w:val="24"/>
                <w:szCs w:val="24"/>
              </w:rPr>
              <w:t>2、提供50 套室外枪机的堪点服务，针对采购人需求配合采购人实地勘察，选点，保证点位的监控效果及可行性。</w:t>
            </w:r>
          </w:p>
          <w:p>
            <w:pPr>
              <w:rPr>
                <w:rFonts w:ascii="宋体" w:hAnsi="宋体" w:eastAsia="宋体"/>
                <w:sz w:val="24"/>
                <w:szCs w:val="24"/>
              </w:rPr>
            </w:pPr>
            <w:r>
              <w:rPr>
                <w:rFonts w:hint="eastAsia" w:ascii="宋体" w:hAnsi="宋体" w:eastAsia="宋体"/>
                <w:sz w:val="24"/>
                <w:szCs w:val="24"/>
              </w:rPr>
              <w:t>3、提供50套室外枪机的建设、安装、调试服务，在选定位置进行设备安装调试，使视频图像达到采购人需求。并提供配套的安装支架、电源(包含：电源线等主材及辅材、与接电配套的施工)、户外防水箱。</w:t>
            </w:r>
          </w:p>
          <w:p>
            <w:pPr>
              <w:rPr>
                <w:rFonts w:ascii="宋体" w:hAnsi="宋体" w:eastAsia="宋体"/>
                <w:sz w:val="24"/>
                <w:szCs w:val="24"/>
              </w:rPr>
            </w:pPr>
            <w:r>
              <w:rPr>
                <w:rFonts w:hint="eastAsia" w:ascii="宋体" w:hAnsi="宋体" w:eastAsia="宋体"/>
                <w:sz w:val="24"/>
                <w:szCs w:val="24"/>
              </w:rPr>
              <w:t>4、提供 50 套室外枪机的市电接入服务，配合供电勘察，接入稳定的市电电源，使前端设备能稳定工作。</w:t>
            </w:r>
          </w:p>
          <w:p>
            <w:pPr>
              <w:rPr>
                <w:rFonts w:ascii="宋体" w:hAnsi="宋体" w:eastAsia="宋体"/>
                <w:sz w:val="24"/>
                <w:szCs w:val="24"/>
              </w:rPr>
            </w:pPr>
            <w:r>
              <w:rPr>
                <w:rFonts w:hint="eastAsia" w:ascii="宋体" w:hAnsi="宋体" w:eastAsia="宋体"/>
                <w:sz w:val="24"/>
                <w:szCs w:val="24"/>
              </w:rPr>
              <w:t>5、提供50个前端视频采集点维护服务，定期对前端视频采集点的设备、辅材、弱电箱、市电进行巡检、维修、调整画面、清洁镜头等服务，保持视频图像长期稳定在线、清晰。服务期限三年。</w:t>
            </w:r>
          </w:p>
          <w:p>
            <w:pPr>
              <w:rPr>
                <w:rFonts w:ascii="宋体" w:hAnsi="宋体" w:eastAsia="宋体"/>
                <w:sz w:val="24"/>
                <w:szCs w:val="24"/>
              </w:rPr>
            </w:pPr>
            <w:r>
              <w:rPr>
                <w:rFonts w:hint="eastAsia" w:ascii="宋体" w:hAnsi="宋体" w:eastAsia="宋体"/>
                <w:sz w:val="24"/>
                <w:szCs w:val="24"/>
              </w:rPr>
              <w:t>二、定向视频采集服务配套监控设备技术参数要求　</w:t>
            </w:r>
          </w:p>
          <w:p>
            <w:pPr>
              <w:rPr>
                <w:rFonts w:ascii="宋体" w:hAnsi="宋体" w:eastAsia="宋体"/>
                <w:sz w:val="24"/>
                <w:szCs w:val="24"/>
              </w:rPr>
            </w:pPr>
            <w:r>
              <w:rPr>
                <w:rFonts w:hint="eastAsia" w:ascii="宋体" w:hAnsi="宋体" w:eastAsia="宋体"/>
                <w:sz w:val="24"/>
                <w:szCs w:val="24"/>
              </w:rPr>
              <w:t>前端监控设备参数要求：</w:t>
            </w:r>
            <w:r>
              <w:rPr>
                <w:rFonts w:ascii="宋体" w:hAnsi="宋体" w:eastAsia="宋体"/>
                <w:sz w:val="24"/>
                <w:szCs w:val="24"/>
              </w:rPr>
              <w:t xml:space="preserve"> </w:t>
            </w:r>
          </w:p>
          <w:p>
            <w:pPr>
              <w:rPr>
                <w:rFonts w:hint="eastAsia" w:ascii="宋体" w:hAnsi="宋体" w:eastAsia="宋体"/>
                <w:sz w:val="24"/>
                <w:szCs w:val="24"/>
              </w:rPr>
            </w:pPr>
            <w:r>
              <w:rPr>
                <w:rFonts w:hint="eastAsia" w:ascii="宋体" w:hAnsi="宋体" w:eastAsia="宋体"/>
                <w:sz w:val="24"/>
                <w:szCs w:val="24"/>
              </w:rPr>
              <w:t>（1）像素：400万;</w:t>
            </w:r>
          </w:p>
          <w:p>
            <w:pPr>
              <w:rPr>
                <w:rFonts w:hint="eastAsia" w:ascii="宋体" w:hAnsi="宋体" w:eastAsia="宋体"/>
                <w:sz w:val="24"/>
                <w:szCs w:val="24"/>
              </w:rPr>
            </w:pPr>
            <w:r>
              <w:rPr>
                <w:rFonts w:hint="eastAsia" w:ascii="宋体" w:hAnsi="宋体" w:eastAsia="宋体"/>
                <w:sz w:val="24"/>
                <w:szCs w:val="24"/>
              </w:rPr>
              <w:t>（2）传感器类型：1/3英寸CMOS;</w:t>
            </w:r>
          </w:p>
          <w:p>
            <w:pPr>
              <w:rPr>
                <w:rFonts w:hint="eastAsia" w:ascii="宋体" w:hAnsi="宋体" w:eastAsia="宋体"/>
                <w:sz w:val="24"/>
                <w:szCs w:val="24"/>
              </w:rPr>
            </w:pPr>
            <w:r>
              <w:rPr>
                <w:rFonts w:hint="eastAsia" w:ascii="宋体" w:hAnsi="宋体" w:eastAsia="宋体"/>
                <w:sz w:val="24"/>
                <w:szCs w:val="24"/>
              </w:rPr>
              <w:t>（3）最大分辨率：2688×1520;</w:t>
            </w:r>
          </w:p>
          <w:p>
            <w:pPr>
              <w:rPr>
                <w:rFonts w:ascii="宋体" w:hAnsi="宋体" w:eastAsia="宋体"/>
                <w:sz w:val="24"/>
                <w:szCs w:val="24"/>
              </w:rPr>
            </w:pPr>
            <w:r>
              <w:rPr>
                <w:rFonts w:hint="eastAsia" w:ascii="宋体" w:hAnsi="宋体" w:eastAsia="宋体"/>
                <w:sz w:val="24"/>
                <w:szCs w:val="24"/>
              </w:rPr>
              <w:t>（4）最大补光距离：30m（暖光）</w:t>
            </w:r>
          </w:p>
          <w:p>
            <w:pPr>
              <w:rPr>
                <w:rFonts w:hint="eastAsia" w:ascii="宋体" w:hAnsi="宋体" w:eastAsia="宋体"/>
                <w:sz w:val="24"/>
                <w:szCs w:val="24"/>
              </w:rPr>
            </w:pPr>
            <w:r>
              <w:rPr>
                <w:rFonts w:hint="eastAsia" w:ascii="宋体" w:hAnsi="宋体" w:eastAsia="宋体"/>
                <w:sz w:val="24"/>
                <w:szCs w:val="24"/>
              </w:rPr>
              <w:t>（5）最低照度：0.002Lux(彩色模式);0.0002Lux(黑白模式);0Lux(补光灯开启);</w:t>
            </w:r>
          </w:p>
          <w:p>
            <w:pPr>
              <w:rPr>
                <w:rFonts w:hint="eastAsia" w:ascii="宋体" w:hAnsi="宋体" w:eastAsia="宋体"/>
                <w:sz w:val="24"/>
                <w:szCs w:val="24"/>
              </w:rPr>
            </w:pPr>
            <w:r>
              <w:rPr>
                <w:rFonts w:hint="eastAsia" w:ascii="宋体" w:hAnsi="宋体" w:eastAsia="宋体"/>
                <w:sz w:val="24"/>
                <w:szCs w:val="24"/>
              </w:rPr>
              <w:t>（6）电子快门：1/3s~1/100000s（可手动或自动调节）;</w:t>
            </w:r>
          </w:p>
          <w:p>
            <w:pPr>
              <w:rPr>
                <w:rFonts w:ascii="宋体" w:hAnsi="宋体" w:eastAsia="宋体"/>
                <w:sz w:val="24"/>
                <w:szCs w:val="24"/>
              </w:rPr>
            </w:pPr>
            <w:r>
              <w:rPr>
                <w:rFonts w:hint="eastAsia" w:ascii="宋体" w:hAnsi="宋体" w:eastAsia="宋体"/>
                <w:sz w:val="24"/>
                <w:szCs w:val="24"/>
              </w:rPr>
              <w:t>（7）降噪：3D降噪</w:t>
            </w:r>
          </w:p>
          <w:p>
            <w:pPr>
              <w:rPr>
                <w:rFonts w:hint="eastAsia" w:ascii="宋体" w:hAnsi="宋体" w:eastAsia="宋体"/>
                <w:sz w:val="24"/>
                <w:szCs w:val="24"/>
              </w:rPr>
            </w:pPr>
            <w:r>
              <w:rPr>
                <w:rFonts w:hint="eastAsia" w:ascii="宋体" w:hAnsi="宋体" w:eastAsia="宋体"/>
                <w:sz w:val="24"/>
                <w:szCs w:val="24"/>
              </w:rPr>
              <w:t>（8）补光灯数量：2颗（暖光灯）;</w:t>
            </w:r>
          </w:p>
          <w:p>
            <w:pPr>
              <w:rPr>
                <w:rFonts w:hint="eastAsia" w:ascii="宋体" w:hAnsi="宋体" w:eastAsia="宋体"/>
                <w:sz w:val="24"/>
                <w:szCs w:val="24"/>
              </w:rPr>
            </w:pPr>
            <w:r>
              <w:rPr>
                <w:rFonts w:hint="eastAsia" w:ascii="宋体" w:hAnsi="宋体" w:eastAsia="宋体"/>
                <w:sz w:val="24"/>
                <w:szCs w:val="24"/>
              </w:rPr>
              <w:t>（9）全彩：支持;</w:t>
            </w:r>
          </w:p>
          <w:p>
            <w:pPr>
              <w:rPr>
                <w:rFonts w:ascii="宋体" w:hAnsi="宋体" w:eastAsia="宋体"/>
                <w:sz w:val="24"/>
                <w:szCs w:val="24"/>
              </w:rPr>
            </w:pPr>
            <w:r>
              <w:rPr>
                <w:rFonts w:hint="eastAsia" w:ascii="宋体" w:hAnsi="宋体" w:eastAsia="宋体"/>
                <w:sz w:val="24"/>
                <w:szCs w:val="24"/>
              </w:rPr>
              <w:t>（10）日夜转换：电子彩转黑</w:t>
            </w:r>
          </w:p>
          <w:p>
            <w:pPr>
              <w:rPr>
                <w:rFonts w:hint="eastAsia" w:ascii="宋体" w:hAnsi="宋体" w:eastAsia="宋体"/>
                <w:sz w:val="24"/>
                <w:szCs w:val="24"/>
              </w:rPr>
            </w:pPr>
            <w:r>
              <w:rPr>
                <w:rFonts w:hint="eastAsia" w:ascii="宋体" w:hAnsi="宋体" w:eastAsia="宋体"/>
                <w:sz w:val="24"/>
                <w:szCs w:val="24"/>
              </w:rPr>
              <w:t>（11）镜头类型：定焦;</w:t>
            </w:r>
          </w:p>
          <w:p>
            <w:pPr>
              <w:rPr>
                <w:rFonts w:hint="eastAsia" w:ascii="宋体" w:hAnsi="宋体" w:eastAsia="宋体"/>
                <w:sz w:val="24"/>
                <w:szCs w:val="24"/>
              </w:rPr>
            </w:pPr>
            <w:r>
              <w:rPr>
                <w:rFonts w:hint="eastAsia" w:ascii="宋体" w:hAnsi="宋体" w:eastAsia="宋体"/>
                <w:sz w:val="24"/>
                <w:szCs w:val="24"/>
              </w:rPr>
              <w:t>（12）扫描方式：逐行扫描;</w:t>
            </w:r>
          </w:p>
          <w:p>
            <w:pPr>
              <w:rPr>
                <w:rFonts w:hint="eastAsia" w:ascii="宋体" w:hAnsi="宋体" w:eastAsia="宋体"/>
                <w:sz w:val="24"/>
                <w:szCs w:val="24"/>
              </w:rPr>
            </w:pPr>
            <w:r>
              <w:rPr>
                <w:rFonts w:hint="eastAsia" w:ascii="宋体" w:hAnsi="宋体" w:eastAsia="宋体"/>
                <w:sz w:val="24"/>
                <w:szCs w:val="24"/>
              </w:rPr>
              <w:t>（13）镜头焦距：6mm;</w:t>
            </w:r>
          </w:p>
          <w:p>
            <w:pPr>
              <w:rPr>
                <w:rFonts w:ascii="宋体" w:hAnsi="宋体" w:eastAsia="宋体"/>
                <w:sz w:val="24"/>
                <w:szCs w:val="24"/>
              </w:rPr>
            </w:pPr>
            <w:r>
              <w:rPr>
                <w:rFonts w:hint="eastAsia" w:ascii="宋体" w:hAnsi="宋体" w:eastAsia="宋体"/>
                <w:sz w:val="24"/>
                <w:szCs w:val="24"/>
              </w:rPr>
              <w:t>（14）镜头接口：φ14</w:t>
            </w:r>
          </w:p>
          <w:p>
            <w:pPr>
              <w:rPr>
                <w:rFonts w:hint="eastAsia" w:ascii="宋体" w:hAnsi="宋体" w:eastAsia="宋体"/>
                <w:sz w:val="24"/>
                <w:szCs w:val="24"/>
              </w:rPr>
            </w:pPr>
            <w:r>
              <w:rPr>
                <w:rFonts w:hint="eastAsia" w:ascii="宋体" w:hAnsi="宋体" w:eastAsia="宋体"/>
                <w:sz w:val="24"/>
                <w:szCs w:val="24"/>
              </w:rPr>
              <w:t>（15）宽动态：120dB;</w:t>
            </w:r>
          </w:p>
          <w:p>
            <w:pPr>
              <w:rPr>
                <w:rFonts w:hint="eastAsia" w:ascii="宋体" w:hAnsi="宋体" w:eastAsia="宋体"/>
                <w:sz w:val="24"/>
                <w:szCs w:val="24"/>
              </w:rPr>
            </w:pPr>
            <w:r>
              <w:rPr>
                <w:rFonts w:hint="eastAsia" w:ascii="宋体" w:hAnsi="宋体" w:eastAsia="宋体"/>
                <w:sz w:val="24"/>
                <w:szCs w:val="24"/>
              </w:rPr>
              <w:t>（16）镜头光圈：F1.0；</w:t>
            </w:r>
          </w:p>
          <w:p>
            <w:pPr>
              <w:rPr>
                <w:rFonts w:hint="eastAsia" w:ascii="宋体" w:hAnsi="宋体" w:eastAsia="宋体"/>
                <w:sz w:val="24"/>
                <w:szCs w:val="24"/>
              </w:rPr>
            </w:pPr>
            <w:r>
              <w:rPr>
                <w:rFonts w:hint="eastAsia" w:ascii="宋体" w:hAnsi="宋体" w:eastAsia="宋体"/>
                <w:sz w:val="24"/>
                <w:szCs w:val="24"/>
              </w:rPr>
              <w:t>（17）光圈控制：固定光圈；</w:t>
            </w:r>
          </w:p>
          <w:p>
            <w:pPr>
              <w:rPr>
                <w:rFonts w:ascii="宋体" w:hAnsi="宋体" w:eastAsia="宋体"/>
                <w:sz w:val="24"/>
                <w:szCs w:val="24"/>
              </w:rPr>
            </w:pPr>
            <w:r>
              <w:rPr>
                <w:rFonts w:hint="eastAsia" w:ascii="宋体" w:hAnsi="宋体" w:eastAsia="宋体"/>
                <w:sz w:val="24"/>
                <w:szCs w:val="24"/>
              </w:rPr>
              <w:t>（18）信噪比：＞56dB</w:t>
            </w:r>
          </w:p>
          <w:p>
            <w:pPr>
              <w:rPr>
                <w:rFonts w:hint="eastAsia" w:ascii="宋体" w:hAnsi="宋体" w:eastAsia="宋体"/>
                <w:sz w:val="24"/>
                <w:szCs w:val="24"/>
              </w:rPr>
            </w:pPr>
            <w:r>
              <w:rPr>
                <w:rFonts w:hint="eastAsia" w:ascii="宋体" w:hAnsi="宋体" w:eastAsia="宋体"/>
                <w:sz w:val="24"/>
                <w:szCs w:val="24"/>
              </w:rPr>
              <w:t>（19）增益控制：手动/自动；</w:t>
            </w:r>
          </w:p>
          <w:p>
            <w:pPr>
              <w:rPr>
                <w:rFonts w:ascii="宋体" w:hAnsi="宋体" w:eastAsia="宋体"/>
                <w:sz w:val="24"/>
                <w:szCs w:val="24"/>
              </w:rPr>
            </w:pPr>
            <w:r>
              <w:rPr>
                <w:rFonts w:hint="eastAsia" w:ascii="宋体" w:hAnsi="宋体" w:eastAsia="宋体"/>
                <w:sz w:val="24"/>
                <w:szCs w:val="24"/>
              </w:rPr>
              <w:t>（20）视场角：水平53°×垂直30°×对角61°</w:t>
            </w:r>
          </w:p>
          <w:p>
            <w:pPr>
              <w:rPr>
                <w:rFonts w:hint="eastAsia" w:ascii="宋体" w:hAnsi="宋体" w:eastAsia="宋体"/>
                <w:sz w:val="24"/>
                <w:szCs w:val="24"/>
              </w:rPr>
            </w:pPr>
            <w:r>
              <w:rPr>
                <w:rFonts w:hint="eastAsia" w:ascii="宋体" w:hAnsi="宋体" w:eastAsia="宋体"/>
                <w:sz w:val="24"/>
                <w:szCs w:val="24"/>
              </w:rPr>
              <w:t>（21）近摄距：4.5m；</w:t>
            </w:r>
          </w:p>
          <w:p>
            <w:pPr>
              <w:rPr>
                <w:rFonts w:ascii="宋体" w:hAnsi="宋体" w:eastAsia="宋体"/>
                <w:sz w:val="24"/>
                <w:szCs w:val="24"/>
              </w:rPr>
            </w:pPr>
            <w:r>
              <w:rPr>
                <w:rFonts w:hint="eastAsia" w:ascii="宋体" w:hAnsi="宋体" w:eastAsia="宋体"/>
                <w:sz w:val="24"/>
                <w:szCs w:val="24"/>
              </w:rPr>
              <w:t>（22）白平衡：自动/自然光/路灯/室外/手动/区域自定义</w:t>
            </w:r>
          </w:p>
          <w:p>
            <w:pPr>
              <w:rPr>
                <w:rFonts w:hint="eastAsia" w:ascii="宋体" w:hAnsi="宋体" w:eastAsia="宋体"/>
                <w:sz w:val="24"/>
                <w:szCs w:val="24"/>
              </w:rPr>
            </w:pPr>
            <w:r>
              <w:rPr>
                <w:rFonts w:hint="eastAsia" w:ascii="宋体" w:hAnsi="宋体" w:eastAsia="宋体"/>
                <w:sz w:val="24"/>
                <w:szCs w:val="24"/>
              </w:rPr>
              <w:t>（23）背光补偿：支持；</w:t>
            </w:r>
          </w:p>
          <w:p>
            <w:pPr>
              <w:rPr>
                <w:rFonts w:hint="eastAsia" w:ascii="宋体" w:hAnsi="宋体" w:eastAsia="宋体"/>
                <w:sz w:val="24"/>
                <w:szCs w:val="24"/>
              </w:rPr>
            </w:pPr>
            <w:r>
              <w:rPr>
                <w:rFonts w:hint="eastAsia" w:ascii="宋体" w:hAnsi="宋体" w:eastAsia="宋体"/>
                <w:sz w:val="24"/>
                <w:szCs w:val="24"/>
              </w:rPr>
              <w:t>（24）报警事件：网络断开；IP冲突；非法访问；动态检测；视频遮挡；拌线入侵；区域入侵；电压检测；安全异常；</w:t>
            </w:r>
          </w:p>
          <w:p>
            <w:pPr>
              <w:rPr>
                <w:rFonts w:hint="eastAsia" w:ascii="宋体" w:hAnsi="宋体" w:eastAsia="宋体"/>
                <w:sz w:val="24"/>
                <w:szCs w:val="24"/>
              </w:rPr>
            </w:pPr>
            <w:r>
              <w:rPr>
                <w:rFonts w:hint="eastAsia" w:ascii="宋体" w:hAnsi="宋体" w:eastAsia="宋体"/>
                <w:sz w:val="24"/>
                <w:szCs w:val="24"/>
              </w:rPr>
              <w:t>（25）强光抑制：支持；</w:t>
            </w:r>
          </w:p>
          <w:p>
            <w:pPr>
              <w:rPr>
                <w:rFonts w:ascii="宋体" w:hAnsi="宋体" w:eastAsia="宋体"/>
                <w:sz w:val="24"/>
                <w:szCs w:val="24"/>
              </w:rPr>
            </w:pPr>
            <w:r>
              <w:rPr>
                <w:rFonts w:hint="eastAsia" w:ascii="宋体" w:hAnsi="宋体" w:eastAsia="宋体"/>
                <w:sz w:val="24"/>
                <w:szCs w:val="24"/>
              </w:rPr>
              <w:t>（26）H.265：支持；</w:t>
            </w:r>
          </w:p>
          <w:p>
            <w:pPr>
              <w:rPr>
                <w:rFonts w:ascii="宋体" w:hAnsi="宋体" w:eastAsia="宋体"/>
                <w:sz w:val="24"/>
                <w:szCs w:val="24"/>
              </w:rPr>
            </w:pPr>
            <w:r>
              <w:rPr>
                <w:rFonts w:hint="eastAsia" w:ascii="宋体" w:hAnsi="宋体" w:eastAsia="宋体"/>
                <w:sz w:val="24"/>
                <w:szCs w:val="24"/>
              </w:rPr>
              <w:t>（27）视频帧率：50Hz主码流（2560×1440@25fps），辅码流（704×576@25fps）主码流（2688×1520@20fps），辅码流（704×576@20fps）60Hz主码流（2560×1440@30fps），辅码流（704×480@30fps）主码流（2688×1520@20fps），辅码流（704×480@20fps）,默认分辨率下默认码流：4096kbps（2560x1440）</w:t>
            </w:r>
          </w:p>
          <w:p>
            <w:pPr>
              <w:rPr>
                <w:rFonts w:ascii="宋体" w:hAnsi="宋体" w:eastAsia="宋体"/>
                <w:sz w:val="24"/>
                <w:szCs w:val="24"/>
              </w:rPr>
            </w:pPr>
            <w:r>
              <w:rPr>
                <w:rFonts w:hint="eastAsia" w:ascii="宋体" w:hAnsi="宋体" w:eastAsia="宋体"/>
                <w:sz w:val="24"/>
                <w:szCs w:val="24"/>
              </w:rPr>
              <w:t>（28）图像设置：亮度；对比度；锐度；饱和度；伽马</w:t>
            </w:r>
          </w:p>
          <w:p>
            <w:pPr>
              <w:rPr>
                <w:rFonts w:ascii="宋体" w:hAnsi="宋体" w:eastAsia="宋体"/>
                <w:sz w:val="24"/>
                <w:szCs w:val="24"/>
              </w:rPr>
            </w:pPr>
            <w:r>
              <w:rPr>
                <w:rFonts w:hint="eastAsia" w:ascii="宋体" w:hAnsi="宋体" w:eastAsia="宋体"/>
                <w:sz w:val="24"/>
                <w:szCs w:val="24"/>
              </w:rPr>
              <w:t>（29）信息叠加：时间；通道；地理位置</w:t>
            </w:r>
          </w:p>
          <w:p>
            <w:pPr>
              <w:rPr>
                <w:rFonts w:ascii="宋体" w:hAnsi="宋体" w:eastAsia="宋体"/>
                <w:sz w:val="24"/>
                <w:szCs w:val="24"/>
              </w:rPr>
            </w:pPr>
            <w:r>
              <w:rPr>
                <w:rFonts w:hint="eastAsia" w:ascii="宋体" w:hAnsi="宋体" w:eastAsia="宋体"/>
                <w:sz w:val="24"/>
                <w:szCs w:val="24"/>
              </w:rPr>
              <w:t>（30）走廊模式：90°/270°</w:t>
            </w:r>
          </w:p>
          <w:p>
            <w:pPr>
              <w:rPr>
                <w:rFonts w:ascii="宋体" w:hAnsi="宋体" w:eastAsia="宋体"/>
                <w:sz w:val="24"/>
                <w:szCs w:val="24"/>
              </w:rPr>
            </w:pPr>
            <w:r>
              <w:rPr>
                <w:rFonts w:hint="eastAsia" w:ascii="宋体" w:hAnsi="宋体" w:eastAsia="宋体"/>
                <w:sz w:val="24"/>
                <w:szCs w:val="24"/>
              </w:rPr>
              <w:t>（31）录像模式：手动录像；视频检测录像；定时录像；录像优先级从高到低依次为手动/视频检测/定时</w:t>
            </w:r>
          </w:p>
          <w:p>
            <w:pPr>
              <w:rPr>
                <w:rFonts w:ascii="宋体" w:hAnsi="宋体" w:eastAsia="宋体"/>
                <w:sz w:val="24"/>
                <w:szCs w:val="24"/>
              </w:rPr>
            </w:pPr>
            <w:r>
              <w:rPr>
                <w:rFonts w:hint="eastAsia" w:ascii="宋体" w:hAnsi="宋体" w:eastAsia="宋体"/>
                <w:sz w:val="24"/>
                <w:szCs w:val="24"/>
              </w:rPr>
              <w:t>（32）存储功能：FTP；NAS</w:t>
            </w:r>
          </w:p>
          <w:p>
            <w:pPr>
              <w:rPr>
                <w:rFonts w:ascii="宋体" w:hAnsi="宋体" w:eastAsia="宋体"/>
                <w:sz w:val="24"/>
                <w:szCs w:val="24"/>
              </w:rPr>
            </w:pPr>
            <w:r>
              <w:rPr>
                <w:rFonts w:hint="eastAsia" w:ascii="宋体" w:hAnsi="宋体" w:eastAsia="宋体"/>
                <w:sz w:val="24"/>
                <w:szCs w:val="24"/>
              </w:rPr>
              <w:t>（33）预览最大用户数：20个</w:t>
            </w:r>
          </w:p>
          <w:p>
            <w:pPr>
              <w:rPr>
                <w:rFonts w:ascii="宋体" w:hAnsi="宋体" w:eastAsia="宋体"/>
                <w:sz w:val="24"/>
                <w:szCs w:val="24"/>
              </w:rPr>
            </w:pPr>
            <w:r>
              <w:rPr>
                <w:rFonts w:hint="eastAsia" w:ascii="宋体" w:hAnsi="宋体" w:eastAsia="宋体"/>
                <w:sz w:val="24"/>
                <w:szCs w:val="24"/>
              </w:rPr>
              <w:t>（34）恢复默认：支持一键恢复默认配置</w:t>
            </w:r>
          </w:p>
          <w:p>
            <w:pPr>
              <w:rPr>
                <w:rFonts w:ascii="宋体" w:hAnsi="宋体" w:eastAsia="宋体"/>
                <w:sz w:val="24"/>
                <w:szCs w:val="24"/>
              </w:rPr>
            </w:pPr>
            <w:r>
              <w:rPr>
                <w:rFonts w:hint="eastAsia" w:ascii="宋体" w:hAnsi="宋体" w:eastAsia="宋体"/>
                <w:sz w:val="24"/>
                <w:szCs w:val="24"/>
              </w:rPr>
              <w:t>（35）视频压缩标准：H.265；H.264；H.264B；MJPEG</w:t>
            </w:r>
          </w:p>
          <w:p>
            <w:pPr>
              <w:rPr>
                <w:rFonts w:ascii="宋体" w:hAnsi="宋体" w:eastAsia="宋体"/>
                <w:sz w:val="24"/>
                <w:szCs w:val="24"/>
              </w:rPr>
            </w:pPr>
            <w:r>
              <w:rPr>
                <w:rFonts w:hint="eastAsia" w:ascii="宋体" w:hAnsi="宋体" w:eastAsia="宋体"/>
                <w:sz w:val="24"/>
                <w:szCs w:val="24"/>
              </w:rPr>
              <w:t>（36）浏览器：支持IE、谷歌、火狐</w:t>
            </w:r>
          </w:p>
          <w:p>
            <w:pPr>
              <w:rPr>
                <w:rFonts w:ascii="宋体" w:hAnsi="宋体" w:eastAsia="宋体"/>
                <w:sz w:val="24"/>
                <w:szCs w:val="24"/>
              </w:rPr>
            </w:pPr>
            <w:r>
              <w:rPr>
                <w:rFonts w:hint="eastAsia" w:ascii="宋体" w:hAnsi="宋体" w:eastAsia="宋体"/>
                <w:sz w:val="24"/>
                <w:szCs w:val="24"/>
              </w:rPr>
              <w:t>（37）安全模式：授权的用户名和密码；MAC地址绑定；HTTPS加密；网络访问控制；IEEE 802.1x</w:t>
            </w:r>
          </w:p>
        </w:tc>
        <w:tc>
          <w:tcPr>
            <w:tcW w:w="454" w:type="dxa"/>
            <w:vAlign w:val="center"/>
          </w:tcPr>
          <w:p>
            <w:pPr>
              <w:rPr>
                <w:rFonts w:ascii="宋体" w:hAnsi="宋体" w:eastAsia="宋体" w:cs="宋体"/>
                <w:sz w:val="24"/>
                <w:szCs w:val="24"/>
              </w:rPr>
            </w:pPr>
            <w:r>
              <w:rPr>
                <w:rFonts w:hint="eastAsia" w:ascii="宋体" w:hAnsi="宋体" w:eastAsia="宋体" w:cs="宋体"/>
                <w:sz w:val="24"/>
                <w:szCs w:val="24"/>
              </w:rPr>
              <w:t>套</w:t>
            </w:r>
          </w:p>
        </w:tc>
        <w:tc>
          <w:tcPr>
            <w:tcW w:w="579" w:type="dxa"/>
            <w:vAlign w:val="center"/>
          </w:tcPr>
          <w:p>
            <w:pPr>
              <w:jc w:val="center"/>
              <w:rPr>
                <w:rFonts w:ascii="宋体" w:hAnsi="宋体" w:eastAsia="宋体" w:cs="宋体"/>
                <w:sz w:val="24"/>
                <w:szCs w:val="24"/>
              </w:rPr>
            </w:pPr>
            <w:r>
              <w:rPr>
                <w:rFonts w:hint="eastAsia" w:ascii="宋体" w:hAnsi="宋体" w:eastAsia="宋体" w:cs="宋体"/>
                <w:sz w:val="24"/>
                <w:szCs w:val="24"/>
              </w:rPr>
              <w:t>50</w:t>
            </w:r>
          </w:p>
        </w:tc>
        <w:tc>
          <w:tcPr>
            <w:tcW w:w="877" w:type="dxa"/>
            <w:vAlign w:val="center"/>
          </w:tcPr>
          <w:p>
            <w:pPr>
              <w:jc w:val="center"/>
              <w:rPr>
                <w:rFonts w:ascii="宋体" w:hAnsi="宋体" w:eastAsia="宋体" w:cs="宋体"/>
                <w:sz w:val="24"/>
                <w:szCs w:val="24"/>
              </w:rPr>
            </w:pPr>
            <w:r>
              <w:rPr>
                <w:rFonts w:hint="eastAsia" w:ascii="宋体" w:hAnsi="宋体" w:eastAsia="宋体" w:cs="宋体"/>
                <w:sz w:val="24"/>
                <w:szCs w:val="24"/>
              </w:rPr>
              <w:t>12000</w:t>
            </w:r>
          </w:p>
        </w:tc>
        <w:tc>
          <w:tcPr>
            <w:tcW w:w="1002"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600000</w:t>
            </w:r>
          </w:p>
        </w:tc>
        <w:tc>
          <w:tcPr>
            <w:tcW w:w="706" w:type="dxa"/>
            <w:vMerge w:val="restart"/>
            <w:vAlign w:val="center"/>
          </w:tcPr>
          <w:p>
            <w:pPr>
              <w:numPr>
                <w:ilvl w:val="0"/>
                <w:numId w:val="32"/>
              </w:numPr>
              <w:jc w:val="center"/>
              <w:rPr>
                <w:rFonts w:ascii="宋体" w:hAnsi="宋体" w:eastAsia="宋体" w:cs="宋体"/>
                <w:sz w:val="24"/>
                <w:szCs w:val="24"/>
              </w:rPr>
            </w:pPr>
            <w:r>
              <w:rPr>
                <w:rFonts w:hint="eastAsia" w:ascii="宋体" w:hAnsi="宋体" w:eastAsia="宋体" w:cs="宋体"/>
                <w:sz w:val="24"/>
                <w:szCs w:val="24"/>
              </w:rPr>
              <w:t>包含3年前端监控点摄像头+光钎线路+30天云平台存储费用。</w:t>
            </w:r>
          </w:p>
          <w:p>
            <w:pPr>
              <w:numPr>
                <w:ilvl w:val="0"/>
                <w:numId w:val="32"/>
              </w:numPr>
              <w:jc w:val="center"/>
              <w:rPr>
                <w:rFonts w:ascii="宋体" w:hAnsi="宋体" w:eastAsia="宋体" w:cs="宋体"/>
                <w:sz w:val="24"/>
                <w:szCs w:val="24"/>
              </w:rPr>
            </w:pPr>
            <w:r>
              <w:rPr>
                <w:rFonts w:hint="eastAsia" w:ascii="宋体" w:hAnsi="宋体" w:eastAsia="宋体" w:cs="宋体"/>
                <w:sz w:val="24"/>
                <w:szCs w:val="24"/>
              </w:rPr>
              <w:t>包含乡镇级综治中心、乡镇派出所专线联网使用查看。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729" w:type="dxa"/>
            <w:vAlign w:val="center"/>
          </w:tcPr>
          <w:p>
            <w:pPr>
              <w:rPr>
                <w:rFonts w:ascii="宋体" w:hAnsi="宋体" w:eastAsia="宋体"/>
                <w:sz w:val="24"/>
                <w:szCs w:val="24"/>
              </w:rPr>
            </w:pPr>
            <w:r>
              <w:rPr>
                <w:rFonts w:hint="eastAsia" w:ascii="宋体" w:hAnsi="宋体" w:eastAsia="宋体"/>
                <w:sz w:val="24"/>
                <w:szCs w:val="24"/>
              </w:rPr>
              <w:t>视频监控管理平台服务</w:t>
            </w:r>
          </w:p>
        </w:tc>
        <w:tc>
          <w:tcPr>
            <w:tcW w:w="5666" w:type="dxa"/>
            <w:gridSpan w:val="2"/>
            <w:vAlign w:val="center"/>
          </w:tcPr>
          <w:p>
            <w:pPr>
              <w:numPr>
                <w:ilvl w:val="0"/>
                <w:numId w:val="33"/>
              </w:numPr>
              <w:rPr>
                <w:rFonts w:ascii="宋体" w:hAnsi="宋体" w:eastAsia="宋体"/>
                <w:sz w:val="24"/>
                <w:szCs w:val="24"/>
              </w:rPr>
            </w:pPr>
            <w:r>
              <w:rPr>
                <w:rFonts w:hint="eastAsia" w:ascii="宋体" w:hAnsi="宋体" w:eastAsia="宋体"/>
                <w:sz w:val="24"/>
                <w:szCs w:val="24"/>
              </w:rPr>
              <w:t>服务要求：</w:t>
            </w:r>
          </w:p>
          <w:p>
            <w:pPr>
              <w:numPr>
                <w:ilvl w:val="0"/>
                <w:numId w:val="34"/>
              </w:numPr>
              <w:rPr>
                <w:rFonts w:ascii="宋体" w:hAnsi="宋体" w:eastAsia="宋体"/>
                <w:sz w:val="24"/>
                <w:szCs w:val="24"/>
              </w:rPr>
            </w:pPr>
            <w:r>
              <w:rPr>
                <w:rFonts w:hint="eastAsia" w:ascii="宋体" w:hAnsi="宋体" w:eastAsia="宋体"/>
                <w:sz w:val="24"/>
                <w:szCs w:val="24"/>
              </w:rPr>
              <w:t>提供1套视频监控管理平台，支持前端监控点光钎接入线路服务，供采购人在指定监控中心现场接入，实现对所有前端视频监控点图像的画面查看、录像调阅。</w:t>
            </w:r>
          </w:p>
          <w:p>
            <w:pPr>
              <w:numPr>
                <w:ilvl w:val="0"/>
                <w:numId w:val="34"/>
              </w:numPr>
              <w:rPr>
                <w:rFonts w:ascii="宋体" w:hAnsi="宋体" w:eastAsia="宋体"/>
                <w:sz w:val="24"/>
                <w:szCs w:val="24"/>
              </w:rPr>
            </w:pPr>
            <w:r>
              <w:rPr>
                <w:rFonts w:hint="eastAsia" w:ascii="宋体" w:hAnsi="宋体" w:eastAsia="宋体"/>
                <w:sz w:val="24"/>
                <w:szCs w:val="24"/>
              </w:rPr>
              <w:t>为50个视频监控前端点提供为期30天(1080P,H.265编码格式，2M码流）的录像存储服务。</w:t>
            </w:r>
          </w:p>
          <w:p>
            <w:pPr>
              <w:numPr>
                <w:ilvl w:val="0"/>
                <w:numId w:val="34"/>
              </w:numPr>
              <w:rPr>
                <w:rFonts w:ascii="宋体" w:hAnsi="宋体" w:eastAsia="宋体"/>
                <w:sz w:val="24"/>
                <w:szCs w:val="24"/>
              </w:rPr>
            </w:pPr>
            <w:r>
              <w:rPr>
                <w:rFonts w:hint="eastAsia" w:ascii="宋体" w:hAnsi="宋体" w:eastAsia="宋体"/>
                <w:sz w:val="24"/>
                <w:szCs w:val="24"/>
              </w:rPr>
              <w:t>对采购人租用的视频处理服务器、网络汇聚设备、存储服务器提供运维服务。服务期限三年。</w:t>
            </w:r>
          </w:p>
          <w:p>
            <w:pPr>
              <w:numPr>
                <w:ilvl w:val="0"/>
                <w:numId w:val="34"/>
              </w:numPr>
              <w:rPr>
                <w:rFonts w:ascii="宋体" w:hAnsi="宋体" w:eastAsia="宋体"/>
                <w:sz w:val="24"/>
                <w:szCs w:val="24"/>
              </w:rPr>
            </w:pPr>
            <w:r>
              <w:rPr>
                <w:rFonts w:hint="eastAsia" w:ascii="宋体" w:hAnsi="宋体" w:eastAsia="宋体"/>
                <w:sz w:val="24"/>
                <w:szCs w:val="24"/>
              </w:rPr>
              <w:t>提供设备相应配套的机房租用服务，以及设备运行所需的空调使用、电费占用等服务。服务期限三年。</w:t>
            </w:r>
          </w:p>
          <w:p>
            <w:pPr>
              <w:rPr>
                <w:rFonts w:ascii="宋体" w:hAnsi="宋体" w:eastAsia="宋体"/>
                <w:sz w:val="24"/>
                <w:szCs w:val="24"/>
              </w:rPr>
            </w:pPr>
            <w:r>
              <w:rPr>
                <w:rFonts w:hint="eastAsia" w:ascii="宋体" w:hAnsi="宋体" w:eastAsia="宋体"/>
                <w:sz w:val="24"/>
                <w:szCs w:val="24"/>
              </w:rPr>
              <w:t>5、提供采购人所需的平台升级，修复漏洞等服务，以保证系统使用期间稳定运行。</w:t>
            </w:r>
          </w:p>
          <w:p>
            <w:pPr>
              <w:rPr>
                <w:rFonts w:ascii="宋体" w:hAnsi="宋体" w:eastAsia="宋体"/>
                <w:sz w:val="24"/>
                <w:szCs w:val="24"/>
              </w:rPr>
            </w:pPr>
            <w:r>
              <w:rPr>
                <w:rFonts w:hint="eastAsia" w:ascii="宋体" w:hAnsi="宋体" w:eastAsia="宋体"/>
                <w:sz w:val="24"/>
                <w:szCs w:val="24"/>
              </w:rPr>
              <w:t>二、基本功能</w:t>
            </w:r>
          </w:p>
          <w:p>
            <w:pPr>
              <w:ind w:firstLine="360" w:firstLineChars="150"/>
              <w:rPr>
                <w:rFonts w:ascii="宋体" w:hAnsi="宋体" w:eastAsia="宋体"/>
                <w:sz w:val="24"/>
                <w:szCs w:val="24"/>
              </w:rPr>
            </w:pPr>
            <w:r>
              <w:rPr>
                <w:rFonts w:hint="eastAsia" w:ascii="宋体" w:hAnsi="宋体" w:eastAsia="宋体"/>
                <w:sz w:val="24"/>
                <w:szCs w:val="24"/>
              </w:rPr>
              <w:t>（1）支持基本的视频能力、录像回放能力、视频实时上墙和任务上墙；</w:t>
            </w:r>
          </w:p>
          <w:p>
            <w:pPr>
              <w:ind w:firstLine="360" w:firstLineChars="150"/>
              <w:rPr>
                <w:rFonts w:ascii="宋体" w:hAnsi="宋体" w:eastAsia="宋体"/>
                <w:sz w:val="24"/>
                <w:szCs w:val="24"/>
              </w:rPr>
            </w:pPr>
            <w:r>
              <w:rPr>
                <w:rFonts w:hint="eastAsia" w:ascii="宋体" w:hAnsi="宋体" w:eastAsia="宋体"/>
                <w:sz w:val="24"/>
                <w:szCs w:val="24"/>
              </w:rPr>
              <w:t>（2）支持不同选型的中心管理平台（1万\3万\10万路）来管理设备做集群汇聚</w:t>
            </w:r>
          </w:p>
          <w:p>
            <w:pPr>
              <w:ind w:firstLine="360" w:firstLineChars="150"/>
              <w:rPr>
                <w:rFonts w:ascii="宋体" w:hAnsi="宋体" w:eastAsia="宋体"/>
                <w:sz w:val="24"/>
                <w:szCs w:val="24"/>
              </w:rPr>
            </w:pPr>
            <w:r>
              <w:rPr>
                <w:rFonts w:hint="eastAsia" w:ascii="宋体" w:hAnsi="宋体" w:eastAsia="宋体"/>
                <w:sz w:val="24"/>
                <w:szCs w:val="24"/>
              </w:rPr>
              <w:t>（3）支持管理云存储</w:t>
            </w:r>
          </w:p>
          <w:p>
            <w:pPr>
              <w:ind w:firstLine="360" w:firstLineChars="150"/>
              <w:rPr>
                <w:rFonts w:ascii="宋体" w:hAnsi="宋体" w:eastAsia="宋体"/>
                <w:sz w:val="24"/>
                <w:szCs w:val="24"/>
              </w:rPr>
            </w:pPr>
            <w:r>
              <w:rPr>
                <w:rFonts w:hint="eastAsia" w:ascii="宋体" w:hAnsi="宋体" w:eastAsia="宋体"/>
                <w:sz w:val="24"/>
                <w:szCs w:val="24"/>
              </w:rPr>
              <w:t>（4）支持对接智能云存储的管理节点双机热备，数据节点集群实现动态负载扩展，满足不同路数的接入、转发、存储；</w:t>
            </w:r>
          </w:p>
          <w:p>
            <w:pPr>
              <w:ind w:firstLine="360" w:firstLineChars="150"/>
              <w:rPr>
                <w:rFonts w:ascii="宋体" w:hAnsi="宋体" w:eastAsia="宋体"/>
                <w:sz w:val="24"/>
                <w:szCs w:val="24"/>
              </w:rPr>
            </w:pPr>
            <w:r>
              <w:rPr>
                <w:rFonts w:hint="eastAsia" w:ascii="宋体" w:hAnsi="宋体" w:eastAsia="宋体"/>
                <w:sz w:val="24"/>
                <w:szCs w:val="24"/>
              </w:rPr>
              <w:t>（5）支持管理节点；</w:t>
            </w:r>
          </w:p>
          <w:p>
            <w:pPr>
              <w:ind w:firstLine="360" w:firstLineChars="150"/>
              <w:rPr>
                <w:rFonts w:ascii="宋体" w:hAnsi="宋体" w:eastAsia="宋体"/>
                <w:sz w:val="24"/>
                <w:szCs w:val="24"/>
              </w:rPr>
            </w:pPr>
            <w:r>
              <w:rPr>
                <w:rFonts w:hint="eastAsia" w:ascii="宋体" w:hAnsi="宋体" w:eastAsia="宋体"/>
                <w:sz w:val="24"/>
                <w:szCs w:val="24"/>
              </w:rPr>
              <w:t>（6）支持一个中型管理平台配套的节点做集群满足不同路数的接入、转发、存储；</w:t>
            </w:r>
          </w:p>
          <w:p>
            <w:pPr>
              <w:ind w:firstLine="360" w:firstLineChars="150"/>
              <w:rPr>
                <w:rFonts w:ascii="宋体" w:hAnsi="宋体" w:eastAsia="宋体"/>
                <w:sz w:val="24"/>
                <w:szCs w:val="24"/>
              </w:rPr>
            </w:pPr>
            <w:r>
              <w:rPr>
                <w:rFonts w:hint="eastAsia" w:ascii="宋体" w:hAnsi="宋体" w:eastAsia="宋体"/>
                <w:sz w:val="24"/>
                <w:szCs w:val="24"/>
              </w:rPr>
              <w:t>（7）采用分布式非对称式架构，元数据处理与数据存储的松耦合分析架构；</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2、数据搜索服务</w:t>
            </w:r>
          </w:p>
          <w:p>
            <w:pPr>
              <w:ind w:firstLine="360" w:firstLineChars="150"/>
              <w:rPr>
                <w:rFonts w:ascii="宋体" w:hAnsi="宋体" w:eastAsia="宋体"/>
                <w:sz w:val="24"/>
                <w:szCs w:val="24"/>
              </w:rPr>
            </w:pPr>
            <w:r>
              <w:rPr>
                <w:rFonts w:hint="eastAsia" w:ascii="宋体" w:hAnsi="宋体" w:eastAsia="宋体"/>
                <w:sz w:val="24"/>
                <w:szCs w:val="24"/>
              </w:rPr>
              <w:t>（1）提供结构化数据存储和管理服务，包含：数据存储模块，数据生命周期管理模块，数据接入模块，数据备份模块，数据流量统计模块；</w:t>
            </w:r>
          </w:p>
          <w:p>
            <w:pPr>
              <w:ind w:firstLine="360" w:firstLineChars="150"/>
              <w:rPr>
                <w:rFonts w:ascii="宋体" w:hAnsi="宋体" w:eastAsia="宋体"/>
                <w:sz w:val="24"/>
                <w:szCs w:val="24"/>
              </w:rPr>
            </w:pPr>
            <w:r>
              <w:rPr>
                <w:rFonts w:hint="eastAsia" w:ascii="宋体" w:hAnsi="宋体" w:eastAsia="宋体"/>
                <w:sz w:val="24"/>
                <w:szCs w:val="24"/>
              </w:rPr>
              <w:t>（2）提供数据基础PaaS服务软件，包含：数据实时接入模块，数据查询模块；</w:t>
            </w:r>
          </w:p>
          <w:p>
            <w:pPr>
              <w:ind w:firstLine="360" w:firstLineChars="150"/>
              <w:rPr>
                <w:rFonts w:ascii="宋体" w:hAnsi="宋体" w:eastAsia="宋体"/>
                <w:sz w:val="24"/>
                <w:szCs w:val="24"/>
              </w:rPr>
            </w:pPr>
            <w:r>
              <w:rPr>
                <w:rFonts w:hint="eastAsia" w:ascii="宋体" w:hAnsi="宋体" w:eastAsia="宋体"/>
                <w:sz w:val="24"/>
                <w:szCs w:val="24"/>
              </w:rPr>
              <w:t>（3）系统容量需满足25亿条数据量存储和分析，集群可支持PB级数据量的存储；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3、视频云统一运维服务</w:t>
            </w:r>
          </w:p>
          <w:p>
            <w:pPr>
              <w:ind w:firstLine="360" w:firstLineChars="150"/>
              <w:rPr>
                <w:rFonts w:ascii="宋体" w:hAnsi="宋体" w:eastAsia="宋体"/>
                <w:sz w:val="24"/>
                <w:szCs w:val="24"/>
              </w:rPr>
            </w:pPr>
            <w:r>
              <w:rPr>
                <w:rFonts w:hint="eastAsia" w:ascii="宋体" w:hAnsi="宋体" w:eastAsia="宋体"/>
                <w:sz w:val="24"/>
                <w:szCs w:val="24"/>
              </w:rPr>
              <w:t>（1）提供用户鉴权 配套对接VSL鉴权模块；</w:t>
            </w:r>
          </w:p>
          <w:p>
            <w:pPr>
              <w:ind w:firstLine="360" w:firstLineChars="150"/>
              <w:rPr>
                <w:rFonts w:ascii="宋体" w:hAnsi="宋体" w:eastAsia="宋体"/>
                <w:sz w:val="24"/>
                <w:szCs w:val="24"/>
              </w:rPr>
            </w:pPr>
            <w:r>
              <w:rPr>
                <w:rFonts w:hint="eastAsia" w:ascii="宋体" w:hAnsi="宋体" w:eastAsia="宋体"/>
                <w:sz w:val="24"/>
                <w:szCs w:val="24"/>
              </w:rPr>
              <w:t>（2）实现角色、权限分配可对不同使用人员，配置不同的业务角色和权限。分功能菜单权限 和 操作权限；</w:t>
            </w:r>
          </w:p>
          <w:p>
            <w:pPr>
              <w:ind w:firstLine="360" w:firstLineChars="150"/>
              <w:rPr>
                <w:rFonts w:ascii="宋体" w:hAnsi="宋体" w:eastAsia="宋体"/>
                <w:sz w:val="24"/>
                <w:szCs w:val="24"/>
              </w:rPr>
            </w:pPr>
            <w:r>
              <w:rPr>
                <w:rFonts w:hint="eastAsia" w:ascii="宋体" w:hAnsi="宋体" w:eastAsia="宋体"/>
                <w:sz w:val="24"/>
                <w:szCs w:val="24"/>
              </w:rPr>
              <w:t>（3）支撑管理智能设备：智能诊断设备的增删查改管理，支持集群堆叠管理；</w:t>
            </w:r>
          </w:p>
          <w:p>
            <w:pPr>
              <w:ind w:firstLine="360" w:firstLineChars="150"/>
              <w:rPr>
                <w:rFonts w:ascii="宋体" w:hAnsi="宋体" w:eastAsia="宋体"/>
                <w:sz w:val="24"/>
                <w:szCs w:val="24"/>
              </w:rPr>
            </w:pPr>
            <w:r>
              <w:rPr>
                <w:rFonts w:hint="eastAsia" w:ascii="宋体" w:hAnsi="宋体" w:eastAsia="宋体"/>
                <w:sz w:val="24"/>
                <w:szCs w:val="24"/>
              </w:rPr>
              <w:t>（4）提供诊断方案：诊断方案包括方案名称，诊断设备，描述，诊断检测项及诊断参数；检测项：分为全局、抖动、遮挡、冻结、视频丢失、条纹、亮度、对比度、清晰度、偏色、噪声、场景变化、彩色/黑白图像、视频剧变、图像凝固、PTZ，提供默认的诊断参数值，支持修改；</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4、行业视频直播发布服务</w:t>
            </w:r>
          </w:p>
          <w:p>
            <w:pPr>
              <w:ind w:firstLine="315"/>
              <w:rPr>
                <w:rFonts w:ascii="宋体" w:hAnsi="宋体" w:eastAsia="宋体"/>
                <w:sz w:val="24"/>
                <w:szCs w:val="24"/>
              </w:rPr>
            </w:pPr>
            <w:r>
              <w:rPr>
                <w:rFonts w:hint="eastAsia" w:ascii="宋体" w:hAnsi="宋体" w:eastAsia="宋体"/>
                <w:sz w:val="24"/>
                <w:szCs w:val="24"/>
              </w:rPr>
              <w:t>（1）支持设备接入</w:t>
            </w:r>
          </w:p>
          <w:p>
            <w:pPr>
              <w:ind w:firstLine="315"/>
              <w:rPr>
                <w:rFonts w:ascii="宋体" w:hAnsi="宋体" w:eastAsia="宋体"/>
                <w:sz w:val="24"/>
                <w:szCs w:val="24"/>
              </w:rPr>
            </w:pPr>
            <w:r>
              <w:rPr>
                <w:rFonts w:hint="eastAsia" w:ascii="宋体" w:hAnsi="宋体" w:eastAsia="宋体"/>
                <w:sz w:val="24"/>
                <w:szCs w:val="24"/>
              </w:rPr>
              <w:t>（2）支持应急关断、恢复，视频举报下架功能3. 支持自定义组织</w:t>
            </w:r>
          </w:p>
          <w:p>
            <w:pPr>
              <w:ind w:firstLine="315"/>
              <w:rPr>
                <w:rFonts w:ascii="宋体" w:hAnsi="宋体" w:eastAsia="宋体"/>
                <w:sz w:val="24"/>
                <w:szCs w:val="24"/>
              </w:rPr>
            </w:pPr>
            <w:r>
              <w:rPr>
                <w:rFonts w:hint="eastAsia" w:ascii="宋体" w:hAnsi="宋体" w:eastAsia="宋体"/>
                <w:sz w:val="24"/>
                <w:szCs w:val="24"/>
              </w:rPr>
              <w:t>（3）支持H5嵌入web、第三方App和微信公众号</w:t>
            </w:r>
          </w:p>
          <w:p>
            <w:pPr>
              <w:ind w:firstLine="315"/>
              <w:rPr>
                <w:rFonts w:ascii="宋体" w:hAnsi="宋体" w:eastAsia="宋体"/>
                <w:sz w:val="24"/>
                <w:szCs w:val="24"/>
              </w:rPr>
            </w:pPr>
            <w:r>
              <w:rPr>
                <w:rFonts w:hint="eastAsia" w:ascii="宋体" w:hAnsi="宋体" w:eastAsia="宋体"/>
                <w:sz w:val="24"/>
                <w:szCs w:val="24"/>
              </w:rPr>
              <w:t xml:space="preserve">（4）支持600M流媒体转发 </w:t>
            </w:r>
          </w:p>
          <w:p>
            <w:pPr>
              <w:ind w:firstLine="315"/>
              <w:rPr>
                <w:rFonts w:ascii="宋体" w:hAnsi="宋体" w:eastAsia="宋体"/>
                <w:sz w:val="24"/>
                <w:szCs w:val="24"/>
              </w:rPr>
            </w:pPr>
            <w:r>
              <w:rPr>
                <w:rFonts w:hint="eastAsia" w:ascii="宋体" w:hAnsi="宋体" w:eastAsia="宋体"/>
                <w:sz w:val="24"/>
                <w:szCs w:val="24"/>
              </w:rPr>
              <w:t xml:space="preserve">（5）支持视频观看1000路并发能力 </w:t>
            </w:r>
          </w:p>
          <w:p>
            <w:pPr>
              <w:ind w:firstLine="315"/>
              <w:rPr>
                <w:rFonts w:ascii="宋体" w:hAnsi="宋体" w:eastAsia="宋体"/>
                <w:sz w:val="24"/>
                <w:szCs w:val="24"/>
              </w:rPr>
            </w:pPr>
            <w:r>
              <w:rPr>
                <w:rFonts w:hint="eastAsia" w:ascii="宋体" w:hAnsi="宋体" w:eastAsia="宋体"/>
                <w:sz w:val="24"/>
                <w:szCs w:val="24"/>
              </w:rPr>
              <w:t xml:space="preserve">（6）支持1万用户在线 </w:t>
            </w:r>
          </w:p>
          <w:p>
            <w:pPr>
              <w:ind w:firstLine="315"/>
              <w:rPr>
                <w:rFonts w:ascii="宋体" w:hAnsi="宋体" w:eastAsia="宋体"/>
                <w:sz w:val="24"/>
                <w:szCs w:val="24"/>
              </w:rPr>
            </w:pPr>
            <w:r>
              <w:rPr>
                <w:rFonts w:hint="eastAsia" w:ascii="宋体" w:hAnsi="宋体" w:eastAsia="宋体"/>
                <w:sz w:val="24"/>
                <w:szCs w:val="24"/>
              </w:rPr>
              <w:t xml:space="preserve">（7）支持集群部署 </w:t>
            </w:r>
          </w:p>
          <w:p>
            <w:pPr>
              <w:ind w:firstLine="315"/>
              <w:rPr>
                <w:rFonts w:ascii="宋体" w:hAnsi="宋体" w:eastAsia="宋体"/>
                <w:sz w:val="24"/>
                <w:szCs w:val="24"/>
              </w:rPr>
            </w:pPr>
            <w:r>
              <w:rPr>
                <w:rFonts w:hint="eastAsia" w:ascii="宋体" w:hAnsi="宋体" w:eastAsia="宋体"/>
                <w:sz w:val="24"/>
                <w:szCs w:val="24"/>
              </w:rPr>
              <w:t>（8）支持Linux操作系统</w:t>
            </w:r>
          </w:p>
          <w:p>
            <w:pPr>
              <w:ind w:firstLine="315"/>
              <w:rPr>
                <w:rFonts w:ascii="宋体" w:hAnsi="宋体" w:eastAsia="宋体"/>
                <w:sz w:val="24"/>
                <w:szCs w:val="24"/>
              </w:rPr>
            </w:pPr>
            <w:r>
              <w:rPr>
                <w:rFonts w:hint="eastAsia"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5、设备接入网服务</w:t>
            </w:r>
          </w:p>
          <w:p>
            <w:pPr>
              <w:ind w:firstLine="315"/>
              <w:rPr>
                <w:rFonts w:ascii="宋体" w:hAnsi="宋体" w:eastAsia="宋体"/>
                <w:sz w:val="24"/>
                <w:szCs w:val="24"/>
              </w:rPr>
            </w:pPr>
            <w:r>
              <w:rPr>
                <w:rFonts w:hint="eastAsia" w:ascii="宋体" w:hAnsi="宋体" w:eastAsia="宋体"/>
                <w:sz w:val="24"/>
                <w:szCs w:val="24"/>
              </w:rPr>
              <w:t>（1）标准协议支持标准协议GB28181/ONVIF/PSIA/RTSP/HTTP接入</w:t>
            </w:r>
          </w:p>
          <w:p>
            <w:pPr>
              <w:ind w:firstLine="315"/>
              <w:rPr>
                <w:rFonts w:ascii="宋体" w:hAnsi="宋体" w:eastAsia="宋体"/>
                <w:sz w:val="24"/>
                <w:szCs w:val="24"/>
              </w:rPr>
            </w:pPr>
            <w:r>
              <w:rPr>
                <w:rFonts w:hint="eastAsia" w:ascii="宋体" w:hAnsi="宋体" w:eastAsia="宋体"/>
                <w:sz w:val="24"/>
                <w:szCs w:val="24"/>
              </w:rPr>
              <w:t>（2）私有协议支持第三方SDK私有协议接入，具备快速接入能力</w:t>
            </w:r>
          </w:p>
          <w:p>
            <w:pPr>
              <w:ind w:firstLine="315"/>
              <w:rPr>
                <w:rFonts w:ascii="宋体" w:hAnsi="宋体" w:eastAsia="宋体"/>
                <w:sz w:val="24"/>
                <w:szCs w:val="24"/>
              </w:rPr>
            </w:pPr>
            <w:r>
              <w:rPr>
                <w:rFonts w:hint="eastAsia" w:ascii="宋体" w:hAnsi="宋体" w:eastAsia="宋体"/>
                <w:sz w:val="24"/>
                <w:szCs w:val="24"/>
              </w:rPr>
              <w:t>（3）支持最大500个设备接入，最大2000路通道接入，600M码流以上转发，400条并发报警处理时延不大于1.5S；</w:t>
            </w:r>
          </w:p>
          <w:p>
            <w:pPr>
              <w:ind w:firstLine="315"/>
              <w:rPr>
                <w:rFonts w:ascii="宋体" w:hAnsi="宋体" w:eastAsia="宋体"/>
                <w:sz w:val="24"/>
                <w:szCs w:val="24"/>
              </w:rPr>
            </w:pPr>
            <w:r>
              <w:rPr>
                <w:rFonts w:hint="eastAsia" w:ascii="宋体" w:hAnsi="宋体" w:eastAsia="宋体"/>
                <w:sz w:val="24"/>
                <w:szCs w:val="24"/>
              </w:rPr>
              <w:t>（4）支持GB28181/Onvif/PSIA/RTSP/HTTP接入，支持众多主流厂商设备接入，如：海康、宇视、天地伟业、科达、亚安、英飞拓、蓝色星际、安讯士、三星等。</w:t>
            </w:r>
          </w:p>
          <w:p>
            <w:pPr>
              <w:ind w:firstLine="315"/>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6、平台接入网关服务</w:t>
            </w:r>
          </w:p>
          <w:p>
            <w:pPr>
              <w:ind w:firstLine="315"/>
              <w:rPr>
                <w:rFonts w:ascii="宋体" w:hAnsi="宋体" w:eastAsia="宋体"/>
                <w:sz w:val="24"/>
                <w:szCs w:val="24"/>
              </w:rPr>
            </w:pPr>
            <w:r>
              <w:rPr>
                <w:rFonts w:hint="eastAsia" w:ascii="宋体" w:hAnsi="宋体" w:eastAsia="宋体"/>
                <w:sz w:val="24"/>
                <w:szCs w:val="24"/>
              </w:rPr>
              <w:t>（1）可基于GB/T28181等联网标准实现视频监控平台间的级联、互联功能，支持多平台多层次级联，实现平台之间的跨域互联互通与资源共享，具备高度的开放性与灵活性。</w:t>
            </w:r>
          </w:p>
          <w:p>
            <w:pPr>
              <w:ind w:firstLine="315"/>
              <w:rPr>
                <w:rFonts w:ascii="宋体" w:hAnsi="宋体" w:eastAsia="宋体"/>
                <w:sz w:val="24"/>
                <w:szCs w:val="24"/>
              </w:rPr>
            </w:pPr>
            <w:r>
              <w:rPr>
                <w:rFonts w:hint="eastAsia" w:ascii="宋体" w:hAnsi="宋体" w:eastAsia="宋体"/>
                <w:sz w:val="24"/>
                <w:szCs w:val="24"/>
              </w:rPr>
              <w:t>（2）支持加密狗授权机制。</w:t>
            </w:r>
          </w:p>
          <w:p>
            <w:pPr>
              <w:ind w:firstLine="315"/>
              <w:rPr>
                <w:rFonts w:ascii="宋体" w:hAnsi="宋体" w:eastAsia="宋体"/>
                <w:sz w:val="24"/>
                <w:szCs w:val="24"/>
              </w:rPr>
            </w:pPr>
            <w:r>
              <w:rPr>
                <w:rFonts w:hint="eastAsia" w:ascii="宋体" w:hAnsi="宋体" w:eastAsia="宋体"/>
                <w:sz w:val="24"/>
                <w:szCs w:val="24"/>
              </w:rPr>
              <w:t>（3）支持Web方式访问、配置、管理网关设备。</w:t>
            </w:r>
          </w:p>
          <w:p>
            <w:pPr>
              <w:ind w:firstLine="315"/>
              <w:rPr>
                <w:rFonts w:ascii="宋体" w:hAnsi="宋体" w:eastAsia="宋体"/>
                <w:sz w:val="24"/>
                <w:szCs w:val="24"/>
              </w:rPr>
            </w:pPr>
            <w:r>
              <w:rPr>
                <w:rFonts w:hint="eastAsia" w:ascii="宋体" w:hAnsi="宋体" w:eastAsia="宋体"/>
                <w:sz w:val="24"/>
                <w:szCs w:val="24"/>
              </w:rPr>
              <w:t>（4）支持多平台多层次级联，跨域互联互通与资源共享。</w:t>
            </w:r>
          </w:p>
          <w:p>
            <w:pPr>
              <w:ind w:firstLine="315"/>
              <w:rPr>
                <w:rFonts w:ascii="宋体" w:hAnsi="宋体" w:eastAsia="宋体"/>
                <w:sz w:val="24"/>
                <w:szCs w:val="24"/>
              </w:rPr>
            </w:pPr>
            <w:r>
              <w:rPr>
                <w:rFonts w:hint="eastAsia" w:ascii="宋体" w:hAnsi="宋体" w:eastAsia="宋体"/>
                <w:sz w:val="24"/>
                <w:szCs w:val="24"/>
              </w:rPr>
              <w:t>（5）支持联网标准协议GB/T 28181，具备符合上述协议的快速接入能力。</w:t>
            </w:r>
          </w:p>
          <w:p>
            <w:pPr>
              <w:ind w:firstLine="315"/>
              <w:rPr>
                <w:rFonts w:ascii="宋体" w:hAnsi="宋体" w:eastAsia="宋体"/>
                <w:sz w:val="24"/>
                <w:szCs w:val="24"/>
              </w:rPr>
            </w:pPr>
            <w:r>
              <w:rPr>
                <w:rFonts w:hint="eastAsia" w:ascii="宋体" w:hAnsi="宋体" w:eastAsia="宋体"/>
                <w:sz w:val="24"/>
                <w:szCs w:val="24"/>
              </w:rPr>
              <w:t>（6）符合GB/T 28181-2011/GB/T 28181-2016、公安机关视频监控系统联网标准符合性检测要求。</w:t>
            </w:r>
          </w:p>
          <w:p>
            <w:pPr>
              <w:ind w:firstLine="315"/>
              <w:rPr>
                <w:rFonts w:ascii="宋体" w:hAnsi="宋体" w:eastAsia="宋体"/>
                <w:sz w:val="24"/>
                <w:szCs w:val="24"/>
              </w:rPr>
            </w:pPr>
            <w:r>
              <w:rPr>
                <w:rFonts w:hint="eastAsia" w:ascii="宋体" w:hAnsi="宋体" w:eastAsia="宋体"/>
                <w:sz w:val="24"/>
                <w:szCs w:val="24"/>
              </w:rPr>
              <w:t>（7）支持平台联网管理基本功能，资源共享与同步、实时预览、云台控制、录像检索/回放/下载、设备控制、报警处理等。</w:t>
            </w:r>
          </w:p>
          <w:p>
            <w:pPr>
              <w:ind w:firstLine="315"/>
              <w:rPr>
                <w:rFonts w:ascii="宋体" w:hAnsi="宋体" w:eastAsia="宋体"/>
                <w:sz w:val="24"/>
                <w:szCs w:val="24"/>
              </w:rPr>
            </w:pPr>
            <w:r>
              <w:rPr>
                <w:rFonts w:hint="eastAsia" w:ascii="宋体" w:hAnsi="宋体" w:eastAsia="宋体"/>
                <w:sz w:val="24"/>
                <w:szCs w:val="24"/>
              </w:rPr>
              <w:t>（8）支持至少3级级联部署，最大可支持16个外域的接入。</w:t>
            </w:r>
          </w:p>
          <w:p>
            <w:pPr>
              <w:ind w:firstLine="315"/>
              <w:rPr>
                <w:rFonts w:ascii="宋体" w:hAnsi="宋体" w:eastAsia="宋体"/>
                <w:sz w:val="24"/>
                <w:szCs w:val="24"/>
              </w:rPr>
            </w:pPr>
            <w:r>
              <w:rPr>
                <w:rFonts w:hint="eastAsia" w:ascii="宋体" w:hAnsi="宋体" w:eastAsia="宋体"/>
                <w:sz w:val="24"/>
                <w:szCs w:val="24"/>
              </w:rPr>
              <w:t>（9）支持国内主流厂商（包括海康、科达、宇视、天地伟业等）视频监控系统的接入。</w:t>
            </w:r>
          </w:p>
          <w:p>
            <w:pPr>
              <w:ind w:firstLine="315"/>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7、卡口接入网关服务</w:t>
            </w:r>
          </w:p>
          <w:p>
            <w:pPr>
              <w:ind w:firstLine="315"/>
              <w:rPr>
                <w:rFonts w:ascii="宋体" w:hAnsi="宋体" w:eastAsia="宋体"/>
                <w:sz w:val="24"/>
                <w:szCs w:val="24"/>
              </w:rPr>
            </w:pPr>
            <w:r>
              <w:rPr>
                <w:rFonts w:hint="eastAsia" w:ascii="宋体" w:hAnsi="宋体" w:eastAsia="宋体"/>
                <w:sz w:val="24"/>
                <w:szCs w:val="24"/>
              </w:rPr>
              <w:t>（1）支持独立WEB客户端访问配置参数</w:t>
            </w:r>
          </w:p>
          <w:p>
            <w:pPr>
              <w:ind w:firstLine="315"/>
              <w:rPr>
                <w:rFonts w:ascii="宋体" w:hAnsi="宋体" w:eastAsia="宋体"/>
                <w:sz w:val="24"/>
                <w:szCs w:val="24"/>
              </w:rPr>
            </w:pPr>
            <w:r>
              <w:rPr>
                <w:rFonts w:hint="eastAsia" w:ascii="宋体" w:hAnsi="宋体" w:eastAsia="宋体"/>
                <w:sz w:val="24"/>
                <w:szCs w:val="24"/>
              </w:rPr>
              <w:t>（2）支持卡口数据/图片对接</w:t>
            </w:r>
          </w:p>
          <w:p>
            <w:pPr>
              <w:ind w:firstLine="315"/>
              <w:rPr>
                <w:rFonts w:ascii="宋体" w:hAnsi="宋体" w:eastAsia="宋体"/>
                <w:sz w:val="24"/>
                <w:szCs w:val="24"/>
              </w:rPr>
            </w:pPr>
            <w:r>
              <w:rPr>
                <w:rFonts w:hint="eastAsia" w:ascii="宋体" w:hAnsi="宋体" w:eastAsia="宋体"/>
                <w:sz w:val="24"/>
                <w:szCs w:val="24"/>
              </w:rPr>
              <w:t>（3）支持各大厂商的标准/私有协议定制对接</w:t>
            </w:r>
          </w:p>
          <w:p>
            <w:pPr>
              <w:ind w:firstLine="315"/>
              <w:rPr>
                <w:rFonts w:ascii="宋体" w:hAnsi="宋体" w:eastAsia="宋体"/>
                <w:sz w:val="24"/>
                <w:szCs w:val="24"/>
              </w:rPr>
            </w:pPr>
            <w:r>
              <w:rPr>
                <w:rFonts w:hint="eastAsia" w:ascii="宋体" w:hAnsi="宋体" w:eastAsia="宋体"/>
                <w:sz w:val="24"/>
                <w:szCs w:val="24"/>
              </w:rPr>
              <w:t>（4）支持多平台、多厂商数据对接，最多4个</w:t>
            </w:r>
          </w:p>
          <w:p>
            <w:pPr>
              <w:ind w:firstLine="315"/>
              <w:rPr>
                <w:rFonts w:ascii="宋体" w:hAnsi="宋体" w:eastAsia="宋体"/>
                <w:sz w:val="24"/>
                <w:szCs w:val="24"/>
              </w:rPr>
            </w:pPr>
            <w:r>
              <w:rPr>
                <w:rFonts w:hint="eastAsia" w:ascii="宋体" w:hAnsi="宋体" w:eastAsia="宋体"/>
                <w:sz w:val="24"/>
                <w:szCs w:val="24"/>
              </w:rPr>
              <w:t>（5）支持各厂商数据标准转换</w:t>
            </w:r>
          </w:p>
          <w:p>
            <w:pPr>
              <w:ind w:firstLine="315"/>
              <w:rPr>
                <w:rFonts w:ascii="宋体" w:hAnsi="宋体" w:eastAsia="宋体"/>
                <w:sz w:val="24"/>
                <w:szCs w:val="24"/>
              </w:rPr>
            </w:pPr>
            <w:r>
              <w:rPr>
                <w:rFonts w:hint="eastAsia" w:ascii="宋体" w:hAnsi="宋体" w:eastAsia="宋体"/>
                <w:sz w:val="24"/>
                <w:szCs w:val="24"/>
              </w:rPr>
              <w:t>（6）最大性能支持每日的数据推送1000W条</w:t>
            </w:r>
          </w:p>
          <w:p>
            <w:pPr>
              <w:ind w:firstLine="315"/>
              <w:rPr>
                <w:rFonts w:ascii="宋体" w:hAnsi="宋体" w:eastAsia="宋体"/>
                <w:sz w:val="24"/>
                <w:szCs w:val="24"/>
              </w:rPr>
            </w:pPr>
            <w:r>
              <w:rPr>
                <w:rFonts w:hint="eastAsia" w:ascii="宋体" w:hAnsi="宋体" w:eastAsia="宋体"/>
                <w:sz w:val="24"/>
                <w:szCs w:val="24"/>
              </w:rPr>
              <w:t>（7）最大图片性能支持每日推送500W张</w:t>
            </w:r>
          </w:p>
          <w:p>
            <w:pPr>
              <w:ind w:firstLine="315"/>
              <w:rPr>
                <w:rFonts w:ascii="宋体" w:hAnsi="宋体" w:eastAsia="宋体"/>
                <w:sz w:val="24"/>
                <w:szCs w:val="24"/>
              </w:rPr>
            </w:pPr>
            <w:r>
              <w:rPr>
                <w:rFonts w:hint="eastAsia" w:ascii="宋体" w:hAnsi="宋体" w:eastAsia="宋体"/>
                <w:sz w:val="24"/>
                <w:szCs w:val="24"/>
              </w:rPr>
              <w:t>（8）支持对接公安信息库、六合一、稽查布控等系统</w:t>
            </w:r>
          </w:p>
          <w:p>
            <w:pPr>
              <w:ind w:firstLine="315"/>
              <w:rPr>
                <w:rFonts w:ascii="宋体" w:hAnsi="宋体" w:eastAsia="宋体"/>
                <w:sz w:val="24"/>
                <w:szCs w:val="24"/>
              </w:rPr>
            </w:pPr>
            <w:r>
              <w:rPr>
                <w:rFonts w:hint="eastAsia" w:ascii="宋体" w:hAnsi="宋体" w:eastAsia="宋体"/>
                <w:sz w:val="24"/>
                <w:szCs w:val="24"/>
              </w:rPr>
              <w:t>（9）支持网闸的图片代理访问、边界的图片数据摆渡</w:t>
            </w:r>
          </w:p>
          <w:p>
            <w:pPr>
              <w:ind w:firstLine="315"/>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8、视频云存储软件</w:t>
            </w:r>
          </w:p>
          <w:p>
            <w:pPr>
              <w:ind w:firstLine="315"/>
              <w:rPr>
                <w:rFonts w:ascii="宋体" w:hAnsi="宋体" w:eastAsia="宋体"/>
                <w:sz w:val="24"/>
                <w:szCs w:val="24"/>
              </w:rPr>
            </w:pPr>
            <w:r>
              <w:rPr>
                <w:rFonts w:hint="eastAsia" w:ascii="宋体" w:hAnsi="宋体" w:eastAsia="宋体"/>
                <w:sz w:val="24"/>
                <w:szCs w:val="24"/>
              </w:rPr>
              <w:t>▲（1）管理节点集群模式支持不少于32个管理节点；管理节点和存储节点采用对等工作模式对外服务，可支持管理节点的元数据不少于64份副本备份；</w:t>
            </w:r>
          </w:p>
          <w:p>
            <w:pPr>
              <w:ind w:firstLine="315"/>
              <w:rPr>
                <w:rFonts w:ascii="宋体" w:hAnsi="宋体" w:eastAsia="宋体"/>
                <w:sz w:val="24"/>
                <w:szCs w:val="24"/>
              </w:rPr>
            </w:pPr>
            <w:r>
              <w:rPr>
                <w:rFonts w:hint="eastAsia" w:ascii="宋体" w:hAnsi="宋体" w:eastAsia="宋体"/>
                <w:sz w:val="24"/>
                <w:szCs w:val="24"/>
              </w:rPr>
              <w:t>▲（2）支持配置存储池功能，存储空间虚拟化管理，多存储设备容量整合，形成录像池，支持自动配置存储池；支持异构存储节点隔离，分别划分到不同存储池；支持精简存储池配置，实现自动化存储池扩容；支持存储池级冗余，支持存储池级多副本及N+M数据冗余；支持存储池级别负载均衡；支持用户空间物理隔离，同一朵云内，为不同用户创建不同的存储池，使用不同的存储节点服务器；支持用户绑定使用特定存储池，根据用户业务分配通用、文件、视频、图片、语音、智能特征、结构化数据备份等类型存储空间，支持用户共享存储池；支持多用户、通道、权限和容量控制，在线弹性伸缩存储池的容量空间，不影响业务继续读写；</w:t>
            </w:r>
          </w:p>
          <w:p>
            <w:pPr>
              <w:ind w:firstLine="315"/>
              <w:rPr>
                <w:rFonts w:ascii="宋体" w:hAnsi="宋体" w:eastAsia="宋体"/>
                <w:sz w:val="24"/>
                <w:szCs w:val="24"/>
              </w:rPr>
            </w:pPr>
            <w:r>
              <w:rPr>
                <w:rFonts w:hint="eastAsia" w:ascii="宋体" w:hAnsi="宋体" w:eastAsia="宋体"/>
                <w:sz w:val="24"/>
                <w:szCs w:val="24"/>
              </w:rPr>
              <w:t>（3）支持对象存储，采用分布式文件系统，支持文件存储，采用纠删码或者多副本技术，读写过程不产生索引数据，不存在单独索引盘；</w:t>
            </w:r>
          </w:p>
          <w:p>
            <w:pPr>
              <w:ind w:firstLine="315"/>
              <w:rPr>
                <w:rFonts w:ascii="宋体" w:hAnsi="宋体" w:eastAsia="宋体"/>
                <w:sz w:val="24"/>
                <w:szCs w:val="24"/>
              </w:rPr>
            </w:pPr>
            <w:r>
              <w:rPr>
                <w:rFonts w:hint="eastAsia" w:ascii="宋体" w:hAnsi="宋体" w:eastAsia="宋体"/>
                <w:sz w:val="24"/>
                <w:szCs w:val="24"/>
              </w:rPr>
              <w:t>（4）支持视频流、图片流直存和转存在同一套云存储环境混合部署；</w:t>
            </w:r>
          </w:p>
          <w:p>
            <w:pPr>
              <w:ind w:firstLine="315"/>
              <w:rPr>
                <w:rFonts w:ascii="宋体" w:hAnsi="宋体" w:eastAsia="宋体"/>
                <w:sz w:val="24"/>
                <w:szCs w:val="24"/>
              </w:rPr>
            </w:pPr>
            <w:r>
              <w:rPr>
                <w:rFonts w:hint="eastAsia" w:ascii="宋体" w:hAnsi="宋体" w:eastAsia="宋体"/>
                <w:sz w:val="24"/>
                <w:szCs w:val="24"/>
              </w:rPr>
              <w:t>（5）支持集群容灾保障功能；</w:t>
            </w:r>
          </w:p>
          <w:p>
            <w:pPr>
              <w:ind w:firstLine="315"/>
              <w:rPr>
                <w:rFonts w:ascii="宋体" w:hAnsi="宋体" w:eastAsia="宋体"/>
                <w:sz w:val="24"/>
                <w:szCs w:val="24"/>
              </w:rPr>
            </w:pPr>
            <w:r>
              <w:rPr>
                <w:rFonts w:hint="eastAsia" w:ascii="宋体" w:hAnsi="宋体" w:eastAsia="宋体"/>
                <w:sz w:val="24"/>
                <w:szCs w:val="24"/>
              </w:rPr>
              <w:t>（6）具备节点间容错能力下，容忍大于16台节点同时故障后，只要有1台以上节点正常，即可保证录像可写入，写入录像依然具备磁盘间容错能力；</w:t>
            </w:r>
          </w:p>
          <w:p>
            <w:pPr>
              <w:ind w:firstLine="315"/>
              <w:rPr>
                <w:rFonts w:ascii="宋体" w:hAnsi="宋体" w:eastAsia="宋体"/>
                <w:sz w:val="24"/>
                <w:szCs w:val="24"/>
              </w:rPr>
            </w:pPr>
            <w:r>
              <w:rPr>
                <w:rFonts w:hint="eastAsia" w:ascii="宋体" w:hAnsi="宋体" w:eastAsia="宋体"/>
                <w:sz w:val="24"/>
                <w:szCs w:val="24"/>
              </w:rPr>
              <w:t>▲（7）内置分布式实时图片处理集群，支持自动负载均衡容错，不大于4秒可感知异常节点自动剔除，异常节点恢复后，不大于3秒可自动加入集群；支持多种图片类型，jpg、png等格式实时处理缩略和裁剪，实时处理性能每台节点不小于1000张/s，并支持线性扩展；提供图片格式转换；</w:t>
            </w:r>
          </w:p>
          <w:p>
            <w:pPr>
              <w:ind w:firstLine="315"/>
              <w:rPr>
                <w:rFonts w:ascii="宋体" w:hAnsi="宋体" w:eastAsia="宋体"/>
                <w:sz w:val="24"/>
                <w:szCs w:val="24"/>
              </w:rPr>
            </w:pPr>
            <w:r>
              <w:rPr>
                <w:rFonts w:hint="eastAsia" w:ascii="宋体" w:hAnsi="宋体" w:eastAsia="宋体"/>
                <w:sz w:val="24"/>
                <w:szCs w:val="24"/>
              </w:rPr>
              <w:t>（8）支持在不需要任何平台情况下，支持直接在云存储系统上进行前端添加、删除，配置录像存储路径、录像配额，录像计划下发，支持视频录像检索、回放转发、直播等集成视频功能；支持手动控制开启录像；</w:t>
            </w:r>
          </w:p>
          <w:p>
            <w:pPr>
              <w:ind w:firstLine="315"/>
              <w:rPr>
                <w:rFonts w:ascii="宋体" w:hAnsi="宋体" w:eastAsia="宋体"/>
                <w:sz w:val="24"/>
                <w:szCs w:val="24"/>
              </w:rPr>
            </w:pPr>
            <w:r>
              <w:rPr>
                <w:rFonts w:hint="eastAsia" w:ascii="宋体" w:hAnsi="宋体" w:eastAsia="宋体"/>
                <w:sz w:val="24"/>
                <w:szCs w:val="24"/>
              </w:rPr>
              <w:t>▲（9）云存储设备支持系统盘关键数据备份到数据盘中，并可生成不少于16份副本，系统盘更换或重装后，软件可自动从数据盘检索最新数据，恢复数据库、配置文件及路线索引文件，可将系统盘恢复到故障前状态；</w:t>
            </w:r>
          </w:p>
          <w:p>
            <w:pPr>
              <w:ind w:firstLine="315"/>
              <w:rPr>
                <w:rFonts w:ascii="宋体" w:hAnsi="宋体" w:eastAsia="宋体"/>
                <w:sz w:val="24"/>
                <w:szCs w:val="24"/>
              </w:rPr>
            </w:pPr>
            <w:r>
              <w:rPr>
                <w:rFonts w:hint="eastAsia" w:ascii="宋体" w:hAnsi="宋体" w:eastAsia="宋体"/>
                <w:sz w:val="24"/>
                <w:szCs w:val="24"/>
              </w:rPr>
              <w:t>（10）云安全系统，可通过HTTPS协议实现认证与会话控制、支持统一授权管理、角色权限管理、在线用户信息查看及用户在线签退等功能；</w:t>
            </w:r>
          </w:p>
          <w:p>
            <w:pPr>
              <w:ind w:firstLine="315"/>
              <w:rPr>
                <w:rFonts w:ascii="宋体" w:hAnsi="宋体" w:eastAsia="宋体"/>
                <w:sz w:val="24"/>
                <w:szCs w:val="24"/>
              </w:rPr>
            </w:pPr>
            <w:r>
              <w:rPr>
                <w:rFonts w:hint="eastAsia" w:ascii="宋体" w:hAnsi="宋体" w:eastAsia="宋体"/>
                <w:sz w:val="24"/>
                <w:szCs w:val="24"/>
              </w:rPr>
              <w:t>（11）支持可视对讲、人像设备、MAC、RFID、出入口、热成像、人证一体机、闸机等物联网设备接入，及结构化数据实时接入；其中结构化数据接入性能不低于25000条/s；</w:t>
            </w:r>
          </w:p>
          <w:p>
            <w:pPr>
              <w:ind w:firstLine="315"/>
              <w:rPr>
                <w:rFonts w:ascii="宋体" w:hAnsi="宋体" w:eastAsia="宋体"/>
                <w:sz w:val="24"/>
                <w:szCs w:val="24"/>
              </w:rPr>
            </w:pPr>
            <w:r>
              <w:rPr>
                <w:rFonts w:hint="eastAsia" w:ascii="宋体" w:hAnsi="宋体" w:eastAsia="宋体"/>
                <w:sz w:val="24"/>
                <w:szCs w:val="24"/>
              </w:rPr>
              <w:t>支持时间轴展示智能目标密度，支持随着时间轴缩放动态展示目标密度；支持智能目标连续跳跃播放，支持智能目标逐帧正放，逐帧倒放，倍速播放，倒放；</w:t>
            </w:r>
          </w:p>
          <w:p>
            <w:pPr>
              <w:ind w:firstLine="315"/>
              <w:rPr>
                <w:rFonts w:ascii="宋体" w:hAnsi="宋体" w:eastAsia="宋体"/>
                <w:sz w:val="24"/>
                <w:szCs w:val="24"/>
              </w:rPr>
            </w:pPr>
            <w:r>
              <w:rPr>
                <w:rFonts w:hint="eastAsia" w:ascii="宋体" w:hAnsi="宋体" w:eastAsia="宋体"/>
                <w:sz w:val="24"/>
                <w:szCs w:val="24"/>
              </w:rPr>
              <w:t>▲（12）支持网络故障自动发现和隔离，可在1秒内感知到故障节点，1秒内进行隔离，提升系统可靠性；支持回收站功能，防止数据误删，支持回收时间配置；</w:t>
            </w:r>
          </w:p>
          <w:p>
            <w:pPr>
              <w:rPr>
                <w:rFonts w:ascii="宋体" w:hAnsi="宋体" w:eastAsia="宋体"/>
                <w:sz w:val="24"/>
                <w:szCs w:val="24"/>
              </w:rPr>
            </w:pPr>
            <w:r>
              <w:rPr>
                <w:rFonts w:hint="eastAsia" w:ascii="宋体" w:hAnsi="宋体" w:eastAsia="宋体"/>
                <w:sz w:val="24"/>
                <w:szCs w:val="24"/>
              </w:rPr>
              <w:t>（13）支持文件多种容错机制，能自适应调整，系统根据当前节点情况自动配置使用哪种容错算法以达到最可靠的容错，以实现最大化节点容错能力。</w:t>
            </w:r>
          </w:p>
        </w:tc>
        <w:tc>
          <w:tcPr>
            <w:tcW w:w="454" w:type="dxa"/>
            <w:vAlign w:val="center"/>
          </w:tcPr>
          <w:p>
            <w:pPr>
              <w:rPr>
                <w:rFonts w:ascii="宋体" w:hAnsi="宋体" w:eastAsia="宋体" w:cs="宋体"/>
                <w:sz w:val="24"/>
                <w:szCs w:val="24"/>
              </w:rPr>
            </w:pPr>
            <w:r>
              <w:rPr>
                <w:rFonts w:hint="eastAsia" w:ascii="宋体" w:hAnsi="宋体" w:eastAsia="宋体" w:cs="宋体"/>
                <w:sz w:val="24"/>
                <w:szCs w:val="24"/>
              </w:rPr>
              <w:t>套</w:t>
            </w:r>
          </w:p>
        </w:tc>
        <w:tc>
          <w:tcPr>
            <w:tcW w:w="579"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877" w:type="dxa"/>
            <w:vAlign w:val="center"/>
          </w:tcPr>
          <w:p>
            <w:pPr>
              <w:jc w:val="center"/>
              <w:rPr>
                <w:rFonts w:ascii="宋体" w:hAnsi="宋体" w:eastAsia="宋体" w:cs="宋体"/>
                <w:sz w:val="24"/>
                <w:szCs w:val="24"/>
              </w:rPr>
            </w:pPr>
            <w:r>
              <w:rPr>
                <w:rFonts w:hint="eastAsia" w:ascii="宋体" w:hAnsi="宋体" w:eastAsia="宋体" w:cs="宋体"/>
                <w:sz w:val="24"/>
                <w:szCs w:val="24"/>
              </w:rPr>
              <w:t>74000</w:t>
            </w:r>
          </w:p>
        </w:tc>
        <w:tc>
          <w:tcPr>
            <w:tcW w:w="1002"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74000</w:t>
            </w:r>
          </w:p>
        </w:tc>
        <w:tc>
          <w:tcPr>
            <w:tcW w:w="706" w:type="dxa"/>
            <w:vMerge w:val="continue"/>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729" w:type="dxa"/>
            <w:vAlign w:val="center"/>
          </w:tcPr>
          <w:p>
            <w:pPr>
              <w:rPr>
                <w:rFonts w:ascii="宋体" w:hAnsi="宋体" w:eastAsia="宋体"/>
                <w:sz w:val="24"/>
                <w:szCs w:val="24"/>
              </w:rPr>
            </w:pPr>
            <w:r>
              <w:rPr>
                <w:rFonts w:hint="eastAsia" w:ascii="宋体" w:hAnsi="宋体" w:eastAsia="宋体"/>
                <w:sz w:val="24"/>
                <w:szCs w:val="24"/>
              </w:rPr>
              <w:t>前端监控联网服务</w:t>
            </w:r>
          </w:p>
        </w:tc>
        <w:tc>
          <w:tcPr>
            <w:tcW w:w="5666" w:type="dxa"/>
            <w:gridSpan w:val="2"/>
            <w:vAlign w:val="center"/>
          </w:tcPr>
          <w:p>
            <w:pPr>
              <w:ind w:firstLine="480" w:firstLineChars="200"/>
              <w:rPr>
                <w:rFonts w:ascii="宋体" w:hAnsi="宋体" w:eastAsia="宋体"/>
                <w:sz w:val="24"/>
                <w:szCs w:val="24"/>
              </w:rPr>
            </w:pPr>
            <w:r>
              <w:rPr>
                <w:rFonts w:hint="eastAsia" w:ascii="宋体" w:hAnsi="宋体" w:eastAsia="宋体"/>
                <w:sz w:val="24"/>
                <w:szCs w:val="24"/>
              </w:rPr>
              <w:t>提供50条20Mbps带宽的光纤专线</w:t>
            </w:r>
          </w:p>
          <w:p>
            <w:pPr>
              <w:ind w:firstLine="480" w:firstLineChars="200"/>
              <w:rPr>
                <w:rFonts w:ascii="宋体" w:hAnsi="宋体" w:eastAsia="宋体"/>
                <w:sz w:val="24"/>
                <w:szCs w:val="24"/>
              </w:rPr>
            </w:pPr>
            <w:r>
              <w:rPr>
                <w:rFonts w:hint="eastAsia" w:ascii="宋体" w:hAnsi="宋体" w:eastAsia="宋体"/>
                <w:sz w:val="24"/>
                <w:szCs w:val="24"/>
              </w:rPr>
              <w:t>技术要求：</w:t>
            </w:r>
          </w:p>
          <w:p>
            <w:pPr>
              <w:ind w:firstLine="480" w:firstLineChars="200"/>
              <w:rPr>
                <w:rFonts w:ascii="宋体" w:hAnsi="宋体" w:eastAsia="宋体"/>
                <w:sz w:val="24"/>
                <w:szCs w:val="24"/>
              </w:rPr>
            </w:pPr>
            <w:r>
              <w:rPr>
                <w:rFonts w:hint="eastAsia" w:ascii="宋体" w:hAnsi="宋体" w:eastAsia="宋体"/>
                <w:sz w:val="24"/>
                <w:szCs w:val="24"/>
              </w:rPr>
              <w:t>1、网络时延上限值为400ms；</w:t>
            </w:r>
          </w:p>
          <w:p>
            <w:pPr>
              <w:ind w:firstLine="480" w:firstLineChars="200"/>
              <w:rPr>
                <w:rFonts w:ascii="宋体" w:hAnsi="宋体" w:eastAsia="宋体"/>
                <w:sz w:val="24"/>
                <w:szCs w:val="24"/>
              </w:rPr>
            </w:pPr>
            <w:r>
              <w:rPr>
                <w:rFonts w:hint="eastAsia" w:ascii="宋体" w:hAnsi="宋体" w:eastAsia="宋体"/>
                <w:sz w:val="24"/>
                <w:szCs w:val="24"/>
              </w:rPr>
              <w:t>2、时延抖动上限50ms，网络倒换时间小于50ms；</w:t>
            </w:r>
          </w:p>
          <w:p>
            <w:pPr>
              <w:ind w:firstLine="480" w:firstLineChars="200"/>
              <w:rPr>
                <w:rFonts w:ascii="宋体" w:hAnsi="宋体" w:eastAsia="宋体"/>
                <w:sz w:val="24"/>
                <w:szCs w:val="24"/>
              </w:rPr>
            </w:pPr>
            <w:r>
              <w:rPr>
                <w:rFonts w:hint="eastAsia" w:ascii="宋体" w:hAnsi="宋体" w:eastAsia="宋体"/>
                <w:sz w:val="24"/>
                <w:szCs w:val="24"/>
              </w:rPr>
              <w:t>3、要求视频流畅，无马赛克现象，网络丢包率不超过1％，</w:t>
            </w:r>
          </w:p>
          <w:p>
            <w:pPr>
              <w:ind w:firstLine="480" w:firstLineChars="200"/>
              <w:rPr>
                <w:rFonts w:ascii="宋体" w:hAnsi="宋体" w:eastAsia="宋体"/>
                <w:sz w:val="24"/>
                <w:szCs w:val="24"/>
              </w:rPr>
            </w:pPr>
            <w:r>
              <w:rPr>
                <w:rFonts w:hint="eastAsia" w:ascii="宋体" w:hAnsi="宋体" w:eastAsia="宋体"/>
                <w:sz w:val="24"/>
                <w:szCs w:val="24"/>
              </w:rPr>
              <w:t>4、传输网络需支持采用各类型的机制保证网络传输的安全性。</w:t>
            </w:r>
          </w:p>
          <w:p>
            <w:pPr>
              <w:ind w:left="378" w:leftChars="172"/>
              <w:rPr>
                <w:rFonts w:ascii="宋体" w:hAnsi="宋体" w:eastAsia="宋体"/>
                <w:sz w:val="24"/>
                <w:szCs w:val="24"/>
              </w:rPr>
            </w:pPr>
            <w:r>
              <w:rPr>
                <w:rFonts w:hint="eastAsia" w:ascii="宋体" w:hAnsi="宋体" w:eastAsia="宋体"/>
                <w:sz w:val="24"/>
                <w:szCs w:val="24"/>
              </w:rPr>
              <w:t>5、网络Qos能力的shaping粒度精细至8192Kbps，CAR粒度精细至1024Kbps；</w:t>
            </w:r>
          </w:p>
          <w:p>
            <w:pPr>
              <w:ind w:firstLine="480" w:firstLineChars="200"/>
              <w:rPr>
                <w:rFonts w:ascii="宋体" w:hAnsi="宋体" w:eastAsia="宋体"/>
                <w:sz w:val="24"/>
                <w:szCs w:val="24"/>
              </w:rPr>
            </w:pPr>
            <w:r>
              <w:rPr>
                <w:rFonts w:hint="eastAsia" w:ascii="宋体" w:hAnsi="宋体" w:eastAsia="宋体"/>
                <w:sz w:val="24"/>
                <w:szCs w:val="24"/>
              </w:rPr>
              <w:t>6、具备网管监控平台；</w:t>
            </w:r>
          </w:p>
        </w:tc>
        <w:tc>
          <w:tcPr>
            <w:tcW w:w="454" w:type="dxa"/>
            <w:vAlign w:val="center"/>
          </w:tcPr>
          <w:p>
            <w:pPr>
              <w:rPr>
                <w:rFonts w:ascii="宋体" w:hAnsi="宋体" w:eastAsia="宋体" w:cs="宋体"/>
                <w:sz w:val="24"/>
                <w:szCs w:val="24"/>
              </w:rPr>
            </w:pPr>
            <w:r>
              <w:rPr>
                <w:rFonts w:hint="eastAsia" w:ascii="宋体" w:hAnsi="宋体" w:eastAsia="宋体" w:cs="宋体"/>
                <w:sz w:val="24"/>
                <w:szCs w:val="24"/>
              </w:rPr>
              <w:t>套</w:t>
            </w:r>
          </w:p>
        </w:tc>
        <w:tc>
          <w:tcPr>
            <w:tcW w:w="579" w:type="dxa"/>
            <w:vAlign w:val="center"/>
          </w:tcPr>
          <w:p>
            <w:pPr>
              <w:jc w:val="center"/>
              <w:rPr>
                <w:rFonts w:ascii="宋体" w:hAnsi="宋体" w:eastAsia="宋体" w:cs="宋体"/>
                <w:sz w:val="24"/>
                <w:szCs w:val="24"/>
              </w:rPr>
            </w:pPr>
            <w:r>
              <w:rPr>
                <w:rFonts w:hint="eastAsia" w:ascii="宋体" w:hAnsi="宋体" w:eastAsia="宋体" w:cs="宋体"/>
                <w:sz w:val="24"/>
                <w:szCs w:val="24"/>
              </w:rPr>
              <w:t>50</w:t>
            </w:r>
          </w:p>
        </w:tc>
        <w:tc>
          <w:tcPr>
            <w:tcW w:w="877" w:type="dxa"/>
            <w:vAlign w:val="center"/>
          </w:tcPr>
          <w:p>
            <w:pPr>
              <w:jc w:val="center"/>
              <w:rPr>
                <w:rFonts w:ascii="宋体" w:hAnsi="宋体" w:eastAsia="宋体" w:cs="宋体"/>
                <w:sz w:val="24"/>
                <w:szCs w:val="24"/>
              </w:rPr>
            </w:pPr>
            <w:r>
              <w:rPr>
                <w:rFonts w:hint="eastAsia" w:ascii="宋体" w:hAnsi="宋体" w:eastAsia="宋体" w:cs="宋体"/>
                <w:sz w:val="24"/>
                <w:szCs w:val="24"/>
              </w:rPr>
              <w:t>6500</w:t>
            </w:r>
          </w:p>
        </w:tc>
        <w:tc>
          <w:tcPr>
            <w:tcW w:w="1002"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325000</w:t>
            </w:r>
          </w:p>
        </w:tc>
        <w:tc>
          <w:tcPr>
            <w:tcW w:w="706" w:type="dxa"/>
            <w:vMerge w:val="continue"/>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729" w:type="dxa"/>
            <w:vAlign w:val="center"/>
          </w:tcPr>
          <w:p>
            <w:pPr>
              <w:rPr>
                <w:rFonts w:ascii="宋体" w:hAnsi="宋体" w:eastAsia="宋体"/>
                <w:sz w:val="24"/>
                <w:szCs w:val="24"/>
              </w:rPr>
            </w:pPr>
            <w:r>
              <w:rPr>
                <w:rFonts w:hint="eastAsia" w:ascii="宋体" w:hAnsi="宋体" w:eastAsia="宋体"/>
                <w:sz w:val="24"/>
                <w:szCs w:val="24"/>
              </w:rPr>
              <w:t>乡镇综治中心及派出所监控联网服务</w:t>
            </w:r>
          </w:p>
        </w:tc>
        <w:tc>
          <w:tcPr>
            <w:tcW w:w="5666" w:type="dxa"/>
            <w:gridSpan w:val="2"/>
            <w:vAlign w:val="center"/>
          </w:tcPr>
          <w:p>
            <w:pPr>
              <w:ind w:left="360"/>
              <w:rPr>
                <w:rFonts w:ascii="宋体" w:hAnsi="宋体" w:eastAsia="宋体"/>
                <w:sz w:val="24"/>
                <w:szCs w:val="24"/>
              </w:rPr>
            </w:pPr>
            <w:r>
              <w:rPr>
                <w:rFonts w:hint="eastAsia" w:ascii="宋体" w:hAnsi="宋体" w:eastAsia="宋体"/>
                <w:sz w:val="24"/>
                <w:szCs w:val="24"/>
              </w:rPr>
              <w:t>提供2条100Mbps带宽的光纤专线</w:t>
            </w:r>
          </w:p>
          <w:p>
            <w:pPr>
              <w:ind w:left="360"/>
              <w:rPr>
                <w:rFonts w:ascii="宋体" w:hAnsi="宋体" w:eastAsia="宋体"/>
                <w:sz w:val="24"/>
                <w:szCs w:val="24"/>
              </w:rPr>
            </w:pPr>
            <w:r>
              <w:rPr>
                <w:rFonts w:hint="eastAsia" w:ascii="宋体" w:hAnsi="宋体" w:eastAsia="宋体"/>
                <w:sz w:val="24"/>
                <w:szCs w:val="24"/>
              </w:rPr>
              <w:t>技术要求：</w:t>
            </w:r>
          </w:p>
          <w:p>
            <w:pPr>
              <w:ind w:left="360"/>
              <w:rPr>
                <w:rFonts w:ascii="宋体" w:hAnsi="宋体" w:eastAsia="宋体"/>
                <w:sz w:val="24"/>
                <w:szCs w:val="24"/>
              </w:rPr>
            </w:pPr>
            <w:r>
              <w:rPr>
                <w:rFonts w:hint="eastAsia" w:ascii="宋体" w:hAnsi="宋体" w:eastAsia="宋体"/>
                <w:sz w:val="24"/>
                <w:szCs w:val="24"/>
              </w:rPr>
              <w:t>1、网络时延上限值为400ms；</w:t>
            </w:r>
          </w:p>
          <w:p>
            <w:pPr>
              <w:ind w:left="360"/>
              <w:rPr>
                <w:rFonts w:ascii="宋体" w:hAnsi="宋体" w:eastAsia="宋体"/>
                <w:sz w:val="24"/>
                <w:szCs w:val="24"/>
              </w:rPr>
            </w:pPr>
            <w:r>
              <w:rPr>
                <w:rFonts w:hint="eastAsia" w:ascii="宋体" w:hAnsi="宋体" w:eastAsia="宋体"/>
                <w:sz w:val="24"/>
                <w:szCs w:val="24"/>
              </w:rPr>
              <w:t>2、时延抖动上限50ms，网络倒换时间小于50ms；</w:t>
            </w:r>
          </w:p>
          <w:p>
            <w:pPr>
              <w:ind w:left="360"/>
              <w:rPr>
                <w:rFonts w:ascii="宋体" w:hAnsi="宋体" w:eastAsia="宋体"/>
                <w:sz w:val="24"/>
                <w:szCs w:val="24"/>
              </w:rPr>
            </w:pPr>
            <w:r>
              <w:rPr>
                <w:rFonts w:hint="eastAsia" w:ascii="宋体" w:hAnsi="宋体" w:eastAsia="宋体"/>
                <w:sz w:val="24"/>
                <w:szCs w:val="24"/>
              </w:rPr>
              <w:t>3、要求视频流畅，无马赛克现象，网络丢包率不超过1％，</w:t>
            </w:r>
          </w:p>
          <w:p>
            <w:pPr>
              <w:ind w:left="360"/>
              <w:rPr>
                <w:rFonts w:ascii="宋体" w:hAnsi="宋体" w:eastAsia="宋体"/>
                <w:sz w:val="24"/>
                <w:szCs w:val="24"/>
              </w:rPr>
            </w:pPr>
            <w:r>
              <w:rPr>
                <w:rFonts w:hint="eastAsia" w:ascii="宋体" w:hAnsi="宋体" w:eastAsia="宋体"/>
                <w:sz w:val="24"/>
                <w:szCs w:val="24"/>
              </w:rPr>
              <w:t>4、传输网络需支持采用各类型的机制保证网络传输的安全性。</w:t>
            </w:r>
          </w:p>
          <w:p>
            <w:pPr>
              <w:ind w:left="360"/>
              <w:rPr>
                <w:rFonts w:ascii="宋体" w:hAnsi="宋体" w:eastAsia="宋体"/>
                <w:sz w:val="24"/>
                <w:szCs w:val="24"/>
              </w:rPr>
            </w:pPr>
            <w:r>
              <w:rPr>
                <w:rFonts w:hint="eastAsia" w:ascii="宋体" w:hAnsi="宋体" w:eastAsia="宋体"/>
                <w:sz w:val="24"/>
                <w:szCs w:val="24"/>
              </w:rPr>
              <w:t>5、网络Qos能力的shaping粒度精细至8192Kbps，CAR粒度精细至1024Kbps；</w:t>
            </w:r>
          </w:p>
          <w:p>
            <w:pPr>
              <w:ind w:left="360"/>
              <w:rPr>
                <w:rFonts w:ascii="宋体" w:hAnsi="宋体" w:eastAsia="宋体"/>
                <w:sz w:val="24"/>
                <w:szCs w:val="24"/>
              </w:rPr>
            </w:pPr>
            <w:r>
              <w:rPr>
                <w:rFonts w:hint="eastAsia" w:ascii="宋体" w:hAnsi="宋体" w:eastAsia="宋体"/>
                <w:sz w:val="24"/>
                <w:szCs w:val="24"/>
              </w:rPr>
              <w:t>6、具备网管监控平台；</w:t>
            </w:r>
          </w:p>
        </w:tc>
        <w:tc>
          <w:tcPr>
            <w:tcW w:w="454" w:type="dxa"/>
            <w:vAlign w:val="center"/>
          </w:tcPr>
          <w:p>
            <w:pPr>
              <w:rPr>
                <w:rFonts w:ascii="宋体" w:hAnsi="宋体" w:eastAsia="宋体" w:cs="宋体"/>
                <w:sz w:val="24"/>
                <w:szCs w:val="24"/>
              </w:rPr>
            </w:pPr>
            <w:r>
              <w:rPr>
                <w:rFonts w:hint="eastAsia" w:ascii="宋体" w:hAnsi="宋体" w:eastAsia="宋体" w:cs="宋体"/>
                <w:sz w:val="24"/>
                <w:szCs w:val="24"/>
              </w:rPr>
              <w:t>套</w:t>
            </w:r>
          </w:p>
        </w:tc>
        <w:tc>
          <w:tcPr>
            <w:tcW w:w="579"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877" w:type="dxa"/>
            <w:vAlign w:val="center"/>
          </w:tcPr>
          <w:p>
            <w:pPr>
              <w:jc w:val="center"/>
              <w:rPr>
                <w:rFonts w:ascii="宋体" w:hAnsi="宋体" w:eastAsia="宋体" w:cs="宋体"/>
                <w:sz w:val="24"/>
                <w:szCs w:val="24"/>
              </w:rPr>
            </w:pPr>
            <w:r>
              <w:rPr>
                <w:rFonts w:hint="eastAsia" w:ascii="宋体" w:hAnsi="宋体" w:eastAsia="宋体" w:cs="宋体"/>
                <w:sz w:val="24"/>
                <w:szCs w:val="24"/>
              </w:rPr>
              <w:t>36000</w:t>
            </w:r>
          </w:p>
        </w:tc>
        <w:tc>
          <w:tcPr>
            <w:tcW w:w="1002"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72000</w:t>
            </w:r>
          </w:p>
        </w:tc>
        <w:tc>
          <w:tcPr>
            <w:tcW w:w="706" w:type="dxa"/>
            <w:vMerge w:val="continue"/>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5" w:type="dxa"/>
            <w:gridSpan w:val="7"/>
            <w:vAlign w:val="center"/>
          </w:tcPr>
          <w:p>
            <w:pPr>
              <w:jc w:val="center"/>
              <w:rPr>
                <w:rFonts w:ascii="宋体" w:hAnsi="宋体" w:eastAsia="宋体" w:cs="宋体"/>
                <w:b/>
                <w:bCs/>
                <w:sz w:val="24"/>
                <w:szCs w:val="24"/>
              </w:rPr>
            </w:pPr>
          </w:p>
          <w:p>
            <w:pPr>
              <w:jc w:val="center"/>
              <w:rPr>
                <w:rFonts w:ascii="宋体" w:hAnsi="宋体" w:eastAsia="宋体" w:cs="宋体"/>
                <w:sz w:val="24"/>
                <w:szCs w:val="24"/>
              </w:rPr>
            </w:pPr>
            <w:r>
              <w:rPr>
                <w:rFonts w:hint="eastAsia" w:ascii="宋体" w:hAnsi="宋体" w:eastAsia="宋体" w:cs="宋体"/>
                <w:b/>
                <w:bCs/>
                <w:sz w:val="24"/>
                <w:szCs w:val="24"/>
              </w:rPr>
              <w:t>商务要求</w:t>
            </w:r>
          </w:p>
        </w:tc>
        <w:tc>
          <w:tcPr>
            <w:tcW w:w="875" w:type="dxa"/>
            <w:vAlign w:val="center"/>
          </w:tcPr>
          <w:p>
            <w:pPr>
              <w:jc w:val="center"/>
              <w:rPr>
                <w:rFonts w:ascii="宋体" w:hAnsi="宋体" w:eastAsia="宋体" w:cs="宋体"/>
                <w:b/>
                <w:bCs/>
                <w:sz w:val="24"/>
                <w:szCs w:val="24"/>
              </w:rPr>
            </w:pPr>
          </w:p>
        </w:tc>
        <w:tc>
          <w:tcPr>
            <w:tcW w:w="833" w:type="dxa"/>
            <w:gridSpan w:val="2"/>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047" w:type="dxa"/>
            <w:gridSpan w:val="3"/>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免费保修期</w:t>
            </w:r>
          </w:p>
        </w:tc>
        <w:tc>
          <w:tcPr>
            <w:tcW w:w="6958" w:type="dxa"/>
            <w:gridSpan w:val="4"/>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按国家有关产品</w:t>
            </w:r>
            <w:r>
              <w:rPr>
                <w:rFonts w:ascii="宋体" w:hAnsi="宋体" w:eastAsia="宋体" w:cs="宋体"/>
                <w:sz w:val="24"/>
                <w:szCs w:val="24"/>
              </w:rPr>
              <w:t>“</w:t>
            </w:r>
            <w:r>
              <w:rPr>
                <w:rFonts w:hint="eastAsia" w:ascii="宋体" w:hAnsi="宋体" w:eastAsia="宋体" w:cs="宋体"/>
                <w:sz w:val="24"/>
                <w:szCs w:val="24"/>
              </w:rPr>
              <w:t>三包</w:t>
            </w:r>
            <w:r>
              <w:rPr>
                <w:rFonts w:ascii="宋体" w:hAnsi="宋体" w:eastAsia="宋体" w:cs="宋体"/>
                <w:sz w:val="24"/>
                <w:szCs w:val="24"/>
              </w:rPr>
              <w:t>”</w:t>
            </w:r>
            <w:r>
              <w:rPr>
                <w:rFonts w:hint="eastAsia" w:ascii="宋体" w:hAnsi="宋体" w:eastAsia="宋体" w:cs="宋体"/>
                <w:sz w:val="24"/>
                <w:szCs w:val="24"/>
              </w:rPr>
              <w:t>规定执行</w:t>
            </w:r>
            <w:r>
              <w:rPr>
                <w:rFonts w:ascii="宋体" w:hAnsi="宋体" w:eastAsia="宋体" w:cs="宋体"/>
                <w:sz w:val="24"/>
                <w:szCs w:val="24"/>
              </w:rPr>
              <w:t>“</w:t>
            </w:r>
            <w:r>
              <w:rPr>
                <w:rFonts w:hint="eastAsia" w:ascii="宋体" w:hAnsi="宋体" w:eastAsia="宋体" w:cs="宋体"/>
                <w:sz w:val="24"/>
                <w:szCs w:val="24"/>
              </w:rPr>
              <w:t>三包</w:t>
            </w: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年提供免费保修。</w:t>
            </w:r>
          </w:p>
        </w:tc>
        <w:tc>
          <w:tcPr>
            <w:tcW w:w="875" w:type="dxa"/>
            <w:vAlign w:val="center"/>
          </w:tcPr>
          <w:p>
            <w:pPr>
              <w:autoSpaceDE w:val="0"/>
              <w:autoSpaceDN w:val="0"/>
              <w:adjustRightInd w:val="0"/>
              <w:spacing w:line="360" w:lineRule="auto"/>
              <w:rPr>
                <w:rFonts w:ascii="宋体" w:hAnsi="宋体" w:eastAsia="宋体" w:cs="宋体"/>
                <w:sz w:val="24"/>
                <w:szCs w:val="24"/>
              </w:rPr>
            </w:pPr>
          </w:p>
        </w:tc>
        <w:tc>
          <w:tcPr>
            <w:tcW w:w="833" w:type="dxa"/>
            <w:gridSpan w:val="2"/>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047" w:type="dxa"/>
            <w:gridSpan w:val="3"/>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服务期</w:t>
            </w:r>
          </w:p>
        </w:tc>
        <w:tc>
          <w:tcPr>
            <w:tcW w:w="6958" w:type="dxa"/>
            <w:gridSpan w:val="4"/>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3年（中标人签订合同服务期限为3年）</w:t>
            </w:r>
          </w:p>
        </w:tc>
        <w:tc>
          <w:tcPr>
            <w:tcW w:w="875" w:type="dxa"/>
            <w:vAlign w:val="center"/>
          </w:tcPr>
          <w:p>
            <w:pPr>
              <w:autoSpaceDE w:val="0"/>
              <w:autoSpaceDN w:val="0"/>
              <w:adjustRightInd w:val="0"/>
              <w:spacing w:line="360" w:lineRule="auto"/>
              <w:rPr>
                <w:rFonts w:ascii="宋体" w:hAnsi="宋体" w:eastAsia="宋体" w:cs="宋体"/>
                <w:sz w:val="24"/>
                <w:szCs w:val="24"/>
              </w:rPr>
            </w:pPr>
          </w:p>
        </w:tc>
        <w:tc>
          <w:tcPr>
            <w:tcW w:w="833" w:type="dxa"/>
            <w:gridSpan w:val="2"/>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47" w:type="dxa"/>
            <w:gridSpan w:val="3"/>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交付时间及地点</w:t>
            </w:r>
          </w:p>
        </w:tc>
        <w:tc>
          <w:tcPr>
            <w:tcW w:w="6958" w:type="dxa"/>
            <w:gridSpan w:val="4"/>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1、交付使用期：安装点位具备施工条件后，自签订合同之日起</w:t>
            </w:r>
            <w:r>
              <w:rPr>
                <w:rFonts w:hint="eastAsia" w:ascii="宋体" w:hAnsi="宋体" w:eastAsia="宋体" w:cs="SimSun,Bold"/>
                <w:b/>
                <w:bCs/>
                <w:sz w:val="24"/>
                <w:szCs w:val="24"/>
              </w:rPr>
              <w:t>60个工作日</w:t>
            </w:r>
            <w:r>
              <w:rPr>
                <w:rFonts w:hint="eastAsia" w:ascii="宋体" w:hAnsi="宋体" w:eastAsia="宋体" w:cs="宋体"/>
                <w:sz w:val="24"/>
                <w:szCs w:val="24"/>
              </w:rPr>
              <w:t>内完成验收合格并交付正常使用。</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2、交货地点：广西桂林市灵川县采购人指定地点。</w:t>
            </w:r>
          </w:p>
        </w:tc>
        <w:tc>
          <w:tcPr>
            <w:tcW w:w="875" w:type="dxa"/>
            <w:vAlign w:val="center"/>
          </w:tcPr>
          <w:p>
            <w:pPr>
              <w:autoSpaceDE w:val="0"/>
              <w:autoSpaceDN w:val="0"/>
              <w:adjustRightInd w:val="0"/>
              <w:spacing w:line="360" w:lineRule="auto"/>
              <w:rPr>
                <w:rFonts w:ascii="宋体" w:hAnsi="宋体" w:eastAsia="宋体" w:cs="宋体"/>
                <w:sz w:val="24"/>
                <w:szCs w:val="24"/>
              </w:rPr>
            </w:pPr>
          </w:p>
        </w:tc>
        <w:tc>
          <w:tcPr>
            <w:tcW w:w="833" w:type="dxa"/>
            <w:gridSpan w:val="2"/>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47" w:type="dxa"/>
            <w:gridSpan w:val="3"/>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服务要求</w:t>
            </w:r>
          </w:p>
        </w:tc>
        <w:tc>
          <w:tcPr>
            <w:tcW w:w="6958" w:type="dxa"/>
            <w:gridSpan w:val="4"/>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1、技术支持及培训：</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）采购范围内免费技术培训</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）中标人须派技术人员到采购单位现场对用户使用操作人员进行切实有效的培训，直到采购单位使用人员可以熟练操作所有设备为止，所有培训费用由中标供应商承担。</w:t>
            </w:r>
          </w:p>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、服务的内容和措施：</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）为保证本项目的正常运行及服务质量，供应商须在磋商文件中承诺合同签订后</w:t>
            </w:r>
            <w:r>
              <w:rPr>
                <w:rFonts w:ascii="宋体" w:hAnsi="宋体" w:eastAsia="宋体" w:cs="宋体"/>
                <w:sz w:val="24"/>
                <w:szCs w:val="24"/>
              </w:rPr>
              <w:t xml:space="preserve">3 </w:t>
            </w:r>
            <w:r>
              <w:rPr>
                <w:rFonts w:hint="eastAsia" w:ascii="宋体" w:hAnsi="宋体" w:eastAsia="宋体" w:cs="宋体"/>
                <w:sz w:val="24"/>
                <w:szCs w:val="24"/>
              </w:rPr>
              <w:t>个工作日内在项目所在地设立常驻服务部门或已有常驻服务部门。</w:t>
            </w:r>
          </w:p>
          <w:p>
            <w:pPr>
              <w:autoSpaceDE w:val="0"/>
              <w:autoSpaceDN w:val="0"/>
              <w:adjustRightInd w:val="0"/>
              <w:spacing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）维修响应：在接到采购人故障通知后</w:t>
            </w:r>
            <w:r>
              <w:rPr>
                <w:rFonts w:ascii="宋体" w:hAnsi="宋体" w:eastAsia="宋体" w:cs="宋体"/>
                <w:sz w:val="24"/>
                <w:szCs w:val="24"/>
              </w:rPr>
              <w:t>24</w:t>
            </w:r>
            <w:r>
              <w:rPr>
                <w:rFonts w:hint="eastAsia" w:ascii="宋体" w:hAnsi="宋体" w:eastAsia="宋体" w:cs="宋体"/>
                <w:sz w:val="24"/>
                <w:szCs w:val="24"/>
              </w:rPr>
              <w:t>小时内到达现场，紧急事故</w:t>
            </w:r>
            <w:r>
              <w:rPr>
                <w:rFonts w:ascii="宋体" w:hAnsi="宋体" w:eastAsia="宋体" w:cs="宋体"/>
                <w:sz w:val="24"/>
                <w:szCs w:val="24"/>
              </w:rPr>
              <w:t xml:space="preserve">12 </w:t>
            </w:r>
            <w:r>
              <w:rPr>
                <w:rFonts w:hint="eastAsia" w:ascii="宋体" w:hAnsi="宋体" w:eastAsia="宋体" w:cs="宋体"/>
                <w:sz w:val="24"/>
                <w:szCs w:val="24"/>
              </w:rPr>
              <w:t>小时内到达现场，并免费维修或更换缺陷零部件，若因摄像机故障需返厂维修在</w:t>
            </w:r>
            <w:r>
              <w:rPr>
                <w:rFonts w:ascii="宋体" w:hAnsi="宋体" w:eastAsia="宋体" w:cs="宋体"/>
                <w:sz w:val="24"/>
                <w:szCs w:val="24"/>
              </w:rPr>
              <w:t xml:space="preserve">24 </w:t>
            </w:r>
            <w:r>
              <w:rPr>
                <w:rFonts w:hint="eastAsia" w:ascii="宋体" w:hAnsi="宋体" w:eastAsia="宋体" w:cs="宋体"/>
                <w:sz w:val="24"/>
                <w:szCs w:val="24"/>
              </w:rPr>
              <w:t>小时内不能解决问题的，必须提供同类工作效果的设备作为备用机。</w:t>
            </w:r>
          </w:p>
        </w:tc>
        <w:tc>
          <w:tcPr>
            <w:tcW w:w="875" w:type="dxa"/>
            <w:vAlign w:val="center"/>
          </w:tcPr>
          <w:p>
            <w:pPr>
              <w:autoSpaceDE w:val="0"/>
              <w:autoSpaceDN w:val="0"/>
              <w:adjustRightInd w:val="0"/>
              <w:spacing w:line="360" w:lineRule="auto"/>
              <w:rPr>
                <w:rFonts w:ascii="宋体" w:hAnsi="宋体" w:eastAsia="宋体" w:cs="宋体"/>
                <w:sz w:val="24"/>
                <w:szCs w:val="24"/>
              </w:rPr>
            </w:pPr>
          </w:p>
        </w:tc>
        <w:tc>
          <w:tcPr>
            <w:tcW w:w="833" w:type="dxa"/>
            <w:gridSpan w:val="2"/>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47" w:type="dxa"/>
            <w:gridSpan w:val="3"/>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验收标准</w:t>
            </w:r>
          </w:p>
        </w:tc>
        <w:tc>
          <w:tcPr>
            <w:tcW w:w="6958" w:type="dxa"/>
            <w:gridSpan w:val="4"/>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1、配套设备需全新、完好、无破损，按照技术要求的各项指标进行验收。</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2、配套设备开机试运行，测试设备的技术性能指标，确认各项功能正常运行，同时检查随机文件应齐整。</w:t>
            </w:r>
          </w:p>
        </w:tc>
        <w:tc>
          <w:tcPr>
            <w:tcW w:w="875" w:type="dxa"/>
            <w:vAlign w:val="center"/>
          </w:tcPr>
          <w:p>
            <w:pPr>
              <w:autoSpaceDE w:val="0"/>
              <w:autoSpaceDN w:val="0"/>
              <w:adjustRightInd w:val="0"/>
              <w:spacing w:line="360" w:lineRule="auto"/>
              <w:rPr>
                <w:rFonts w:ascii="宋体" w:hAnsi="宋体" w:eastAsia="宋体" w:cs="宋体"/>
                <w:sz w:val="24"/>
                <w:szCs w:val="24"/>
              </w:rPr>
            </w:pPr>
          </w:p>
        </w:tc>
        <w:tc>
          <w:tcPr>
            <w:tcW w:w="833" w:type="dxa"/>
            <w:gridSpan w:val="2"/>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47" w:type="dxa"/>
            <w:gridSpan w:val="3"/>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付款方式</w:t>
            </w:r>
          </w:p>
        </w:tc>
        <w:tc>
          <w:tcPr>
            <w:tcW w:w="6958" w:type="dxa"/>
            <w:gridSpan w:val="4"/>
            <w:vAlign w:val="center"/>
          </w:tcPr>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、项目验收合格后</w:t>
            </w:r>
            <w:r>
              <w:rPr>
                <w:rFonts w:ascii="宋体" w:hAnsi="宋体" w:eastAsia="宋体" w:cs="宋体"/>
                <w:sz w:val="24"/>
                <w:szCs w:val="24"/>
              </w:rPr>
              <w:t xml:space="preserve">7 </w:t>
            </w:r>
            <w:r>
              <w:rPr>
                <w:rFonts w:hint="eastAsia" w:ascii="宋体" w:hAnsi="宋体" w:eastAsia="宋体" w:cs="宋体"/>
                <w:sz w:val="24"/>
                <w:szCs w:val="24"/>
              </w:rPr>
              <w:t>日内支付合同金额的</w:t>
            </w: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、验收合格满</w:t>
            </w:r>
            <w:r>
              <w:rPr>
                <w:rFonts w:ascii="宋体" w:hAnsi="宋体" w:eastAsia="宋体" w:cs="宋体"/>
                <w:sz w:val="24"/>
                <w:szCs w:val="24"/>
              </w:rPr>
              <w:t xml:space="preserve">1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、验收合格满</w:t>
            </w:r>
            <w:r>
              <w:rPr>
                <w:rFonts w:ascii="宋体" w:hAnsi="宋体" w:eastAsia="宋体" w:cs="宋体"/>
                <w:sz w:val="24"/>
                <w:szCs w:val="24"/>
              </w:rPr>
              <w:t xml:space="preserve">2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、验收合格满</w:t>
            </w:r>
            <w:r>
              <w:rPr>
                <w:rFonts w:ascii="宋体" w:hAnsi="宋体" w:eastAsia="宋体" w:cs="宋体"/>
                <w:sz w:val="24"/>
                <w:szCs w:val="24"/>
              </w:rPr>
              <w:t xml:space="preserve">3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w:t>
            </w:r>
          </w:p>
        </w:tc>
        <w:tc>
          <w:tcPr>
            <w:tcW w:w="875" w:type="dxa"/>
            <w:vAlign w:val="center"/>
          </w:tcPr>
          <w:p>
            <w:pPr>
              <w:autoSpaceDE w:val="0"/>
              <w:autoSpaceDN w:val="0"/>
              <w:adjustRightInd w:val="0"/>
              <w:spacing w:line="360" w:lineRule="auto"/>
              <w:rPr>
                <w:rFonts w:ascii="宋体" w:hAnsi="宋体" w:eastAsia="宋体" w:cs="宋体"/>
                <w:sz w:val="24"/>
                <w:szCs w:val="24"/>
              </w:rPr>
            </w:pPr>
          </w:p>
        </w:tc>
        <w:tc>
          <w:tcPr>
            <w:tcW w:w="833" w:type="dxa"/>
            <w:gridSpan w:val="2"/>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47" w:type="dxa"/>
            <w:gridSpan w:val="3"/>
            <w:vAlign w:val="center"/>
          </w:tcPr>
          <w:p>
            <w:pPr>
              <w:spacing w:line="340" w:lineRule="exact"/>
              <w:jc w:val="center"/>
              <w:rPr>
                <w:rFonts w:ascii="宋体" w:hAnsi="宋体" w:eastAsia="宋体" w:cs="宋体"/>
                <w:sz w:val="24"/>
                <w:szCs w:val="24"/>
              </w:rPr>
            </w:pPr>
            <w:r>
              <w:rPr>
                <w:rFonts w:hint="eastAsia" w:ascii="宋体" w:hAnsi="宋体" w:eastAsia="宋体"/>
                <w:sz w:val="24"/>
                <w:szCs w:val="24"/>
              </w:rPr>
              <w:t>其他要求</w:t>
            </w:r>
          </w:p>
        </w:tc>
        <w:tc>
          <w:tcPr>
            <w:tcW w:w="6958" w:type="dxa"/>
            <w:gridSpan w:val="4"/>
            <w:vAlign w:val="center"/>
          </w:tcPr>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、本项目政府采购预算为：</w:t>
            </w:r>
            <w:r>
              <w:rPr>
                <w:rFonts w:hint="eastAsia" w:ascii="宋体" w:hAnsi="宋体" w:eastAsia="宋体" w:cs="宋体"/>
                <w:b/>
                <w:color w:val="000000" w:themeColor="text1"/>
                <w:sz w:val="24"/>
                <w:szCs w:val="24"/>
              </w:rPr>
              <w:t>壹佰零柒万壹仟</w:t>
            </w:r>
            <w:r>
              <w:rPr>
                <w:rFonts w:hint="eastAsia" w:ascii="宋体" w:hAnsi="宋体" w:eastAsia="宋体" w:cs="宋体"/>
                <w:b/>
                <w:sz w:val="24"/>
                <w:szCs w:val="24"/>
              </w:rPr>
              <w:t>元整（</w:t>
            </w:r>
            <w:r>
              <w:rPr>
                <w:rFonts w:hint="eastAsia" w:ascii="宋体" w:hAnsi="宋体" w:eastAsia="宋体" w:cs="宋体"/>
                <w:b/>
                <w:color w:val="000000" w:themeColor="text1"/>
                <w:sz w:val="24"/>
                <w:szCs w:val="24"/>
              </w:rPr>
              <w:t>1071000</w:t>
            </w:r>
            <w:r>
              <w:rPr>
                <w:rFonts w:hint="eastAsia" w:ascii="宋体" w:hAnsi="宋体" w:eastAsia="宋体" w:cs="宋体"/>
                <w:b/>
                <w:sz w:val="24"/>
                <w:szCs w:val="24"/>
              </w:rPr>
              <w:t>元）</w:t>
            </w:r>
            <w:r>
              <w:rPr>
                <w:rFonts w:hint="eastAsia" w:ascii="宋体" w:hAnsi="宋体" w:eastAsia="宋体" w:cs="宋体"/>
                <w:sz w:val="24"/>
                <w:szCs w:val="24"/>
              </w:rPr>
              <w:t>，超过采购预算金额的，响应文件按无效处理。</w:t>
            </w:r>
          </w:p>
          <w:p>
            <w:pPr>
              <w:rPr>
                <w:rFonts w:ascii="宋体" w:hAnsi="宋体" w:eastAsia="宋体"/>
                <w:sz w:val="24"/>
                <w:szCs w:val="24"/>
              </w:rPr>
            </w:pPr>
            <w:r>
              <w:rPr>
                <w:rFonts w:hint="eastAsia" w:ascii="宋体" w:hAnsi="宋体" w:eastAsia="宋体"/>
                <w:sz w:val="24"/>
                <w:szCs w:val="24"/>
              </w:rPr>
              <w:t>2、带“▲”内容为本系统的主要功能项或技术指标，应在国家检验机构出具的检验报告中体现（提供复印件并加盖供应商公章，采购人保留核实资料真实性的权利）。每有一项带“ ▲”性能参数不能提供检验报告或检验报告中无体现的扣2分，扣完为止，不计负分。</w:t>
            </w:r>
          </w:p>
        </w:tc>
        <w:tc>
          <w:tcPr>
            <w:tcW w:w="875" w:type="dxa"/>
            <w:vAlign w:val="center"/>
          </w:tcPr>
          <w:p>
            <w:pPr>
              <w:rPr>
                <w:rFonts w:ascii="宋体" w:hAnsi="宋体" w:eastAsia="宋体"/>
                <w:sz w:val="24"/>
                <w:szCs w:val="24"/>
              </w:rPr>
            </w:pPr>
          </w:p>
        </w:tc>
        <w:tc>
          <w:tcPr>
            <w:tcW w:w="833" w:type="dxa"/>
            <w:gridSpan w:val="2"/>
            <w:vAlign w:val="center"/>
          </w:tcPr>
          <w:p>
            <w:pPr>
              <w:rPr>
                <w:rFonts w:ascii="宋体" w:hAnsi="宋体" w:eastAsia="宋体"/>
                <w:sz w:val="24"/>
                <w:szCs w:val="24"/>
              </w:rPr>
            </w:pPr>
          </w:p>
        </w:tc>
      </w:tr>
    </w:tbl>
    <w:p>
      <w:pPr>
        <w:spacing w:line="200" w:lineRule="exact"/>
        <w:rPr>
          <w:rFonts w:ascii="宋体" w:hAnsi="宋体" w:eastAsia="宋体"/>
          <w:sz w:val="24"/>
          <w:szCs w:val="24"/>
        </w:rPr>
      </w:pPr>
      <w:r>
        <w:rPr>
          <w:rFonts w:hint="eastAsia" w:ascii="宋体" w:hAnsi="宋体" w:eastAsia="宋体"/>
          <w:sz w:val="24"/>
          <w:szCs w:val="24"/>
        </w:rPr>
        <w:br w:type="page"/>
      </w:r>
    </w:p>
    <w:p>
      <w:pPr>
        <w:spacing w:line="200" w:lineRule="exact"/>
        <w:rPr>
          <w:rFonts w:ascii="宋体" w:hAnsi="宋体" w:eastAsia="宋体"/>
          <w:sz w:val="24"/>
          <w:szCs w:val="24"/>
        </w:rPr>
      </w:pPr>
    </w:p>
    <w:p>
      <w:pPr>
        <w:pStyle w:val="3"/>
        <w:jc w:val="center"/>
        <w:rPr>
          <w:rFonts w:ascii="宋体" w:hAnsi="宋体" w:eastAsia="宋体"/>
          <w:sz w:val="24"/>
          <w:szCs w:val="24"/>
        </w:rPr>
      </w:pPr>
      <w:bookmarkStart w:id="55" w:name="page24"/>
      <w:bookmarkEnd w:id="55"/>
      <w:r>
        <w:rPr>
          <w:rFonts w:hint="eastAsia" w:ascii="宋体" w:hAnsi="宋体" w:eastAsia="宋体"/>
          <w:sz w:val="24"/>
          <w:szCs w:val="24"/>
        </w:rPr>
        <w:t>第四章 评标办法</w:t>
      </w:r>
    </w:p>
    <w:p>
      <w:pPr>
        <w:spacing w:line="360" w:lineRule="auto"/>
        <w:ind w:firstLine="482" w:firstLineChars="200"/>
        <w:rPr>
          <w:rFonts w:ascii="宋体" w:hAnsi="宋体" w:eastAsia="宋体" w:cs="宋体"/>
          <w:sz w:val="24"/>
          <w:szCs w:val="24"/>
        </w:rPr>
      </w:pPr>
      <w:r>
        <w:rPr>
          <w:rFonts w:hint="eastAsia" w:ascii="宋体" w:hAnsi="宋体" w:eastAsia="宋体"/>
          <w:b/>
          <w:bCs/>
          <w:sz w:val="24"/>
          <w:szCs w:val="24"/>
        </w:rPr>
        <w:t>一、评标依据及方式</w:t>
      </w:r>
    </w:p>
    <w:p>
      <w:pPr>
        <w:spacing w:line="360" w:lineRule="auto"/>
        <w:ind w:left="220" w:leftChars="100" w:firstLine="240" w:firstLineChars="100"/>
        <w:rPr>
          <w:rFonts w:ascii="宋体" w:hAnsi="宋体" w:eastAsia="宋体"/>
          <w:sz w:val="24"/>
          <w:szCs w:val="24"/>
        </w:rPr>
      </w:pPr>
      <w:r>
        <w:rPr>
          <w:rFonts w:hint="eastAsia" w:ascii="宋体" w:hAnsi="宋体" w:eastAsia="宋体"/>
          <w:sz w:val="24"/>
          <w:szCs w:val="24"/>
        </w:rPr>
        <w:t>1、评标依据：</w:t>
      </w:r>
      <w:r>
        <w:rPr>
          <w:rFonts w:ascii="宋体" w:hAnsi="宋体" w:eastAsia="宋体" w:cs="宋体"/>
          <w:sz w:val="24"/>
          <w:szCs w:val="24"/>
        </w:rPr>
        <w:t>磋商小组以磋商文件和响应文件为评审依据，对磋商供应商</w:t>
      </w:r>
      <w:r>
        <w:rPr>
          <w:rFonts w:hint="eastAsia" w:ascii="宋体" w:hAnsi="宋体" w:eastAsia="宋体"/>
          <w:sz w:val="24"/>
          <w:szCs w:val="24"/>
        </w:rPr>
        <w:t>的磋商报价、服务方案、实施方案、技术参数、信誉、服务保障方案、应急保障方案等七个方面内容按百分制打分。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2、评标方式：以封闭方式进行评标。</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根据财库〔2012〕69 号文规定，采购人和采购代理机构、磋商小组成员要严格遵守政府采购相关法律制度，依法履行各自职责，公正、客观、审慎地组织和参与评审工作。</w:t>
      </w:r>
    </w:p>
    <w:p>
      <w:pPr>
        <w:spacing w:line="240" w:lineRule="exact"/>
        <w:ind w:left="420"/>
        <w:rPr>
          <w:rFonts w:ascii="宋体" w:hAnsi="宋体" w:eastAsia="宋体"/>
          <w:sz w:val="24"/>
          <w:szCs w:val="24"/>
        </w:rPr>
      </w:pPr>
      <w:r>
        <w:rPr>
          <w:rFonts w:ascii="宋体" w:hAnsi="宋体" w:eastAsia="宋体" w:cs="宋体"/>
          <w:b/>
          <w:bCs/>
          <w:sz w:val="24"/>
          <w:szCs w:val="24"/>
        </w:rPr>
        <w:t>二、评审办法</w:t>
      </w:r>
    </w:p>
    <w:p>
      <w:pPr>
        <w:spacing w:line="16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（一）对进入详评的，采用综合评分法。</w:t>
      </w:r>
    </w:p>
    <w:p>
      <w:pPr>
        <w:spacing w:line="16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（二）计分办法（按四舍五入取至小数点后二位）</w:t>
      </w:r>
    </w:p>
    <w:p>
      <w:pPr>
        <w:spacing w:line="360" w:lineRule="auto"/>
        <w:ind w:firstLine="420"/>
        <w:rPr>
          <w:rFonts w:ascii="宋体" w:hAnsi="宋体" w:eastAsia="宋体"/>
          <w:bCs/>
          <w:sz w:val="24"/>
          <w:szCs w:val="24"/>
        </w:rPr>
      </w:pPr>
      <w:r>
        <w:rPr>
          <w:rFonts w:ascii="宋体" w:hAnsi="宋体" w:eastAsia="宋体"/>
          <w:b/>
          <w:sz w:val="24"/>
          <w:szCs w:val="24"/>
        </w:rPr>
        <w:t>1、</w:t>
      </w:r>
      <w:r>
        <w:rPr>
          <w:rFonts w:hint="eastAsia" w:ascii="宋体" w:hAnsi="宋体" w:eastAsia="宋体"/>
          <w:b/>
          <w:bCs/>
          <w:sz w:val="24"/>
          <w:szCs w:val="24"/>
        </w:rPr>
        <w:t>价格分</w:t>
      </w:r>
      <w:r>
        <w:rPr>
          <w:rFonts w:ascii="宋体" w:hAnsi="宋体" w:eastAsia="宋体"/>
          <w:b/>
          <w:sz w:val="24"/>
          <w:szCs w:val="24"/>
        </w:rPr>
        <w:t>…………………………………………………………………………</w:t>
      </w:r>
      <w:r>
        <w:rPr>
          <w:rFonts w:hint="eastAsia" w:ascii="宋体" w:hAnsi="宋体" w:eastAsia="宋体"/>
          <w:b/>
          <w:bCs/>
          <w:sz w:val="24"/>
          <w:szCs w:val="24"/>
        </w:rPr>
        <w:t>30分</w:t>
      </w:r>
    </w:p>
    <w:p>
      <w:pPr>
        <w:spacing w:line="240" w:lineRule="exact"/>
        <w:ind w:left="420"/>
        <w:rPr>
          <w:rFonts w:ascii="宋体" w:hAnsi="宋体" w:eastAsia="宋体"/>
          <w:sz w:val="24"/>
          <w:szCs w:val="24"/>
        </w:rPr>
      </w:pPr>
      <w:r>
        <w:rPr>
          <w:rFonts w:ascii="宋体" w:hAnsi="宋体" w:eastAsia="宋体" w:cs="宋体"/>
          <w:sz w:val="24"/>
          <w:szCs w:val="24"/>
        </w:rPr>
        <w:t>（1）按照《政府采购促进中小企业发展暂行办法》（财库[2011]181 号）规定：</w:t>
      </w:r>
    </w:p>
    <w:p>
      <w:pPr>
        <w:spacing w:line="192" w:lineRule="exact"/>
        <w:rPr>
          <w:rFonts w:ascii="宋体" w:hAnsi="宋体" w:eastAsia="宋体"/>
          <w:sz w:val="24"/>
          <w:szCs w:val="24"/>
        </w:rPr>
      </w:pPr>
    </w:p>
    <w:p>
      <w:pPr>
        <w:spacing w:line="304" w:lineRule="exact"/>
        <w:ind w:firstLine="526"/>
        <w:jc w:val="both"/>
        <w:rPr>
          <w:rFonts w:ascii="宋体" w:hAnsi="宋体" w:eastAsia="宋体"/>
          <w:sz w:val="24"/>
          <w:szCs w:val="24"/>
        </w:rPr>
      </w:pPr>
      <w:r>
        <w:rPr>
          <w:rFonts w:ascii="宋体" w:hAnsi="宋体" w:eastAsia="宋体" w:cs="宋体"/>
          <w:sz w:val="24"/>
          <w:szCs w:val="24"/>
        </w:rPr>
        <w:t>①对磋商供应商认定为小型和微型企业的（以响应文件提供的符合规定的有关证明材料为准），磋商价给予 6%的扣除，扣除后的价格为磋商报价，即评审报价=最后报价×（1-6%）；</w:t>
      </w:r>
    </w:p>
    <w:p>
      <w:pPr>
        <w:spacing w:line="162" w:lineRule="exact"/>
        <w:rPr>
          <w:rFonts w:ascii="宋体" w:hAnsi="宋体" w:eastAsia="宋体"/>
          <w:sz w:val="24"/>
          <w:szCs w:val="24"/>
        </w:rPr>
      </w:pPr>
    </w:p>
    <w:p>
      <w:pPr>
        <w:spacing w:line="240" w:lineRule="exact"/>
        <w:ind w:left="540"/>
        <w:rPr>
          <w:rFonts w:ascii="宋体" w:hAnsi="宋体" w:eastAsia="宋体"/>
          <w:sz w:val="24"/>
          <w:szCs w:val="24"/>
        </w:rPr>
      </w:pPr>
      <w:r>
        <w:rPr>
          <w:rFonts w:ascii="宋体" w:hAnsi="宋体" w:eastAsia="宋体" w:cs="宋体"/>
          <w:sz w:val="24"/>
          <w:szCs w:val="24"/>
        </w:rPr>
        <w:t>②除上述情况外，评审报价=最后报价。</w:t>
      </w:r>
    </w:p>
    <w:p>
      <w:pPr>
        <w:spacing w:line="192" w:lineRule="exact"/>
        <w:rPr>
          <w:rFonts w:ascii="宋体" w:hAnsi="宋体" w:eastAsia="宋体"/>
          <w:sz w:val="24"/>
          <w:szCs w:val="24"/>
        </w:rPr>
      </w:pPr>
    </w:p>
    <w:p>
      <w:pPr>
        <w:spacing w:line="336" w:lineRule="exact"/>
        <w:ind w:firstLine="420"/>
        <w:jc w:val="both"/>
        <w:rPr>
          <w:rFonts w:ascii="宋体" w:hAnsi="宋体" w:eastAsia="宋体"/>
          <w:sz w:val="24"/>
          <w:szCs w:val="24"/>
        </w:rPr>
      </w:pPr>
      <w:r>
        <w:rPr>
          <w:rFonts w:ascii="宋体" w:hAnsi="宋体" w:eastAsia="宋体" w:cs="宋体"/>
          <w:sz w:val="24"/>
          <w:szCs w:val="24"/>
        </w:rPr>
        <w:t>（2）根据《关于政府采购支持监狱企业发展有关问题的通知》（财库[2014]68 号）和《关于促进残疾人就业政府采购政策的通知》（财库[2017]141 号），监狱企业和符合条件的残疾人企业视同小型、微型企业，享受小型、微型企业评审中价格扣除的政府采购政策。</w:t>
      </w:r>
    </w:p>
    <w:p>
      <w:pPr>
        <w:spacing w:line="162"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（3）以进入详评的最低的评审报价为 30 分。</w:t>
      </w:r>
    </w:p>
    <w:p>
      <w:pPr>
        <w:spacing w:after="0" w:line="240" w:lineRule="exact"/>
        <w:ind w:left="3160"/>
        <w:rPr>
          <w:color w:val="auto"/>
          <w:sz w:val="20"/>
          <w:szCs w:val="20"/>
        </w:rPr>
      </w:pPr>
      <w:r>
        <w:rPr>
          <w:rFonts w:ascii="宋体" w:hAnsi="宋体" w:eastAsia="宋体" w:cs="宋体"/>
          <w:color w:val="auto"/>
          <w:sz w:val="21"/>
          <w:szCs w:val="21"/>
        </w:rPr>
        <w:t>最低磋商供应商评审报价金额</w:t>
      </w:r>
    </w:p>
    <w:p>
      <w:pPr>
        <w:spacing w:after="0" w:line="161" w:lineRule="exact"/>
        <w:rPr>
          <w:color w:val="auto"/>
          <w:sz w:val="20"/>
          <w:szCs w:val="20"/>
        </w:rPr>
      </w:pPr>
    </w:p>
    <w:tbl>
      <w:tblPr>
        <w:tblStyle w:val="9"/>
        <w:tblW w:w="0" w:type="auto"/>
        <w:tblInd w:w="420" w:type="dxa"/>
        <w:tblLayout w:type="fixed"/>
        <w:tblCellMar>
          <w:top w:w="0" w:type="dxa"/>
          <w:left w:w="0" w:type="dxa"/>
          <w:bottom w:w="0" w:type="dxa"/>
          <w:right w:w="0" w:type="dxa"/>
        </w:tblCellMar>
      </w:tblPr>
      <w:tblGrid>
        <w:gridCol w:w="2460"/>
        <w:gridCol w:w="3480"/>
        <w:gridCol w:w="840"/>
        <w:gridCol w:w="360"/>
      </w:tblGrid>
      <w:tr>
        <w:tblPrEx>
          <w:tblCellMar>
            <w:top w:w="0" w:type="dxa"/>
            <w:left w:w="0" w:type="dxa"/>
            <w:bottom w:w="0" w:type="dxa"/>
            <w:right w:w="0" w:type="dxa"/>
          </w:tblCellMar>
        </w:tblPrEx>
        <w:trPr>
          <w:trHeight w:val="193" w:hRule="atLeast"/>
        </w:trPr>
        <w:tc>
          <w:tcPr>
            <w:tcW w:w="2460" w:type="dxa"/>
            <w:vMerge w:val="restart"/>
            <w:vAlign w:val="bottom"/>
          </w:tcPr>
          <w:p>
            <w:pPr>
              <w:spacing w:after="0" w:line="240" w:lineRule="exact"/>
              <w:rPr>
                <w:color w:val="auto"/>
                <w:sz w:val="20"/>
                <w:szCs w:val="20"/>
              </w:rPr>
            </w:pPr>
            <w:r>
              <w:rPr>
                <w:rFonts w:ascii="宋体" w:hAnsi="宋体" w:eastAsia="宋体" w:cs="宋体"/>
                <w:color w:val="auto"/>
                <w:sz w:val="21"/>
                <w:szCs w:val="21"/>
              </w:rPr>
              <w:t>（4）磋商供应商价格分 =</w:t>
            </w:r>
          </w:p>
        </w:tc>
        <w:tc>
          <w:tcPr>
            <w:tcW w:w="3480" w:type="dxa"/>
            <w:tcBorders>
              <w:bottom w:val="single" w:color="auto" w:sz="8" w:space="0"/>
            </w:tcBorders>
            <w:vAlign w:val="bottom"/>
          </w:tcPr>
          <w:p>
            <w:pPr>
              <w:spacing w:after="0"/>
              <w:rPr>
                <w:color w:val="auto"/>
                <w:sz w:val="16"/>
                <w:szCs w:val="16"/>
              </w:rPr>
            </w:pPr>
          </w:p>
        </w:tc>
        <w:tc>
          <w:tcPr>
            <w:tcW w:w="840" w:type="dxa"/>
            <w:vMerge w:val="restart"/>
            <w:vAlign w:val="bottom"/>
          </w:tcPr>
          <w:p>
            <w:pPr>
              <w:spacing w:after="0" w:line="240" w:lineRule="exact"/>
              <w:ind w:left="160"/>
              <w:rPr>
                <w:color w:val="auto"/>
                <w:sz w:val="20"/>
                <w:szCs w:val="20"/>
              </w:rPr>
            </w:pPr>
            <w:r>
              <w:rPr>
                <w:rFonts w:ascii="宋体" w:hAnsi="宋体" w:eastAsia="宋体" w:cs="宋体"/>
                <w:color w:val="auto"/>
                <w:w w:val="89"/>
                <w:sz w:val="21"/>
                <w:szCs w:val="21"/>
              </w:rPr>
              <w:t>×30 分</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 w:hRule="atLeast"/>
        </w:trPr>
        <w:tc>
          <w:tcPr>
            <w:tcW w:w="2460" w:type="dxa"/>
            <w:vMerge w:val="continue"/>
            <w:vAlign w:val="bottom"/>
          </w:tcPr>
          <w:p>
            <w:pPr>
              <w:spacing w:after="0"/>
              <w:rPr>
                <w:color w:val="auto"/>
                <w:sz w:val="2"/>
                <w:szCs w:val="2"/>
              </w:rPr>
            </w:pPr>
          </w:p>
        </w:tc>
        <w:tc>
          <w:tcPr>
            <w:tcW w:w="3480" w:type="dxa"/>
            <w:vAlign w:val="bottom"/>
          </w:tcPr>
          <w:p>
            <w:pPr>
              <w:spacing w:after="0"/>
              <w:rPr>
                <w:color w:val="auto"/>
                <w:sz w:val="2"/>
                <w:szCs w:val="2"/>
              </w:rPr>
            </w:pPr>
          </w:p>
        </w:tc>
        <w:tc>
          <w:tcPr>
            <w:tcW w:w="840" w:type="dxa"/>
            <w:vMerge w:val="continue"/>
            <w:vAlign w:val="bottom"/>
          </w:tcPr>
          <w:p>
            <w:pPr>
              <w:spacing w:after="0"/>
              <w:rPr>
                <w:color w:val="auto"/>
                <w:sz w:val="2"/>
                <w:szCs w:val="2"/>
              </w:rPr>
            </w:pPr>
          </w:p>
        </w:tc>
        <w:tc>
          <w:tcPr>
            <w:tcW w:w="0" w:type="dxa"/>
            <w:vAlign w:val="bottom"/>
          </w:tcPr>
          <w:p>
            <w:pPr>
              <w:spacing w:after="0" w:line="20" w:lineRule="exact"/>
              <w:rPr>
                <w:color w:val="auto"/>
                <w:sz w:val="1"/>
                <w:szCs w:val="1"/>
              </w:rPr>
            </w:pPr>
          </w:p>
        </w:tc>
      </w:tr>
    </w:tbl>
    <w:p>
      <w:pPr>
        <w:spacing w:after="0" w:line="160" w:lineRule="exact"/>
        <w:rPr>
          <w:color w:val="auto"/>
          <w:sz w:val="20"/>
          <w:szCs w:val="20"/>
        </w:rPr>
      </w:pPr>
    </w:p>
    <w:p>
      <w:pPr>
        <w:spacing w:after="0" w:line="240" w:lineRule="exact"/>
        <w:ind w:left="3260"/>
        <w:rPr>
          <w:color w:val="auto"/>
          <w:sz w:val="20"/>
          <w:szCs w:val="20"/>
        </w:rPr>
      </w:pPr>
      <w:r>
        <w:rPr>
          <w:rFonts w:ascii="宋体" w:hAnsi="宋体" w:eastAsia="宋体" w:cs="宋体"/>
          <w:color w:val="auto"/>
          <w:sz w:val="21"/>
          <w:szCs w:val="21"/>
        </w:rPr>
        <w:t>磋商供应商评审报价金额</w:t>
      </w:r>
    </w:p>
    <w:p>
      <w:pPr>
        <w:spacing w:line="192" w:lineRule="exact"/>
        <w:rPr>
          <w:rFonts w:ascii="宋体" w:hAnsi="宋体" w:eastAsia="宋体"/>
          <w:sz w:val="24"/>
          <w:szCs w:val="24"/>
        </w:rPr>
      </w:pPr>
    </w:p>
    <w:p>
      <w:pPr>
        <w:spacing w:line="373" w:lineRule="exact"/>
        <w:ind w:firstLine="420"/>
        <w:jc w:val="both"/>
      </w:pPr>
      <w:r>
        <w:rPr>
          <w:rFonts w:ascii="宋体" w:hAnsi="宋体" w:eastAsia="宋体" w:cs="宋体"/>
          <w:sz w:val="24"/>
          <w:szCs w:val="24"/>
        </w:rPr>
        <w:t>评审时，磋商小组认为供应商的报价明显低于其他通过符合性审查供应商的报价，有可能影响服务质量或者不能诚信履约的，应当要求其在评标现场合理的时间内提供书面说明，提供项目成本组成明细（成本价中必须包括各类税收、人员成本等），其中：人力成本必须根据供应商所在省（自治区、直辖市）政府部门或者人力资源社会保障部门公布的关于 2019 年 1 月份至 6 月份供应商所在地最低工资标准相关文件要求编制，项目成本组成明细需经第三方会计事务所或其它具备审计资质的机构出具的成本分析文件复印件（新设立公司按实际情况提供，原件备查）；供应商不能证明其报价合理性的，磋商小组应当将其响应文件作为无效处理。</w:t>
      </w:r>
    </w:p>
    <w:p>
      <w:pPr>
        <w:pStyle w:val="5"/>
        <w:spacing w:line="420" w:lineRule="exact"/>
        <w:ind w:firstLine="482" w:firstLineChars="200"/>
        <w:rPr>
          <w:rFonts w:hAnsi="宋体" w:eastAsia="宋体"/>
          <w:b/>
          <w:sz w:val="24"/>
          <w:szCs w:val="24"/>
        </w:rPr>
      </w:pPr>
      <w:r>
        <w:rPr>
          <w:rFonts w:hAnsi="宋体" w:eastAsia="宋体"/>
          <w:b/>
          <w:sz w:val="24"/>
          <w:szCs w:val="24"/>
        </w:rPr>
        <w:t xml:space="preserve">2、技术方案分……………………………………………………………………满分10分      </w:t>
      </w:r>
    </w:p>
    <w:p>
      <w:pPr>
        <w:spacing w:line="400" w:lineRule="exact"/>
        <w:ind w:firstLine="240" w:firstLineChars="100"/>
        <w:rPr>
          <w:rFonts w:ascii="宋体" w:hAnsi="宋体" w:eastAsia="宋体" w:cs="宋体"/>
          <w:bCs/>
          <w:sz w:val="24"/>
          <w:szCs w:val="24"/>
        </w:rPr>
      </w:pPr>
      <w:bookmarkStart w:id="56" w:name="_Toc474824663"/>
      <w:bookmarkStart w:id="57" w:name="_Toc474824768"/>
      <w:r>
        <w:rPr>
          <w:rFonts w:hint="eastAsia" w:ascii="宋体" w:hAnsi="宋体" w:eastAsia="宋体" w:cs="宋体"/>
          <w:bCs/>
          <w:sz w:val="24"/>
          <w:szCs w:val="24"/>
        </w:rPr>
        <w:t>一档：（3分）投标人提供的技术方案对本项目的背景、现状、需求描述较简单，仅提供基础的总体框架设计，方案仅基本符合项目需求的得3分；</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二档：（6分）投标人提供的技术方案对本项目的背景、现状、需求有较深的理解，方案包含总体框架设计、分项系统及网络具体设计，且内容较齐全，方案具有整体性的得6分；。</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三档：（10分）投标人提供的技术方案对本项目的背景、现状、需求有深刻的理解，方案对总体框架设计、分项系统具体设计及网络设计有详细完整的描述，方案设计科学、条理清晰、针对性强，方案整体性更优的得10分。</w:t>
      </w:r>
    </w:p>
    <w:p>
      <w:pPr>
        <w:pStyle w:val="5"/>
        <w:spacing w:line="420" w:lineRule="exact"/>
        <w:ind w:firstLine="482" w:firstLineChars="200"/>
        <w:rPr>
          <w:rFonts w:hAnsi="宋体" w:eastAsia="宋体"/>
          <w:b/>
          <w:sz w:val="24"/>
          <w:szCs w:val="24"/>
        </w:rPr>
      </w:pPr>
      <w:r>
        <w:rPr>
          <w:rFonts w:hAnsi="宋体" w:eastAsia="宋体"/>
          <w:b/>
          <w:sz w:val="24"/>
          <w:szCs w:val="24"/>
        </w:rPr>
        <w:t>3、实施方案分……………………………………………………………………满分12分</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由评委在打分前根据投标文件中的项目实施方案、施工组织管理方案、质量控制方案以及建议的安装、调试、验收方法或方案在各档次内独立打分。</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一档：（4分）项目实施方案描述较简单，项目实施的技术力量、质量控制方案仅基本满足项目要求，建议的安装、调试、验收方法或方案同比较差的，进入一档。</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二档：（8分）在满足一档基础上，项目实施方案较详细，保证项目实施的技术力量安排满足项目实施要求，</w:t>
      </w:r>
      <w:r>
        <w:rPr>
          <w:rFonts w:hint="eastAsia" w:ascii="宋体" w:hAnsi="宋体" w:eastAsia="宋体"/>
          <w:sz w:val="24"/>
          <w:szCs w:val="24"/>
        </w:rPr>
        <w:t>投标人提供项目施工方案符合项目实际情况</w:t>
      </w:r>
      <w:r>
        <w:rPr>
          <w:rFonts w:hint="eastAsia" w:ascii="宋体" w:hAnsi="宋体" w:eastAsia="宋体" w:cs="宋体"/>
          <w:bCs/>
          <w:sz w:val="24"/>
          <w:szCs w:val="24"/>
        </w:rPr>
        <w:t>，</w:t>
      </w:r>
      <w:r>
        <w:rPr>
          <w:rFonts w:hint="eastAsia" w:ascii="宋体" w:hAnsi="宋体" w:eastAsia="宋体"/>
          <w:sz w:val="24"/>
          <w:szCs w:val="24"/>
        </w:rPr>
        <w:t>对施工位置、施工所需材料表、施工进度表提供基本的建议，</w:t>
      </w:r>
      <w:r>
        <w:rPr>
          <w:rFonts w:hint="eastAsia" w:ascii="宋体" w:hAnsi="宋体" w:eastAsia="宋体" w:cs="宋体"/>
          <w:bCs/>
          <w:sz w:val="24"/>
          <w:szCs w:val="24"/>
        </w:rPr>
        <w:t>建议的安装、调试、验收方法或方案同比更具可行性，满足以上相关要求的，进入二档。</w:t>
      </w:r>
    </w:p>
    <w:p>
      <w:pPr>
        <w:pStyle w:val="24"/>
        <w:spacing w:line="400" w:lineRule="exact"/>
        <w:ind w:firstLine="240" w:firstLineChars="100"/>
        <w:rPr>
          <w:rFonts w:ascii="宋体" w:hAnsi="宋体" w:cs="Times New Roman"/>
          <w:b/>
          <w:sz w:val="24"/>
          <w:szCs w:val="24"/>
        </w:rPr>
      </w:pPr>
      <w:r>
        <w:rPr>
          <w:rFonts w:hint="eastAsia" w:ascii="宋体" w:hAnsi="宋体"/>
          <w:bCs/>
          <w:sz w:val="24"/>
          <w:szCs w:val="24"/>
        </w:rPr>
        <w:t>三档：（12分）在满足二档基础上，项目实施方案详实，方案能清楚的表明对本项目的熟悉程度，施工方案清晰可信，保证项目实施的技术力量安排充足，</w:t>
      </w:r>
      <w:r>
        <w:rPr>
          <w:rFonts w:hint="eastAsia" w:ascii="宋体" w:hAnsi="宋体"/>
          <w:sz w:val="24"/>
          <w:szCs w:val="24"/>
        </w:rPr>
        <w:t>对施工位置（至少包括点位名称、经纬度）、施工所需材料表、施工进度表提供详细的建议，提供的施工组织与质量控制方案具备详实性、科学性、可行性，</w:t>
      </w:r>
      <w:r>
        <w:rPr>
          <w:rFonts w:hint="eastAsia" w:ascii="宋体" w:hAnsi="宋体"/>
          <w:bCs/>
          <w:sz w:val="24"/>
          <w:szCs w:val="24"/>
        </w:rPr>
        <w:t>建议的安装、调试、验收方法或方案同比更完善有效、更优化、更切实可行，满足以上相关要求的，进入三档。</w:t>
      </w:r>
    </w:p>
    <w:p>
      <w:pPr>
        <w:pStyle w:val="5"/>
        <w:spacing w:line="420" w:lineRule="exact"/>
        <w:ind w:firstLine="482" w:firstLineChars="200"/>
        <w:rPr>
          <w:rFonts w:hAnsi="宋体" w:eastAsia="宋体"/>
          <w:b/>
          <w:sz w:val="24"/>
          <w:szCs w:val="24"/>
        </w:rPr>
      </w:pPr>
      <w:r>
        <w:rPr>
          <w:rFonts w:hAnsi="宋体" w:eastAsia="宋体"/>
          <w:b/>
          <w:sz w:val="24"/>
          <w:szCs w:val="24"/>
        </w:rPr>
        <w:t>4、技术参数分……………………………………………………………………满分15分</w:t>
      </w:r>
    </w:p>
    <w:p>
      <w:pPr>
        <w:pStyle w:val="5"/>
        <w:spacing w:line="420" w:lineRule="exact"/>
        <w:ind w:firstLine="480" w:firstLineChars="200"/>
        <w:rPr>
          <w:rFonts w:hAnsi="宋体" w:eastAsia="宋体" w:cs="宋体"/>
          <w:b/>
          <w:bCs/>
          <w:sz w:val="24"/>
          <w:szCs w:val="24"/>
        </w:rPr>
      </w:pPr>
      <w:r>
        <w:rPr>
          <w:rFonts w:hAnsi="宋体" w:eastAsia="宋体" w:cs="宋体"/>
          <w:sz w:val="24"/>
          <w:szCs w:val="24"/>
        </w:rPr>
        <w:t>投标人提供有采购需求“视频监控管理平台服务”中标注“▲”项的重要技术参数功能的符合有效的国家第三方检验（测）机构出具的检验（测）报告复印件并加盖投标人公章的，每提供一个得3分。满分15分</w:t>
      </w:r>
      <w:r>
        <w:rPr>
          <w:rFonts w:hAnsi="宋体" w:eastAsia="宋体" w:cs="宋体"/>
          <w:b/>
          <w:bCs/>
          <w:sz w:val="24"/>
          <w:szCs w:val="24"/>
        </w:rPr>
        <w:t>（报告须体现符合标注“▲”项的重要技术参数，否则不得分）</w:t>
      </w:r>
    </w:p>
    <w:p>
      <w:pPr>
        <w:pStyle w:val="5"/>
        <w:spacing w:line="420" w:lineRule="exact"/>
        <w:ind w:firstLine="482" w:firstLineChars="200"/>
        <w:rPr>
          <w:rFonts w:hAnsi="宋体" w:eastAsia="宋体"/>
          <w:b/>
          <w:bCs/>
          <w:sz w:val="24"/>
          <w:szCs w:val="24"/>
        </w:rPr>
      </w:pPr>
      <w:r>
        <w:rPr>
          <w:rFonts w:hAnsi="宋体" w:eastAsia="宋体" w:cs="宋体"/>
          <w:b/>
          <w:bCs/>
          <w:sz w:val="24"/>
          <w:szCs w:val="24"/>
        </w:rPr>
        <w:t>5、售后服务方案分………………………………………………………………</w:t>
      </w:r>
      <w:r>
        <w:rPr>
          <w:rFonts w:hAnsi="宋体" w:eastAsia="宋体"/>
          <w:b/>
          <w:bCs/>
          <w:sz w:val="24"/>
          <w:szCs w:val="24"/>
        </w:rPr>
        <w:t>满分18分</w:t>
      </w:r>
    </w:p>
    <w:bookmarkEnd w:id="56"/>
    <w:bookmarkEnd w:id="57"/>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（1）评标委员会根据投标人提供的售后服务方案内容，包括但不限于</w:t>
      </w:r>
      <w:r>
        <w:rPr>
          <w:rFonts w:hint="eastAsia" w:ascii="宋体" w:hAnsi="宋体" w:eastAsia="宋体"/>
          <w:sz w:val="24"/>
          <w:szCs w:val="24"/>
        </w:rPr>
        <w:t>售后服务机构设置、服务流程、保修期限、响应时间等，对相关</w:t>
      </w:r>
      <w:r>
        <w:rPr>
          <w:rFonts w:hint="eastAsia" w:ascii="宋体" w:hAnsi="宋体" w:eastAsia="宋体" w:cs="宋体"/>
          <w:sz w:val="24"/>
          <w:szCs w:val="24"/>
        </w:rPr>
        <w:t>内容的完整性，针对性，可行性进行评审：</w:t>
      </w:r>
    </w:p>
    <w:p>
      <w:pPr>
        <w:pStyle w:val="8"/>
        <w:widowControl w:val="0"/>
        <w:spacing w:before="0" w:beforeAutospacing="0" w:after="120" w:afterAutospacing="0" w:line="360" w:lineRule="auto"/>
        <w:ind w:firstLine="420"/>
        <w:jc w:val="both"/>
        <w:rPr>
          <w:rFonts w:eastAsia="宋体"/>
          <w:szCs w:val="24"/>
        </w:rPr>
      </w:pPr>
      <w:r>
        <w:rPr>
          <w:rFonts w:hint="eastAsia" w:eastAsia="宋体"/>
          <w:kern w:val="2"/>
          <w:szCs w:val="24"/>
        </w:rPr>
        <w:t>一档（4分）：投标人提供的方案描述包括售后服务支持，在项目所在地（市区县范围内）设有相关售后服务机构，服务流程、保修期限、响应时间等方案一般，投标人提供培训计划或方案简单；</w:t>
      </w:r>
    </w:p>
    <w:p>
      <w:pPr>
        <w:pStyle w:val="8"/>
        <w:widowControl w:val="0"/>
        <w:spacing w:before="0" w:beforeAutospacing="0" w:after="120" w:afterAutospacing="0" w:line="360" w:lineRule="auto"/>
        <w:ind w:firstLine="420"/>
        <w:jc w:val="both"/>
        <w:rPr>
          <w:rFonts w:eastAsia="宋体"/>
          <w:kern w:val="2"/>
          <w:szCs w:val="24"/>
        </w:rPr>
      </w:pPr>
      <w:r>
        <w:rPr>
          <w:rFonts w:hint="eastAsia" w:eastAsia="宋体"/>
          <w:kern w:val="2"/>
          <w:szCs w:val="24"/>
        </w:rPr>
        <w:t>二档（8分）：投标人提供的方案描述包括售后服务支持，在项目所在地（市区县范围内）设有售后服务机构，服务流程、保修期限、响应时间等方案较为详细，且投标人培训计划或方案能够结合当前先进技术；</w:t>
      </w:r>
    </w:p>
    <w:p>
      <w:pPr>
        <w:pStyle w:val="8"/>
        <w:widowControl w:val="0"/>
        <w:spacing w:before="0" w:beforeAutospacing="0" w:after="120" w:afterAutospacing="0" w:line="360" w:lineRule="auto"/>
        <w:ind w:firstLine="420"/>
        <w:jc w:val="both"/>
        <w:rPr>
          <w:rFonts w:eastAsia="宋体"/>
          <w:kern w:val="2"/>
          <w:szCs w:val="24"/>
        </w:rPr>
      </w:pPr>
      <w:r>
        <w:rPr>
          <w:rFonts w:hint="eastAsia" w:eastAsia="宋体"/>
          <w:kern w:val="2"/>
          <w:szCs w:val="24"/>
        </w:rPr>
        <w:t>三档（13分）：投标人提供的方案描述包括售后服务支持，在项目所在地（市区县范围内）设有售后服务机构，服务流程、保修期限、响应时间等各方面内容全面、方案可行。提供用户回访、保密承诺、故障解决等内容，表述清晰详细，方案可操作性、先进性、完整性强；投标人培训计划或方案能够结合当前先进技术，培训内容详实，培训安排合理。</w:t>
      </w:r>
    </w:p>
    <w:p>
      <w:pPr>
        <w:pStyle w:val="8"/>
        <w:widowControl w:val="0"/>
        <w:spacing w:before="0" w:beforeAutospacing="0" w:after="120" w:afterAutospacing="0" w:line="360" w:lineRule="auto"/>
        <w:ind w:firstLine="420"/>
        <w:jc w:val="both"/>
        <w:rPr>
          <w:rFonts w:eastAsia="宋体"/>
          <w:kern w:val="2"/>
          <w:szCs w:val="24"/>
        </w:rPr>
      </w:pPr>
      <w:r>
        <w:rPr>
          <w:rFonts w:hint="eastAsia" w:eastAsia="宋体"/>
          <w:kern w:val="2"/>
          <w:szCs w:val="24"/>
        </w:rPr>
        <w:t>（2）投标人在本项目三年售后保障服务的基础上，每延长一年售后保障服务期限加2.5分，满分5 分（</w:t>
      </w:r>
      <w:r>
        <w:rPr>
          <w:rFonts w:eastAsia="宋体"/>
          <w:kern w:val="2"/>
          <w:szCs w:val="24"/>
        </w:rPr>
        <w:t>按</w:t>
      </w:r>
      <w:r>
        <w:rPr>
          <w:rFonts w:hint="eastAsia" w:eastAsia="宋体"/>
          <w:kern w:val="2"/>
          <w:szCs w:val="24"/>
        </w:rPr>
        <w:t>前</w:t>
      </w:r>
      <w:r>
        <w:rPr>
          <w:rFonts w:eastAsia="宋体"/>
          <w:kern w:val="2"/>
          <w:szCs w:val="24"/>
        </w:rPr>
        <w:t>三年同等</w:t>
      </w:r>
      <w:r>
        <w:rPr>
          <w:rFonts w:hint="eastAsia" w:eastAsia="宋体"/>
          <w:kern w:val="2"/>
          <w:szCs w:val="24"/>
        </w:rPr>
        <w:t>服务履行，含网络</w:t>
      </w:r>
      <w:r>
        <w:rPr>
          <w:rFonts w:eastAsia="宋体"/>
          <w:kern w:val="2"/>
          <w:szCs w:val="24"/>
        </w:rPr>
        <w:t>运行</w:t>
      </w:r>
      <w:r>
        <w:rPr>
          <w:rFonts w:hint="eastAsia" w:eastAsia="宋体"/>
          <w:kern w:val="2"/>
          <w:szCs w:val="24"/>
        </w:rPr>
        <w:t>、</w:t>
      </w:r>
      <w:r>
        <w:rPr>
          <w:rFonts w:eastAsia="宋体"/>
          <w:kern w:val="2"/>
          <w:szCs w:val="24"/>
        </w:rPr>
        <w:t>维护及</w:t>
      </w:r>
      <w:r>
        <w:rPr>
          <w:rFonts w:hint="eastAsia" w:eastAsia="宋体"/>
          <w:kern w:val="2"/>
          <w:szCs w:val="24"/>
        </w:rPr>
        <w:t>平台</w:t>
      </w:r>
      <w:r>
        <w:rPr>
          <w:rFonts w:eastAsia="宋体"/>
          <w:kern w:val="2"/>
          <w:szCs w:val="24"/>
        </w:rPr>
        <w:t>运行、维护费用</w:t>
      </w:r>
      <w:r>
        <w:rPr>
          <w:rFonts w:hint="eastAsia" w:eastAsia="宋体"/>
          <w:kern w:val="2"/>
          <w:szCs w:val="24"/>
        </w:rPr>
        <w:t>）。</w:t>
      </w:r>
    </w:p>
    <w:p>
      <w:pPr>
        <w:pStyle w:val="8"/>
        <w:widowControl w:val="0"/>
        <w:spacing w:before="0" w:beforeAutospacing="0" w:after="120" w:afterAutospacing="0" w:line="360" w:lineRule="auto"/>
        <w:jc w:val="both"/>
        <w:rPr>
          <w:rFonts w:eastAsia="宋体"/>
          <w:b/>
          <w:bCs/>
          <w:kern w:val="2"/>
          <w:szCs w:val="24"/>
        </w:rPr>
      </w:pPr>
      <w:r>
        <w:rPr>
          <w:rFonts w:hint="eastAsia" w:eastAsia="宋体"/>
          <w:b/>
          <w:bCs/>
          <w:kern w:val="2"/>
          <w:szCs w:val="24"/>
        </w:rPr>
        <w:t>注：售后服务机构</w:t>
      </w:r>
      <w:r>
        <w:rPr>
          <w:rFonts w:hint="eastAsia" w:eastAsia="宋体"/>
          <w:b/>
          <w:bCs/>
          <w:szCs w:val="24"/>
        </w:rPr>
        <w:t>需提供营业执照或房屋租赁合同或不动产登记证等证明材料复印件并加盖投标人公章，否则不得分。</w:t>
      </w:r>
    </w:p>
    <w:p>
      <w:pPr>
        <w:pStyle w:val="5"/>
        <w:spacing w:line="420" w:lineRule="exact"/>
        <w:ind w:firstLine="482" w:firstLineChars="200"/>
        <w:rPr>
          <w:rFonts w:hAnsi="宋体" w:eastAsia="宋体"/>
          <w:b/>
          <w:sz w:val="24"/>
          <w:szCs w:val="24"/>
        </w:rPr>
      </w:pPr>
      <w:r>
        <w:rPr>
          <w:rFonts w:hAnsi="宋体" w:eastAsia="宋体"/>
          <w:b/>
          <w:sz w:val="24"/>
          <w:szCs w:val="24"/>
        </w:rPr>
        <w:t>6、应急保障方案分………………………………………………………………满分5分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（1）投标人提供详细应急保障方案，具备科学可信的应急保障流程及充足的应急物资储备，方案中应急人员配备、投入构成情况满足应急保障服务要求的得3分；内容不完整或描述简单的得1.</w:t>
      </w:r>
      <w:r>
        <w:rPr>
          <w:rFonts w:ascii="宋体" w:hAnsi="宋体" w:eastAsia="宋体"/>
          <w:sz w:val="24"/>
          <w:szCs w:val="24"/>
        </w:rPr>
        <w:t>5</w:t>
      </w:r>
      <w:r>
        <w:rPr>
          <w:rFonts w:hint="eastAsia" w:ascii="宋体" w:hAnsi="宋体" w:eastAsia="宋体"/>
          <w:sz w:val="24"/>
          <w:szCs w:val="24"/>
        </w:rPr>
        <w:t>分；差的不得分。满分3分。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（2）投标人在重大突发事件、重大节日提供应急车辆保障能派出14辆（含）以上的</w:t>
      </w:r>
      <w:r>
        <w:rPr>
          <w:rFonts w:hint="eastAsia" w:ascii="宋体" w:hAnsi="宋体" w:eastAsia="宋体" w:cs="宋体"/>
          <w:color w:val="000000"/>
          <w:sz w:val="24"/>
          <w:szCs w:val="24"/>
        </w:rPr>
        <w:t>非载货专项作业车</w:t>
      </w:r>
      <w:r>
        <w:rPr>
          <w:rFonts w:hint="eastAsia" w:ascii="宋体" w:hAnsi="宋体" w:eastAsia="宋体"/>
          <w:sz w:val="24"/>
          <w:szCs w:val="24"/>
        </w:rPr>
        <w:t>（要求是中型或中型以上非载货</w:t>
      </w:r>
      <w:r>
        <w:rPr>
          <w:rFonts w:hint="eastAsia" w:ascii="宋体" w:hAnsi="宋体" w:eastAsia="宋体" w:cs="宋体"/>
          <w:color w:val="000000"/>
          <w:sz w:val="24"/>
          <w:szCs w:val="24"/>
        </w:rPr>
        <w:t>专项作业车</w:t>
      </w:r>
      <w:r>
        <w:rPr>
          <w:rFonts w:hint="eastAsia" w:ascii="宋体" w:hAnsi="宋体" w:eastAsia="宋体"/>
          <w:sz w:val="24"/>
          <w:szCs w:val="24"/>
        </w:rPr>
        <w:t>）的得2分；少于14辆</w:t>
      </w:r>
      <w:r>
        <w:rPr>
          <w:rFonts w:hint="eastAsia" w:ascii="宋体" w:hAnsi="宋体" w:eastAsia="宋体" w:cs="宋体"/>
          <w:color w:val="000000"/>
          <w:sz w:val="24"/>
          <w:szCs w:val="24"/>
        </w:rPr>
        <w:t>非载货</w:t>
      </w:r>
      <w:r>
        <w:rPr>
          <w:rFonts w:hint="eastAsia" w:ascii="宋体" w:hAnsi="宋体" w:eastAsia="宋体"/>
          <w:sz w:val="24"/>
          <w:szCs w:val="24"/>
        </w:rPr>
        <w:t>专项作业车辆的得1分；无</w:t>
      </w:r>
      <w:r>
        <w:rPr>
          <w:rFonts w:hint="eastAsia" w:ascii="宋体" w:hAnsi="宋体" w:eastAsia="宋体" w:cs="宋体"/>
          <w:color w:val="000000"/>
          <w:sz w:val="24"/>
          <w:szCs w:val="24"/>
        </w:rPr>
        <w:t>非载货</w:t>
      </w:r>
      <w:r>
        <w:rPr>
          <w:rFonts w:hint="eastAsia" w:ascii="宋体" w:hAnsi="宋体" w:eastAsia="宋体"/>
          <w:sz w:val="24"/>
          <w:szCs w:val="24"/>
        </w:rPr>
        <w:t>专项作业车辆的不得分；满分2分。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注：须提供非载货专项作业车辆行驶证复印件并加盖投标人公章，车牌要求为桂字头，否则不得分。</w:t>
      </w:r>
    </w:p>
    <w:p>
      <w:pPr>
        <w:pStyle w:val="5"/>
        <w:spacing w:line="420" w:lineRule="exact"/>
        <w:ind w:firstLine="482" w:firstLineChars="200"/>
        <w:rPr>
          <w:rFonts w:hAnsi="宋体" w:eastAsia="宋体"/>
          <w:b/>
          <w:sz w:val="24"/>
          <w:szCs w:val="24"/>
        </w:rPr>
      </w:pPr>
      <w:r>
        <w:rPr>
          <w:rFonts w:hAnsi="宋体" w:eastAsia="宋体"/>
          <w:b/>
          <w:sz w:val="24"/>
          <w:szCs w:val="24"/>
        </w:rPr>
        <w:t>7、业绩及企业信誉分…………………………………………………………满分10分</w:t>
      </w:r>
    </w:p>
    <w:p>
      <w:pPr>
        <w:pStyle w:val="8"/>
        <w:widowControl w:val="0"/>
        <w:spacing w:before="0" w:beforeAutospacing="0" w:after="0" w:afterAutospacing="0" w:line="420" w:lineRule="exact"/>
        <w:ind w:firstLine="480" w:firstLineChars="200"/>
        <w:jc w:val="both"/>
        <w:rPr>
          <w:rFonts w:eastAsia="宋体" w:cs="Times New Roman"/>
          <w:bCs/>
          <w:kern w:val="2"/>
          <w:szCs w:val="24"/>
        </w:rPr>
      </w:pPr>
      <w:r>
        <w:rPr>
          <w:rFonts w:hint="eastAsia" w:eastAsia="宋体" w:cs="Times New Roman"/>
          <w:bCs/>
          <w:kern w:val="2"/>
          <w:szCs w:val="24"/>
        </w:rPr>
        <w:t>（1）投标人或其上级公司自2016年以来获得有国家级荣誉的，每获得1项得1分，满分2分。（投标人需提供相关证明复印件或相关</w:t>
      </w:r>
      <w:r>
        <w:rPr>
          <w:rFonts w:eastAsia="宋体" w:cs="Times New Roman"/>
          <w:bCs/>
          <w:kern w:val="2"/>
          <w:szCs w:val="24"/>
        </w:rPr>
        <w:t>部门网站公布截图</w:t>
      </w:r>
      <w:r>
        <w:rPr>
          <w:rFonts w:hint="eastAsia" w:eastAsia="宋体" w:cs="Times New Roman"/>
          <w:bCs/>
          <w:kern w:val="2"/>
          <w:szCs w:val="24"/>
        </w:rPr>
        <w:t>并加盖投标人公章，否则不得分）</w:t>
      </w:r>
    </w:p>
    <w:p>
      <w:pPr>
        <w:pStyle w:val="8"/>
        <w:widowControl w:val="0"/>
        <w:spacing w:before="0" w:beforeAutospacing="0" w:after="0" w:afterAutospacing="0" w:line="420" w:lineRule="exact"/>
        <w:ind w:firstLine="480" w:firstLineChars="200"/>
        <w:jc w:val="both"/>
        <w:rPr>
          <w:rFonts w:eastAsia="宋体" w:cs="Times New Roman"/>
          <w:bCs/>
          <w:kern w:val="2"/>
          <w:szCs w:val="24"/>
        </w:rPr>
      </w:pPr>
      <w:r>
        <w:rPr>
          <w:rFonts w:hint="eastAsia" w:eastAsia="宋体" w:cs="Times New Roman"/>
          <w:bCs/>
          <w:kern w:val="2"/>
          <w:szCs w:val="24"/>
        </w:rPr>
        <w:t>（2）投标人或其上级公司自2015年以来连续两年在省级或以上基础电信企业总体满意度指数均在75.00分以上(以省级或以上通信管理局官网通报为准)的得4分。</w:t>
      </w:r>
    </w:p>
    <w:p>
      <w:pPr>
        <w:pStyle w:val="8"/>
        <w:widowControl w:val="0"/>
        <w:spacing w:before="0" w:beforeAutospacing="0" w:after="0" w:afterAutospacing="0" w:line="420" w:lineRule="exact"/>
        <w:ind w:firstLine="480" w:firstLineChars="200"/>
        <w:jc w:val="both"/>
        <w:rPr>
          <w:rFonts w:eastAsia="宋体" w:cs="Times New Roman"/>
          <w:bCs/>
          <w:kern w:val="2"/>
          <w:szCs w:val="24"/>
        </w:rPr>
      </w:pPr>
      <w:r>
        <w:rPr>
          <w:rFonts w:hint="eastAsia" w:eastAsia="宋体" w:cs="Times New Roman"/>
          <w:bCs/>
          <w:kern w:val="2"/>
          <w:szCs w:val="24"/>
        </w:rPr>
        <w:t>（3）投标人2017年1月1日以来完成过同类项目业绩（无不良记录,以提供的中标或成交通知书及签订的项目合同为准，并能清晰反映所项目得名称、种类、金额，否则将不予评审，同一个编号的项目有两个或两个以上的分标中标的只算一个），每个项目得0.8分，最高得4分。</w:t>
      </w:r>
    </w:p>
    <w:p>
      <w:pPr>
        <w:spacing w:line="360" w:lineRule="auto"/>
        <w:rPr>
          <w:rFonts w:ascii="宋体" w:hAnsi="宋体" w:eastAsia="宋体"/>
          <w:b/>
          <w:sz w:val="24"/>
          <w:szCs w:val="24"/>
        </w:rPr>
      </w:pPr>
      <w:r>
        <w:rPr>
          <w:rFonts w:hint="eastAsia" w:ascii="宋体" w:hAnsi="宋体" w:eastAsia="宋体"/>
          <w:b/>
          <w:sz w:val="24"/>
          <w:szCs w:val="24"/>
        </w:rPr>
        <w:t>8. 综合得分＝1+2+3+4+5+6+7</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三、推荐中标候选供应商原则</w:t>
      </w:r>
    </w:p>
    <w:p>
      <w:pPr>
        <w:pStyle w:val="5"/>
        <w:tabs>
          <w:tab w:val="left" w:pos="4214"/>
        </w:tabs>
        <w:spacing w:line="380" w:lineRule="exact"/>
        <w:ind w:firstLine="480" w:firstLineChars="200"/>
        <w:rPr>
          <w:rFonts w:hAnsi="宋体" w:eastAsia="宋体"/>
          <w:sz w:val="24"/>
          <w:szCs w:val="24"/>
        </w:rPr>
      </w:pPr>
      <w:r>
        <w:rPr>
          <w:rFonts w:hint="eastAsia" w:hAnsi="宋体" w:eastAsia="宋体"/>
          <w:sz w:val="24"/>
          <w:szCs w:val="24"/>
        </w:rPr>
        <w:t>（1）评标委员会根据综合得分由高到低排列次序，若得分相同时，以评标报价由低到高顺序排列；若得分相同且评标报价相同的，以磋商报价由低到高顺序排列；若仍相同的，按服务方案分由高到低顺序排列并推荐中标候选供应商。</w:t>
      </w:r>
    </w:p>
    <w:p>
      <w:pPr>
        <w:snapToGrid w:val="0"/>
        <w:spacing w:line="360" w:lineRule="exact"/>
        <w:ind w:firstLine="480" w:firstLineChars="200"/>
        <w:outlineLvl w:val="4"/>
        <w:rPr>
          <w:rFonts w:ascii="宋体" w:hAnsi="宋体" w:eastAsia="宋体"/>
          <w:sz w:val="24"/>
          <w:szCs w:val="24"/>
        </w:rPr>
      </w:pPr>
      <w:r>
        <w:rPr>
          <w:rFonts w:ascii="宋体" w:hAnsi="宋体" w:eastAsia="宋体"/>
          <w:sz w:val="24"/>
          <w:szCs w:val="24"/>
        </w:rPr>
        <w:t>（2）评标委员会可推荐前三名为中标候选人，采购人应当确定评标委员会推荐排名第一的中标候选人为中标人。</w:t>
      </w:r>
    </w:p>
    <w:p>
      <w:pPr>
        <w:spacing w:line="360" w:lineRule="exact"/>
        <w:ind w:firstLine="480" w:firstLineChars="200"/>
        <w:rPr>
          <w:rFonts w:ascii="宋体" w:hAnsi="宋体" w:eastAsia="宋体"/>
          <w:sz w:val="24"/>
          <w:szCs w:val="24"/>
        </w:rPr>
      </w:pPr>
      <w:r>
        <w:rPr>
          <w:rFonts w:ascii="宋体" w:hAnsi="宋体" w:eastAsia="宋体"/>
          <w:sz w:val="24"/>
          <w:szCs w:val="24"/>
        </w:rPr>
        <w:t>（3）排名第一的中标候选人放弃中标、因不可抗力提出不能履行合同，</w:t>
      </w:r>
      <w:r>
        <w:rPr>
          <w:rFonts w:hint="eastAsia" w:ascii="宋体" w:hAnsi="宋体" w:eastAsia="宋体"/>
          <w:sz w:val="24"/>
          <w:szCs w:val="24"/>
        </w:rPr>
        <w:t>或者磋商文件规定应当提交履约保证金而在规定的期限内未能提交的，</w:t>
      </w:r>
      <w:r>
        <w:rPr>
          <w:rFonts w:ascii="宋体" w:hAnsi="宋体" w:eastAsia="宋体"/>
          <w:sz w:val="24"/>
          <w:szCs w:val="24"/>
        </w:rPr>
        <w:t>或因失信行为被取消中标候选人资格的，采购人可以确定排名第二的中标候选人为中标人，并依此类推。</w:t>
      </w: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331" w:lineRule="exact"/>
        <w:rPr>
          <w:rFonts w:ascii="宋体" w:hAnsi="宋体" w:eastAsia="宋体"/>
          <w:sz w:val="24"/>
          <w:szCs w:val="24"/>
        </w:rPr>
      </w:pPr>
    </w:p>
    <w:p>
      <w:pPr>
        <w:spacing w:line="366" w:lineRule="exact"/>
        <w:ind w:right="100"/>
        <w:jc w:val="center"/>
        <w:rPr>
          <w:rFonts w:ascii="宋体" w:hAnsi="宋体" w:eastAsia="宋体" w:cs="宋体"/>
          <w:b/>
          <w:bCs/>
          <w:sz w:val="24"/>
          <w:szCs w:val="24"/>
        </w:rPr>
      </w:pPr>
      <w:bookmarkStart w:id="58" w:name="page27"/>
      <w:bookmarkEnd w:id="58"/>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pStyle w:val="2"/>
        <w:rPr>
          <w:rFonts w:ascii="宋体" w:hAnsi="宋体" w:eastAsia="宋体" w:cs="宋体"/>
          <w:b/>
          <w:bCs/>
          <w:sz w:val="24"/>
          <w:szCs w:val="24"/>
        </w:rPr>
      </w:pPr>
    </w:p>
    <w:p>
      <w:pPr>
        <w:rPr>
          <w:rFonts w:ascii="宋体" w:hAnsi="宋体" w:eastAsia="宋体" w:cs="宋体"/>
          <w:b/>
          <w:bCs/>
          <w:sz w:val="24"/>
          <w:szCs w:val="24"/>
        </w:rPr>
      </w:pPr>
    </w:p>
    <w:p>
      <w:pPr>
        <w:pStyle w:val="2"/>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both"/>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sz w:val="24"/>
          <w:szCs w:val="24"/>
        </w:rPr>
      </w:pPr>
      <w:bookmarkStart w:id="59" w:name="page29"/>
      <w:bookmarkEnd w:id="59"/>
      <w:r>
        <w:rPr>
          <w:rFonts w:ascii="宋体" w:hAnsi="宋体" w:eastAsia="宋体" w:cs="宋体"/>
          <w:b/>
          <w:bCs/>
          <w:sz w:val="24"/>
          <w:szCs w:val="24"/>
        </w:rPr>
        <w:t>第五章 采购合同（合同主要条款及格式）</w:t>
      </w:r>
    </w:p>
    <w:p>
      <w:pPr>
        <w:spacing w:line="200" w:lineRule="exact"/>
        <w:rPr>
          <w:rFonts w:ascii="宋体" w:hAnsi="宋体" w:eastAsia="宋体"/>
          <w:sz w:val="24"/>
          <w:szCs w:val="24"/>
        </w:rPr>
      </w:pPr>
    </w:p>
    <w:p>
      <w:pPr>
        <w:spacing w:line="237"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项目名称：</w:t>
      </w:r>
      <w:r>
        <w:rPr>
          <w:rFonts w:hint="eastAsia" w:ascii="宋体" w:hAnsi="宋体" w:eastAsia="宋体" w:cs="宋体"/>
          <w:sz w:val="24"/>
          <w:szCs w:val="24"/>
          <w:u w:val="single"/>
        </w:rPr>
        <w:t>灵川县三街镇人民政府雪亮工程</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项目编号：</w:t>
      </w:r>
      <w:r>
        <w:rPr>
          <w:rFonts w:hint="eastAsia" w:ascii="宋体" w:hAnsi="宋体" w:eastAsia="宋体" w:cs="宋体"/>
          <w:sz w:val="24"/>
          <w:szCs w:val="24"/>
          <w:u w:val="single"/>
          <w:lang w:eastAsia="zh-CN"/>
        </w:rPr>
        <w:t>GLZC2020-C3-230039-GXBG</w:t>
      </w:r>
      <w:r>
        <w:rPr>
          <w:rFonts w:hint="eastAsia" w:ascii="宋体" w:hAnsi="宋体" w:eastAsia="宋体" w:cs="宋体"/>
          <w:sz w:val="24"/>
          <w:szCs w:val="24"/>
          <w:u w:val="single"/>
        </w:rPr>
        <w:t xml:space="preserve">  </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甲方：</w:t>
      </w:r>
      <w:r>
        <w:rPr>
          <w:rFonts w:hint="eastAsia" w:ascii="宋体" w:hAnsi="宋体" w:eastAsia="宋体" w:cs="宋体"/>
          <w:sz w:val="24"/>
          <w:szCs w:val="24"/>
          <w:u w:val="single"/>
        </w:rPr>
        <w:t xml:space="preserve">                       </w:t>
      </w:r>
      <w:r>
        <w:rPr>
          <w:rFonts w:ascii="宋体" w:hAnsi="宋体" w:eastAsia="宋体" w:cs="宋体"/>
          <w:sz w:val="24"/>
          <w:szCs w:val="24"/>
        </w:rPr>
        <w:t>（采购人，以下简称甲方）</w:t>
      </w:r>
    </w:p>
    <w:p>
      <w:pPr>
        <w:spacing w:line="101" w:lineRule="exact"/>
        <w:rPr>
          <w:rFonts w:ascii="宋体" w:hAnsi="宋体" w:eastAsia="宋体"/>
          <w:sz w:val="24"/>
          <w:szCs w:val="24"/>
        </w:rPr>
      </w:pPr>
    </w:p>
    <w:p>
      <w:pPr>
        <w:tabs>
          <w:tab w:val="left" w:pos="3660"/>
        </w:tabs>
        <w:spacing w:line="240" w:lineRule="exact"/>
        <w:ind w:left="420"/>
        <w:rPr>
          <w:rFonts w:ascii="宋体" w:hAnsi="宋体" w:eastAsia="宋体"/>
          <w:sz w:val="24"/>
          <w:szCs w:val="24"/>
        </w:rPr>
      </w:pPr>
      <w:r>
        <w:rPr>
          <w:rFonts w:ascii="宋体" w:hAnsi="宋体" w:eastAsia="宋体" w:cs="宋体"/>
          <w:sz w:val="24"/>
          <w:szCs w:val="24"/>
        </w:rPr>
        <w:t>乙方：</w:t>
      </w:r>
      <w:r>
        <w:rPr>
          <w:rFonts w:hint="eastAsia" w:ascii="宋体" w:hAnsi="宋体" w:eastAsia="宋体" w:cs="宋体"/>
          <w:sz w:val="24"/>
          <w:szCs w:val="24"/>
          <w:u w:val="single"/>
        </w:rPr>
        <w:t xml:space="preserve">                       </w:t>
      </w:r>
      <w:r>
        <w:rPr>
          <w:rFonts w:ascii="宋体" w:hAnsi="宋体" w:eastAsia="宋体" w:cs="宋体"/>
          <w:sz w:val="24"/>
          <w:szCs w:val="24"/>
        </w:rPr>
        <w:t>（成交供应商，以下简称乙方）</w:t>
      </w:r>
    </w:p>
    <w:p>
      <w:pPr>
        <w:spacing w:line="20" w:lineRule="exact"/>
        <w:rPr>
          <w:rFonts w:ascii="宋体" w:hAnsi="宋体" w:eastAsia="宋体"/>
          <w:sz w:val="24"/>
          <w:szCs w:val="24"/>
        </w:rPr>
      </w:pPr>
    </w:p>
    <w:p>
      <w:pPr>
        <w:spacing w:line="200" w:lineRule="exact"/>
        <w:rPr>
          <w:rFonts w:ascii="宋体" w:hAnsi="宋体" w:eastAsia="宋体"/>
          <w:sz w:val="24"/>
          <w:szCs w:val="24"/>
        </w:rPr>
      </w:pPr>
    </w:p>
    <w:p>
      <w:pPr>
        <w:spacing w:line="252" w:lineRule="exact"/>
        <w:rPr>
          <w:rFonts w:ascii="宋体" w:hAnsi="宋体" w:eastAsia="宋体"/>
          <w:sz w:val="24"/>
          <w:szCs w:val="24"/>
        </w:rPr>
      </w:pPr>
    </w:p>
    <w:p>
      <w:pPr>
        <w:spacing w:line="296" w:lineRule="exact"/>
        <w:ind w:right="100" w:firstLine="420"/>
        <w:jc w:val="both"/>
        <w:rPr>
          <w:rFonts w:ascii="宋体" w:hAnsi="宋体" w:eastAsia="宋体"/>
          <w:sz w:val="24"/>
          <w:szCs w:val="24"/>
        </w:rPr>
      </w:pPr>
      <w:r>
        <w:rPr>
          <w:rFonts w:ascii="宋体" w:hAnsi="宋体" w:eastAsia="宋体" w:cs="宋体"/>
          <w:sz w:val="24"/>
          <w:szCs w:val="24"/>
        </w:rPr>
        <w:t>根据《中华人民共和国政府采购法》、《中华人民共和国政府采购法实施条例》、《中华人民共和国合同法》等法律、法规规定，按照竞争性磋商文件（以下简称磋商文件）、响应文件规定条款和成交供应商的承诺、甲乙双方签订本采购合同。</w:t>
      </w:r>
    </w:p>
    <w:p>
      <w:pPr>
        <w:spacing w:line="102"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第一条 合同标的及合同金额</w:t>
      </w:r>
    </w:p>
    <w:p>
      <w:pPr>
        <w:spacing w:line="101" w:lineRule="exact"/>
        <w:rPr>
          <w:rFonts w:ascii="宋体" w:hAnsi="宋体" w:eastAsia="宋体"/>
          <w:sz w:val="24"/>
          <w:szCs w:val="24"/>
        </w:rPr>
      </w:pPr>
    </w:p>
    <w:p>
      <w:pPr>
        <w:numPr>
          <w:ilvl w:val="0"/>
          <w:numId w:val="35"/>
        </w:numPr>
        <w:spacing w:line="240" w:lineRule="exact"/>
        <w:ind w:left="420"/>
        <w:rPr>
          <w:rFonts w:ascii="宋体" w:hAnsi="宋体" w:eastAsia="宋体" w:cs="宋体"/>
          <w:sz w:val="24"/>
          <w:szCs w:val="24"/>
        </w:rPr>
      </w:pPr>
      <w:r>
        <w:rPr>
          <w:rFonts w:ascii="宋体" w:hAnsi="宋体" w:eastAsia="宋体" w:cs="宋体"/>
          <w:sz w:val="24"/>
          <w:szCs w:val="24"/>
        </w:rPr>
        <w:t>合同标的：</w:t>
      </w:r>
      <w:r>
        <w:rPr>
          <w:rFonts w:hint="eastAsia" w:ascii="宋体" w:hAnsi="宋体" w:eastAsia="宋体" w:cs="宋体"/>
          <w:sz w:val="24"/>
          <w:szCs w:val="24"/>
        </w:rPr>
        <w:t>灵川县三街镇雪亮工程建设工程服务采购</w:t>
      </w:r>
      <w:r>
        <w:rPr>
          <w:rFonts w:ascii="宋体" w:hAnsi="宋体" w:eastAsia="宋体" w:cs="宋体"/>
          <w:sz w:val="24"/>
          <w:szCs w:val="24"/>
        </w:rPr>
        <w:t xml:space="preserve"> 1 项。</w:t>
      </w:r>
    </w:p>
    <w:p>
      <w:pPr>
        <w:numPr>
          <w:ilvl w:val="0"/>
          <w:numId w:val="35"/>
        </w:numPr>
        <w:spacing w:line="240" w:lineRule="exact"/>
        <w:ind w:left="420"/>
        <w:rPr>
          <w:rFonts w:ascii="宋体" w:hAnsi="宋体" w:eastAsia="宋体" w:cs="宋体"/>
          <w:sz w:val="24"/>
          <w:szCs w:val="24"/>
          <w:u w:val="single"/>
        </w:rPr>
      </w:pPr>
      <w:r>
        <w:rPr>
          <w:rFonts w:hint="eastAsia" w:ascii="宋体" w:hAnsi="宋体" w:eastAsia="宋体" w:cs="宋体"/>
          <w:sz w:val="24"/>
          <w:szCs w:val="24"/>
        </w:rPr>
        <w:t>根据《成交通知书》的成交内容，合同总金额为：（大写）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元</w:t>
      </w:r>
      <w:r>
        <w:rPr>
          <w:rFonts w:hint="eastAsia" w:ascii="宋体" w:hAnsi="宋体" w:eastAsia="宋体" w:cs="宋体"/>
          <w:sz w:val="24"/>
          <w:szCs w:val="24"/>
        </w:rPr>
        <w:t xml:space="preserve"> ）人民币。</w:t>
      </w:r>
      <w:r>
        <w:rPr>
          <w:rFonts w:hint="eastAsia" w:ascii="宋体" w:hAnsi="宋体" w:eastAsia="宋体" w:cs="宋体"/>
          <w:sz w:val="24"/>
          <w:szCs w:val="24"/>
          <w:u w:val="single"/>
        </w:rPr>
        <w:t xml:space="preserve">          </w:t>
      </w:r>
    </w:p>
    <w:p>
      <w:pPr>
        <w:spacing w:line="296" w:lineRule="exact"/>
        <w:ind w:right="100" w:firstLine="420"/>
        <w:jc w:val="both"/>
        <w:rPr>
          <w:rFonts w:ascii="宋体" w:hAnsi="宋体" w:eastAsia="宋体"/>
          <w:sz w:val="24"/>
          <w:szCs w:val="24"/>
        </w:rPr>
      </w:pPr>
      <w:r>
        <w:rPr>
          <w:rFonts w:ascii="宋体" w:hAnsi="宋体" w:eastAsia="宋体" w:cs="宋体"/>
          <w:sz w:val="24"/>
          <w:szCs w:val="24"/>
        </w:rPr>
        <w:t>3.合同总金额包括本次采购范围内货物价款、货物随配标准附件、包装、运输、装卸、保险、税金、货到位、检验、售后服务、培训、保修、其他等所涉及到的一切费用及在项目采购中产生的服务费的总和；供应商综合考虑在报价中，甲方将不再支付任何费用。</w:t>
      </w:r>
    </w:p>
    <w:p>
      <w:pPr>
        <w:spacing w:line="102"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第二条 服务保证</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乙方应按采购文件规定的服务范围及响应文件承诺的内容向甲方提供相应服务。</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第三条 权力保证</w:t>
      </w:r>
    </w:p>
    <w:p>
      <w:pPr>
        <w:spacing w:line="133" w:lineRule="exact"/>
        <w:rPr>
          <w:rFonts w:ascii="宋体" w:hAnsi="宋体" w:eastAsia="宋体"/>
          <w:sz w:val="24"/>
          <w:szCs w:val="24"/>
        </w:rPr>
      </w:pPr>
    </w:p>
    <w:p>
      <w:pPr>
        <w:spacing w:line="274" w:lineRule="exact"/>
        <w:ind w:right="100" w:firstLine="412"/>
        <w:jc w:val="both"/>
        <w:rPr>
          <w:rFonts w:ascii="宋体" w:hAnsi="宋体" w:eastAsia="宋体"/>
          <w:sz w:val="24"/>
          <w:szCs w:val="24"/>
        </w:rPr>
      </w:pPr>
      <w:r>
        <w:rPr>
          <w:rFonts w:ascii="宋体" w:hAnsi="宋体" w:eastAsia="宋体" w:cs="宋体"/>
          <w:sz w:val="24"/>
          <w:szCs w:val="24"/>
        </w:rPr>
        <w:t>乙方应保证所提供服务（含设备）在使用时不会侵犯任何第三方的专利权、商标权、工业设计权或其他权利。</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第四条 交付</w:t>
      </w:r>
    </w:p>
    <w:p>
      <w:pPr>
        <w:spacing w:line="10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1.交付期：_</w:t>
      </w:r>
      <w:r>
        <w:rPr>
          <w:rFonts w:ascii="宋体" w:hAnsi="宋体" w:eastAsia="宋体" w:cs="宋体"/>
          <w:sz w:val="24"/>
          <w:szCs w:val="24"/>
          <w:u w:val="single"/>
        </w:rPr>
        <w:t>按乙方响应文件中承诺且不超过采购要求的时间</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 xml:space="preserve">地点： </w:t>
      </w:r>
      <w:r>
        <w:rPr>
          <w:rFonts w:ascii="宋体" w:hAnsi="宋体" w:eastAsia="宋体" w:cs="宋体"/>
          <w:sz w:val="24"/>
          <w:szCs w:val="24"/>
          <w:u w:val="single"/>
        </w:rPr>
        <w:t>广西桂林市灵川县采购人指定地点</w:t>
      </w:r>
      <w:r>
        <w:rPr>
          <w:rFonts w:ascii="宋体" w:hAnsi="宋体" w:eastAsia="宋体" w:cs="宋体"/>
          <w:sz w:val="24"/>
          <w:szCs w:val="24"/>
        </w:rPr>
        <w:t xml:space="preserve"> 。</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2.乙方提供不符合响应文件和本合同规定的服务成果，甲方有权拒绝接受。</w:t>
      </w:r>
    </w:p>
    <w:p>
      <w:pPr>
        <w:spacing w:line="10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第五条 税费</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本合同执行中相关的一切税费均由乙方负担。</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第六条 付款方式</w:t>
      </w:r>
    </w:p>
    <w:p>
      <w:pPr>
        <w:spacing w:line="133" w:lineRule="exact"/>
        <w:rPr>
          <w:rFonts w:ascii="宋体" w:hAnsi="宋体" w:eastAsia="宋体"/>
          <w:sz w:val="24"/>
          <w:szCs w:val="24"/>
        </w:rPr>
      </w:pPr>
    </w:p>
    <w:p>
      <w:p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、项目验收合格后</w:t>
      </w:r>
      <w:r>
        <w:rPr>
          <w:rFonts w:ascii="宋体" w:hAnsi="宋体" w:eastAsia="宋体" w:cs="宋体"/>
          <w:sz w:val="24"/>
          <w:szCs w:val="24"/>
        </w:rPr>
        <w:t xml:space="preserve">7 </w:t>
      </w:r>
      <w:r>
        <w:rPr>
          <w:rFonts w:hint="eastAsia" w:ascii="宋体" w:hAnsi="宋体" w:eastAsia="宋体" w:cs="宋体"/>
          <w:sz w:val="24"/>
          <w:szCs w:val="24"/>
        </w:rPr>
        <w:t>日内支付合同金额的</w:t>
      </w: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、验收合格满</w:t>
      </w:r>
      <w:r>
        <w:rPr>
          <w:rFonts w:ascii="宋体" w:hAnsi="宋体" w:eastAsia="宋体" w:cs="宋体"/>
          <w:sz w:val="24"/>
          <w:szCs w:val="24"/>
        </w:rPr>
        <w:t xml:space="preserve">1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、验收合格满</w:t>
      </w:r>
      <w:r>
        <w:rPr>
          <w:rFonts w:ascii="宋体" w:hAnsi="宋体" w:eastAsia="宋体" w:cs="宋体"/>
          <w:sz w:val="24"/>
          <w:szCs w:val="24"/>
        </w:rPr>
        <w:t xml:space="preserve">2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、验收合格满</w:t>
      </w:r>
      <w:r>
        <w:rPr>
          <w:rFonts w:ascii="宋体" w:hAnsi="宋体" w:eastAsia="宋体" w:cs="宋体"/>
          <w:sz w:val="24"/>
          <w:szCs w:val="24"/>
        </w:rPr>
        <w:t xml:space="preserve">3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w:t>
      </w:r>
    </w:p>
    <w:p>
      <w:pPr>
        <w:spacing w:line="240" w:lineRule="exact"/>
        <w:rPr>
          <w:rFonts w:ascii="宋体" w:hAnsi="宋体" w:eastAsia="宋体"/>
          <w:sz w:val="24"/>
          <w:szCs w:val="24"/>
        </w:rPr>
      </w:pPr>
      <w:r>
        <w:rPr>
          <w:rFonts w:ascii="宋体" w:hAnsi="宋体" w:eastAsia="宋体" w:cs="宋体"/>
          <w:b/>
          <w:bCs/>
          <w:sz w:val="24"/>
          <w:szCs w:val="24"/>
        </w:rPr>
        <w:t>第七条 违约责任</w:t>
      </w:r>
    </w:p>
    <w:p>
      <w:pPr>
        <w:spacing w:line="133" w:lineRule="exact"/>
        <w:rPr>
          <w:rFonts w:ascii="宋体" w:hAnsi="宋体" w:eastAsia="宋体"/>
          <w:sz w:val="24"/>
          <w:szCs w:val="24"/>
        </w:rPr>
      </w:pPr>
    </w:p>
    <w:p>
      <w:pPr>
        <w:numPr>
          <w:ilvl w:val="1"/>
          <w:numId w:val="36"/>
        </w:numPr>
        <w:tabs>
          <w:tab w:val="left" w:pos="738"/>
        </w:tabs>
        <w:spacing w:line="274" w:lineRule="exact"/>
        <w:ind w:right="100" w:firstLine="427"/>
        <w:rPr>
          <w:rFonts w:ascii="宋体" w:hAnsi="宋体" w:eastAsia="宋体" w:cs="宋体"/>
          <w:sz w:val="24"/>
          <w:szCs w:val="24"/>
        </w:rPr>
      </w:pPr>
      <w:r>
        <w:rPr>
          <w:rFonts w:ascii="宋体" w:hAnsi="宋体" w:eastAsia="宋体" w:cs="宋体"/>
          <w:sz w:val="24"/>
          <w:szCs w:val="24"/>
        </w:rPr>
        <w:t>乙方所提供的服务、技术标准等质量不合格的，应及时更正，更正不及时的按逾期交付处罚，乙方应向甲方支付合同金额</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w:t>
      </w:r>
      <w:r>
        <w:rPr>
          <w:rFonts w:ascii="宋体" w:hAnsi="宋体" w:eastAsia="宋体" w:cs="宋体"/>
          <w:sz w:val="24"/>
          <w:szCs w:val="24"/>
        </w:rPr>
        <w:t>违约金并赔偿甲方经济损失。</w:t>
      </w:r>
    </w:p>
    <w:p>
      <w:pPr>
        <w:spacing w:line="132" w:lineRule="exact"/>
        <w:rPr>
          <w:rFonts w:ascii="宋体" w:hAnsi="宋体" w:eastAsia="宋体" w:cs="宋体"/>
          <w:sz w:val="24"/>
          <w:szCs w:val="24"/>
        </w:rPr>
      </w:pPr>
    </w:p>
    <w:p>
      <w:pPr>
        <w:numPr>
          <w:ilvl w:val="0"/>
          <w:numId w:val="37"/>
        </w:numPr>
        <w:tabs>
          <w:tab w:val="left" w:pos="674"/>
        </w:tabs>
        <w:spacing w:line="274" w:lineRule="exact"/>
        <w:ind w:right="100" w:firstLine="366"/>
        <w:rPr>
          <w:rFonts w:ascii="宋体" w:hAnsi="宋体" w:eastAsia="宋体" w:cs="宋体"/>
          <w:sz w:val="24"/>
          <w:szCs w:val="24"/>
        </w:rPr>
      </w:pPr>
      <w:r>
        <w:rPr>
          <w:rFonts w:ascii="宋体" w:hAnsi="宋体" w:eastAsia="宋体" w:cs="宋体"/>
          <w:sz w:val="24"/>
          <w:szCs w:val="24"/>
        </w:rPr>
        <w:t>乙方提供的服务如果侵犯了第三方合法权益而引发的任何纠纷或诉讼，均由乙方负责交涉并承担全部责任。</w:t>
      </w:r>
    </w:p>
    <w:p>
      <w:pPr>
        <w:spacing w:line="133" w:lineRule="exact"/>
        <w:rPr>
          <w:rFonts w:ascii="宋体" w:hAnsi="宋体" w:eastAsia="宋体" w:cs="宋体"/>
          <w:sz w:val="24"/>
          <w:szCs w:val="24"/>
        </w:rPr>
      </w:pPr>
    </w:p>
    <w:p>
      <w:pPr>
        <w:numPr>
          <w:ilvl w:val="1"/>
          <w:numId w:val="37"/>
        </w:numPr>
        <w:tabs>
          <w:tab w:val="left" w:pos="736"/>
        </w:tabs>
        <w:spacing w:line="296" w:lineRule="exact"/>
        <w:ind w:right="100" w:firstLine="427"/>
        <w:jc w:val="both"/>
        <w:rPr>
          <w:rFonts w:ascii="宋体" w:hAnsi="宋体" w:eastAsia="宋体" w:cs="宋体"/>
          <w:sz w:val="24"/>
          <w:szCs w:val="24"/>
        </w:rPr>
      </w:pPr>
      <w:r>
        <w:rPr>
          <w:rFonts w:ascii="宋体" w:hAnsi="宋体" w:eastAsia="宋体" w:cs="宋体"/>
          <w:sz w:val="24"/>
          <w:szCs w:val="24"/>
        </w:rPr>
        <w:t>甲方无故延期验收、乙方逾期交付的，每天向对方偿付违约项款额</w:t>
      </w:r>
      <w:r>
        <w:rPr>
          <w:rFonts w:hint="eastAsia" w:ascii="宋体" w:hAnsi="宋体" w:eastAsia="宋体" w:cs="宋体"/>
          <w:sz w:val="24"/>
          <w:szCs w:val="24"/>
          <w:u w:val="single"/>
        </w:rPr>
        <w:t xml:space="preserve">  </w:t>
      </w:r>
      <w:r>
        <w:rPr>
          <w:rFonts w:ascii="宋体" w:hAnsi="宋体" w:eastAsia="宋体" w:cs="宋体"/>
          <w:sz w:val="24"/>
          <w:szCs w:val="24"/>
          <w:u w:val="single"/>
        </w:rPr>
        <w:t>‰</w:t>
      </w:r>
      <w:r>
        <w:rPr>
          <w:rFonts w:ascii="宋体" w:hAnsi="宋体" w:eastAsia="宋体" w:cs="宋体"/>
          <w:sz w:val="24"/>
          <w:szCs w:val="24"/>
        </w:rPr>
        <w:t>违约金，但违约金累计不得超过违约项款额</w:t>
      </w:r>
      <w:r>
        <w:rPr>
          <w:rFonts w:hint="eastAsia" w:ascii="宋体" w:hAnsi="宋体" w:eastAsia="宋体" w:cs="宋体"/>
          <w:sz w:val="24"/>
          <w:szCs w:val="24"/>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，超过 </w:t>
      </w:r>
      <w:r>
        <w:rPr>
          <w:rFonts w:hint="eastAsia" w:ascii="宋体" w:hAnsi="宋体" w:eastAsia="宋体" w:cs="宋体"/>
          <w:sz w:val="24"/>
          <w:szCs w:val="24"/>
          <w:u w:val="single"/>
        </w:rPr>
        <w:t xml:space="preserve">  </w:t>
      </w:r>
      <w:r>
        <w:rPr>
          <w:rFonts w:ascii="宋体" w:hAnsi="宋体" w:eastAsia="宋体" w:cs="宋体"/>
          <w:sz w:val="24"/>
          <w:szCs w:val="24"/>
          <w:u w:val="single"/>
        </w:rPr>
        <w:t>天</w:t>
      </w:r>
      <w:r>
        <w:rPr>
          <w:rFonts w:ascii="宋体" w:hAnsi="宋体" w:eastAsia="宋体" w:cs="宋体"/>
          <w:sz w:val="24"/>
          <w:szCs w:val="24"/>
        </w:rPr>
        <w:t xml:space="preserve">对方有权解除合同，违约方承担因此给对方造成经济损失；甲方延期付款的，每天向乙方偿付延期项款额 </w:t>
      </w:r>
      <w:r>
        <w:rPr>
          <w:rFonts w:hint="eastAsia" w:ascii="宋体" w:hAnsi="宋体" w:eastAsia="宋体" w:cs="宋体"/>
          <w:sz w:val="24"/>
          <w:szCs w:val="24"/>
        </w:rPr>
        <w:t xml:space="preserve">  </w:t>
      </w:r>
      <w:r>
        <w:rPr>
          <w:rFonts w:ascii="宋体" w:hAnsi="宋体" w:eastAsia="宋体" w:cs="宋体"/>
          <w:sz w:val="24"/>
          <w:szCs w:val="24"/>
        </w:rPr>
        <w:t>‰滞纳金，但滞纳金累计不得超过延期项款额</w:t>
      </w:r>
      <w:r>
        <w:rPr>
          <w:rFonts w:hint="eastAsia" w:ascii="宋体" w:hAnsi="宋体" w:eastAsia="宋体" w:cs="宋体"/>
          <w:sz w:val="24"/>
          <w:szCs w:val="24"/>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line="133" w:lineRule="exact"/>
        <w:rPr>
          <w:rFonts w:ascii="宋体" w:hAnsi="宋体" w:eastAsia="宋体" w:cs="宋体"/>
          <w:sz w:val="24"/>
          <w:szCs w:val="24"/>
        </w:rPr>
      </w:pPr>
    </w:p>
    <w:p>
      <w:pPr>
        <w:numPr>
          <w:ilvl w:val="1"/>
          <w:numId w:val="38"/>
        </w:numPr>
        <w:tabs>
          <w:tab w:val="left" w:pos="738"/>
        </w:tabs>
        <w:spacing w:line="274" w:lineRule="exact"/>
        <w:ind w:right="100" w:firstLine="427"/>
        <w:rPr>
          <w:rFonts w:ascii="宋体" w:hAnsi="宋体" w:eastAsia="宋体" w:cs="宋体"/>
          <w:sz w:val="24"/>
          <w:szCs w:val="24"/>
        </w:rPr>
      </w:pPr>
      <w:r>
        <w:rPr>
          <w:rFonts w:ascii="宋体" w:hAnsi="宋体" w:eastAsia="宋体" w:cs="宋体"/>
          <w:sz w:val="24"/>
          <w:szCs w:val="24"/>
        </w:rPr>
        <w:t>乙方未按本合同和响应文件中规定的服务承诺提供服务的，乙方应按本合同合同金额</w:t>
      </w:r>
      <w:r>
        <w:rPr>
          <w:rFonts w:hint="eastAsia" w:ascii="宋体" w:hAnsi="宋体" w:eastAsia="宋体" w:cs="宋体"/>
          <w:sz w:val="24"/>
          <w:szCs w:val="24"/>
          <w:u w:val="single"/>
        </w:rPr>
        <w:t xml:space="preserve">  </w:t>
      </w:r>
      <w:r>
        <w:rPr>
          <w:rFonts w:ascii="宋体" w:hAnsi="宋体" w:eastAsia="宋体" w:cs="宋体"/>
          <w:sz w:val="24"/>
          <w:szCs w:val="24"/>
          <w:u w:val="single"/>
        </w:rPr>
        <w:t>%</w:t>
      </w:r>
      <w:r>
        <w:rPr>
          <w:rFonts w:ascii="宋体" w:hAnsi="宋体" w:eastAsia="宋体" w:cs="宋体"/>
          <w:sz w:val="24"/>
          <w:szCs w:val="24"/>
        </w:rPr>
        <w:t>向甲方支付违约金。</w:t>
      </w:r>
      <w:bookmarkStart w:id="60" w:name="page28"/>
      <w:bookmarkEnd w:id="60"/>
    </w:p>
    <w:p>
      <w:pPr>
        <w:numPr>
          <w:ilvl w:val="1"/>
          <w:numId w:val="38"/>
        </w:numPr>
        <w:tabs>
          <w:tab w:val="left" w:pos="738"/>
        </w:tabs>
        <w:spacing w:line="274" w:lineRule="exact"/>
        <w:ind w:right="100" w:firstLine="427"/>
        <w:rPr>
          <w:rFonts w:ascii="宋体" w:hAnsi="宋体" w:eastAsia="宋体" w:cs="宋体"/>
          <w:sz w:val="24"/>
          <w:szCs w:val="24"/>
        </w:rPr>
      </w:pPr>
      <w:r>
        <w:rPr>
          <w:rFonts w:ascii="宋体" w:hAnsi="宋体" w:eastAsia="宋体" w:cs="宋体"/>
          <w:sz w:val="24"/>
          <w:szCs w:val="24"/>
        </w:rPr>
        <w:t xml:space="preserve">其他违约行为按违约货款额 </w:t>
      </w:r>
      <w:r>
        <w:rPr>
          <w:rFonts w:hint="eastAsia" w:ascii="宋体" w:hAnsi="宋体" w:eastAsia="宋体" w:cs="宋体"/>
          <w:sz w:val="24"/>
          <w:szCs w:val="24"/>
        </w:rPr>
        <w:t xml:space="preserve">  </w:t>
      </w:r>
      <w:r>
        <w:rPr>
          <w:rFonts w:ascii="宋体" w:hAnsi="宋体" w:eastAsia="宋体" w:cs="宋体"/>
          <w:sz w:val="24"/>
          <w:szCs w:val="24"/>
        </w:rPr>
        <w:t xml:space="preserve">  %收取违约金并赔偿经济损失。</w:t>
      </w:r>
    </w:p>
    <w:p>
      <w:pPr>
        <w:spacing w:line="100" w:lineRule="exact"/>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b/>
          <w:bCs/>
          <w:sz w:val="24"/>
          <w:szCs w:val="24"/>
        </w:rPr>
        <w:t>第八条 不可抗力事件处理</w:t>
      </w:r>
    </w:p>
    <w:p>
      <w:pPr>
        <w:spacing w:line="101" w:lineRule="exact"/>
        <w:rPr>
          <w:rFonts w:ascii="宋体" w:hAnsi="宋体" w:eastAsia="宋体" w:cs="宋体"/>
          <w:sz w:val="24"/>
          <w:szCs w:val="24"/>
        </w:rPr>
      </w:pPr>
    </w:p>
    <w:p>
      <w:pPr>
        <w:numPr>
          <w:ilvl w:val="0"/>
          <w:numId w:val="39"/>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在合同有效期内，乙方因不可抗力事件导致不能履行合同，则合同履行期可延长，</w:t>
      </w:r>
    </w:p>
    <w:p>
      <w:pPr>
        <w:numPr>
          <w:ilvl w:val="0"/>
          <w:numId w:val="0"/>
        </w:numPr>
        <w:tabs>
          <w:tab w:val="left" w:pos="740"/>
        </w:tabs>
        <w:spacing w:line="240" w:lineRule="exact"/>
        <w:ind w:left="427" w:leftChars="0"/>
        <w:rPr>
          <w:rFonts w:ascii="宋体" w:hAnsi="宋体" w:eastAsia="宋体" w:cs="宋体"/>
          <w:sz w:val="24"/>
          <w:szCs w:val="24"/>
        </w:rPr>
      </w:pPr>
      <w:r>
        <w:rPr>
          <w:rFonts w:ascii="宋体" w:hAnsi="宋体" w:eastAsia="宋体" w:cs="宋体"/>
          <w:sz w:val="24"/>
          <w:szCs w:val="24"/>
        </w:rPr>
        <w:t>其延长期与</w:t>
      </w:r>
      <w:r>
        <w:rPr>
          <w:rFonts w:hint="eastAsia" w:ascii="宋体" w:hAnsi="宋体" w:eastAsia="宋体" w:cs="宋体"/>
          <w:sz w:val="24"/>
          <w:szCs w:val="24"/>
          <w:lang w:eastAsia="zh-CN"/>
        </w:rPr>
        <w:t>不可抗力影响期相同。</w:t>
      </w:r>
    </w:p>
    <w:p>
      <w:pPr>
        <w:spacing w:line="20" w:lineRule="exact"/>
        <w:rPr>
          <w:rFonts w:ascii="宋体" w:hAnsi="宋体" w:eastAsia="宋体"/>
          <w:sz w:val="24"/>
          <w:szCs w:val="24"/>
        </w:rPr>
      </w:pPr>
      <w:r>
        <w:rPr>
          <w:rFonts w:ascii="宋体" w:hAnsi="宋体" w:eastAsia="宋体"/>
          <w:sz w:val="24"/>
          <w:szCs w:val="24"/>
        </w:rPr>
        <w:pict>
          <v:line id="Shape 32" o:spid="_x0000_s1026" o:spt="20" style="position:absolute;left:0pt;margin-left:163.05pt;margin-top:-33.55pt;height:0pt;width:31.5pt;z-index:-251654144;mso-width-relative:page;mso-height-relative:page;" filled="t" coordsize="21600,21600" o:allowincell="f" o:gfxdata="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&#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ataUzXAAAACwEAAA8AAAAAAAAAAQAgAAAAIgAA&#10;AGRycy9kb3ducmV2LnhtbFBLAQIUABQAAAAIAIdO4kAfpSmZlwEAAEwDAAAOAAAAAAAAAAEAIAAA&#10;ACYBAABkcnMvZTJvRG9jLnhtbFBLBQYAAAAABgAGAFkBAAAvBQAAAAA=&#10;">
            <v:path arrowok="t"/>
            <v:fill on="t" focussize="0,0"/>
            <v:stroke weight="0.53992125984252pt" joinstyle="miter"/>
            <v:imagedata o:title=""/>
            <o:lock v:ext="edit"/>
          </v:line>
        </w:pict>
      </w:r>
    </w:p>
    <w:p>
      <w:pPr>
        <w:spacing w:line="80" w:lineRule="exact"/>
        <w:rPr>
          <w:rFonts w:ascii="宋体" w:hAnsi="宋体" w:eastAsia="宋体"/>
          <w:sz w:val="24"/>
          <w:szCs w:val="24"/>
        </w:rPr>
      </w:pPr>
    </w:p>
    <w:p>
      <w:pPr>
        <w:spacing w:line="100" w:lineRule="exact"/>
        <w:rPr>
          <w:rFonts w:ascii="宋体" w:hAnsi="宋体" w:eastAsia="宋体"/>
          <w:sz w:val="24"/>
          <w:szCs w:val="24"/>
        </w:rPr>
      </w:pPr>
    </w:p>
    <w:p>
      <w:pPr>
        <w:numPr>
          <w:ilvl w:val="0"/>
          <w:numId w:val="40"/>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不可抗力事件发生后，应立即通知对方，并寄送有关权威机构出具的证明。</w:t>
      </w:r>
    </w:p>
    <w:p>
      <w:pPr>
        <w:spacing w:line="101" w:lineRule="exact"/>
        <w:rPr>
          <w:rFonts w:ascii="宋体" w:hAnsi="宋体" w:eastAsia="宋体" w:cs="宋体"/>
          <w:sz w:val="24"/>
          <w:szCs w:val="24"/>
        </w:rPr>
      </w:pPr>
    </w:p>
    <w:p>
      <w:pPr>
        <w:numPr>
          <w:ilvl w:val="0"/>
          <w:numId w:val="40"/>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不可抗力事件延续一百二十天以上，双方应通过友好协商，确定是否继续履行合同。</w:t>
      </w:r>
    </w:p>
    <w:p>
      <w:pPr>
        <w:spacing w:line="100" w:lineRule="exact"/>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b/>
          <w:bCs/>
          <w:sz w:val="24"/>
          <w:szCs w:val="24"/>
        </w:rPr>
        <w:t>第九条 合同争议解决</w:t>
      </w:r>
    </w:p>
    <w:p>
      <w:pPr>
        <w:spacing w:line="100" w:lineRule="exact"/>
        <w:rPr>
          <w:rFonts w:ascii="宋体" w:hAnsi="宋体" w:eastAsia="宋体" w:cs="宋体"/>
          <w:sz w:val="24"/>
          <w:szCs w:val="24"/>
        </w:rPr>
      </w:pPr>
    </w:p>
    <w:p>
      <w:pPr>
        <w:numPr>
          <w:ilvl w:val="0"/>
          <w:numId w:val="41"/>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因履行本合同引起的或与本合同有关的争议，甲乙双方应首先通过友好协商解决，</w:t>
      </w:r>
    </w:p>
    <w:p>
      <w:pPr>
        <w:spacing w:line="101" w:lineRule="exact"/>
        <w:rPr>
          <w:rFonts w:ascii="宋体" w:hAnsi="宋体" w:eastAsia="宋体"/>
          <w:sz w:val="24"/>
          <w:szCs w:val="24"/>
        </w:rPr>
      </w:pPr>
    </w:p>
    <w:p>
      <w:pPr>
        <w:spacing w:line="240" w:lineRule="exact"/>
        <w:rPr>
          <w:rFonts w:ascii="宋体" w:hAnsi="宋体" w:eastAsia="宋体"/>
          <w:sz w:val="24"/>
          <w:szCs w:val="24"/>
        </w:rPr>
      </w:pPr>
      <w:r>
        <w:rPr>
          <w:rFonts w:hint="eastAsia" w:ascii="宋体" w:hAnsi="宋体" w:eastAsia="宋体" w:cs="宋体"/>
          <w:sz w:val="24"/>
          <w:szCs w:val="24"/>
          <w:lang w:eastAsia="zh-CN"/>
        </w:rPr>
        <w:t>如果协商不</w:t>
      </w:r>
      <w:r>
        <w:rPr>
          <w:rFonts w:ascii="宋体" w:hAnsi="宋体" w:eastAsia="宋体" w:cs="宋体"/>
          <w:sz w:val="24"/>
          <w:szCs w:val="24"/>
        </w:rPr>
        <w:t>能解决，可向桂林市仲裁委员会申请仲裁或向灵川县人民法院提起诉讼。</w:t>
      </w:r>
    </w:p>
    <w:p>
      <w:pPr>
        <w:spacing w:line="100" w:lineRule="exact"/>
        <w:rPr>
          <w:rFonts w:ascii="宋体" w:hAnsi="宋体" w:eastAsia="宋体"/>
          <w:sz w:val="24"/>
          <w:szCs w:val="24"/>
        </w:rPr>
      </w:pPr>
    </w:p>
    <w:p>
      <w:pPr>
        <w:numPr>
          <w:ilvl w:val="1"/>
          <w:numId w:val="42"/>
        </w:numPr>
        <w:tabs>
          <w:tab w:val="left" w:pos="760"/>
        </w:tabs>
        <w:spacing w:line="240" w:lineRule="exact"/>
        <w:ind w:left="760" w:hanging="318"/>
        <w:rPr>
          <w:rFonts w:ascii="宋体" w:hAnsi="宋体" w:eastAsia="宋体" w:cs="宋体"/>
          <w:sz w:val="24"/>
          <w:szCs w:val="24"/>
        </w:rPr>
      </w:pPr>
      <w:r>
        <w:rPr>
          <w:rFonts w:ascii="宋体" w:hAnsi="宋体" w:eastAsia="宋体" w:cs="宋体"/>
          <w:sz w:val="24"/>
          <w:szCs w:val="24"/>
        </w:rPr>
        <w:t>诉讼期间，本合同继续履行。</w:t>
      </w:r>
    </w:p>
    <w:p>
      <w:pPr>
        <w:spacing w:line="100" w:lineRule="exact"/>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b/>
          <w:bCs/>
          <w:sz w:val="24"/>
          <w:szCs w:val="24"/>
        </w:rPr>
        <w:t>第十条 合同生效及其它</w:t>
      </w:r>
    </w:p>
    <w:p>
      <w:pPr>
        <w:spacing w:line="101" w:lineRule="exact"/>
        <w:rPr>
          <w:rFonts w:ascii="宋体" w:hAnsi="宋体" w:eastAsia="宋体" w:cs="宋体"/>
          <w:sz w:val="24"/>
          <w:szCs w:val="24"/>
        </w:rPr>
      </w:pPr>
    </w:p>
    <w:p>
      <w:pPr>
        <w:numPr>
          <w:ilvl w:val="0"/>
          <w:numId w:val="43"/>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合同经甲乙双方法定代表人、负责人、自然人或相应的授权代表签字并加盖公章后生效。</w:t>
      </w:r>
    </w:p>
    <w:p>
      <w:pPr>
        <w:spacing w:line="132" w:lineRule="exact"/>
        <w:rPr>
          <w:rFonts w:ascii="宋体" w:hAnsi="宋体" w:eastAsia="宋体" w:cs="宋体"/>
          <w:sz w:val="24"/>
          <w:szCs w:val="24"/>
        </w:rPr>
      </w:pPr>
    </w:p>
    <w:p>
      <w:pPr>
        <w:numPr>
          <w:ilvl w:val="0"/>
          <w:numId w:val="43"/>
        </w:numPr>
        <w:tabs>
          <w:tab w:val="left" w:pos="738"/>
        </w:tabs>
        <w:spacing w:line="274" w:lineRule="exact"/>
        <w:ind w:firstLine="427"/>
        <w:rPr>
          <w:rFonts w:ascii="宋体" w:hAnsi="宋体" w:eastAsia="宋体" w:cs="宋体"/>
          <w:sz w:val="24"/>
          <w:szCs w:val="24"/>
        </w:rPr>
      </w:pPr>
      <w:r>
        <w:rPr>
          <w:rFonts w:ascii="宋体" w:hAnsi="宋体" w:eastAsia="宋体" w:cs="宋体"/>
          <w:sz w:val="24"/>
          <w:szCs w:val="24"/>
        </w:rPr>
        <w:t>合同执行中涉及采购资金和采购内容修改或补充的，需经灵川县财政部门审批，并签订书面补充协议报灵川县政府采购管理办公室备案，方可作为主合同不可分割的一部分。</w:t>
      </w:r>
    </w:p>
    <w:p>
      <w:pPr>
        <w:spacing w:line="101" w:lineRule="exact"/>
        <w:rPr>
          <w:rFonts w:ascii="宋体" w:hAnsi="宋体" w:eastAsia="宋体" w:cs="宋体"/>
          <w:sz w:val="24"/>
          <w:szCs w:val="24"/>
        </w:rPr>
      </w:pPr>
    </w:p>
    <w:p>
      <w:pPr>
        <w:numPr>
          <w:ilvl w:val="1"/>
          <w:numId w:val="43"/>
        </w:numPr>
        <w:tabs>
          <w:tab w:val="left" w:pos="760"/>
        </w:tabs>
        <w:spacing w:line="240" w:lineRule="exact"/>
        <w:ind w:left="760" w:hanging="318"/>
        <w:rPr>
          <w:rFonts w:ascii="宋体" w:hAnsi="宋体" w:eastAsia="宋体" w:cs="宋体"/>
          <w:sz w:val="24"/>
          <w:szCs w:val="24"/>
        </w:rPr>
      </w:pPr>
      <w:r>
        <w:rPr>
          <w:rFonts w:ascii="宋体" w:hAnsi="宋体" w:eastAsia="宋体" w:cs="宋体"/>
          <w:sz w:val="24"/>
          <w:szCs w:val="24"/>
        </w:rPr>
        <w:t>本合同未尽事宜，遵照《合同法》有关条文执行。</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第十一条 合同的变更、终止与转让</w:t>
      </w:r>
    </w:p>
    <w:p>
      <w:pPr>
        <w:spacing w:line="132" w:lineRule="exact"/>
        <w:rPr>
          <w:rFonts w:ascii="宋体" w:hAnsi="宋体" w:eastAsia="宋体"/>
          <w:sz w:val="24"/>
          <w:szCs w:val="24"/>
        </w:rPr>
      </w:pPr>
    </w:p>
    <w:p>
      <w:pPr>
        <w:numPr>
          <w:ilvl w:val="0"/>
          <w:numId w:val="44"/>
        </w:numPr>
        <w:tabs>
          <w:tab w:val="left" w:pos="738"/>
        </w:tabs>
        <w:spacing w:line="274" w:lineRule="exact"/>
        <w:ind w:firstLine="427"/>
        <w:rPr>
          <w:rFonts w:ascii="宋体" w:hAnsi="宋体" w:eastAsia="宋体" w:cs="宋体"/>
          <w:sz w:val="24"/>
          <w:szCs w:val="24"/>
        </w:rPr>
      </w:pPr>
      <w:r>
        <w:rPr>
          <w:rFonts w:ascii="宋体" w:hAnsi="宋体" w:eastAsia="宋体" w:cs="宋体"/>
          <w:sz w:val="24"/>
          <w:szCs w:val="24"/>
        </w:rPr>
        <w:t>除《中华人民共和国政府采购法》第五十条规定的情形外，本合同一经签订，甲乙双方不得擅自变更，中止或终止。</w:t>
      </w:r>
    </w:p>
    <w:p>
      <w:pPr>
        <w:spacing w:line="101" w:lineRule="exact"/>
        <w:rPr>
          <w:rFonts w:ascii="宋体" w:hAnsi="宋体" w:eastAsia="宋体" w:cs="宋体"/>
          <w:sz w:val="24"/>
          <w:szCs w:val="24"/>
        </w:rPr>
      </w:pPr>
    </w:p>
    <w:p>
      <w:pPr>
        <w:numPr>
          <w:ilvl w:val="0"/>
          <w:numId w:val="44"/>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乙方不得擅自转让其应履行的合同义务。</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第十二条 签订本合同依据：</w:t>
      </w:r>
    </w:p>
    <w:p>
      <w:pPr>
        <w:spacing w:line="101" w:lineRule="exact"/>
        <w:rPr>
          <w:rFonts w:ascii="宋体" w:hAnsi="宋体" w:eastAsia="宋体"/>
          <w:sz w:val="24"/>
          <w:szCs w:val="24"/>
        </w:rPr>
      </w:pPr>
    </w:p>
    <w:p>
      <w:pPr>
        <w:numPr>
          <w:ilvl w:val="0"/>
          <w:numId w:val="45"/>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磋商文件；</w:t>
      </w:r>
    </w:p>
    <w:p>
      <w:pPr>
        <w:spacing w:line="100" w:lineRule="exact"/>
        <w:rPr>
          <w:rFonts w:ascii="宋体" w:hAnsi="宋体" w:eastAsia="宋体" w:cs="宋体"/>
          <w:sz w:val="24"/>
          <w:szCs w:val="24"/>
        </w:rPr>
      </w:pPr>
    </w:p>
    <w:p>
      <w:pPr>
        <w:numPr>
          <w:ilvl w:val="0"/>
          <w:numId w:val="45"/>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响应文件；</w:t>
      </w:r>
    </w:p>
    <w:p>
      <w:pPr>
        <w:spacing w:line="101" w:lineRule="exact"/>
        <w:rPr>
          <w:rFonts w:ascii="宋体" w:hAnsi="宋体" w:eastAsia="宋体" w:cs="宋体"/>
          <w:sz w:val="24"/>
          <w:szCs w:val="24"/>
        </w:rPr>
      </w:pPr>
    </w:p>
    <w:p>
      <w:pPr>
        <w:numPr>
          <w:ilvl w:val="0"/>
          <w:numId w:val="45"/>
        </w:numPr>
        <w:tabs>
          <w:tab w:val="left" w:pos="740"/>
        </w:tabs>
        <w:spacing w:line="240" w:lineRule="exact"/>
        <w:ind w:left="740" w:hanging="313"/>
        <w:rPr>
          <w:rFonts w:ascii="宋体" w:hAnsi="宋体" w:eastAsia="宋体"/>
          <w:sz w:val="24"/>
          <w:szCs w:val="24"/>
        </w:rPr>
      </w:pPr>
      <w:r>
        <w:rPr>
          <w:rFonts w:ascii="宋体" w:hAnsi="宋体" w:eastAsia="宋体" w:cs="宋体"/>
          <w:sz w:val="24"/>
          <w:szCs w:val="24"/>
        </w:rPr>
        <w:t>成交通知书。</w:t>
      </w:r>
    </w:p>
    <w:p>
      <w:pPr>
        <w:tabs>
          <w:tab w:val="left" w:pos="4340"/>
          <w:tab w:val="left" w:pos="7580"/>
          <w:tab w:val="left" w:pos="8980"/>
        </w:tabs>
        <w:spacing w:after="0" w:line="240" w:lineRule="exact"/>
        <w:ind w:left="420"/>
        <w:rPr>
          <w:color w:val="auto"/>
          <w:sz w:val="20"/>
          <w:szCs w:val="20"/>
        </w:rPr>
      </w:pPr>
      <w:r>
        <w:rPr>
          <w:rFonts w:ascii="宋体" w:hAnsi="宋体" w:eastAsia="宋体" w:cs="宋体"/>
          <w:color w:val="auto"/>
          <w:sz w:val="21"/>
          <w:szCs w:val="21"/>
        </w:rPr>
        <w:t>本合同甲乙双方签字盖章后生效，一式</w:t>
      </w:r>
      <w:r>
        <w:rPr>
          <w:rFonts w:ascii="宋体" w:hAnsi="宋体" w:eastAsia="宋体" w:cs="宋体"/>
          <w:color w:val="auto"/>
          <w:sz w:val="21"/>
          <w:szCs w:val="21"/>
        </w:rPr>
        <w:tab/>
      </w:r>
      <w:r>
        <w:rPr>
          <w:rFonts w:ascii="宋体" w:hAnsi="宋体" w:eastAsia="宋体" w:cs="宋体"/>
          <w:color w:val="auto"/>
          <w:sz w:val="21"/>
          <w:szCs w:val="21"/>
        </w:rPr>
        <w:t>份，具有同等法律效力，甲方执</w:t>
      </w:r>
      <w:r>
        <w:rPr>
          <w:rFonts w:ascii="宋体" w:hAnsi="宋体" w:eastAsia="宋体" w:cs="宋体"/>
          <w:color w:val="auto"/>
          <w:sz w:val="21"/>
          <w:szCs w:val="21"/>
        </w:rPr>
        <w:tab/>
      </w:r>
      <w:r>
        <w:rPr>
          <w:rFonts w:ascii="宋体" w:hAnsi="宋体" w:eastAsia="宋体" w:cs="宋体"/>
          <w:color w:val="auto"/>
          <w:sz w:val="21"/>
          <w:szCs w:val="21"/>
        </w:rPr>
        <w:t>份，乙方执</w:t>
      </w:r>
      <w:r>
        <w:rPr>
          <w:color w:val="auto"/>
          <w:sz w:val="20"/>
          <w:szCs w:val="20"/>
        </w:rPr>
        <w:tab/>
      </w:r>
      <w:r>
        <w:rPr>
          <w:rFonts w:ascii="宋体" w:hAnsi="宋体" w:eastAsia="宋体" w:cs="宋体"/>
          <w:color w:val="auto"/>
          <w:sz w:val="20"/>
          <w:szCs w:val="20"/>
        </w:rPr>
        <w:t>份，</w:t>
      </w:r>
    </w:p>
    <w:p>
      <w:pPr>
        <w:spacing w:after="0" w:line="20" w:lineRule="exact"/>
        <w:rPr>
          <w:color w:val="auto"/>
          <w:sz w:val="20"/>
          <w:szCs w:val="20"/>
        </w:rPr>
      </w:pPr>
      <w:r>
        <w:rPr>
          <w:color w:val="auto"/>
          <w:sz w:val="20"/>
          <w:szCs w:val="20"/>
        </w:rPr>
        <w:pict>
          <v:line id="Shape 33" o:spid="_x0000_s1047" o:spt="20" style="position:absolute;left:0pt;margin-left:196.7pt;margin-top:0.4pt;height:0pt;width:21.05pt;z-index:-251652096;mso-width-relative:page;mso-height-relative:page;" fillcolor="#FFFFFF" filled="t" stroked="t" coordsize="21600,21600" o:allowincell="f" o:gfxdata="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LiVLS0wAAAAUBAAAPAAAAAAAAAAEAIAAAACIAAABk&#10;cnMvZG93bnJldi54bWxQSwECFAAUAAAACACHTuJALGioPJkBAABMAwAADgAAAAAAAAABACAAAAAi&#10;AQAAZHJzL2Uyb0RvYy54bWxQSwUGAAAAAAYABgBZAQAALQUAAAAA&#10;">
            <v:path arrowok="t"/>
            <v:fill on="t" focussize="0,0"/>
            <v:stroke weight="0.54pt" color="#000000" miterlimit="8" joinstyle="miter"/>
            <v:imagedata o:title=""/>
            <o:lock v:ext="edit" aspectratio="f"/>
          </v:line>
        </w:pict>
      </w:r>
      <w:r>
        <w:rPr>
          <w:color w:val="auto"/>
          <w:sz w:val="20"/>
          <w:szCs w:val="20"/>
        </w:rPr>
        <w:pict>
          <v:line id="Shape 34" o:spid="_x0000_s1046" o:spt="20" style="position:absolute;left:0pt;margin-left:358.45pt;margin-top:0.4pt;height:0pt;width:21.05pt;z-index:-251652096;mso-width-relative:page;mso-height-relative:page;" fillcolor="#FFFFFF" filled="t" stroked="t" coordsize="21600,21600" o:allowincell="f" o:gfxdata="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m1eZ40wAAAAUBAAAPAAAAAAAAAAEAIAAAACIAAABkcnMv&#10;ZG93bnJldi54bWxQSwECFAAUAAAACACHTuJAVLItWJYBAABMAwAADgAAAAAAAAABACAAAAAiAQAA&#10;ZHJzL2Uyb0RvYy54bWxQSwUGAAAAAAYABgBZAQAAKgUAAAAA&#10;">
            <v:path arrowok="t"/>
            <v:fill on="t" focussize="0,0"/>
            <v:stroke weight="0.54pt" color="#000000" miterlimit="8" joinstyle="miter"/>
            <v:imagedata o:title=""/>
            <o:lock v:ext="edit" aspectratio="f"/>
          </v:line>
        </w:pict>
      </w:r>
      <w:r>
        <w:rPr>
          <w:color w:val="auto"/>
          <w:sz w:val="20"/>
          <w:szCs w:val="20"/>
        </w:rPr>
        <w:pict>
          <v:line id="Shape 35" o:spid="_x0000_s1049" o:spt="20" style="position:absolute;left:0pt;margin-left:428.85pt;margin-top:0.4pt;height:0pt;width:21.05pt;z-index:-251652096;mso-width-relative:page;mso-height-relative:page;" fillcolor="#FFFFFF" filled="t" stroked="t" coordsize="21600,21600" o:allowincell="f" o:gfxdata="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Lmi9IAAAAFAQAADwAAAAAAAAABACAAAAAiAAAAZHJzL2Rv&#10;d25yZXYueG1sUEsBAhQAFAAAAAgAh07iQIdAZwqVAQAATAMAAA4AAAAAAAAAAQAgAAAAIQEAAGRy&#10;cy9lMm9Eb2MueG1sUEsFBgAAAAAGAAYAWQEAACgFAAAAAA==&#10;">
            <v:path arrowok="t"/>
            <v:fill on="t" focussize="0,0"/>
            <v:stroke weight="0.54pt" color="#000000" miterlimit="8" joinstyle="miter"/>
            <v:imagedata o:title=""/>
            <o:lock v:ext="edit" aspectratio="f"/>
          </v:line>
        </w:pict>
      </w:r>
    </w:p>
    <w:p>
      <w:pPr>
        <w:spacing w:after="0" w:line="92" w:lineRule="exact"/>
        <w:rPr>
          <w:color w:val="auto"/>
          <w:sz w:val="20"/>
          <w:szCs w:val="20"/>
        </w:rPr>
      </w:pPr>
    </w:p>
    <w:p>
      <w:pPr>
        <w:spacing w:after="0" w:line="229" w:lineRule="exact"/>
        <w:rPr>
          <w:color w:val="auto"/>
          <w:sz w:val="20"/>
          <w:szCs w:val="20"/>
        </w:rPr>
      </w:pPr>
      <w:r>
        <w:rPr>
          <w:rFonts w:ascii="宋体" w:hAnsi="宋体" w:eastAsia="宋体" w:cs="宋体"/>
          <w:color w:val="auto"/>
          <w:sz w:val="20"/>
          <w:szCs w:val="20"/>
        </w:rPr>
        <w:t>采购代理机构执 壹 份，灵川县政府采购管理办公室执 壹 份。政府采购合同双方自签订之日起 1 个工</w:t>
      </w:r>
    </w:p>
    <w:p>
      <w:pPr>
        <w:spacing w:after="0" w:line="20" w:lineRule="exact"/>
        <w:rPr>
          <w:color w:val="auto"/>
          <w:sz w:val="20"/>
          <w:szCs w:val="20"/>
        </w:rPr>
      </w:pPr>
      <w:r>
        <w:rPr>
          <w:color w:val="auto"/>
          <w:sz w:val="20"/>
          <w:szCs w:val="20"/>
        </w:rPr>
        <w:pict>
          <v:line id="Shape 36" o:spid="_x0000_s1048" o:spt="20" style="position:absolute;left:0pt;margin-left:73.8pt;margin-top:0.4pt;height:0pt;width:21pt;z-index:-251652096;mso-width-relative:page;mso-height-relative:page;" fillcolor="#FFFFFF" filled="t" stroked="t" coordsize="21600,21600" o:allowincell="f" o:gfxdata="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17CstEAAAAFAQAADwAAAAAAAAABACAAAAAiAAAAZHJzL2Rv&#10;d25yZXYueG1sUEsBAhQAFAAAAAgAh07iQLNBCRiWAQAATAMAAA4AAAAAAAAAAQAgAAAAIAEAAGRy&#10;cy9lMm9Eb2MueG1sUEsFBgAAAAAGAAYAWQEAACgFAAAAAA==&#10;">
            <v:path arrowok="t"/>
            <v:fill on="t" focussize="0,0"/>
            <v:stroke weight="0.54pt" color="#000000" miterlimit="8" joinstyle="miter"/>
            <v:imagedata o:title=""/>
            <o:lock v:ext="edit" aspectratio="f"/>
          </v:line>
        </w:pict>
      </w:r>
      <w:r>
        <w:rPr>
          <w:color w:val="auto"/>
          <w:sz w:val="20"/>
          <w:szCs w:val="20"/>
        </w:rPr>
        <w:pict>
          <v:line id="Shape 37" o:spid="_x0000_s1050" o:spt="20" style="position:absolute;left:0pt;margin-left:251.35pt;margin-top:0.4pt;height:0pt;width:20.95pt;z-index:-251652096;mso-width-relative:page;mso-height-relative:page;" fillcolor="#FFFFFF" filled="t" stroked="t" coordsize="21600,21600" o:allowincell="f" o:gfxdata="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gtLw0wAAAAUBAAAPAAAAAAAAAAEAIAAAACIAAABkcnMv&#10;ZG93bnJldi54bWxQSwECFAAUAAAACACHTuJAZMNcfZYBAABMAwAADgAAAAAAAAABACAAAAAiAQAA&#10;ZHJzL2Uyb0RvYy54bWxQSwUGAAAAAAYABgBZAQAAKgUAAAAA&#10;">
            <v:path arrowok="t"/>
            <v:fill on="t" focussize="0,0"/>
            <v:stroke weight="0.54pt" color="#000000" miterlimit="8" joinstyle="miter"/>
            <v:imagedata o:title=""/>
            <o:lock v:ext="edit" aspectratio="f"/>
          </v:line>
        </w:pict>
      </w:r>
    </w:p>
    <w:p>
      <w:pPr>
        <w:spacing w:after="0" w:line="240" w:lineRule="exact"/>
        <w:rPr>
          <w:rFonts w:ascii="宋体" w:hAnsi="宋体" w:eastAsia="宋体" w:cs="宋体"/>
          <w:color w:val="auto"/>
          <w:sz w:val="21"/>
          <w:szCs w:val="21"/>
        </w:rPr>
      </w:pPr>
    </w:p>
    <w:tbl>
      <w:tblPr>
        <w:tblStyle w:val="9"/>
        <w:tblW w:w="0" w:type="auto"/>
        <w:tblInd w:w="0" w:type="dxa"/>
        <w:tblLayout w:type="fixed"/>
        <w:tblCellMar>
          <w:top w:w="0" w:type="dxa"/>
          <w:left w:w="0" w:type="dxa"/>
          <w:bottom w:w="0" w:type="dxa"/>
          <w:right w:w="0" w:type="dxa"/>
        </w:tblCellMar>
      </w:tblPr>
      <w:tblGrid>
        <w:gridCol w:w="320"/>
        <w:gridCol w:w="520"/>
        <w:gridCol w:w="220"/>
        <w:gridCol w:w="200"/>
        <w:gridCol w:w="220"/>
        <w:gridCol w:w="200"/>
        <w:gridCol w:w="2240"/>
        <w:gridCol w:w="60"/>
        <w:gridCol w:w="120"/>
        <w:gridCol w:w="900"/>
        <w:gridCol w:w="680"/>
        <w:gridCol w:w="200"/>
        <w:gridCol w:w="1480"/>
        <w:gridCol w:w="20"/>
        <w:gridCol w:w="1860"/>
        <w:gridCol w:w="100"/>
        <w:gridCol w:w="80"/>
      </w:tblGrid>
      <w:tr>
        <w:tblPrEx>
          <w:tblCellMar>
            <w:top w:w="0" w:type="dxa"/>
            <w:left w:w="0" w:type="dxa"/>
            <w:bottom w:w="0" w:type="dxa"/>
            <w:right w:w="0" w:type="dxa"/>
          </w:tblCellMar>
        </w:tblPrEx>
        <w:trPr>
          <w:trHeight w:val="240" w:hRule="atLeast"/>
        </w:trPr>
        <w:tc>
          <w:tcPr>
            <w:tcW w:w="3920" w:type="dxa"/>
            <w:gridSpan w:val="7"/>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作日内将合同原件一份交采购代理机构、7</w:t>
            </w:r>
          </w:p>
        </w:tc>
        <w:tc>
          <w:tcPr>
            <w:tcW w:w="5500" w:type="dxa"/>
            <w:gridSpan w:val="10"/>
            <w:vAlign w:val="bottom"/>
          </w:tcPr>
          <w:p>
            <w:pPr>
              <w:spacing w:after="0" w:line="240" w:lineRule="exact"/>
              <w:rPr>
                <w:rFonts w:ascii="宋体" w:hAnsi="宋体" w:eastAsia="宋体" w:cs="宋体"/>
                <w:color w:val="auto"/>
                <w:sz w:val="21"/>
                <w:szCs w:val="21"/>
              </w:rPr>
            </w:pPr>
            <w:r>
              <w:rPr>
                <w:rFonts w:ascii="宋体" w:hAnsi="宋体" w:eastAsia="宋体" w:cs="宋体"/>
                <w:color w:val="auto"/>
                <w:sz w:val="21"/>
                <w:szCs w:val="21"/>
              </w:rPr>
              <w:t>个工作日内将一份合同原件送灵川县政府采购管理办公室备</w:t>
            </w:r>
          </w:p>
        </w:tc>
      </w:tr>
      <w:tr>
        <w:tblPrEx>
          <w:tblCellMar>
            <w:top w:w="0" w:type="dxa"/>
            <w:left w:w="0" w:type="dxa"/>
            <w:bottom w:w="0" w:type="dxa"/>
            <w:right w:w="0" w:type="dxa"/>
          </w:tblCellMar>
        </w:tblPrEx>
        <w:trPr>
          <w:trHeight w:val="340" w:hRule="atLeast"/>
        </w:trPr>
        <w:tc>
          <w:tcPr>
            <w:tcW w:w="9420" w:type="dxa"/>
            <w:gridSpan w:val="17"/>
            <w:vAlign w:val="bottom"/>
          </w:tcPr>
          <w:p>
            <w:pPr>
              <w:spacing w:after="0" w:line="240" w:lineRule="exact"/>
              <w:rPr>
                <w:color w:val="auto"/>
                <w:sz w:val="20"/>
                <w:szCs w:val="20"/>
              </w:rPr>
            </w:pPr>
            <w:r>
              <w:rPr>
                <w:rFonts w:ascii="宋体" w:hAnsi="宋体" w:eastAsia="宋体" w:cs="宋体"/>
                <w:color w:val="auto"/>
                <w:sz w:val="21"/>
                <w:szCs w:val="21"/>
              </w:rPr>
              <w:t>案。采购代理机构将政府采购合同在省级以上人民政府财政部门指定媒体上公告并存档。</w:t>
            </w:r>
          </w:p>
        </w:tc>
      </w:tr>
      <w:tr>
        <w:tblPrEx>
          <w:tblCellMar>
            <w:top w:w="0" w:type="dxa"/>
            <w:left w:w="0" w:type="dxa"/>
            <w:bottom w:w="0" w:type="dxa"/>
            <w:right w:w="0" w:type="dxa"/>
          </w:tblCellMar>
        </w:tblPrEx>
        <w:trPr>
          <w:trHeight w:val="682" w:hRule="atLeast"/>
        </w:trPr>
        <w:tc>
          <w:tcPr>
            <w:tcW w:w="1480" w:type="dxa"/>
            <w:gridSpan w:val="5"/>
            <w:vAlign w:val="bottom"/>
          </w:tcPr>
          <w:p>
            <w:pPr>
              <w:spacing w:after="0" w:line="240" w:lineRule="exact"/>
              <w:rPr>
                <w:color w:val="auto"/>
                <w:sz w:val="20"/>
                <w:szCs w:val="20"/>
              </w:rPr>
            </w:pPr>
            <w:r>
              <w:rPr>
                <w:rFonts w:ascii="宋体" w:hAnsi="宋体" w:eastAsia="宋体" w:cs="宋体"/>
                <w:color w:val="auto"/>
                <w:w w:val="99"/>
                <w:sz w:val="21"/>
                <w:szCs w:val="21"/>
              </w:rPr>
              <w:t>甲方（公章）：</w:t>
            </w:r>
          </w:p>
        </w:tc>
        <w:tc>
          <w:tcPr>
            <w:tcW w:w="2440" w:type="dxa"/>
            <w:gridSpan w:val="2"/>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3260" w:type="dxa"/>
            <w:gridSpan w:val="4"/>
            <w:vAlign w:val="bottom"/>
          </w:tcPr>
          <w:p>
            <w:pPr>
              <w:spacing w:after="0" w:line="240" w:lineRule="exact"/>
              <w:ind w:left="520"/>
              <w:rPr>
                <w:color w:val="auto"/>
                <w:sz w:val="20"/>
                <w:szCs w:val="20"/>
              </w:rPr>
            </w:pPr>
            <w:r>
              <w:rPr>
                <w:rFonts w:ascii="宋体" w:hAnsi="宋体" w:eastAsia="宋体" w:cs="宋体"/>
                <w:color w:val="auto"/>
                <w:w w:val="99"/>
                <w:sz w:val="21"/>
                <w:szCs w:val="21"/>
              </w:rPr>
              <w:t>乙方（公章，自然人除外）：</w:t>
            </w:r>
          </w:p>
        </w:tc>
        <w:tc>
          <w:tcPr>
            <w:tcW w:w="2060" w:type="dxa"/>
            <w:gridSpan w:val="4"/>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8" w:hRule="atLeast"/>
        </w:trPr>
        <w:tc>
          <w:tcPr>
            <w:tcW w:w="3920" w:type="dxa"/>
            <w:gridSpan w:val="7"/>
            <w:vAlign w:val="bottom"/>
          </w:tcPr>
          <w:p>
            <w:pPr>
              <w:spacing w:after="0" w:line="240" w:lineRule="exact"/>
              <w:rPr>
                <w:color w:val="auto"/>
                <w:sz w:val="20"/>
                <w:szCs w:val="20"/>
              </w:rPr>
            </w:pPr>
            <w:r>
              <w:rPr>
                <w:rFonts w:ascii="宋体" w:hAnsi="宋体" w:eastAsia="宋体" w:cs="宋体"/>
                <w:color w:val="auto"/>
                <w:sz w:val="21"/>
                <w:szCs w:val="21"/>
              </w:rPr>
              <w:t>法定代表人签字：</w:t>
            </w:r>
          </w:p>
        </w:tc>
        <w:tc>
          <w:tcPr>
            <w:tcW w:w="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5320" w:type="dxa"/>
            <w:gridSpan w:val="8"/>
            <w:vAlign w:val="bottom"/>
          </w:tcPr>
          <w:p>
            <w:pPr>
              <w:spacing w:after="0" w:line="240" w:lineRule="exact"/>
              <w:ind w:left="520"/>
              <w:rPr>
                <w:color w:val="auto"/>
                <w:sz w:val="20"/>
                <w:szCs w:val="20"/>
              </w:rPr>
            </w:pPr>
            <w:r>
              <w:rPr>
                <w:rFonts w:ascii="宋体" w:hAnsi="宋体" w:eastAsia="宋体" w:cs="宋体"/>
                <w:color w:val="auto"/>
                <w:w w:val="98"/>
                <w:sz w:val="21"/>
                <w:szCs w:val="21"/>
              </w:rPr>
              <w:t>法定代表人（负责人、自然人）签字（属自然人的应</w:t>
            </w:r>
          </w:p>
        </w:tc>
      </w:tr>
      <w:tr>
        <w:tblPrEx>
          <w:tblCellMar>
            <w:top w:w="0" w:type="dxa"/>
            <w:left w:w="0" w:type="dxa"/>
            <w:bottom w:w="0" w:type="dxa"/>
            <w:right w:w="0" w:type="dxa"/>
          </w:tblCellMar>
        </w:tblPrEx>
        <w:trPr>
          <w:trHeight w:val="321" w:hRule="atLeast"/>
        </w:trPr>
        <w:tc>
          <w:tcPr>
            <w:tcW w:w="32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240" w:type="dxa"/>
            <w:tcBorders>
              <w:top w:val="single" w:color="auto" w:sz="8" w:space="0"/>
            </w:tcBorders>
            <w:vAlign w:val="bottom"/>
          </w:tcPr>
          <w:p>
            <w:pPr>
              <w:spacing w:after="0"/>
              <w:rPr>
                <w:color w:val="auto"/>
                <w:sz w:val="24"/>
                <w:szCs w:val="24"/>
              </w:rPr>
            </w:pPr>
          </w:p>
        </w:tc>
        <w:tc>
          <w:tcPr>
            <w:tcW w:w="60" w:type="dxa"/>
            <w:tcBorders>
              <w:top w:val="single" w:color="auto" w:sz="8" w:space="0"/>
            </w:tcBorders>
            <w:vAlign w:val="bottom"/>
          </w:tcPr>
          <w:p>
            <w:pPr>
              <w:spacing w:after="0"/>
              <w:rPr>
                <w:color w:val="auto"/>
                <w:sz w:val="24"/>
                <w:szCs w:val="24"/>
              </w:rPr>
            </w:pPr>
          </w:p>
        </w:tc>
        <w:tc>
          <w:tcPr>
            <w:tcW w:w="120" w:type="dxa"/>
            <w:vAlign w:val="bottom"/>
          </w:tcPr>
          <w:p>
            <w:pPr>
              <w:spacing w:after="0"/>
              <w:rPr>
                <w:color w:val="auto"/>
                <w:sz w:val="24"/>
                <w:szCs w:val="24"/>
              </w:rPr>
            </w:pPr>
          </w:p>
        </w:tc>
        <w:tc>
          <w:tcPr>
            <w:tcW w:w="3280" w:type="dxa"/>
            <w:gridSpan w:val="5"/>
            <w:vAlign w:val="bottom"/>
          </w:tcPr>
          <w:p>
            <w:pPr>
              <w:spacing w:after="0" w:line="240" w:lineRule="exact"/>
              <w:ind w:left="520"/>
              <w:rPr>
                <w:color w:val="auto"/>
                <w:sz w:val="20"/>
                <w:szCs w:val="20"/>
              </w:rPr>
            </w:pPr>
            <w:r>
              <w:rPr>
                <w:rFonts w:ascii="宋体" w:hAnsi="宋体" w:eastAsia="宋体" w:cs="宋体"/>
                <w:color w:val="auto"/>
                <w:sz w:val="21"/>
                <w:szCs w:val="21"/>
              </w:rPr>
              <w:t>在签名处加盖大拇指指印）：</w:t>
            </w:r>
          </w:p>
        </w:tc>
        <w:tc>
          <w:tcPr>
            <w:tcW w:w="2040" w:type="dxa"/>
            <w:gridSpan w:val="3"/>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21" w:hRule="atLeast"/>
        </w:trPr>
        <w:tc>
          <w:tcPr>
            <w:tcW w:w="3920" w:type="dxa"/>
            <w:gridSpan w:val="7"/>
            <w:vAlign w:val="bottom"/>
          </w:tcPr>
          <w:p>
            <w:pPr>
              <w:spacing w:after="0" w:line="240" w:lineRule="exact"/>
              <w:rPr>
                <w:color w:val="auto"/>
                <w:sz w:val="20"/>
                <w:szCs w:val="20"/>
              </w:rPr>
            </w:pPr>
            <w:r>
              <w:rPr>
                <w:rFonts w:ascii="宋体" w:hAnsi="宋体" w:eastAsia="宋体" w:cs="宋体"/>
                <w:color w:val="auto"/>
                <w:sz w:val="21"/>
                <w:szCs w:val="21"/>
              </w:rPr>
              <w:t>委托代理人：</w:t>
            </w:r>
          </w:p>
        </w:tc>
        <w:tc>
          <w:tcPr>
            <w:tcW w:w="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5320" w:type="dxa"/>
            <w:gridSpan w:val="8"/>
            <w:vAlign w:val="bottom"/>
          </w:tcPr>
          <w:p>
            <w:pPr>
              <w:spacing w:after="0" w:line="240" w:lineRule="exact"/>
              <w:ind w:left="520"/>
              <w:rPr>
                <w:color w:val="auto"/>
                <w:sz w:val="20"/>
                <w:szCs w:val="20"/>
              </w:rPr>
            </w:pPr>
            <w:r>
              <w:rPr>
                <w:rFonts w:ascii="宋体" w:hAnsi="宋体" w:eastAsia="宋体" w:cs="宋体"/>
                <w:color w:val="auto"/>
                <w:sz w:val="21"/>
                <w:szCs w:val="21"/>
              </w:rPr>
              <w:t>委托代理人：</w:t>
            </w:r>
          </w:p>
        </w:tc>
      </w:tr>
      <w:tr>
        <w:tblPrEx>
          <w:tblCellMar>
            <w:top w:w="0" w:type="dxa"/>
            <w:left w:w="0" w:type="dxa"/>
            <w:bottom w:w="0" w:type="dxa"/>
            <w:right w:w="0" w:type="dxa"/>
          </w:tblCellMar>
        </w:tblPrEx>
        <w:trPr>
          <w:trHeight w:val="320" w:hRule="atLeast"/>
        </w:trPr>
        <w:tc>
          <w:tcPr>
            <w:tcW w:w="320" w:type="dxa"/>
            <w:vAlign w:val="bottom"/>
          </w:tcPr>
          <w:p>
            <w:pPr>
              <w:spacing w:after="0" w:line="240" w:lineRule="exact"/>
              <w:rPr>
                <w:color w:val="auto"/>
                <w:sz w:val="20"/>
                <w:szCs w:val="20"/>
              </w:rPr>
            </w:pPr>
            <w:r>
              <w:rPr>
                <w:rFonts w:ascii="宋体" w:hAnsi="宋体" w:eastAsia="宋体" w:cs="宋体"/>
                <w:color w:val="auto"/>
                <w:sz w:val="21"/>
                <w:szCs w:val="21"/>
              </w:rPr>
              <w:t>电</w:t>
            </w:r>
          </w:p>
        </w:tc>
        <w:tc>
          <w:tcPr>
            <w:tcW w:w="940" w:type="dxa"/>
            <w:gridSpan w:val="3"/>
            <w:vAlign w:val="bottom"/>
          </w:tcPr>
          <w:p>
            <w:pPr>
              <w:spacing w:after="0" w:line="240" w:lineRule="exact"/>
              <w:ind w:left="100"/>
              <w:rPr>
                <w:color w:val="auto"/>
                <w:sz w:val="20"/>
                <w:szCs w:val="20"/>
              </w:rPr>
            </w:pPr>
            <w:r>
              <w:rPr>
                <w:rFonts w:ascii="宋体" w:hAnsi="宋体" w:eastAsia="宋体" w:cs="宋体"/>
                <w:color w:val="auto"/>
                <w:sz w:val="21"/>
                <w:szCs w:val="21"/>
              </w:rPr>
              <w:t>话：</w:t>
            </w:r>
          </w:p>
        </w:tc>
        <w:tc>
          <w:tcPr>
            <w:tcW w:w="2660" w:type="dxa"/>
            <w:gridSpan w:val="3"/>
            <w:tcBorders>
              <w:top w:val="single" w:color="auto" w:sz="8" w:space="0"/>
            </w:tcBorders>
            <w:vAlign w:val="bottom"/>
          </w:tcPr>
          <w:p>
            <w:pPr>
              <w:spacing w:after="0"/>
              <w:rPr>
                <w:color w:val="auto"/>
                <w:sz w:val="24"/>
                <w:szCs w:val="24"/>
              </w:rPr>
            </w:pPr>
          </w:p>
        </w:tc>
        <w:tc>
          <w:tcPr>
            <w:tcW w:w="6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900" w:type="dxa"/>
            <w:vAlign w:val="bottom"/>
          </w:tcPr>
          <w:p>
            <w:pPr>
              <w:spacing w:after="0" w:line="240" w:lineRule="exact"/>
              <w:ind w:left="520"/>
              <w:rPr>
                <w:color w:val="auto"/>
                <w:sz w:val="20"/>
                <w:szCs w:val="20"/>
              </w:rPr>
            </w:pPr>
            <w:r>
              <w:rPr>
                <w:rFonts w:ascii="宋体" w:hAnsi="宋体" w:eastAsia="宋体" w:cs="宋体"/>
                <w:color w:val="auto"/>
                <w:sz w:val="21"/>
                <w:szCs w:val="21"/>
              </w:rPr>
              <w:t>电</w:t>
            </w:r>
          </w:p>
        </w:tc>
        <w:tc>
          <w:tcPr>
            <w:tcW w:w="880" w:type="dxa"/>
            <w:gridSpan w:val="2"/>
            <w:vAlign w:val="bottom"/>
          </w:tcPr>
          <w:p>
            <w:pPr>
              <w:spacing w:after="0" w:line="240" w:lineRule="exact"/>
              <w:ind w:left="160"/>
              <w:rPr>
                <w:color w:val="auto"/>
                <w:sz w:val="20"/>
                <w:szCs w:val="20"/>
              </w:rPr>
            </w:pPr>
            <w:r>
              <w:rPr>
                <w:rFonts w:ascii="宋体" w:hAnsi="宋体" w:eastAsia="宋体" w:cs="宋体"/>
                <w:color w:val="auto"/>
                <w:sz w:val="21"/>
                <w:szCs w:val="21"/>
              </w:rPr>
              <w:t>话：</w:t>
            </w:r>
          </w:p>
        </w:tc>
        <w:tc>
          <w:tcPr>
            <w:tcW w:w="3460" w:type="dxa"/>
            <w:gridSpan w:val="4"/>
            <w:tcBorders>
              <w:top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840" w:type="dxa"/>
            <w:gridSpan w:val="2"/>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2860" w:type="dxa"/>
            <w:gridSpan w:val="4"/>
            <w:shd w:val="clear" w:color="auto" w:fill="000000"/>
            <w:vAlign w:val="bottom"/>
          </w:tcPr>
          <w:p>
            <w:pPr>
              <w:spacing w:after="0" w:line="20" w:lineRule="exact"/>
              <w:rPr>
                <w:color w:val="auto"/>
                <w:sz w:val="1"/>
                <w:szCs w:val="1"/>
              </w:rPr>
            </w:pPr>
          </w:p>
        </w:tc>
        <w:tc>
          <w:tcPr>
            <w:tcW w:w="6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580" w:type="dxa"/>
            <w:gridSpan w:val="2"/>
            <w:vAlign w:val="bottom"/>
          </w:tcPr>
          <w:p>
            <w:pPr>
              <w:spacing w:after="0" w:line="20" w:lineRule="exact"/>
              <w:rPr>
                <w:color w:val="auto"/>
                <w:sz w:val="1"/>
                <w:szCs w:val="1"/>
              </w:rPr>
            </w:pPr>
          </w:p>
        </w:tc>
        <w:tc>
          <w:tcPr>
            <w:tcW w:w="3560" w:type="dxa"/>
            <w:gridSpan w:val="4"/>
            <w:shd w:val="clear" w:color="auto" w:fill="000000"/>
            <w:vAlign w:val="bottom"/>
          </w:tcPr>
          <w:p>
            <w:pPr>
              <w:spacing w:after="0" w:line="20" w:lineRule="exact"/>
              <w:rPr>
                <w:color w:val="auto"/>
                <w:sz w:val="1"/>
                <w:szCs w:val="1"/>
              </w:rPr>
            </w:pPr>
          </w:p>
        </w:tc>
        <w:tc>
          <w:tcPr>
            <w:tcW w:w="18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20" w:hRule="atLeast"/>
        </w:trPr>
        <w:tc>
          <w:tcPr>
            <w:tcW w:w="1060" w:type="dxa"/>
            <w:gridSpan w:val="3"/>
            <w:vAlign w:val="bottom"/>
          </w:tcPr>
          <w:p>
            <w:pPr>
              <w:spacing w:after="0" w:line="240" w:lineRule="exact"/>
              <w:rPr>
                <w:color w:val="auto"/>
                <w:sz w:val="20"/>
                <w:szCs w:val="20"/>
              </w:rPr>
            </w:pPr>
            <w:r>
              <w:rPr>
                <w:rFonts w:ascii="宋体" w:hAnsi="宋体" w:eastAsia="宋体" w:cs="宋体"/>
                <w:color w:val="auto"/>
                <w:w w:val="99"/>
                <w:sz w:val="21"/>
                <w:szCs w:val="21"/>
              </w:rPr>
              <w:t>开户名称：</w:t>
            </w:r>
          </w:p>
        </w:tc>
        <w:tc>
          <w:tcPr>
            <w:tcW w:w="2860" w:type="dxa"/>
            <w:gridSpan w:val="4"/>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580" w:type="dxa"/>
            <w:gridSpan w:val="2"/>
            <w:vAlign w:val="bottom"/>
          </w:tcPr>
          <w:p>
            <w:pPr>
              <w:spacing w:after="0" w:line="240" w:lineRule="exact"/>
              <w:ind w:left="520"/>
              <w:rPr>
                <w:color w:val="auto"/>
                <w:sz w:val="20"/>
                <w:szCs w:val="20"/>
              </w:rPr>
            </w:pPr>
            <w:r>
              <w:rPr>
                <w:rFonts w:ascii="宋体" w:hAnsi="宋体" w:eastAsia="宋体" w:cs="宋体"/>
                <w:color w:val="auto"/>
                <w:w w:val="99"/>
                <w:sz w:val="21"/>
                <w:szCs w:val="21"/>
              </w:rPr>
              <w:t>开户名称：</w:t>
            </w:r>
          </w:p>
        </w:tc>
        <w:tc>
          <w:tcPr>
            <w:tcW w:w="3660" w:type="dxa"/>
            <w:gridSpan w:val="5"/>
            <w:tcBorders>
              <w:bottom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r>
      <w:tr>
        <w:tblPrEx>
          <w:tblCellMar>
            <w:top w:w="0" w:type="dxa"/>
            <w:left w:w="0" w:type="dxa"/>
            <w:bottom w:w="0" w:type="dxa"/>
            <w:right w:w="0" w:type="dxa"/>
          </w:tblCellMar>
        </w:tblPrEx>
        <w:trPr>
          <w:trHeight w:val="321" w:hRule="atLeast"/>
        </w:trPr>
        <w:tc>
          <w:tcPr>
            <w:tcW w:w="1060" w:type="dxa"/>
            <w:gridSpan w:val="3"/>
            <w:vAlign w:val="bottom"/>
          </w:tcPr>
          <w:p>
            <w:pPr>
              <w:spacing w:after="0" w:line="240" w:lineRule="exact"/>
              <w:rPr>
                <w:color w:val="auto"/>
                <w:sz w:val="20"/>
                <w:szCs w:val="20"/>
              </w:rPr>
            </w:pPr>
            <w:r>
              <w:rPr>
                <w:rFonts w:ascii="宋体" w:hAnsi="宋体" w:eastAsia="宋体" w:cs="宋体"/>
                <w:color w:val="auto"/>
                <w:w w:val="99"/>
                <w:sz w:val="21"/>
                <w:szCs w:val="21"/>
              </w:rPr>
              <w:t>开户银行：</w:t>
            </w:r>
          </w:p>
        </w:tc>
        <w:tc>
          <w:tcPr>
            <w:tcW w:w="2860" w:type="dxa"/>
            <w:gridSpan w:val="4"/>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580" w:type="dxa"/>
            <w:gridSpan w:val="2"/>
            <w:vAlign w:val="bottom"/>
          </w:tcPr>
          <w:p>
            <w:pPr>
              <w:spacing w:after="0" w:line="240" w:lineRule="exact"/>
              <w:ind w:left="520"/>
              <w:rPr>
                <w:color w:val="auto"/>
                <w:sz w:val="20"/>
                <w:szCs w:val="20"/>
              </w:rPr>
            </w:pPr>
            <w:r>
              <w:rPr>
                <w:rFonts w:ascii="宋体" w:hAnsi="宋体" w:eastAsia="宋体" w:cs="宋体"/>
                <w:color w:val="auto"/>
                <w:w w:val="99"/>
                <w:sz w:val="21"/>
                <w:szCs w:val="21"/>
              </w:rPr>
              <w:t>开户银行：</w:t>
            </w:r>
          </w:p>
        </w:tc>
        <w:tc>
          <w:tcPr>
            <w:tcW w:w="3660" w:type="dxa"/>
            <w:gridSpan w:val="5"/>
            <w:tcBorders>
              <w:bottom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r>
      <w:tr>
        <w:tblPrEx>
          <w:tblCellMar>
            <w:top w:w="0" w:type="dxa"/>
            <w:left w:w="0" w:type="dxa"/>
            <w:bottom w:w="0" w:type="dxa"/>
            <w:right w:w="0" w:type="dxa"/>
          </w:tblCellMar>
        </w:tblPrEx>
        <w:trPr>
          <w:trHeight w:val="320" w:hRule="atLeast"/>
        </w:trPr>
        <w:tc>
          <w:tcPr>
            <w:tcW w:w="1060" w:type="dxa"/>
            <w:gridSpan w:val="3"/>
            <w:vAlign w:val="bottom"/>
          </w:tcPr>
          <w:p>
            <w:pPr>
              <w:spacing w:after="0" w:line="240" w:lineRule="exact"/>
              <w:rPr>
                <w:color w:val="auto"/>
                <w:sz w:val="20"/>
                <w:szCs w:val="20"/>
              </w:rPr>
            </w:pPr>
            <w:r>
              <w:rPr>
                <w:rFonts w:ascii="宋体" w:hAnsi="宋体" w:eastAsia="宋体" w:cs="宋体"/>
                <w:color w:val="auto"/>
                <w:w w:val="99"/>
                <w:sz w:val="21"/>
                <w:szCs w:val="21"/>
              </w:rPr>
              <w:t>银行账号：</w:t>
            </w:r>
          </w:p>
        </w:tc>
        <w:tc>
          <w:tcPr>
            <w:tcW w:w="2860" w:type="dxa"/>
            <w:gridSpan w:val="4"/>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580" w:type="dxa"/>
            <w:gridSpan w:val="2"/>
            <w:vAlign w:val="bottom"/>
          </w:tcPr>
          <w:p>
            <w:pPr>
              <w:spacing w:after="0" w:line="240" w:lineRule="exact"/>
              <w:ind w:left="520"/>
              <w:rPr>
                <w:color w:val="auto"/>
                <w:sz w:val="20"/>
                <w:szCs w:val="20"/>
              </w:rPr>
            </w:pPr>
            <w:r>
              <w:rPr>
                <w:rFonts w:ascii="宋体" w:hAnsi="宋体" w:eastAsia="宋体" w:cs="宋体"/>
                <w:color w:val="auto"/>
                <w:w w:val="99"/>
                <w:sz w:val="21"/>
                <w:szCs w:val="21"/>
              </w:rPr>
              <w:t>银行账号：</w:t>
            </w:r>
          </w:p>
        </w:tc>
        <w:tc>
          <w:tcPr>
            <w:tcW w:w="3560" w:type="dxa"/>
            <w:gridSpan w:val="4"/>
            <w:tcBorders>
              <w:bottom w:val="single" w:color="auto" w:sz="8" w:space="0"/>
            </w:tcBorders>
            <w:vAlign w:val="bottom"/>
          </w:tcPr>
          <w:p>
            <w:pPr>
              <w:spacing w:after="0"/>
              <w:rPr>
                <w:color w:val="auto"/>
                <w:sz w:val="24"/>
                <w:szCs w:val="24"/>
              </w:rPr>
            </w:pP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20" w:hRule="atLeast"/>
        </w:trPr>
        <w:tc>
          <w:tcPr>
            <w:tcW w:w="320" w:type="dxa"/>
            <w:vAlign w:val="bottom"/>
          </w:tcPr>
          <w:p>
            <w:pPr>
              <w:spacing w:after="0" w:line="240" w:lineRule="exact"/>
              <w:rPr>
                <w:color w:val="auto"/>
                <w:sz w:val="20"/>
                <w:szCs w:val="20"/>
              </w:rPr>
            </w:pPr>
            <w:r>
              <w:rPr>
                <w:rFonts w:ascii="宋体" w:hAnsi="宋体" w:eastAsia="宋体" w:cs="宋体"/>
                <w:color w:val="auto"/>
                <w:sz w:val="21"/>
                <w:szCs w:val="21"/>
              </w:rPr>
              <w:t>日</w:t>
            </w:r>
          </w:p>
        </w:tc>
        <w:tc>
          <w:tcPr>
            <w:tcW w:w="740" w:type="dxa"/>
            <w:gridSpan w:val="2"/>
            <w:vAlign w:val="bottom"/>
          </w:tcPr>
          <w:p>
            <w:pPr>
              <w:spacing w:after="0" w:line="240" w:lineRule="exact"/>
              <w:ind w:left="320"/>
              <w:rPr>
                <w:color w:val="auto"/>
                <w:sz w:val="20"/>
                <w:szCs w:val="20"/>
              </w:rPr>
            </w:pPr>
            <w:r>
              <w:rPr>
                <w:rFonts w:ascii="宋体" w:hAnsi="宋体" w:eastAsia="宋体" w:cs="宋体"/>
                <w:color w:val="auto"/>
                <w:w w:val="95"/>
                <w:sz w:val="21"/>
                <w:szCs w:val="21"/>
              </w:rPr>
              <w:t>期：</w:t>
            </w:r>
          </w:p>
        </w:tc>
        <w:tc>
          <w:tcPr>
            <w:tcW w:w="2860" w:type="dxa"/>
            <w:gridSpan w:val="4"/>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900" w:type="dxa"/>
            <w:vAlign w:val="bottom"/>
          </w:tcPr>
          <w:p>
            <w:pPr>
              <w:spacing w:after="0" w:line="240" w:lineRule="exact"/>
              <w:ind w:left="520"/>
              <w:rPr>
                <w:color w:val="auto"/>
                <w:sz w:val="20"/>
                <w:szCs w:val="20"/>
              </w:rPr>
            </w:pPr>
            <w:r>
              <w:rPr>
                <w:rFonts w:ascii="宋体" w:hAnsi="宋体" w:eastAsia="宋体" w:cs="宋体"/>
                <w:color w:val="auto"/>
                <w:sz w:val="21"/>
                <w:szCs w:val="21"/>
              </w:rPr>
              <w:t>日</w:t>
            </w:r>
          </w:p>
        </w:tc>
        <w:tc>
          <w:tcPr>
            <w:tcW w:w="680" w:type="dxa"/>
            <w:vAlign w:val="bottom"/>
          </w:tcPr>
          <w:p>
            <w:pPr>
              <w:spacing w:after="0" w:line="240" w:lineRule="exact"/>
              <w:ind w:left="260"/>
              <w:rPr>
                <w:color w:val="auto"/>
                <w:sz w:val="20"/>
                <w:szCs w:val="20"/>
              </w:rPr>
            </w:pPr>
            <w:r>
              <w:rPr>
                <w:rFonts w:ascii="宋体" w:hAnsi="宋体" w:eastAsia="宋体" w:cs="宋体"/>
                <w:color w:val="auto"/>
                <w:w w:val="95"/>
                <w:sz w:val="21"/>
                <w:szCs w:val="21"/>
              </w:rPr>
              <w:t>期：</w:t>
            </w:r>
          </w:p>
        </w:tc>
        <w:tc>
          <w:tcPr>
            <w:tcW w:w="3660" w:type="dxa"/>
            <w:gridSpan w:val="5"/>
            <w:tcBorders>
              <w:bottom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r>
    </w:tbl>
    <w:p>
      <w:pPr>
        <w:spacing w:after="0" w:line="87" w:lineRule="exact"/>
        <w:rPr>
          <w:color w:val="auto"/>
          <w:sz w:val="20"/>
          <w:szCs w:val="20"/>
        </w:rPr>
      </w:pPr>
    </w:p>
    <w:p>
      <w:pPr>
        <w:spacing w:after="0" w:line="240" w:lineRule="exact"/>
        <w:rPr>
          <w:color w:val="auto"/>
          <w:sz w:val="20"/>
          <w:szCs w:val="20"/>
        </w:rPr>
      </w:pPr>
      <w:r>
        <w:rPr>
          <w:rFonts w:ascii="宋体" w:hAnsi="宋体" w:eastAsia="宋体" w:cs="宋体"/>
          <w:b/>
          <w:bCs/>
          <w:color w:val="auto"/>
          <w:sz w:val="21"/>
          <w:szCs w:val="21"/>
        </w:rPr>
        <w:t>（双方对合同签署时间无异议）</w:t>
      </w:r>
    </w:p>
    <w:p>
      <w:pPr>
        <w:spacing w:line="200" w:lineRule="exact"/>
        <w:rPr>
          <w:rFonts w:ascii="宋体" w:hAnsi="宋体" w:eastAsia="宋体"/>
          <w:sz w:val="24"/>
          <w:szCs w:val="24"/>
        </w:rPr>
      </w:pPr>
    </w:p>
    <w:p>
      <w:pPr>
        <w:spacing w:after="0" w:line="366" w:lineRule="exact"/>
        <w:jc w:val="center"/>
        <w:rPr>
          <w:rFonts w:ascii="宋体" w:hAnsi="宋体" w:eastAsia="宋体" w:cs="宋体"/>
          <w:b/>
          <w:bCs/>
          <w:color w:val="auto"/>
          <w:sz w:val="32"/>
          <w:szCs w:val="32"/>
        </w:rPr>
      </w:pPr>
    </w:p>
    <w:p>
      <w:pPr>
        <w:spacing w:after="0" w:line="366" w:lineRule="exact"/>
        <w:jc w:val="center"/>
        <w:rPr>
          <w:rFonts w:ascii="宋体" w:hAnsi="宋体" w:eastAsia="宋体" w:cs="宋体"/>
          <w:b/>
          <w:bCs/>
          <w:color w:val="auto"/>
          <w:sz w:val="32"/>
          <w:szCs w:val="32"/>
        </w:rPr>
      </w:pPr>
    </w:p>
    <w:p>
      <w:pPr>
        <w:spacing w:after="0" w:line="366" w:lineRule="exact"/>
        <w:jc w:val="center"/>
        <w:rPr>
          <w:color w:val="auto"/>
          <w:sz w:val="20"/>
          <w:szCs w:val="20"/>
        </w:rPr>
      </w:pPr>
      <w:r>
        <w:rPr>
          <w:rFonts w:ascii="宋体" w:hAnsi="宋体" w:eastAsia="宋体" w:cs="宋体"/>
          <w:b/>
          <w:bCs/>
          <w:color w:val="auto"/>
          <w:sz w:val="32"/>
          <w:szCs w:val="32"/>
        </w:rPr>
        <w:t>第六章 响应文件（格式）</w:t>
      </w:r>
    </w:p>
    <w:p>
      <w:pPr>
        <w:spacing w:after="0" w:line="284" w:lineRule="exact"/>
        <w:rPr>
          <w:color w:val="auto"/>
          <w:sz w:val="20"/>
          <w:szCs w:val="20"/>
        </w:rPr>
      </w:pPr>
    </w:p>
    <w:p>
      <w:pPr>
        <w:spacing w:after="0" w:line="320" w:lineRule="exact"/>
        <w:rPr>
          <w:color w:val="auto"/>
          <w:sz w:val="20"/>
          <w:szCs w:val="20"/>
        </w:rPr>
      </w:pPr>
      <w:r>
        <w:rPr>
          <w:rFonts w:ascii="宋体" w:hAnsi="宋体" w:eastAsia="宋体" w:cs="宋体"/>
          <w:b/>
          <w:bCs/>
          <w:color w:val="auto"/>
          <w:sz w:val="28"/>
          <w:szCs w:val="28"/>
        </w:rPr>
        <w:t>1、响应函（格式见附件）（必须提供）；</w:t>
      </w:r>
    </w:p>
    <w:p>
      <w:pPr>
        <w:spacing w:after="0" w:line="302"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附件：</w:t>
      </w:r>
    </w:p>
    <w:p>
      <w:pPr>
        <w:spacing w:after="0" w:line="144" w:lineRule="exact"/>
        <w:rPr>
          <w:color w:val="auto"/>
          <w:sz w:val="20"/>
          <w:szCs w:val="20"/>
        </w:rPr>
      </w:pPr>
    </w:p>
    <w:p>
      <w:pPr>
        <w:spacing w:after="0" w:line="366" w:lineRule="exact"/>
        <w:ind w:left="3660"/>
        <w:rPr>
          <w:color w:val="auto"/>
          <w:sz w:val="20"/>
          <w:szCs w:val="20"/>
        </w:rPr>
      </w:pPr>
      <w:r>
        <w:rPr>
          <w:rFonts w:ascii="宋体" w:hAnsi="宋体" w:eastAsia="宋体" w:cs="宋体"/>
          <w:b/>
          <w:bCs/>
          <w:color w:val="auto"/>
          <w:sz w:val="32"/>
          <w:szCs w:val="32"/>
        </w:rPr>
        <w:t>响 应 函 （格 式）</w:t>
      </w:r>
    </w:p>
    <w:p>
      <w:pPr>
        <w:spacing w:after="0" w:line="246" w:lineRule="exact"/>
        <w:rPr>
          <w:color w:val="auto"/>
          <w:sz w:val="20"/>
          <w:szCs w:val="20"/>
        </w:rPr>
      </w:pPr>
    </w:p>
    <w:p>
      <w:pPr>
        <w:spacing w:after="0" w:line="240" w:lineRule="exact"/>
        <w:rPr>
          <w:rFonts w:hint="eastAsia" w:eastAsia="宋体"/>
          <w:color w:val="auto"/>
          <w:sz w:val="20"/>
          <w:szCs w:val="20"/>
          <w:lang w:eastAsia="zh-CN"/>
        </w:rPr>
      </w:pPr>
      <w:r>
        <w:rPr>
          <w:rFonts w:ascii="宋体" w:hAnsi="宋体" w:eastAsia="宋体" w:cs="宋体"/>
          <w:color w:val="auto"/>
          <w:sz w:val="21"/>
          <w:szCs w:val="21"/>
        </w:rPr>
        <w:t>致</w:t>
      </w:r>
      <w:r>
        <w:rPr>
          <w:rFonts w:ascii="宋体" w:hAnsi="宋体" w:eastAsia="宋体" w:cs="宋体"/>
          <w:color w:val="auto"/>
          <w:sz w:val="21"/>
          <w:szCs w:val="21"/>
          <w:u w:val="single" w:color="auto"/>
        </w:rPr>
        <w:t>：</w:t>
      </w:r>
      <w:r>
        <w:rPr>
          <w:rFonts w:hint="eastAsia" w:ascii="宋体" w:hAnsi="宋体" w:eastAsia="宋体" w:cs="宋体"/>
          <w:color w:val="auto"/>
          <w:sz w:val="21"/>
          <w:szCs w:val="21"/>
          <w:u w:val="single" w:color="auto"/>
          <w:lang w:eastAsia="zh-CN"/>
        </w:rPr>
        <w:t>广西八桂建设项目管理有限公司</w:t>
      </w:r>
    </w:p>
    <w:p>
      <w:pPr>
        <w:spacing w:after="0" w:line="172" w:lineRule="exact"/>
        <w:rPr>
          <w:color w:val="auto"/>
          <w:sz w:val="20"/>
          <w:szCs w:val="20"/>
        </w:rPr>
      </w:pPr>
    </w:p>
    <w:p>
      <w:pPr>
        <w:spacing w:after="0" w:line="294" w:lineRule="exact"/>
        <w:ind w:firstLine="420"/>
        <w:rPr>
          <w:color w:val="auto"/>
          <w:sz w:val="20"/>
          <w:szCs w:val="20"/>
        </w:rPr>
      </w:pPr>
      <w:r>
        <w:rPr>
          <w:rFonts w:ascii="宋体" w:hAnsi="宋体" w:eastAsia="宋体" w:cs="宋体"/>
          <w:color w:val="auto"/>
          <w:sz w:val="21"/>
          <w:szCs w:val="21"/>
        </w:rPr>
        <w:t>根据贵方</w:t>
      </w:r>
      <w:r>
        <w:rPr>
          <w:rFonts w:hint="eastAsia" w:ascii="宋体" w:hAnsi="宋体" w:eastAsia="宋体" w:cs="宋体"/>
          <w:color w:val="auto"/>
          <w:sz w:val="21"/>
          <w:szCs w:val="21"/>
          <w:u w:val="single" w:color="auto"/>
          <w:lang w:eastAsia="zh-CN"/>
        </w:rPr>
        <w:t>灵川县三街镇雪亮工程建设工程服务采购</w:t>
      </w:r>
      <w:r>
        <w:rPr>
          <w:rFonts w:ascii="宋体" w:hAnsi="宋体" w:eastAsia="宋体" w:cs="宋体"/>
          <w:color w:val="auto"/>
          <w:sz w:val="21"/>
          <w:szCs w:val="21"/>
        </w:rPr>
        <w:t xml:space="preserve">项目磋商文件，项目编号 </w:t>
      </w:r>
      <w:r>
        <w:rPr>
          <w:rFonts w:hint="eastAsia" w:ascii="宋体" w:hAnsi="宋体" w:eastAsia="宋体" w:cs="宋体"/>
          <w:color w:val="auto"/>
          <w:sz w:val="21"/>
          <w:szCs w:val="21"/>
          <w:u w:val="single" w:color="auto"/>
          <w:lang w:val="en-US" w:eastAsia="zh-CN"/>
        </w:rPr>
        <w:t xml:space="preserve">          </w:t>
      </w:r>
      <w:r>
        <w:rPr>
          <w:rFonts w:ascii="宋体" w:hAnsi="宋体" w:eastAsia="宋体" w:cs="宋体"/>
          <w:color w:val="auto"/>
          <w:sz w:val="21"/>
          <w:szCs w:val="21"/>
        </w:rPr>
        <w:t xml:space="preserve">，签字代表（姓名）经正式授权并代表供应商 </w:t>
      </w:r>
      <w:r>
        <w:rPr>
          <w:rFonts w:ascii="宋体" w:hAnsi="宋体" w:eastAsia="宋体" w:cs="宋体"/>
          <w:color w:val="auto"/>
          <w:sz w:val="21"/>
          <w:szCs w:val="21"/>
          <w:u w:val="single" w:color="auto"/>
        </w:rPr>
        <w:t>（供应商单位名称）</w:t>
      </w:r>
      <w:r>
        <w:rPr>
          <w:rFonts w:ascii="宋体" w:hAnsi="宋体" w:eastAsia="宋体" w:cs="宋体"/>
          <w:color w:val="auto"/>
          <w:sz w:val="21"/>
          <w:szCs w:val="21"/>
        </w:rPr>
        <w:t xml:space="preserve"> ，提交响应文件正本一份，副本叁份。</w:t>
      </w:r>
    </w:p>
    <w:p>
      <w:pPr>
        <w:spacing w:after="0" w:line="142"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据此函，签字代表宣布同意如下：</w:t>
      </w:r>
    </w:p>
    <w:p>
      <w:pPr>
        <w:spacing w:after="0" w:line="14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1.按磋商文件采购需求和磋商报价表：</w:t>
      </w:r>
    </w:p>
    <w:p>
      <w:pPr>
        <w:spacing w:after="0" w:line="141" w:lineRule="exact"/>
        <w:rPr>
          <w:color w:val="auto"/>
          <w:sz w:val="20"/>
          <w:szCs w:val="20"/>
        </w:rPr>
      </w:pPr>
    </w:p>
    <w:p>
      <w:pPr>
        <w:tabs>
          <w:tab w:val="left" w:pos="3760"/>
          <w:tab w:val="left" w:pos="6400"/>
        </w:tabs>
        <w:spacing w:after="0" w:line="240" w:lineRule="exact"/>
        <w:ind w:left="420"/>
        <w:rPr>
          <w:color w:val="auto"/>
          <w:sz w:val="20"/>
          <w:szCs w:val="20"/>
        </w:rPr>
      </w:pPr>
      <w:r>
        <w:rPr>
          <w:rFonts w:ascii="宋体" w:hAnsi="宋体" w:eastAsia="宋体" w:cs="宋体"/>
          <w:color w:val="auto"/>
          <w:sz w:val="21"/>
          <w:szCs w:val="21"/>
        </w:rPr>
        <w:t>磋商报价（大写）</w:t>
      </w:r>
      <w:r>
        <w:rPr>
          <w:color w:val="auto"/>
          <w:sz w:val="20"/>
          <w:szCs w:val="20"/>
        </w:rPr>
        <w:tab/>
      </w:r>
      <w:r>
        <w:rPr>
          <w:rFonts w:ascii="宋体" w:hAnsi="宋体" w:eastAsia="宋体" w:cs="宋体"/>
          <w:color w:val="auto"/>
          <w:sz w:val="21"/>
          <w:szCs w:val="21"/>
        </w:rPr>
        <w:t>元人民币(￥</w:t>
      </w:r>
      <w:r>
        <w:rPr>
          <w:color w:val="auto"/>
          <w:sz w:val="20"/>
          <w:szCs w:val="20"/>
        </w:rPr>
        <w:tab/>
      </w:r>
      <w:r>
        <w:rPr>
          <w:rFonts w:ascii="宋体" w:hAnsi="宋体" w:eastAsia="宋体" w:cs="宋体"/>
          <w:color w:val="auto"/>
          <w:sz w:val="19"/>
          <w:szCs w:val="19"/>
        </w:rPr>
        <w:t>)；</w:t>
      </w:r>
    </w:p>
    <w:p>
      <w:pPr>
        <w:spacing w:after="0" w:line="20" w:lineRule="exact"/>
        <w:rPr>
          <w:color w:val="auto"/>
          <w:sz w:val="20"/>
          <w:szCs w:val="20"/>
        </w:rPr>
      </w:pPr>
      <w:r>
        <w:rPr>
          <w:color w:val="auto"/>
          <w:sz w:val="20"/>
          <w:szCs w:val="20"/>
        </w:rPr>
        <w:pict>
          <v:line id="Shape 38" o:spid="_x0000_s1060" o:spt="20" style="position:absolute;left:0pt;margin-left:105.3pt;margin-top:0.4pt;height:0pt;width:83.95pt;z-index:-251651072;mso-width-relative:page;mso-height-relative:page;" fillcolor="#FFFFFF" filled="t" stroked="t" coordsize="21600,21600" o:allowincell="f" o:gfxdata="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1hf0ftMAAAAFAQAADwAAAAAAAAABACAAAAAiAAAAZHJz&#10;L2Rvd25yZXYueG1sUEsBAhQAFAAAAAgAh07iQD6uTFWXAQAATQMAAA4AAAAAAAAAAQAgAAAAIgEA&#10;AGRycy9lMm9Eb2MueG1sUEsFBgAAAAAGAAYAWQEAACsFAAAAAA==&#10;">
            <v:path arrowok="t"/>
            <v:fill on="t" focussize="0,0"/>
            <v:stroke weight="0.53992125984252pt" color="#000000" miterlimit="8" joinstyle="miter"/>
            <v:imagedata o:title=""/>
            <o:lock v:ext="edit" aspectratio="f"/>
          </v:line>
        </w:pict>
      </w:r>
      <w:r>
        <w:rPr>
          <w:color w:val="auto"/>
          <w:sz w:val="20"/>
          <w:szCs w:val="20"/>
        </w:rPr>
        <w:pict>
          <v:line id="Shape 39" o:spid="_x0000_s1061" o:spt="20" style="position:absolute;left:0pt;margin-left:247pt;margin-top:0.4pt;height:0pt;width:73.5pt;z-index:-251651072;mso-width-relative:page;mso-height-relative:page;" fillcolor="#FFFFFF" filled="t" stroked="t" coordsize="21600,21600" o:allowincell="f" o:gfxdata="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WElHJdMAAAAFAQAADwAAAAAAAAABACAAAAAiAAAAZHJz&#10;L2Rvd25yZXYueG1sUEsBAhQAFAAAAAgAh07iQHAqNmeXAQAATAMAAA4AAAAAAAAAAQAgAAAAIgEA&#10;AGRycy9lMm9Eb2MueG1sUEsFBgAAAAAGAAYAWQEAACsFAAAAAA==&#10;">
            <v:path arrowok="t"/>
            <v:fill on="t" focussize="0,0"/>
            <v:stroke weight="0.53992125984252pt" color="#000000" miterlimit="8" joinstyle="miter"/>
            <v:imagedata o:title=""/>
            <o:lock v:ext="edit" aspectratio="f"/>
          </v:line>
        </w:pict>
      </w:r>
    </w:p>
    <w:p>
      <w:pPr>
        <w:spacing w:after="0" w:line="12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2.我方承诺已具备磋商文件规定的供应商资格条件。</w:t>
      </w:r>
    </w:p>
    <w:p>
      <w:pPr>
        <w:spacing w:after="0" w:line="172" w:lineRule="exact"/>
        <w:rPr>
          <w:color w:val="auto"/>
          <w:sz w:val="20"/>
          <w:szCs w:val="20"/>
        </w:rPr>
      </w:pPr>
    </w:p>
    <w:p>
      <w:pPr>
        <w:spacing w:after="0" w:line="294" w:lineRule="exact"/>
        <w:ind w:firstLine="420"/>
        <w:rPr>
          <w:color w:val="auto"/>
          <w:sz w:val="20"/>
          <w:szCs w:val="20"/>
        </w:rPr>
      </w:pPr>
      <w:r>
        <w:rPr>
          <w:rFonts w:ascii="宋体" w:hAnsi="宋体" w:eastAsia="宋体" w:cs="宋体"/>
          <w:color w:val="auto"/>
          <w:sz w:val="21"/>
          <w:szCs w:val="21"/>
        </w:rPr>
        <w:t>3.我方已详细审核磋商文件，包括修改文件（如有的话）和有关附件，将自行承担因对全部磋商文件理解不正确或误解而产生的相应后果。</w:t>
      </w:r>
    </w:p>
    <w:p>
      <w:pPr>
        <w:spacing w:after="0" w:line="142"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4.响应文件有效期为响应文件递交截止时间之日起</w:t>
      </w:r>
      <w:r>
        <w:rPr>
          <w:rFonts w:hint="eastAsia" w:ascii="宋体" w:hAnsi="宋体" w:eastAsia="宋体" w:cs="宋体"/>
          <w:color w:val="auto"/>
          <w:sz w:val="21"/>
          <w:szCs w:val="21"/>
          <w:lang w:val="en-US" w:eastAsia="zh-CN"/>
        </w:rPr>
        <w:t>60</w:t>
      </w:r>
      <w:r>
        <w:rPr>
          <w:rFonts w:ascii="宋体" w:hAnsi="宋体" w:eastAsia="宋体" w:cs="宋体"/>
          <w:color w:val="auto"/>
          <w:sz w:val="21"/>
          <w:szCs w:val="21"/>
        </w:rPr>
        <w:t>天。</w:t>
      </w:r>
    </w:p>
    <w:p>
      <w:pPr>
        <w:spacing w:after="0" w:line="14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5.如我方成交：</w:t>
      </w:r>
    </w:p>
    <w:p>
      <w:pPr>
        <w:spacing w:after="0" w:line="14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（1）我方承诺在收到成交通知书后，在成交通知书规定的期限内与采购人签订合同。</w:t>
      </w:r>
    </w:p>
    <w:p>
      <w:pPr>
        <w:spacing w:after="0" w:line="14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（2）我方承诺按照磋商文件规定递交履约担保。</w:t>
      </w:r>
    </w:p>
    <w:p>
      <w:pPr>
        <w:spacing w:after="0" w:line="172" w:lineRule="exact"/>
        <w:rPr>
          <w:color w:val="auto"/>
          <w:sz w:val="20"/>
          <w:szCs w:val="20"/>
        </w:rPr>
      </w:pPr>
    </w:p>
    <w:p>
      <w:pPr>
        <w:spacing w:after="0" w:line="294" w:lineRule="exact"/>
        <w:ind w:firstLine="420"/>
        <w:rPr>
          <w:color w:val="auto"/>
          <w:sz w:val="20"/>
          <w:szCs w:val="20"/>
        </w:rPr>
      </w:pPr>
      <w:r>
        <w:rPr>
          <w:rFonts w:ascii="宋体" w:hAnsi="宋体" w:eastAsia="宋体" w:cs="宋体"/>
          <w:color w:val="auto"/>
          <w:sz w:val="21"/>
          <w:szCs w:val="21"/>
        </w:rPr>
        <w:t>（3）我方承诺本响应文件至本项目合同履行完毕止均保持有效，按磋商文件及政府采购法律、法规的规定履行合同责任和义务。</w:t>
      </w:r>
    </w:p>
    <w:p>
      <w:pPr>
        <w:spacing w:after="0" w:line="142"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与本项目有关的正式通讯地址为：</w:t>
      </w:r>
    </w:p>
    <w:p>
      <w:pPr>
        <w:spacing w:after="0" w:line="200" w:lineRule="exact"/>
        <w:rPr>
          <w:color w:val="auto"/>
          <w:sz w:val="20"/>
          <w:szCs w:val="20"/>
        </w:rPr>
      </w:pPr>
    </w:p>
    <w:p>
      <w:pPr>
        <w:spacing w:after="0" w:line="320" w:lineRule="exact"/>
        <w:rPr>
          <w:color w:val="auto"/>
          <w:sz w:val="20"/>
          <w:szCs w:val="20"/>
        </w:rPr>
      </w:pPr>
    </w:p>
    <w:tbl>
      <w:tblPr>
        <w:tblStyle w:val="9"/>
        <w:tblW w:w="0" w:type="auto"/>
        <w:tblInd w:w="420" w:type="dxa"/>
        <w:tblLayout w:type="fixed"/>
        <w:tblCellMar>
          <w:top w:w="0" w:type="dxa"/>
          <w:left w:w="0" w:type="dxa"/>
          <w:bottom w:w="0" w:type="dxa"/>
          <w:right w:w="0" w:type="dxa"/>
        </w:tblCellMar>
      </w:tblPr>
      <w:tblGrid>
        <w:gridCol w:w="640"/>
        <w:gridCol w:w="420"/>
        <w:gridCol w:w="1780"/>
        <w:gridCol w:w="1360"/>
        <w:gridCol w:w="420"/>
        <w:gridCol w:w="320"/>
        <w:gridCol w:w="100"/>
        <w:gridCol w:w="120"/>
        <w:gridCol w:w="840"/>
        <w:gridCol w:w="1460"/>
      </w:tblGrid>
      <w:tr>
        <w:tblPrEx>
          <w:tblCellMar>
            <w:top w:w="0" w:type="dxa"/>
            <w:left w:w="0" w:type="dxa"/>
            <w:bottom w:w="0" w:type="dxa"/>
            <w:right w:w="0" w:type="dxa"/>
          </w:tblCellMar>
        </w:tblPrEx>
        <w:trPr>
          <w:trHeight w:val="242" w:hRule="atLeast"/>
        </w:trPr>
        <w:tc>
          <w:tcPr>
            <w:tcW w:w="640" w:type="dxa"/>
            <w:vAlign w:val="bottom"/>
          </w:tcPr>
          <w:p>
            <w:pPr>
              <w:spacing w:after="0" w:line="240" w:lineRule="exact"/>
              <w:rPr>
                <w:color w:val="auto"/>
                <w:sz w:val="20"/>
                <w:szCs w:val="20"/>
              </w:rPr>
            </w:pPr>
            <w:r>
              <w:rPr>
                <w:rFonts w:ascii="宋体" w:hAnsi="宋体" w:eastAsia="宋体" w:cs="宋体"/>
                <w:color w:val="auto"/>
                <w:w w:val="98"/>
                <w:sz w:val="21"/>
                <w:szCs w:val="21"/>
              </w:rPr>
              <w:t>地址：</w:t>
            </w:r>
          </w:p>
        </w:tc>
        <w:tc>
          <w:tcPr>
            <w:tcW w:w="3560" w:type="dxa"/>
            <w:gridSpan w:val="3"/>
            <w:tcBorders>
              <w:bottom w:val="single" w:color="auto" w:sz="8" w:space="0"/>
            </w:tcBorders>
            <w:vAlign w:val="bottom"/>
          </w:tcPr>
          <w:p>
            <w:pPr>
              <w:spacing w:after="0"/>
              <w:rPr>
                <w:color w:val="auto"/>
                <w:sz w:val="21"/>
                <w:szCs w:val="21"/>
              </w:rPr>
            </w:pPr>
          </w:p>
        </w:tc>
        <w:tc>
          <w:tcPr>
            <w:tcW w:w="740" w:type="dxa"/>
            <w:gridSpan w:val="2"/>
            <w:vAlign w:val="bottom"/>
          </w:tcPr>
          <w:p>
            <w:pPr>
              <w:spacing w:after="0" w:line="240" w:lineRule="exact"/>
              <w:ind w:left="120"/>
              <w:rPr>
                <w:color w:val="auto"/>
                <w:sz w:val="20"/>
                <w:szCs w:val="20"/>
              </w:rPr>
            </w:pPr>
            <w:r>
              <w:rPr>
                <w:rFonts w:ascii="宋体" w:hAnsi="宋体" w:eastAsia="宋体" w:cs="宋体"/>
                <w:color w:val="auto"/>
                <w:w w:val="95"/>
                <w:sz w:val="21"/>
                <w:szCs w:val="21"/>
              </w:rPr>
              <w:t>邮编：</w:t>
            </w:r>
          </w:p>
        </w:tc>
        <w:tc>
          <w:tcPr>
            <w:tcW w:w="100" w:type="dxa"/>
            <w:tcBorders>
              <w:bottom w:val="single" w:color="auto" w:sz="8" w:space="0"/>
            </w:tcBorders>
            <w:vAlign w:val="bottom"/>
          </w:tcPr>
          <w:p>
            <w:pPr>
              <w:spacing w:after="0"/>
              <w:rPr>
                <w:color w:val="auto"/>
                <w:sz w:val="21"/>
                <w:szCs w:val="21"/>
              </w:rPr>
            </w:pPr>
          </w:p>
        </w:tc>
        <w:tc>
          <w:tcPr>
            <w:tcW w:w="120" w:type="dxa"/>
            <w:tcBorders>
              <w:bottom w:val="single" w:color="auto" w:sz="8" w:space="0"/>
            </w:tcBorders>
            <w:vAlign w:val="bottom"/>
          </w:tcPr>
          <w:p>
            <w:pPr>
              <w:spacing w:after="0"/>
              <w:rPr>
                <w:color w:val="auto"/>
                <w:sz w:val="21"/>
                <w:szCs w:val="21"/>
              </w:rPr>
            </w:pPr>
          </w:p>
        </w:tc>
        <w:tc>
          <w:tcPr>
            <w:tcW w:w="840" w:type="dxa"/>
            <w:tcBorders>
              <w:bottom w:val="single" w:color="auto" w:sz="8" w:space="0"/>
            </w:tcBorders>
            <w:vAlign w:val="bottom"/>
          </w:tcPr>
          <w:p>
            <w:pPr>
              <w:spacing w:after="0"/>
              <w:rPr>
                <w:color w:val="auto"/>
                <w:sz w:val="21"/>
                <w:szCs w:val="21"/>
              </w:rPr>
            </w:pPr>
          </w:p>
        </w:tc>
        <w:tc>
          <w:tcPr>
            <w:tcW w:w="1460" w:type="dxa"/>
            <w:vAlign w:val="bottom"/>
          </w:tcPr>
          <w:p>
            <w:pPr>
              <w:spacing w:after="0" w:line="240" w:lineRule="exact"/>
              <w:ind w:left="200"/>
              <w:rPr>
                <w:color w:val="auto"/>
                <w:sz w:val="20"/>
                <w:szCs w:val="20"/>
              </w:rPr>
            </w:pPr>
            <w:r>
              <w:rPr>
                <w:rFonts w:ascii="宋体" w:hAnsi="宋体" w:eastAsia="宋体" w:cs="宋体"/>
                <w:color w:val="auto"/>
                <w:w w:val="98"/>
                <w:sz w:val="21"/>
                <w:szCs w:val="21"/>
              </w:rPr>
              <w:t>电话、传真：</w:t>
            </w:r>
          </w:p>
        </w:tc>
      </w:tr>
      <w:tr>
        <w:tblPrEx>
          <w:tblCellMar>
            <w:top w:w="0" w:type="dxa"/>
            <w:left w:w="0" w:type="dxa"/>
            <w:bottom w:w="0" w:type="dxa"/>
            <w:right w:w="0" w:type="dxa"/>
          </w:tblCellMar>
        </w:tblPrEx>
        <w:trPr>
          <w:trHeight w:val="360" w:hRule="atLeast"/>
        </w:trPr>
        <w:tc>
          <w:tcPr>
            <w:tcW w:w="1060" w:type="dxa"/>
            <w:gridSpan w:val="2"/>
            <w:vAlign w:val="bottom"/>
          </w:tcPr>
          <w:p>
            <w:pPr>
              <w:spacing w:after="0" w:line="240" w:lineRule="exact"/>
              <w:rPr>
                <w:color w:val="auto"/>
                <w:sz w:val="20"/>
                <w:szCs w:val="20"/>
              </w:rPr>
            </w:pPr>
            <w:r>
              <w:rPr>
                <w:rFonts w:ascii="宋体" w:hAnsi="宋体" w:eastAsia="宋体" w:cs="宋体"/>
                <w:color w:val="auto"/>
                <w:w w:val="99"/>
                <w:sz w:val="21"/>
                <w:szCs w:val="21"/>
              </w:rPr>
              <w:t>开户名称：</w:t>
            </w:r>
          </w:p>
        </w:tc>
        <w:tc>
          <w:tcPr>
            <w:tcW w:w="3140" w:type="dxa"/>
            <w:gridSpan w:val="2"/>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59" w:hRule="atLeast"/>
        </w:trPr>
        <w:tc>
          <w:tcPr>
            <w:tcW w:w="1060" w:type="dxa"/>
            <w:gridSpan w:val="2"/>
            <w:vAlign w:val="bottom"/>
          </w:tcPr>
          <w:p>
            <w:pPr>
              <w:spacing w:after="0" w:line="240" w:lineRule="exact"/>
              <w:rPr>
                <w:color w:val="auto"/>
                <w:sz w:val="20"/>
                <w:szCs w:val="20"/>
              </w:rPr>
            </w:pPr>
            <w:r>
              <w:rPr>
                <w:rFonts w:ascii="宋体" w:hAnsi="宋体" w:eastAsia="宋体" w:cs="宋体"/>
                <w:color w:val="auto"/>
                <w:w w:val="99"/>
                <w:sz w:val="21"/>
                <w:szCs w:val="21"/>
              </w:rPr>
              <w:t>开户银行：</w:t>
            </w:r>
          </w:p>
        </w:tc>
        <w:tc>
          <w:tcPr>
            <w:tcW w:w="3140" w:type="dxa"/>
            <w:gridSpan w:val="2"/>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60" w:hRule="atLeast"/>
        </w:trPr>
        <w:tc>
          <w:tcPr>
            <w:tcW w:w="640" w:type="dxa"/>
            <w:vAlign w:val="bottom"/>
          </w:tcPr>
          <w:p>
            <w:pPr>
              <w:spacing w:after="0" w:line="240" w:lineRule="exact"/>
              <w:rPr>
                <w:color w:val="auto"/>
                <w:sz w:val="20"/>
                <w:szCs w:val="20"/>
              </w:rPr>
            </w:pPr>
            <w:r>
              <w:rPr>
                <w:rFonts w:ascii="宋体" w:hAnsi="宋体" w:eastAsia="宋体" w:cs="宋体"/>
                <w:color w:val="auto"/>
                <w:w w:val="98"/>
                <w:sz w:val="21"/>
                <w:szCs w:val="21"/>
              </w:rPr>
              <w:t>账号：</w:t>
            </w:r>
          </w:p>
        </w:tc>
        <w:tc>
          <w:tcPr>
            <w:tcW w:w="3560" w:type="dxa"/>
            <w:gridSpan w:val="3"/>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60" w:hRule="atLeast"/>
        </w:trPr>
        <w:tc>
          <w:tcPr>
            <w:tcW w:w="4200" w:type="dxa"/>
            <w:gridSpan w:val="4"/>
            <w:vAlign w:val="bottom"/>
          </w:tcPr>
          <w:p>
            <w:pPr>
              <w:spacing w:after="0" w:line="240" w:lineRule="exact"/>
              <w:rPr>
                <w:color w:val="auto"/>
                <w:sz w:val="20"/>
                <w:szCs w:val="20"/>
              </w:rPr>
            </w:pPr>
            <w:r>
              <w:rPr>
                <w:rFonts w:ascii="宋体" w:hAnsi="宋体" w:eastAsia="宋体" w:cs="宋体"/>
                <w:color w:val="auto"/>
                <w:sz w:val="21"/>
                <w:szCs w:val="21"/>
              </w:rPr>
              <w:t>供应商（公章，自然人除外）：</w:t>
            </w:r>
          </w:p>
        </w:tc>
        <w:tc>
          <w:tcPr>
            <w:tcW w:w="4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64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1780" w:type="dxa"/>
            <w:vAlign w:val="bottom"/>
          </w:tcPr>
          <w:p>
            <w:pPr>
              <w:spacing w:after="0" w:line="20" w:lineRule="exact"/>
              <w:rPr>
                <w:color w:val="auto"/>
                <w:sz w:val="1"/>
                <w:szCs w:val="1"/>
              </w:rPr>
            </w:pPr>
          </w:p>
        </w:tc>
        <w:tc>
          <w:tcPr>
            <w:tcW w:w="1360" w:type="dxa"/>
            <w:shd w:val="clear" w:color="auto" w:fill="000000"/>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1460" w:type="dxa"/>
            <w:vAlign w:val="bottom"/>
          </w:tcPr>
          <w:p>
            <w:pPr>
              <w:spacing w:after="0" w:line="20" w:lineRule="exact"/>
              <w:rPr>
                <w:color w:val="auto"/>
                <w:sz w:val="1"/>
                <w:szCs w:val="1"/>
              </w:rPr>
            </w:pPr>
          </w:p>
        </w:tc>
      </w:tr>
    </w:tbl>
    <w:p>
      <w:pPr>
        <w:spacing w:after="0" w:line="20" w:lineRule="exact"/>
        <w:rPr>
          <w:color w:val="auto"/>
          <w:sz w:val="20"/>
          <w:szCs w:val="20"/>
        </w:rPr>
      </w:pPr>
      <w:r>
        <w:rPr>
          <w:color w:val="auto"/>
          <w:sz w:val="20"/>
          <w:szCs w:val="20"/>
        </w:rPr>
        <w:pict>
          <v:line id="Shape 40" o:spid="_x0000_s1054" o:spt="20" style="position:absolute;left:0pt;margin-left:393.9pt;margin-top:-76.25pt;height:0pt;width:68.4pt;z-index:-251651072;mso-width-relative:page;mso-height-relative:page;" fillcolor="#FFFFFF" filled="t" stroked="t" coordsize="21600,21600" o:allowincell="f" o:gfxdata="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&#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NamTX2QAAAA0BAAAPAAAAAAAAAAEAIAAAACIAAABk&#10;cnMvZG93bnJldi54bWxQSwECFAAUAAAACACHTuJAJnKo3ZMBAABMAwAADgAAAAAAAAABACAAAAAo&#10;AQAAZHJzL2Uyb0RvYy54bWxQSwUGAAAAAAYABgBZAQAALQUAAAAA&#10;">
            <v:path arrowok="t"/>
            <v:fill on="t" focussize="0,0"/>
            <v:stroke weight="0.54pt" color="#000000" miterlimit="8" joinstyle="miter"/>
            <v:imagedata o:title=""/>
            <o:lock v:ext="edit" aspectratio="f"/>
          </v:line>
        </w:pict>
      </w:r>
    </w:p>
    <w:p>
      <w:pPr>
        <w:spacing w:after="0" w:line="138" w:lineRule="exact"/>
        <w:rPr>
          <w:color w:val="auto"/>
          <w:sz w:val="20"/>
          <w:szCs w:val="20"/>
        </w:rPr>
      </w:pPr>
    </w:p>
    <w:p>
      <w:pPr>
        <w:spacing w:after="0" w:line="294" w:lineRule="exact"/>
        <w:ind w:firstLine="420"/>
        <w:rPr>
          <w:color w:val="auto"/>
          <w:sz w:val="20"/>
          <w:szCs w:val="20"/>
        </w:rPr>
      </w:pPr>
      <w:r>
        <w:rPr>
          <w:rFonts w:ascii="宋体" w:hAnsi="宋体" w:eastAsia="宋体" w:cs="宋体"/>
          <w:color w:val="auto"/>
          <w:sz w:val="21"/>
          <w:szCs w:val="21"/>
        </w:rPr>
        <w:t>法定代表人、负责人、自然人或相应的委托代理人签字或盖章（属自然人的应在签名处加盖食指指印）：</w:t>
      </w:r>
    </w:p>
    <w:p>
      <w:pPr>
        <w:spacing w:after="0" w:line="20" w:lineRule="exact"/>
        <w:rPr>
          <w:color w:val="auto"/>
          <w:sz w:val="20"/>
          <w:szCs w:val="20"/>
        </w:rPr>
      </w:pPr>
      <w:r>
        <w:rPr>
          <w:color w:val="auto"/>
          <w:sz w:val="20"/>
          <w:szCs w:val="20"/>
        </w:rPr>
        <w:pict>
          <v:line id="Shape 41" o:spid="_x0000_s1059" o:spt="20" style="position:absolute;left:0pt;margin-left:26.6pt;margin-top:0.45pt;height:0pt;width:68.15pt;z-index:-251651072;mso-width-relative:page;mso-height-relative:page;" fillcolor="#FFFFFF" filled="t" stroked="t" coordsize="21600,21600" o:allowincell="f" o:gfxdata="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0XdW0QAAAAQBAAAPAAAAAAAAAAEAIAAAACIAAABkcnMvZG93&#10;bnJldi54bWxQSwECFAAUAAAACACHTuJAIs1YoZUBAABMAwAADgAAAAAAAAABACAAAAAgAQAAZHJz&#10;L2Uyb0RvYy54bWxQSwUGAAAAAAYABgBZAQAAJwUAAAAA&#10;">
            <v:path arrowok="t"/>
            <v:fill on="t" focussize="0,0"/>
            <v:stroke weight="0.54pt" color="#000000" miterlimit="8" joinstyle="miter"/>
            <v:imagedata o:title=""/>
            <o:lock v:ext="edit" aspectratio="f"/>
          </v:line>
        </w:pict>
      </w:r>
    </w:p>
    <w:p>
      <w:pPr>
        <w:spacing w:after="0" w:line="122"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响应日期：</w:t>
      </w:r>
    </w:p>
    <w:p>
      <w:pPr>
        <w:spacing w:after="0" w:line="20" w:lineRule="exact"/>
        <w:rPr>
          <w:color w:val="auto"/>
          <w:sz w:val="20"/>
          <w:szCs w:val="20"/>
        </w:rPr>
      </w:pPr>
      <w:r>
        <w:rPr>
          <w:color w:val="auto"/>
          <w:sz w:val="20"/>
          <w:szCs w:val="20"/>
        </w:rPr>
        <w:pict>
          <v:line id="Shape 42" o:spid="_x0000_s1057" o:spt="20" style="position:absolute;left:0pt;margin-left:73.8pt;margin-top:0.4pt;height:0pt;width:94.5pt;z-index:-251651072;mso-width-relative:page;mso-height-relative:page;" fillcolor="#FFFFFF" filled="t" stroked="t" coordsize="21600,21600" o:allowincell="f" o:gfxdata="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xRSI00wAAAAUBAAAPAAAAAAAAAAEAIAAAACIAAABkcnMv&#10;ZG93bnJldi54bWxQSwECFAAUAAAACACHTuJAMmsRRZYBAABNAwAADgAAAAAAAAABACAAAAAiAQAA&#10;ZHJzL2Uyb0RvYy54bWxQSwUGAAAAAAYABgBZAQAAKgUAAAAA&#10;">
            <v:path arrowok="t"/>
            <v:fill on="t" focussize="0,0"/>
            <v:stroke weight="0.53992125984252pt" color="#000000" miterlimit="8" joinstyle="miter"/>
            <v:imagedata o:title=""/>
            <o:lock v:ext="edit" aspectratio="f"/>
          </v:line>
        </w:pict>
      </w:r>
    </w:p>
    <w:p>
      <w:pPr>
        <w:spacing w:after="0" w:line="200" w:lineRule="exact"/>
        <w:rPr>
          <w:color w:val="auto"/>
          <w:sz w:val="20"/>
          <w:szCs w:val="20"/>
        </w:rPr>
      </w:pPr>
    </w:p>
    <w:p>
      <w:pPr>
        <w:spacing w:after="0" w:line="369" w:lineRule="exact"/>
        <w:rPr>
          <w:color w:val="auto"/>
          <w:sz w:val="20"/>
          <w:szCs w:val="20"/>
        </w:rPr>
      </w:pPr>
    </w:p>
    <w:p>
      <w:pPr>
        <w:spacing w:after="0" w:line="304" w:lineRule="exact"/>
        <w:rPr>
          <w:color w:val="auto"/>
          <w:sz w:val="20"/>
          <w:szCs w:val="20"/>
        </w:rPr>
      </w:pPr>
      <w:r>
        <w:rPr>
          <w:rFonts w:ascii="宋体" w:hAnsi="宋体" w:eastAsia="宋体" w:cs="宋体"/>
          <w:color w:val="auto"/>
          <w:sz w:val="21"/>
          <w:szCs w:val="21"/>
        </w:rPr>
        <w:t>注：响应函须由法定代表人（负责人/自然人）或委托代理人签字或盖章（属自然人的应在签名处加盖食指指印）并加盖供应商公章（自然人除外）。</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ind w:firstLine="562"/>
        <w:jc w:val="both"/>
        <w:rPr>
          <w:color w:val="auto"/>
          <w:sz w:val="20"/>
          <w:szCs w:val="20"/>
        </w:rPr>
      </w:pPr>
      <w:bookmarkStart w:id="61" w:name="page30"/>
      <w:bookmarkEnd w:id="61"/>
      <w:r>
        <w:rPr>
          <w:rFonts w:ascii="宋体" w:hAnsi="宋体" w:eastAsia="宋体" w:cs="宋体"/>
          <w:b/>
          <w:bCs/>
          <w:color w:val="auto"/>
          <w:sz w:val="28"/>
          <w:szCs w:val="28"/>
        </w:rPr>
        <w:t>2、供应商相应的法定代表人、负责人、自然人身份证正反两面复印件（必须提供）；</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line="369" w:lineRule="exact"/>
        <w:ind w:firstLine="551"/>
        <w:jc w:val="both"/>
        <w:rPr>
          <w:color w:val="auto"/>
          <w:sz w:val="20"/>
          <w:szCs w:val="20"/>
        </w:rPr>
      </w:pPr>
      <w:r>
        <w:rPr>
          <w:rFonts w:ascii="宋体" w:hAnsi="宋体" w:eastAsia="宋体" w:cs="宋体"/>
          <w:b/>
          <w:bCs/>
          <w:color w:val="auto"/>
          <w:sz w:val="28"/>
          <w:szCs w:val="28"/>
        </w:rPr>
        <w:t>3、供应商的授权委托书原件、委托代理人身份证正反面复印件以及由县级以上（含县级）社保部门出具的供应商为委托代理人交纳的社保证明复印件【属自然人的应提供由县级以上（含县级）社保部门出具的自然人本人及委托代理人所交纳的社保证明复印件】（委托代理时必须提供）；</w:t>
      </w:r>
    </w:p>
    <w:p>
      <w:pPr>
        <w:spacing w:after="0" w:line="150" w:lineRule="exact"/>
        <w:rPr>
          <w:color w:val="auto"/>
          <w:sz w:val="20"/>
          <w:szCs w:val="20"/>
        </w:rPr>
      </w:pPr>
    </w:p>
    <w:p>
      <w:pPr>
        <w:spacing w:after="0" w:line="366" w:lineRule="exact"/>
        <w:ind w:left="640"/>
        <w:rPr>
          <w:color w:val="auto"/>
          <w:sz w:val="20"/>
          <w:szCs w:val="20"/>
        </w:rPr>
      </w:pPr>
      <w:r>
        <w:rPr>
          <w:rFonts w:ascii="宋体" w:hAnsi="宋体" w:eastAsia="宋体" w:cs="宋体"/>
          <w:b/>
          <w:bCs/>
          <w:color w:val="auto"/>
          <w:sz w:val="32"/>
          <w:szCs w:val="32"/>
        </w:rPr>
        <w:t>附件：</w:t>
      </w:r>
    </w:p>
    <w:p>
      <w:pPr>
        <w:spacing w:after="0" w:line="259" w:lineRule="exact"/>
        <w:rPr>
          <w:color w:val="auto"/>
          <w:sz w:val="20"/>
          <w:szCs w:val="20"/>
        </w:rPr>
      </w:pPr>
    </w:p>
    <w:p>
      <w:pPr>
        <w:spacing w:after="0" w:line="366" w:lineRule="exact"/>
        <w:ind w:left="3420"/>
        <w:rPr>
          <w:color w:val="auto"/>
          <w:sz w:val="20"/>
          <w:szCs w:val="20"/>
        </w:rPr>
      </w:pPr>
      <w:r>
        <w:rPr>
          <w:rFonts w:ascii="宋体" w:hAnsi="宋体" w:eastAsia="宋体" w:cs="宋体"/>
          <w:b/>
          <w:bCs/>
          <w:color w:val="auto"/>
          <w:sz w:val="32"/>
          <w:szCs w:val="32"/>
        </w:rPr>
        <w:t>授权委托书（格式一）</w:t>
      </w:r>
    </w:p>
    <w:p>
      <w:pPr>
        <w:spacing w:after="0" w:line="200" w:lineRule="exact"/>
        <w:rPr>
          <w:color w:val="auto"/>
          <w:sz w:val="20"/>
          <w:szCs w:val="20"/>
        </w:rPr>
      </w:pPr>
    </w:p>
    <w:p>
      <w:pPr>
        <w:spacing w:after="0" w:line="375" w:lineRule="exact"/>
        <w:rPr>
          <w:color w:val="auto"/>
          <w:sz w:val="20"/>
          <w:szCs w:val="20"/>
        </w:rPr>
      </w:pPr>
    </w:p>
    <w:p>
      <w:pPr>
        <w:spacing w:after="0" w:line="240" w:lineRule="exact"/>
        <w:rPr>
          <w:rFonts w:hint="eastAsia" w:eastAsia="宋体"/>
          <w:color w:val="auto"/>
          <w:sz w:val="20"/>
          <w:szCs w:val="20"/>
          <w:lang w:eastAsia="zh-CN"/>
        </w:rPr>
      </w:pPr>
      <w:r>
        <w:rPr>
          <w:rFonts w:ascii="宋体" w:hAnsi="宋体" w:eastAsia="宋体" w:cs="宋体"/>
          <w:color w:val="auto"/>
          <w:sz w:val="21"/>
          <w:szCs w:val="21"/>
        </w:rPr>
        <w:t xml:space="preserve">致： </w:t>
      </w:r>
      <w:r>
        <w:rPr>
          <w:rFonts w:hint="eastAsia" w:ascii="宋体" w:hAnsi="宋体" w:eastAsia="宋体" w:cs="宋体"/>
          <w:color w:val="auto"/>
          <w:sz w:val="21"/>
          <w:szCs w:val="21"/>
          <w:lang w:eastAsia="zh-CN"/>
        </w:rPr>
        <w:t>广西八桂建设项目管理有限公司</w:t>
      </w:r>
    </w:p>
    <w:p>
      <w:pPr>
        <w:spacing w:after="0" w:line="20" w:lineRule="exact"/>
        <w:rPr>
          <w:color w:val="auto"/>
          <w:sz w:val="20"/>
          <w:szCs w:val="20"/>
        </w:rPr>
      </w:pPr>
      <w:r>
        <w:rPr>
          <w:color w:val="auto"/>
          <w:sz w:val="20"/>
          <w:szCs w:val="20"/>
        </w:rPr>
        <w:pict>
          <v:line id="Shape 43" o:spid="_x0000_s1058" o:spt="20" style="position:absolute;left:0pt;margin-left:21.3pt;margin-top:0.4pt;height:0pt;width:131.25pt;z-index:-251651072;mso-width-relative:page;mso-height-relative:page;" fillcolor="#FFFFFF" filled="t" stroked="t" coordsize="21600,21600" o:allowincell="f" o:gfxdata="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&#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KUXnSAAAABAEAAA8AAAAAAAAAAQAgAAAAIgAAAGRy&#10;cy9kb3ducmV2LnhtbFBLAQIUABQAAAAIAIdO4kBoGCsJmQEAAE0DAAAOAAAAAAAAAAEAIAAAACEB&#10;AABkcnMvZTJvRG9jLnhtbFBLBQYAAAAABgAGAFkBAAAsBQAAAAA=&#10;">
            <v:path arrowok="t"/>
            <v:fill on="t" focussize="0,0"/>
            <v:stroke weight="0.54pt" color="#000000" miterlimit="8" joinstyle="miter"/>
            <v:imagedata o:title=""/>
            <o:lock v:ext="edit" aspectratio="f"/>
          </v:line>
        </w:pict>
      </w:r>
    </w:p>
    <w:p>
      <w:pPr>
        <w:spacing w:after="0" w:line="200" w:lineRule="exact"/>
        <w:rPr>
          <w:color w:val="auto"/>
          <w:sz w:val="20"/>
          <w:szCs w:val="20"/>
        </w:rPr>
      </w:pPr>
    </w:p>
    <w:p>
      <w:pPr>
        <w:spacing w:after="0" w:line="340" w:lineRule="exact"/>
        <w:rPr>
          <w:color w:val="auto"/>
          <w:sz w:val="20"/>
          <w:szCs w:val="20"/>
        </w:rPr>
      </w:pPr>
    </w:p>
    <w:tbl>
      <w:tblPr>
        <w:tblStyle w:val="9"/>
        <w:tblW w:w="0" w:type="auto"/>
        <w:tblInd w:w="0" w:type="dxa"/>
        <w:tblLayout w:type="fixed"/>
        <w:tblCellMar>
          <w:top w:w="0" w:type="dxa"/>
          <w:left w:w="0" w:type="dxa"/>
          <w:bottom w:w="0" w:type="dxa"/>
          <w:right w:w="0" w:type="dxa"/>
        </w:tblCellMar>
      </w:tblPr>
      <w:tblGrid>
        <w:gridCol w:w="640"/>
        <w:gridCol w:w="1460"/>
        <w:gridCol w:w="1040"/>
        <w:gridCol w:w="240"/>
        <w:gridCol w:w="1280"/>
        <w:gridCol w:w="1640"/>
        <w:gridCol w:w="1000"/>
        <w:gridCol w:w="2120"/>
      </w:tblGrid>
      <w:tr>
        <w:tblPrEx>
          <w:tblCellMar>
            <w:top w:w="0" w:type="dxa"/>
            <w:left w:w="0" w:type="dxa"/>
            <w:bottom w:w="0" w:type="dxa"/>
            <w:right w:w="0" w:type="dxa"/>
          </w:tblCellMar>
        </w:tblPrEx>
        <w:trPr>
          <w:trHeight w:val="241" w:hRule="atLeast"/>
        </w:trPr>
        <w:tc>
          <w:tcPr>
            <w:tcW w:w="640" w:type="dxa"/>
            <w:vAlign w:val="bottom"/>
          </w:tcPr>
          <w:p>
            <w:pPr>
              <w:spacing w:after="0" w:line="240" w:lineRule="exact"/>
              <w:ind w:left="420"/>
              <w:rPr>
                <w:color w:val="auto"/>
                <w:sz w:val="20"/>
                <w:szCs w:val="20"/>
              </w:rPr>
            </w:pPr>
            <w:r>
              <w:rPr>
                <w:rFonts w:ascii="宋体" w:hAnsi="宋体" w:eastAsia="宋体" w:cs="宋体"/>
                <w:color w:val="auto"/>
                <w:w w:val="95"/>
                <w:sz w:val="21"/>
                <w:szCs w:val="21"/>
              </w:rPr>
              <w:t>我</w:t>
            </w:r>
          </w:p>
        </w:tc>
        <w:tc>
          <w:tcPr>
            <w:tcW w:w="1460" w:type="dxa"/>
            <w:vAlign w:val="bottom"/>
          </w:tcPr>
          <w:p>
            <w:pPr>
              <w:spacing w:after="0"/>
              <w:rPr>
                <w:color w:val="auto"/>
                <w:sz w:val="20"/>
                <w:szCs w:val="20"/>
              </w:rPr>
            </w:pPr>
          </w:p>
        </w:tc>
        <w:tc>
          <w:tcPr>
            <w:tcW w:w="1280" w:type="dxa"/>
            <w:gridSpan w:val="2"/>
            <w:vAlign w:val="bottom"/>
          </w:tcPr>
          <w:p>
            <w:pPr>
              <w:spacing w:after="0" w:line="240" w:lineRule="exact"/>
              <w:rPr>
                <w:color w:val="auto"/>
                <w:sz w:val="20"/>
                <w:szCs w:val="20"/>
              </w:rPr>
            </w:pPr>
            <w:r>
              <w:rPr>
                <w:rFonts w:ascii="宋体" w:hAnsi="宋体" w:eastAsia="宋体" w:cs="宋体"/>
                <w:color w:val="auto"/>
                <w:sz w:val="21"/>
                <w:szCs w:val="21"/>
              </w:rPr>
              <w:t>（姓名）系</w:t>
            </w:r>
          </w:p>
        </w:tc>
        <w:tc>
          <w:tcPr>
            <w:tcW w:w="1280" w:type="dxa"/>
            <w:vAlign w:val="bottom"/>
          </w:tcPr>
          <w:p>
            <w:pPr>
              <w:spacing w:after="0"/>
              <w:rPr>
                <w:color w:val="auto"/>
                <w:sz w:val="20"/>
                <w:szCs w:val="20"/>
              </w:rPr>
            </w:pPr>
          </w:p>
        </w:tc>
        <w:tc>
          <w:tcPr>
            <w:tcW w:w="4760" w:type="dxa"/>
            <w:gridSpan w:val="3"/>
            <w:vAlign w:val="bottom"/>
          </w:tcPr>
          <w:p>
            <w:pPr>
              <w:spacing w:after="0" w:line="240" w:lineRule="exact"/>
              <w:jc w:val="right"/>
              <w:rPr>
                <w:color w:val="auto"/>
                <w:sz w:val="20"/>
                <w:szCs w:val="20"/>
              </w:rPr>
            </w:pPr>
            <w:r>
              <w:rPr>
                <w:rFonts w:ascii="宋体" w:hAnsi="宋体" w:eastAsia="宋体" w:cs="宋体"/>
                <w:color w:val="auto"/>
                <w:sz w:val="21"/>
                <w:szCs w:val="21"/>
              </w:rPr>
              <w:t>（供应商名称）的法定代表人（负</w:t>
            </w:r>
          </w:p>
        </w:tc>
      </w:tr>
      <w:tr>
        <w:tblPrEx>
          <w:tblCellMar>
            <w:top w:w="0" w:type="dxa"/>
            <w:left w:w="0" w:type="dxa"/>
            <w:bottom w:w="0" w:type="dxa"/>
            <w:right w:w="0" w:type="dxa"/>
          </w:tblCellMar>
        </w:tblPrEx>
        <w:trPr>
          <w:trHeight w:val="20" w:hRule="atLeast"/>
        </w:trPr>
        <w:tc>
          <w:tcPr>
            <w:tcW w:w="640" w:type="dxa"/>
            <w:vAlign w:val="bottom"/>
          </w:tcPr>
          <w:p>
            <w:pPr>
              <w:spacing w:after="0" w:line="20" w:lineRule="exact"/>
              <w:rPr>
                <w:color w:val="auto"/>
                <w:sz w:val="1"/>
                <w:szCs w:val="1"/>
              </w:rPr>
            </w:pPr>
          </w:p>
        </w:tc>
        <w:tc>
          <w:tcPr>
            <w:tcW w:w="1460" w:type="dxa"/>
            <w:shd w:val="clear" w:color="auto" w:fill="000000"/>
            <w:vAlign w:val="bottom"/>
          </w:tcPr>
          <w:p>
            <w:pPr>
              <w:spacing w:after="0" w:line="20" w:lineRule="exact"/>
              <w:rPr>
                <w:color w:val="auto"/>
                <w:sz w:val="1"/>
                <w:szCs w:val="1"/>
              </w:rPr>
            </w:pPr>
          </w:p>
        </w:tc>
        <w:tc>
          <w:tcPr>
            <w:tcW w:w="1040" w:type="dxa"/>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280" w:type="dxa"/>
            <w:shd w:val="clear" w:color="auto" w:fill="000000"/>
            <w:vAlign w:val="bottom"/>
          </w:tcPr>
          <w:p>
            <w:pPr>
              <w:spacing w:after="0" w:line="20" w:lineRule="exact"/>
              <w:rPr>
                <w:color w:val="auto"/>
                <w:sz w:val="1"/>
                <w:szCs w:val="1"/>
              </w:rPr>
            </w:pPr>
          </w:p>
        </w:tc>
        <w:tc>
          <w:tcPr>
            <w:tcW w:w="1640" w:type="dxa"/>
            <w:shd w:val="clear" w:color="auto" w:fill="000000"/>
            <w:vAlign w:val="bottom"/>
          </w:tcPr>
          <w:p>
            <w:pPr>
              <w:spacing w:after="0" w:line="20" w:lineRule="exact"/>
              <w:rPr>
                <w:color w:val="auto"/>
                <w:sz w:val="1"/>
                <w:szCs w:val="1"/>
              </w:rPr>
            </w:pPr>
          </w:p>
        </w:tc>
        <w:tc>
          <w:tcPr>
            <w:tcW w:w="1000" w:type="dxa"/>
            <w:vAlign w:val="bottom"/>
          </w:tcPr>
          <w:p>
            <w:pPr>
              <w:spacing w:after="0" w:line="20" w:lineRule="exact"/>
              <w:rPr>
                <w:color w:val="auto"/>
                <w:sz w:val="1"/>
                <w:szCs w:val="1"/>
              </w:rPr>
            </w:pPr>
          </w:p>
        </w:tc>
        <w:tc>
          <w:tcPr>
            <w:tcW w:w="212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1" w:hRule="atLeast"/>
        </w:trPr>
        <w:tc>
          <w:tcPr>
            <w:tcW w:w="3380" w:type="dxa"/>
            <w:gridSpan w:val="4"/>
            <w:vAlign w:val="bottom"/>
          </w:tcPr>
          <w:p>
            <w:pPr>
              <w:spacing w:after="0" w:line="240" w:lineRule="exact"/>
              <w:rPr>
                <w:color w:val="auto"/>
                <w:sz w:val="20"/>
                <w:szCs w:val="20"/>
              </w:rPr>
            </w:pPr>
            <w:r>
              <w:rPr>
                <w:rFonts w:ascii="宋体" w:hAnsi="宋体" w:eastAsia="宋体" w:cs="宋体"/>
                <w:color w:val="auto"/>
                <w:w w:val="99"/>
                <w:sz w:val="21"/>
                <w:szCs w:val="21"/>
              </w:rPr>
              <w:t>责人），现授权委托本单位在职职工</w:t>
            </w:r>
          </w:p>
        </w:tc>
        <w:tc>
          <w:tcPr>
            <w:tcW w:w="1280" w:type="dxa"/>
            <w:vAlign w:val="bottom"/>
          </w:tcPr>
          <w:p>
            <w:pPr>
              <w:spacing w:after="0"/>
              <w:rPr>
                <w:color w:val="auto"/>
                <w:sz w:val="24"/>
                <w:szCs w:val="24"/>
              </w:rPr>
            </w:pPr>
          </w:p>
        </w:tc>
        <w:tc>
          <w:tcPr>
            <w:tcW w:w="4760" w:type="dxa"/>
            <w:gridSpan w:val="3"/>
            <w:vAlign w:val="bottom"/>
          </w:tcPr>
          <w:p>
            <w:pPr>
              <w:spacing w:after="0" w:line="240" w:lineRule="exact"/>
              <w:jc w:val="right"/>
              <w:rPr>
                <w:color w:val="auto"/>
                <w:sz w:val="20"/>
                <w:szCs w:val="20"/>
              </w:rPr>
            </w:pPr>
            <w:r>
              <w:rPr>
                <w:rFonts w:ascii="宋体" w:hAnsi="宋体" w:eastAsia="宋体" w:cs="宋体"/>
                <w:color w:val="auto"/>
                <w:sz w:val="21"/>
                <w:szCs w:val="21"/>
              </w:rPr>
              <w:t>（姓 名）以我公司名义参加 灵川县海洋乡雪亮工</w:t>
            </w:r>
          </w:p>
        </w:tc>
      </w:tr>
      <w:tr>
        <w:tblPrEx>
          <w:tblCellMar>
            <w:top w:w="0" w:type="dxa"/>
            <w:left w:w="0" w:type="dxa"/>
            <w:bottom w:w="0" w:type="dxa"/>
            <w:right w:w="0" w:type="dxa"/>
          </w:tblCellMar>
        </w:tblPrEx>
        <w:trPr>
          <w:trHeight w:val="20" w:hRule="atLeast"/>
        </w:trPr>
        <w:tc>
          <w:tcPr>
            <w:tcW w:w="640" w:type="dxa"/>
            <w:vAlign w:val="bottom"/>
          </w:tcPr>
          <w:p>
            <w:pPr>
              <w:spacing w:after="0" w:line="20" w:lineRule="exact"/>
              <w:rPr>
                <w:color w:val="auto"/>
                <w:sz w:val="1"/>
                <w:szCs w:val="1"/>
              </w:rPr>
            </w:pPr>
          </w:p>
        </w:tc>
        <w:tc>
          <w:tcPr>
            <w:tcW w:w="1460" w:type="dxa"/>
            <w:vAlign w:val="bottom"/>
          </w:tcPr>
          <w:p>
            <w:pPr>
              <w:spacing w:after="0" w:line="20" w:lineRule="exact"/>
              <w:rPr>
                <w:color w:val="auto"/>
                <w:sz w:val="1"/>
                <w:szCs w:val="1"/>
              </w:rPr>
            </w:pPr>
          </w:p>
        </w:tc>
        <w:tc>
          <w:tcPr>
            <w:tcW w:w="10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1280" w:type="dxa"/>
            <w:shd w:val="clear" w:color="auto" w:fill="000000"/>
            <w:vAlign w:val="bottom"/>
          </w:tcPr>
          <w:p>
            <w:pPr>
              <w:spacing w:after="0" w:line="20" w:lineRule="exact"/>
              <w:rPr>
                <w:color w:val="auto"/>
                <w:sz w:val="1"/>
                <w:szCs w:val="1"/>
              </w:rPr>
            </w:pPr>
          </w:p>
        </w:tc>
        <w:tc>
          <w:tcPr>
            <w:tcW w:w="1640" w:type="dxa"/>
            <w:vAlign w:val="bottom"/>
          </w:tcPr>
          <w:p>
            <w:pPr>
              <w:spacing w:after="0" w:line="20" w:lineRule="exact"/>
              <w:rPr>
                <w:color w:val="auto"/>
                <w:sz w:val="1"/>
                <w:szCs w:val="1"/>
              </w:rPr>
            </w:pPr>
          </w:p>
        </w:tc>
        <w:tc>
          <w:tcPr>
            <w:tcW w:w="1000" w:type="dxa"/>
            <w:vAlign w:val="bottom"/>
          </w:tcPr>
          <w:p>
            <w:pPr>
              <w:spacing w:after="0" w:line="20" w:lineRule="exact"/>
              <w:rPr>
                <w:color w:val="auto"/>
                <w:sz w:val="1"/>
                <w:szCs w:val="1"/>
              </w:rPr>
            </w:pPr>
          </w:p>
        </w:tc>
        <w:tc>
          <w:tcPr>
            <w:tcW w:w="2120" w:type="dxa"/>
            <w:shd w:val="clear" w:color="auto" w:fill="000000"/>
            <w:vAlign w:val="bottom"/>
          </w:tcPr>
          <w:p>
            <w:pPr>
              <w:spacing w:after="0" w:line="20" w:lineRule="exact"/>
              <w:rPr>
                <w:color w:val="auto"/>
                <w:sz w:val="1"/>
                <w:szCs w:val="1"/>
              </w:rPr>
            </w:pPr>
          </w:p>
        </w:tc>
      </w:tr>
    </w:tbl>
    <w:p>
      <w:pPr>
        <w:spacing w:after="0" w:line="178" w:lineRule="exact"/>
        <w:rPr>
          <w:color w:val="auto"/>
          <w:sz w:val="20"/>
          <w:szCs w:val="20"/>
        </w:rPr>
      </w:pPr>
    </w:p>
    <w:p>
      <w:pPr>
        <w:spacing w:after="0" w:line="304" w:lineRule="exact"/>
        <w:jc w:val="both"/>
        <w:rPr>
          <w:color w:val="auto"/>
          <w:sz w:val="20"/>
          <w:szCs w:val="20"/>
        </w:rPr>
      </w:pPr>
      <w:r>
        <w:rPr>
          <w:rFonts w:ascii="宋体" w:hAnsi="宋体" w:eastAsia="宋体" w:cs="宋体"/>
          <w:color w:val="auto"/>
          <w:sz w:val="21"/>
          <w:szCs w:val="21"/>
          <w:u w:val="single" w:color="auto"/>
        </w:rPr>
        <w:t>程（项目编号：</w:t>
      </w:r>
      <w:r>
        <w:rPr>
          <w:rFonts w:hint="eastAsia" w:ascii="宋体" w:hAnsi="宋体" w:eastAsia="宋体" w:cs="宋体"/>
          <w:color w:val="auto"/>
          <w:sz w:val="21"/>
          <w:szCs w:val="21"/>
          <w:u w:val="single" w:color="auto"/>
          <w:lang w:val="en-US" w:eastAsia="zh-CN"/>
        </w:rPr>
        <w:t xml:space="preserve">                    </w:t>
      </w:r>
      <w:r>
        <w:rPr>
          <w:rFonts w:ascii="宋体" w:hAnsi="宋体" w:eastAsia="宋体" w:cs="宋体"/>
          <w:color w:val="auto"/>
          <w:sz w:val="21"/>
          <w:szCs w:val="21"/>
          <w:u w:val="single" w:color="auto"/>
        </w:rPr>
        <w:t>）</w:t>
      </w:r>
      <w:r>
        <w:rPr>
          <w:rFonts w:ascii="宋体" w:hAnsi="宋体" w:eastAsia="宋体" w:cs="宋体"/>
          <w:color w:val="auto"/>
          <w:sz w:val="21"/>
          <w:szCs w:val="21"/>
        </w:rPr>
        <w:t>项目的磋商活动，并代表我方全权办理针对上述项目的磋商、签约等具体事务和签署相关文件。</w:t>
      </w:r>
    </w:p>
    <w:p>
      <w:pPr>
        <w:spacing w:after="0" w:line="162"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我方对被授权人的签字事项负全部责任。</w:t>
      </w:r>
    </w:p>
    <w:p>
      <w:pPr>
        <w:spacing w:after="0" w:line="16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授权委托代理期限：自即日起至该项目政府采购活动结束。</w:t>
      </w:r>
    </w:p>
    <w:p>
      <w:pPr>
        <w:spacing w:after="0" w:line="200" w:lineRule="exact"/>
        <w:rPr>
          <w:color w:val="auto"/>
          <w:sz w:val="20"/>
          <w:szCs w:val="20"/>
        </w:rPr>
      </w:pPr>
    </w:p>
    <w:p>
      <w:pPr>
        <w:spacing w:after="0" w:line="36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代理人无转委托权,特此委托。</w:t>
      </w:r>
    </w:p>
    <w:p>
      <w:pPr>
        <w:spacing w:after="0" w:line="200" w:lineRule="exact"/>
        <w:rPr>
          <w:color w:val="auto"/>
          <w:sz w:val="20"/>
          <w:szCs w:val="20"/>
        </w:rPr>
      </w:pPr>
    </w:p>
    <w:p>
      <w:pPr>
        <w:spacing w:after="0" w:line="36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我已在下面签字，以资证明。</w:t>
      </w:r>
    </w:p>
    <w:p>
      <w:pPr>
        <w:spacing w:after="0" w:line="200" w:lineRule="exact"/>
        <w:rPr>
          <w:color w:val="auto"/>
          <w:sz w:val="20"/>
          <w:szCs w:val="20"/>
        </w:rPr>
      </w:pPr>
    </w:p>
    <w:p>
      <w:pPr>
        <w:spacing w:after="0" w:line="36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供应商（公章）：</w:t>
      </w:r>
      <w:r>
        <w:rPr>
          <w:rFonts w:ascii="宋体" w:hAnsi="宋体" w:eastAsia="宋体" w:cs="宋体"/>
          <w:color w:val="auto"/>
          <w:sz w:val="21"/>
          <w:szCs w:val="21"/>
          <w:u w:val="single" w:color="auto"/>
        </w:rPr>
        <w:t>______________________</w:t>
      </w:r>
    </w:p>
    <w:p>
      <w:pPr>
        <w:spacing w:after="0" w:line="200" w:lineRule="exact"/>
        <w:rPr>
          <w:color w:val="auto"/>
          <w:sz w:val="20"/>
          <w:szCs w:val="20"/>
        </w:rPr>
      </w:pPr>
    </w:p>
    <w:p>
      <w:pPr>
        <w:spacing w:after="0" w:line="36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法定代表人（负责人）签字或盖章：</w:t>
      </w:r>
    </w:p>
    <w:p>
      <w:pPr>
        <w:spacing w:after="0" w:line="20" w:lineRule="exact"/>
        <w:rPr>
          <w:color w:val="auto"/>
          <w:sz w:val="20"/>
          <w:szCs w:val="20"/>
        </w:rPr>
      </w:pPr>
      <w:r>
        <w:rPr>
          <w:color w:val="auto"/>
          <w:sz w:val="20"/>
          <w:szCs w:val="20"/>
        </w:rPr>
        <w:pict>
          <v:line id="Shape 44" o:spid="_x0000_s1055" o:spt="20" style="position:absolute;left:0pt;margin-left:189.3pt;margin-top:0.4pt;height:0pt;width:94.5pt;z-index:-251651072;mso-width-relative:page;mso-height-relative:page;" fillcolor="#FFFFFF" filled="t" stroked="t" coordsize="21600,21600" o:allowincell="f" o:gfxdata="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7SqM7SAAAABQEAAA8AAAAAAAAAAQAgAAAAIgAAAGRycy9k&#10;b3ducmV2LnhtbFBLAQIUABQAAAAIAIdO4kCJ7ZLzlgEAAE0DAAAOAAAAAAAAAAEAIAAAACEBAABk&#10;cnMvZTJvRG9jLnhtbFBLBQYAAAAABgAGAFkBAAApBQAAAAA=&#10;">
            <v:path arrowok="t"/>
            <v:fill on="t" focussize="0,0"/>
            <v:stroke weight="0.54pt" color="#000000" miterlimit="8" joinstyle="miter"/>
            <v:imagedata o:title=""/>
            <o:lock v:ext="edit" aspectratio="f"/>
          </v:line>
        </w:pict>
      </w:r>
    </w:p>
    <w:p>
      <w:pPr>
        <w:spacing w:after="0" w:line="200" w:lineRule="exact"/>
        <w:rPr>
          <w:color w:val="auto"/>
          <w:sz w:val="20"/>
          <w:szCs w:val="20"/>
        </w:rPr>
      </w:pPr>
    </w:p>
    <w:p>
      <w:pPr>
        <w:spacing w:after="0" w:line="34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日期：__________________</w:t>
      </w:r>
    </w:p>
    <w:p>
      <w:pPr>
        <w:spacing w:after="0" w:line="200" w:lineRule="exact"/>
        <w:rPr>
          <w:color w:val="auto"/>
          <w:sz w:val="20"/>
          <w:szCs w:val="20"/>
        </w:rPr>
      </w:pPr>
    </w:p>
    <w:p>
      <w:pPr>
        <w:spacing w:after="0" w:line="393" w:lineRule="exact"/>
        <w:rPr>
          <w:color w:val="auto"/>
          <w:sz w:val="20"/>
          <w:szCs w:val="20"/>
        </w:rPr>
      </w:pPr>
    </w:p>
    <w:p>
      <w:pPr>
        <w:spacing w:after="0" w:line="304" w:lineRule="exact"/>
        <w:rPr>
          <w:color w:val="auto"/>
          <w:sz w:val="20"/>
          <w:szCs w:val="20"/>
        </w:rPr>
      </w:pPr>
      <w:r>
        <w:rPr>
          <w:rFonts w:ascii="宋体" w:hAnsi="宋体" w:eastAsia="宋体" w:cs="宋体"/>
          <w:b/>
          <w:bCs/>
          <w:color w:val="auto"/>
          <w:sz w:val="21"/>
          <w:szCs w:val="21"/>
        </w:rPr>
        <w:t>附：委托代理人有效的身份证正反两面复印件以及由县级以上（含县级）社保部门出具的供应商为委托代理人交纳的社保证明复印件；</w:t>
      </w: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pStyle w:val="2"/>
      </w:pPr>
    </w:p>
    <w:p>
      <w:pPr>
        <w:spacing w:after="0" w:line="199" w:lineRule="exact"/>
        <w:rPr>
          <w:color w:val="auto"/>
          <w:sz w:val="20"/>
          <w:szCs w:val="20"/>
        </w:rPr>
      </w:pPr>
      <w:bookmarkStart w:id="62" w:name="page31"/>
      <w:bookmarkEnd w:id="62"/>
    </w:p>
    <w:p>
      <w:pPr>
        <w:spacing w:after="0" w:line="366" w:lineRule="exact"/>
        <w:ind w:left="2060"/>
        <w:rPr>
          <w:color w:val="auto"/>
          <w:sz w:val="20"/>
          <w:szCs w:val="20"/>
        </w:rPr>
      </w:pPr>
      <w:r>
        <w:rPr>
          <w:rFonts w:ascii="宋体" w:hAnsi="宋体" w:eastAsia="宋体" w:cs="宋体"/>
          <w:b/>
          <w:bCs/>
          <w:color w:val="auto"/>
          <w:sz w:val="32"/>
          <w:szCs w:val="32"/>
        </w:rPr>
        <w:t>授权委托书（格式二）（自然人适用）</w:t>
      </w:r>
    </w:p>
    <w:p>
      <w:pPr>
        <w:spacing w:after="0" w:line="263" w:lineRule="exact"/>
        <w:rPr>
          <w:color w:val="auto"/>
          <w:sz w:val="20"/>
          <w:szCs w:val="20"/>
        </w:rPr>
      </w:pPr>
    </w:p>
    <w:p>
      <w:pPr>
        <w:spacing w:after="0" w:line="240" w:lineRule="exact"/>
        <w:rPr>
          <w:rFonts w:hint="eastAsia" w:eastAsia="宋体"/>
          <w:color w:val="auto"/>
          <w:sz w:val="20"/>
          <w:szCs w:val="20"/>
          <w:lang w:eastAsia="zh-CN"/>
        </w:rPr>
      </w:pPr>
      <w:r>
        <w:rPr>
          <w:rFonts w:ascii="宋体" w:hAnsi="宋体" w:eastAsia="宋体" w:cs="宋体"/>
          <w:b/>
          <w:bCs/>
          <w:color w:val="auto"/>
          <w:sz w:val="21"/>
          <w:szCs w:val="21"/>
        </w:rPr>
        <w:t>致</w:t>
      </w:r>
      <w:r>
        <w:rPr>
          <w:rFonts w:ascii="宋体" w:hAnsi="宋体" w:eastAsia="宋体" w:cs="宋体"/>
          <w:color w:val="auto"/>
          <w:sz w:val="21"/>
          <w:szCs w:val="21"/>
        </w:rPr>
        <w:t>：</w:t>
      </w:r>
      <w:r>
        <w:rPr>
          <w:rFonts w:hint="eastAsia" w:ascii="宋体" w:hAnsi="宋体" w:eastAsia="宋体" w:cs="宋体"/>
          <w:color w:val="auto"/>
          <w:sz w:val="21"/>
          <w:szCs w:val="21"/>
          <w:u w:val="single" w:color="auto"/>
          <w:lang w:eastAsia="zh-CN"/>
        </w:rPr>
        <w:t>广西八桂建设项目管理有限公司</w:t>
      </w:r>
    </w:p>
    <w:p>
      <w:pPr>
        <w:spacing w:after="0" w:line="200" w:lineRule="exact"/>
        <w:rPr>
          <w:color w:val="auto"/>
          <w:sz w:val="20"/>
          <w:szCs w:val="20"/>
        </w:rPr>
      </w:pPr>
    </w:p>
    <w:p>
      <w:pPr>
        <w:spacing w:after="0" w:line="313" w:lineRule="exact"/>
        <w:rPr>
          <w:color w:val="auto"/>
          <w:sz w:val="20"/>
          <w:szCs w:val="20"/>
        </w:rPr>
      </w:pPr>
    </w:p>
    <w:tbl>
      <w:tblPr>
        <w:tblStyle w:val="9"/>
        <w:tblW w:w="0" w:type="auto"/>
        <w:tblInd w:w="0" w:type="dxa"/>
        <w:tblLayout w:type="fixed"/>
        <w:tblCellMar>
          <w:top w:w="0" w:type="dxa"/>
          <w:left w:w="0" w:type="dxa"/>
          <w:bottom w:w="0" w:type="dxa"/>
          <w:right w:w="0" w:type="dxa"/>
        </w:tblCellMar>
      </w:tblPr>
      <w:tblGrid>
        <w:gridCol w:w="640"/>
        <w:gridCol w:w="1340"/>
        <w:gridCol w:w="120"/>
        <w:gridCol w:w="620"/>
        <w:gridCol w:w="2140"/>
        <w:gridCol w:w="1260"/>
        <w:gridCol w:w="2300"/>
        <w:gridCol w:w="1000"/>
      </w:tblGrid>
      <w:tr>
        <w:tblPrEx>
          <w:tblCellMar>
            <w:top w:w="0" w:type="dxa"/>
            <w:left w:w="0" w:type="dxa"/>
            <w:bottom w:w="0" w:type="dxa"/>
            <w:right w:w="0" w:type="dxa"/>
          </w:tblCellMar>
        </w:tblPrEx>
        <w:trPr>
          <w:trHeight w:val="241" w:hRule="atLeast"/>
        </w:trPr>
        <w:tc>
          <w:tcPr>
            <w:tcW w:w="640" w:type="dxa"/>
            <w:vAlign w:val="bottom"/>
          </w:tcPr>
          <w:p>
            <w:pPr>
              <w:spacing w:after="0" w:line="240" w:lineRule="exact"/>
              <w:ind w:left="420"/>
              <w:rPr>
                <w:color w:val="auto"/>
                <w:sz w:val="20"/>
                <w:szCs w:val="20"/>
              </w:rPr>
            </w:pPr>
            <w:r>
              <w:rPr>
                <w:rFonts w:ascii="宋体" w:hAnsi="宋体" w:eastAsia="宋体" w:cs="宋体"/>
                <w:color w:val="auto"/>
                <w:w w:val="95"/>
                <w:sz w:val="21"/>
                <w:szCs w:val="21"/>
              </w:rPr>
              <w:t>我</w:t>
            </w:r>
          </w:p>
        </w:tc>
        <w:tc>
          <w:tcPr>
            <w:tcW w:w="1340" w:type="dxa"/>
            <w:vAlign w:val="bottom"/>
          </w:tcPr>
          <w:p>
            <w:pPr>
              <w:spacing w:after="0"/>
              <w:rPr>
                <w:color w:val="auto"/>
                <w:sz w:val="20"/>
                <w:szCs w:val="20"/>
              </w:rPr>
            </w:pPr>
          </w:p>
        </w:tc>
        <w:tc>
          <w:tcPr>
            <w:tcW w:w="2880" w:type="dxa"/>
            <w:gridSpan w:val="3"/>
            <w:vAlign w:val="bottom"/>
          </w:tcPr>
          <w:p>
            <w:pPr>
              <w:spacing w:after="0" w:line="240" w:lineRule="exact"/>
              <w:ind w:left="60"/>
              <w:rPr>
                <w:color w:val="auto"/>
                <w:sz w:val="20"/>
                <w:szCs w:val="20"/>
              </w:rPr>
            </w:pPr>
            <w:r>
              <w:rPr>
                <w:rFonts w:ascii="宋体" w:hAnsi="宋体" w:eastAsia="宋体" w:cs="宋体"/>
                <w:color w:val="auto"/>
                <w:w w:val="95"/>
                <w:sz w:val="21"/>
                <w:szCs w:val="21"/>
              </w:rPr>
              <w:t>（姓名）系自然人，现授权委托</w:t>
            </w:r>
          </w:p>
        </w:tc>
        <w:tc>
          <w:tcPr>
            <w:tcW w:w="3560" w:type="dxa"/>
            <w:gridSpan w:val="2"/>
            <w:vAlign w:val="bottom"/>
          </w:tcPr>
          <w:p>
            <w:pPr>
              <w:spacing w:after="0" w:line="240" w:lineRule="exact"/>
              <w:ind w:left="1200"/>
              <w:rPr>
                <w:color w:val="auto"/>
                <w:sz w:val="20"/>
                <w:szCs w:val="20"/>
              </w:rPr>
            </w:pPr>
            <w:r>
              <w:rPr>
                <w:rFonts w:ascii="宋体" w:hAnsi="宋体" w:eastAsia="宋体" w:cs="宋体"/>
                <w:color w:val="auto"/>
                <w:w w:val="96"/>
                <w:sz w:val="21"/>
                <w:szCs w:val="21"/>
              </w:rPr>
              <w:t>（姓 名）以本人名义参加</w:t>
            </w:r>
          </w:p>
        </w:tc>
        <w:tc>
          <w:tcPr>
            <w:tcW w:w="1000" w:type="dxa"/>
            <w:vAlign w:val="bottom"/>
          </w:tcPr>
          <w:p>
            <w:pPr>
              <w:spacing w:after="0" w:line="240" w:lineRule="exact"/>
              <w:jc w:val="right"/>
              <w:rPr>
                <w:color w:val="auto"/>
                <w:sz w:val="20"/>
                <w:szCs w:val="20"/>
              </w:rPr>
            </w:pPr>
            <w:r>
              <w:rPr>
                <w:rFonts w:ascii="宋体" w:hAnsi="宋体" w:eastAsia="宋体" w:cs="宋体"/>
                <w:color w:val="auto"/>
                <w:sz w:val="21"/>
                <w:szCs w:val="21"/>
              </w:rPr>
              <w:t>（项</w:t>
            </w:r>
          </w:p>
        </w:tc>
      </w:tr>
      <w:tr>
        <w:tblPrEx>
          <w:tblCellMar>
            <w:top w:w="0" w:type="dxa"/>
            <w:left w:w="0" w:type="dxa"/>
            <w:bottom w:w="0" w:type="dxa"/>
            <w:right w:w="0" w:type="dxa"/>
          </w:tblCellMar>
        </w:tblPrEx>
        <w:trPr>
          <w:trHeight w:val="20" w:hRule="atLeast"/>
        </w:trPr>
        <w:tc>
          <w:tcPr>
            <w:tcW w:w="640" w:type="dxa"/>
            <w:vAlign w:val="bottom"/>
          </w:tcPr>
          <w:p>
            <w:pPr>
              <w:spacing w:after="0" w:line="20" w:lineRule="exact"/>
              <w:rPr>
                <w:color w:val="auto"/>
                <w:sz w:val="1"/>
                <w:szCs w:val="1"/>
              </w:rPr>
            </w:pPr>
          </w:p>
        </w:tc>
        <w:tc>
          <w:tcPr>
            <w:tcW w:w="134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2140" w:type="dxa"/>
            <w:vAlign w:val="bottom"/>
          </w:tcPr>
          <w:p>
            <w:pPr>
              <w:spacing w:after="0" w:line="20" w:lineRule="exact"/>
              <w:rPr>
                <w:color w:val="auto"/>
                <w:sz w:val="1"/>
                <w:szCs w:val="1"/>
              </w:rPr>
            </w:pPr>
          </w:p>
        </w:tc>
        <w:tc>
          <w:tcPr>
            <w:tcW w:w="1260" w:type="dxa"/>
            <w:shd w:val="clear" w:color="auto" w:fill="000000"/>
            <w:vAlign w:val="bottom"/>
          </w:tcPr>
          <w:p>
            <w:pPr>
              <w:spacing w:after="0" w:line="20" w:lineRule="exact"/>
              <w:rPr>
                <w:color w:val="auto"/>
                <w:sz w:val="1"/>
                <w:szCs w:val="1"/>
              </w:rPr>
            </w:pPr>
          </w:p>
        </w:tc>
        <w:tc>
          <w:tcPr>
            <w:tcW w:w="2300" w:type="dxa"/>
            <w:vAlign w:val="bottom"/>
          </w:tcPr>
          <w:p>
            <w:pPr>
              <w:spacing w:after="0" w:line="20" w:lineRule="exact"/>
              <w:rPr>
                <w:color w:val="auto"/>
                <w:sz w:val="1"/>
                <w:szCs w:val="1"/>
              </w:rPr>
            </w:pPr>
          </w:p>
        </w:tc>
        <w:tc>
          <w:tcPr>
            <w:tcW w:w="1000" w:type="dxa"/>
            <w:shd w:val="clear" w:color="auto" w:fill="000000"/>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20" w:hRule="atLeast"/>
        </w:trPr>
        <w:tc>
          <w:tcPr>
            <w:tcW w:w="1980" w:type="dxa"/>
            <w:gridSpan w:val="2"/>
            <w:tcBorders>
              <w:bottom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目名称及项目编号）</w:t>
            </w:r>
          </w:p>
        </w:tc>
        <w:tc>
          <w:tcPr>
            <w:tcW w:w="120" w:type="dxa"/>
            <w:tcBorders>
              <w:bottom w:val="single" w:color="auto" w:sz="8" w:space="0"/>
            </w:tcBorders>
            <w:vAlign w:val="bottom"/>
          </w:tcPr>
          <w:p>
            <w:pPr>
              <w:spacing w:after="0"/>
              <w:rPr>
                <w:color w:val="auto"/>
                <w:sz w:val="24"/>
                <w:szCs w:val="24"/>
              </w:rPr>
            </w:pPr>
          </w:p>
        </w:tc>
        <w:tc>
          <w:tcPr>
            <w:tcW w:w="620" w:type="dxa"/>
            <w:tcBorders>
              <w:bottom w:val="single" w:color="auto" w:sz="8" w:space="0"/>
            </w:tcBorders>
            <w:vAlign w:val="bottom"/>
          </w:tcPr>
          <w:p>
            <w:pPr>
              <w:spacing w:after="0"/>
              <w:rPr>
                <w:color w:val="auto"/>
                <w:sz w:val="24"/>
                <w:szCs w:val="24"/>
              </w:rPr>
            </w:pPr>
          </w:p>
        </w:tc>
        <w:tc>
          <w:tcPr>
            <w:tcW w:w="6700" w:type="dxa"/>
            <w:gridSpan w:val="4"/>
            <w:vAlign w:val="bottom"/>
          </w:tcPr>
          <w:p>
            <w:pPr>
              <w:spacing w:after="0" w:line="240" w:lineRule="exact"/>
              <w:jc w:val="right"/>
              <w:rPr>
                <w:color w:val="auto"/>
                <w:sz w:val="20"/>
                <w:szCs w:val="20"/>
              </w:rPr>
            </w:pPr>
            <w:r>
              <w:rPr>
                <w:rFonts w:ascii="宋体" w:hAnsi="宋体" w:eastAsia="宋体" w:cs="宋体"/>
                <w:color w:val="auto"/>
                <w:w w:val="99"/>
                <w:sz w:val="21"/>
                <w:szCs w:val="21"/>
              </w:rPr>
              <w:t>项目的磋商活动，并代表本人全权办理针对上述项目的磋商、签约等具体</w:t>
            </w:r>
          </w:p>
        </w:tc>
      </w:tr>
    </w:tbl>
    <w:p>
      <w:pPr>
        <w:spacing w:after="0" w:line="87" w:lineRule="exact"/>
        <w:rPr>
          <w:color w:val="auto"/>
          <w:sz w:val="20"/>
          <w:szCs w:val="20"/>
        </w:rPr>
      </w:pPr>
    </w:p>
    <w:p>
      <w:pPr>
        <w:spacing w:after="0" w:line="240" w:lineRule="exact"/>
        <w:rPr>
          <w:color w:val="auto"/>
          <w:sz w:val="20"/>
          <w:szCs w:val="20"/>
        </w:rPr>
      </w:pPr>
      <w:r>
        <w:rPr>
          <w:rFonts w:ascii="宋体" w:hAnsi="宋体" w:eastAsia="宋体" w:cs="宋体"/>
          <w:color w:val="auto"/>
          <w:sz w:val="21"/>
          <w:szCs w:val="21"/>
        </w:rPr>
        <w:t>事务和签署相关文件。</w:t>
      </w:r>
    </w:p>
    <w:p>
      <w:pPr>
        <w:spacing w:after="0" w:line="10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本人对被授权人的签字事项负全部责任。</w:t>
      </w:r>
    </w:p>
    <w:p>
      <w:pPr>
        <w:spacing w:after="0" w:line="10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授权委托代理期限：自即日起至该项目政府采购活动结束。</w:t>
      </w:r>
    </w:p>
    <w:p>
      <w:pPr>
        <w:spacing w:after="0" w:line="10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代理人无转委托权，特此委托。</w:t>
      </w:r>
    </w:p>
    <w:p>
      <w:pPr>
        <w:spacing w:after="0" w:line="10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我已在下面签字，以资证明。</w:t>
      </w:r>
    </w:p>
    <w:p>
      <w:pPr>
        <w:spacing w:after="0" w:line="200" w:lineRule="exact"/>
        <w:rPr>
          <w:color w:val="auto"/>
          <w:sz w:val="20"/>
          <w:szCs w:val="20"/>
        </w:rPr>
      </w:pPr>
    </w:p>
    <w:p>
      <w:pPr>
        <w:spacing w:after="0" w:line="24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自然人签字并在签名处加盖食指指印：</w:t>
      </w:r>
      <w:r>
        <w:rPr>
          <w:rFonts w:ascii="宋体" w:hAnsi="宋体" w:eastAsia="宋体" w:cs="宋体"/>
          <w:color w:val="auto"/>
          <w:sz w:val="21"/>
          <w:szCs w:val="21"/>
          <w:u w:val="single" w:color="auto"/>
        </w:rPr>
        <w:t>_________________</w:t>
      </w:r>
    </w:p>
    <w:p>
      <w:pPr>
        <w:spacing w:after="0" w:line="10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日期：___________________</w:t>
      </w:r>
    </w:p>
    <w:p>
      <w:pPr>
        <w:spacing w:after="0" w:line="200" w:lineRule="exact"/>
        <w:rPr>
          <w:color w:val="auto"/>
          <w:sz w:val="20"/>
          <w:szCs w:val="20"/>
        </w:rPr>
      </w:pPr>
    </w:p>
    <w:p>
      <w:pPr>
        <w:spacing w:after="0" w:line="381" w:lineRule="exact"/>
        <w:rPr>
          <w:color w:val="auto"/>
          <w:sz w:val="20"/>
          <w:szCs w:val="20"/>
        </w:rPr>
      </w:pPr>
    </w:p>
    <w:p>
      <w:pPr>
        <w:spacing w:after="0" w:line="304" w:lineRule="exact"/>
        <w:ind w:left="420"/>
        <w:rPr>
          <w:color w:val="auto"/>
          <w:sz w:val="20"/>
          <w:szCs w:val="20"/>
        </w:rPr>
      </w:pPr>
      <w:r>
        <w:rPr>
          <w:rFonts w:ascii="宋体" w:hAnsi="宋体" w:eastAsia="宋体" w:cs="宋体"/>
          <w:b/>
          <w:bCs/>
          <w:color w:val="auto"/>
          <w:sz w:val="21"/>
          <w:szCs w:val="21"/>
        </w:rPr>
        <w:t>附：委托代理人身份证正反面复印件以及由县级以上（含县级）社保部门出具的自然人本人及委托代理人所交纳的社保证明复印件（委托代理时必须提供）。</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line="381" w:lineRule="exact"/>
        <w:rPr>
          <w:color w:val="auto"/>
          <w:sz w:val="20"/>
          <w:szCs w:val="20"/>
        </w:rPr>
      </w:pPr>
      <w:r>
        <w:rPr>
          <w:rFonts w:ascii="宋体" w:hAnsi="宋体" w:eastAsia="宋体" w:cs="宋体"/>
          <w:b/>
          <w:bCs/>
          <w:color w:val="auto"/>
          <w:sz w:val="32"/>
          <w:szCs w:val="32"/>
        </w:rPr>
        <w:t>4、供应商参加政府采购活动前 3 年内在经营活动中没有重大违法记录的书面声明及有关信用信息的书面声明（必须提供）；附件：</w:t>
      </w:r>
    </w:p>
    <w:p>
      <w:pPr>
        <w:spacing w:after="0" w:line="393" w:lineRule="exact"/>
        <w:rPr>
          <w:color w:val="auto"/>
          <w:sz w:val="20"/>
          <w:szCs w:val="20"/>
        </w:rPr>
      </w:pPr>
    </w:p>
    <w:p>
      <w:pPr>
        <w:tabs>
          <w:tab w:val="left" w:pos="460"/>
        </w:tabs>
        <w:spacing w:after="0" w:line="366" w:lineRule="exact"/>
        <w:ind w:right="-19"/>
        <w:jc w:val="center"/>
        <w:rPr>
          <w:color w:val="auto"/>
          <w:sz w:val="20"/>
          <w:szCs w:val="20"/>
        </w:rPr>
      </w:pPr>
      <w:r>
        <w:rPr>
          <w:rFonts w:ascii="宋体" w:hAnsi="宋体" w:eastAsia="宋体" w:cs="宋体"/>
          <w:b/>
          <w:bCs/>
          <w:color w:val="auto"/>
          <w:sz w:val="32"/>
          <w:szCs w:val="32"/>
        </w:rPr>
        <w:t>声</w:t>
      </w:r>
      <w:r>
        <w:rPr>
          <w:color w:val="auto"/>
          <w:sz w:val="20"/>
          <w:szCs w:val="20"/>
        </w:rPr>
        <w:tab/>
      </w:r>
      <w:r>
        <w:rPr>
          <w:rFonts w:ascii="宋体" w:hAnsi="宋体" w:eastAsia="宋体" w:cs="宋体"/>
          <w:b/>
          <w:bCs/>
          <w:color w:val="auto"/>
          <w:sz w:val="31"/>
          <w:szCs w:val="31"/>
        </w:rPr>
        <w:t>明</w:t>
      </w:r>
    </w:p>
    <w:p>
      <w:pPr>
        <w:spacing w:after="0" w:line="145" w:lineRule="exact"/>
        <w:rPr>
          <w:color w:val="auto"/>
          <w:sz w:val="20"/>
          <w:szCs w:val="20"/>
        </w:rPr>
      </w:pPr>
    </w:p>
    <w:p>
      <w:pPr>
        <w:spacing w:after="0" w:line="240" w:lineRule="exact"/>
        <w:rPr>
          <w:rFonts w:hint="eastAsia" w:eastAsia="宋体"/>
          <w:color w:val="auto"/>
          <w:sz w:val="20"/>
          <w:szCs w:val="20"/>
          <w:lang w:eastAsia="zh-CN"/>
        </w:rPr>
      </w:pPr>
      <w:r>
        <w:rPr>
          <w:rFonts w:ascii="宋体" w:hAnsi="宋体" w:eastAsia="宋体" w:cs="宋体"/>
          <w:b/>
          <w:bCs/>
          <w:color w:val="auto"/>
          <w:sz w:val="21"/>
          <w:szCs w:val="21"/>
        </w:rPr>
        <w:t>致</w:t>
      </w:r>
      <w:r>
        <w:rPr>
          <w:rFonts w:ascii="宋体" w:hAnsi="宋体" w:eastAsia="宋体" w:cs="宋体"/>
          <w:color w:val="auto"/>
          <w:sz w:val="21"/>
          <w:szCs w:val="21"/>
        </w:rPr>
        <w:t>：</w:t>
      </w:r>
      <w:r>
        <w:rPr>
          <w:rFonts w:hint="eastAsia" w:ascii="宋体" w:hAnsi="宋体" w:eastAsia="宋体" w:cs="宋体"/>
          <w:color w:val="auto"/>
          <w:sz w:val="21"/>
          <w:szCs w:val="21"/>
          <w:u w:val="single" w:color="auto"/>
          <w:lang w:eastAsia="zh-CN"/>
        </w:rPr>
        <w:t>广西八桂建设项目管理有限公司</w:t>
      </w:r>
    </w:p>
    <w:p>
      <w:pPr>
        <w:spacing w:after="0" w:line="200" w:lineRule="exact"/>
        <w:rPr>
          <w:color w:val="auto"/>
          <w:sz w:val="20"/>
          <w:szCs w:val="20"/>
        </w:rPr>
      </w:pPr>
    </w:p>
    <w:p>
      <w:pPr>
        <w:spacing w:after="0" w:line="375" w:lineRule="exact"/>
        <w:rPr>
          <w:color w:val="auto"/>
          <w:sz w:val="20"/>
          <w:szCs w:val="20"/>
        </w:rPr>
      </w:pPr>
    </w:p>
    <w:p>
      <w:pPr>
        <w:spacing w:after="0" w:line="346" w:lineRule="exact"/>
        <w:ind w:firstLine="420"/>
        <w:jc w:val="both"/>
        <w:rPr>
          <w:color w:val="auto"/>
          <w:sz w:val="20"/>
          <w:szCs w:val="20"/>
        </w:rPr>
      </w:pPr>
      <w:r>
        <w:rPr>
          <w:rFonts w:ascii="宋体" w:hAnsi="宋体" w:eastAsia="宋体" w:cs="宋体"/>
          <w:color w:val="auto"/>
          <w:sz w:val="21"/>
          <w:szCs w:val="21"/>
        </w:rPr>
        <w:t>我（公司）郑重声明，在参加本项目政府采购活动前 3 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after="0" w:line="200" w:lineRule="exact"/>
        <w:rPr>
          <w:color w:val="auto"/>
          <w:sz w:val="20"/>
          <w:szCs w:val="20"/>
        </w:rPr>
      </w:pPr>
    </w:p>
    <w:p>
      <w:pPr>
        <w:spacing w:after="0" w:line="358" w:lineRule="exact"/>
        <w:rPr>
          <w:color w:val="auto"/>
          <w:sz w:val="20"/>
          <w:szCs w:val="20"/>
        </w:rPr>
      </w:pPr>
    </w:p>
    <w:p>
      <w:pPr>
        <w:spacing w:after="0" w:line="240" w:lineRule="exact"/>
        <w:ind w:left="4940"/>
        <w:rPr>
          <w:color w:val="auto"/>
          <w:sz w:val="20"/>
          <w:szCs w:val="20"/>
        </w:rPr>
      </w:pPr>
      <w:r>
        <w:rPr>
          <w:rFonts w:ascii="宋体" w:hAnsi="宋体" w:eastAsia="宋体" w:cs="宋体"/>
          <w:color w:val="auto"/>
          <w:sz w:val="21"/>
          <w:szCs w:val="21"/>
        </w:rPr>
        <w:t>供应商（公章，自然人除外）：</w:t>
      </w:r>
      <w:r>
        <w:rPr>
          <w:rFonts w:ascii="宋体" w:hAnsi="宋体" w:eastAsia="宋体" w:cs="宋体"/>
          <w:color w:val="auto"/>
          <w:sz w:val="21"/>
          <w:szCs w:val="21"/>
          <w:u w:val="single" w:color="auto"/>
        </w:rPr>
        <w:t>_____________</w:t>
      </w:r>
    </w:p>
    <w:p>
      <w:pPr>
        <w:spacing w:after="0" w:line="112" w:lineRule="exact"/>
        <w:rPr>
          <w:color w:val="auto"/>
          <w:sz w:val="20"/>
          <w:szCs w:val="20"/>
        </w:rPr>
      </w:pPr>
    </w:p>
    <w:p>
      <w:pPr>
        <w:spacing w:after="0" w:line="240" w:lineRule="exact"/>
        <w:ind w:left="4940"/>
        <w:rPr>
          <w:color w:val="auto"/>
          <w:sz w:val="20"/>
          <w:szCs w:val="20"/>
        </w:rPr>
      </w:pPr>
      <w:r>
        <w:rPr>
          <w:rFonts w:ascii="宋体" w:hAnsi="宋体" w:eastAsia="宋体" w:cs="宋体"/>
          <w:color w:val="auto"/>
          <w:sz w:val="21"/>
          <w:szCs w:val="21"/>
        </w:rPr>
        <w:t>法定代表人、负责人、自然人或相应的委托代理</w:t>
      </w:r>
    </w:p>
    <w:p>
      <w:pPr>
        <w:spacing w:after="0" w:line="101" w:lineRule="exact"/>
        <w:rPr>
          <w:color w:val="auto"/>
          <w:sz w:val="20"/>
          <w:szCs w:val="20"/>
        </w:rPr>
      </w:pPr>
    </w:p>
    <w:p>
      <w:pPr>
        <w:spacing w:after="0" w:line="240" w:lineRule="exact"/>
        <w:ind w:left="4940"/>
        <w:rPr>
          <w:color w:val="auto"/>
          <w:sz w:val="20"/>
          <w:szCs w:val="20"/>
        </w:rPr>
      </w:pPr>
      <w:r>
        <w:rPr>
          <w:rFonts w:ascii="宋体" w:hAnsi="宋体" w:eastAsia="宋体" w:cs="宋体"/>
          <w:color w:val="auto"/>
          <w:sz w:val="21"/>
          <w:szCs w:val="21"/>
        </w:rPr>
        <w:t>人签字或盖章（属自然人的应在签名处加盖食指</w:t>
      </w:r>
    </w:p>
    <w:p>
      <w:pPr>
        <w:spacing w:after="0" w:line="100" w:lineRule="exact"/>
        <w:rPr>
          <w:color w:val="auto"/>
          <w:sz w:val="20"/>
          <w:szCs w:val="20"/>
        </w:rPr>
      </w:pPr>
    </w:p>
    <w:p>
      <w:pPr>
        <w:spacing w:after="0" w:line="240" w:lineRule="exact"/>
        <w:ind w:left="4940"/>
        <w:rPr>
          <w:color w:val="auto"/>
          <w:sz w:val="20"/>
          <w:szCs w:val="20"/>
        </w:rPr>
      </w:pPr>
      <w:r>
        <w:rPr>
          <w:rFonts w:ascii="宋体" w:hAnsi="宋体" w:eastAsia="宋体" w:cs="宋体"/>
          <w:color w:val="auto"/>
          <w:sz w:val="21"/>
          <w:szCs w:val="21"/>
        </w:rPr>
        <w:t>指印）：</w:t>
      </w:r>
      <w:r>
        <w:rPr>
          <w:rFonts w:ascii="宋体" w:hAnsi="宋体" w:eastAsia="宋体" w:cs="宋体"/>
          <w:color w:val="auto"/>
          <w:sz w:val="21"/>
          <w:szCs w:val="21"/>
          <w:u w:val="single" w:color="auto"/>
        </w:rPr>
        <w:t>_____________________</w:t>
      </w:r>
    </w:p>
    <w:p>
      <w:pPr>
        <w:spacing w:after="0" w:line="58" w:lineRule="exact"/>
        <w:rPr>
          <w:color w:val="auto"/>
          <w:sz w:val="20"/>
          <w:szCs w:val="20"/>
        </w:rPr>
      </w:pPr>
    </w:p>
    <w:p>
      <w:pPr>
        <w:spacing w:after="0" w:line="240" w:lineRule="exact"/>
        <w:ind w:left="4920"/>
        <w:rPr>
          <w:color w:val="auto"/>
          <w:sz w:val="20"/>
          <w:szCs w:val="20"/>
        </w:rPr>
      </w:pPr>
      <w:r>
        <w:rPr>
          <w:rFonts w:ascii="宋体" w:hAnsi="宋体" w:eastAsia="宋体" w:cs="宋体"/>
          <w:color w:val="auto"/>
          <w:sz w:val="21"/>
          <w:szCs w:val="21"/>
        </w:rPr>
        <w:t>日 期：</w:t>
      </w:r>
      <w:r>
        <w:rPr>
          <w:rFonts w:ascii="宋体" w:hAnsi="宋体" w:eastAsia="宋体" w:cs="宋体"/>
          <w:color w:val="auto"/>
          <w:sz w:val="21"/>
          <w:szCs w:val="21"/>
          <w:u w:val="single" w:color="auto"/>
        </w:rPr>
        <w:t>______________________</w:t>
      </w:r>
    </w:p>
    <w:p>
      <w:pPr>
        <w:spacing w:after="0" w:line="278" w:lineRule="exact"/>
        <w:rPr>
          <w:color w:val="auto"/>
          <w:sz w:val="20"/>
          <w:szCs w:val="20"/>
        </w:rPr>
      </w:pPr>
    </w:p>
    <w:p>
      <w:pPr>
        <w:spacing w:after="0" w:line="358" w:lineRule="exact"/>
        <w:ind w:left="220" w:right="240"/>
        <w:jc w:val="both"/>
        <w:rPr>
          <w:rFonts w:ascii="宋体" w:hAnsi="宋体" w:eastAsia="宋体" w:cs="宋体"/>
          <w:b/>
          <w:bCs/>
          <w:color w:val="auto"/>
          <w:sz w:val="32"/>
          <w:szCs w:val="32"/>
        </w:rPr>
      </w:pPr>
      <w:bookmarkStart w:id="63" w:name="page32"/>
      <w:bookmarkEnd w:id="63"/>
    </w:p>
    <w:p>
      <w:pPr>
        <w:spacing w:after="0" w:line="358" w:lineRule="exact"/>
        <w:ind w:left="220" w:right="240"/>
        <w:jc w:val="both"/>
        <w:rPr>
          <w:color w:val="auto"/>
          <w:sz w:val="20"/>
          <w:szCs w:val="20"/>
        </w:rPr>
      </w:pPr>
      <w:r>
        <w:rPr>
          <w:rFonts w:ascii="宋体" w:hAnsi="宋体" w:eastAsia="宋体" w:cs="宋体"/>
          <w:b/>
          <w:bCs/>
          <w:color w:val="auto"/>
          <w:sz w:val="32"/>
          <w:szCs w:val="32"/>
        </w:rPr>
        <w:t>5、供应商的法人或者其他组织营业执照复印件等证明文件（必须提供，自然人除外）；</w:t>
      </w:r>
    </w:p>
    <w:p>
      <w:pPr>
        <w:spacing w:after="0" w:line="200" w:lineRule="exact"/>
        <w:rPr>
          <w:color w:val="auto"/>
          <w:sz w:val="20"/>
          <w:szCs w:val="20"/>
        </w:rPr>
      </w:pPr>
    </w:p>
    <w:p>
      <w:pPr>
        <w:spacing w:after="0" w:line="234" w:lineRule="exact"/>
        <w:rPr>
          <w:color w:val="auto"/>
          <w:sz w:val="20"/>
          <w:szCs w:val="20"/>
        </w:rPr>
      </w:pPr>
    </w:p>
    <w:p>
      <w:pPr>
        <w:spacing w:after="0" w:line="298" w:lineRule="exact"/>
        <w:ind w:left="220" w:right="240"/>
        <w:jc w:val="both"/>
        <w:rPr>
          <w:color w:val="auto"/>
          <w:sz w:val="20"/>
          <w:szCs w:val="20"/>
        </w:rPr>
      </w:pPr>
      <w:r>
        <w:rPr>
          <w:rFonts w:ascii="宋体" w:hAnsi="宋体" w:eastAsia="宋体" w:cs="宋体"/>
          <w:b/>
          <w:bCs/>
          <w:color w:val="auto"/>
          <w:sz w:val="2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366" w:lineRule="exact"/>
        <w:ind w:left="220"/>
        <w:rPr>
          <w:color w:val="auto"/>
          <w:sz w:val="20"/>
          <w:szCs w:val="20"/>
        </w:rPr>
      </w:pPr>
      <w:r>
        <w:rPr>
          <w:rFonts w:ascii="宋体" w:hAnsi="宋体" w:eastAsia="宋体" w:cs="宋体"/>
          <w:b/>
          <w:bCs/>
          <w:color w:val="auto"/>
          <w:sz w:val="28"/>
          <w:szCs w:val="28"/>
        </w:rPr>
        <w:t>6、</w:t>
      </w:r>
      <w:r>
        <w:rPr>
          <w:rFonts w:ascii="宋体" w:hAnsi="宋体" w:eastAsia="宋体" w:cs="宋体"/>
          <w:b/>
          <w:bCs/>
          <w:color w:val="auto"/>
          <w:sz w:val="32"/>
          <w:szCs w:val="32"/>
        </w:rPr>
        <w:t>磋商报价</w:t>
      </w:r>
      <w:r>
        <w:rPr>
          <w:rFonts w:ascii="宋体" w:hAnsi="宋体" w:eastAsia="宋体" w:cs="宋体"/>
          <w:b/>
          <w:bCs/>
          <w:color w:val="auto"/>
          <w:sz w:val="28"/>
          <w:szCs w:val="28"/>
        </w:rPr>
        <w:t>表（格式见附件）（必须提供）；</w:t>
      </w:r>
    </w:p>
    <w:p>
      <w:pPr>
        <w:spacing w:after="0" w:line="275" w:lineRule="exact"/>
        <w:rPr>
          <w:color w:val="auto"/>
          <w:sz w:val="20"/>
          <w:szCs w:val="20"/>
        </w:rPr>
      </w:pPr>
    </w:p>
    <w:p>
      <w:pPr>
        <w:tabs>
          <w:tab w:val="left" w:pos="3580"/>
        </w:tabs>
        <w:spacing w:after="0" w:line="366" w:lineRule="exact"/>
        <w:ind w:left="220"/>
        <w:rPr>
          <w:color w:val="auto"/>
          <w:sz w:val="20"/>
          <w:szCs w:val="20"/>
        </w:rPr>
      </w:pPr>
      <w:r>
        <w:rPr>
          <w:rFonts w:ascii="宋体" w:hAnsi="宋体" w:eastAsia="宋体" w:cs="宋体"/>
          <w:b/>
          <w:bCs/>
          <w:color w:val="auto"/>
          <w:sz w:val="32"/>
          <w:szCs w:val="32"/>
        </w:rPr>
        <w:t>附件</w:t>
      </w:r>
      <w:r>
        <w:rPr>
          <w:color w:val="auto"/>
          <w:sz w:val="20"/>
          <w:szCs w:val="20"/>
        </w:rPr>
        <w:tab/>
      </w:r>
      <w:r>
        <w:rPr>
          <w:rFonts w:ascii="宋体" w:hAnsi="宋体" w:eastAsia="宋体" w:cs="宋体"/>
          <w:b/>
          <w:bCs/>
          <w:color w:val="auto"/>
          <w:sz w:val="32"/>
          <w:szCs w:val="32"/>
        </w:rPr>
        <w:t>磋商报价表（格式）</w:t>
      </w:r>
    </w:p>
    <w:p>
      <w:pPr>
        <w:spacing w:after="0" w:line="20" w:lineRule="exact"/>
        <w:rPr>
          <w:color w:val="auto"/>
          <w:sz w:val="20"/>
          <w:szCs w:val="20"/>
        </w:rPr>
      </w:pPr>
      <w:r>
        <w:rPr>
          <w:color w:val="auto"/>
          <w:sz w:val="20"/>
          <w:szCs w:val="20"/>
        </w:rPr>
        <w:pict>
          <v:line id="Shape 45" o:spid="_x0000_s1056" o:spt="20" style="position:absolute;left:0pt;margin-left:-0.45pt;margin-top:149.5pt;height:0pt;width:494.25pt;z-index:-251651072;mso-width-relative:page;mso-height-relative:page;" fillcolor="#FFFFFF" filled="t" stroked="t" coordsize="21600,21600" o:allowincell="f" o:gfxdata="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&#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yRc0u1gAAAAkBAAAPAAAAAAAAAAEAIAAAACIAAABk&#10;cnMvZG93bnJldi54bWxQSwECFAAUAAAACACHTuJAnbbUU5YBAABNAwAADgAAAAAAAAABACAAAAAl&#10;AQAAZHJzL2Uyb0RvYy54bWxQSwUGAAAAAAYABgBZAQAALQUAAAAA&#10;">
            <v:path arrowok="t"/>
            <v:fill on="t" focussize="0,0"/>
            <v:stroke weight="0.47992125984252pt" color="#000000" miterlimit="8" joinstyle="miter"/>
            <v:imagedata o:title=""/>
            <o:lock v:ext="edit" aspectratio="f"/>
          </v:line>
        </w:pict>
      </w:r>
      <w:r>
        <w:rPr>
          <w:color w:val="auto"/>
          <w:sz w:val="20"/>
          <w:szCs w:val="20"/>
        </w:rPr>
        <w:pict>
          <v:line id="Shape 46" o:spid="_x0000_s1062" o:spt="20" style="position:absolute;left:0pt;margin-left:-0.45pt;margin-top:177.95pt;height:0pt;width:494.25pt;z-index:-251651072;mso-width-relative:page;mso-height-relative:page;" fillcolor="#FFFFFF" filled="t" stroked="t" coordsize="21600,21600" o:allowincell="f" o:gfxdata="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NzW5NYAAAAJAQAADwAAAAAAAAABACAAAAAiAAAA&#10;ZHJzL2Rvd25yZXYueG1sUEsBAhQAFAAAAAgAh07iQDnsTXOXAQAATQMAAA4AAAAAAAAAAQAgAAAA&#10;JQEAAGRycy9lMm9Eb2MueG1sUEsFBgAAAAAGAAYAWQEAAC4FAAAAAA==&#10;">
            <v:path arrowok="t"/>
            <v:fill on="t" focussize="0,0"/>
            <v:stroke weight="0.47992125984252pt" color="#000000" miterlimit="8" joinstyle="miter"/>
            <v:imagedata o:title=""/>
            <o:lock v:ext="edit" aspectratio="f"/>
          </v:line>
        </w:pict>
      </w:r>
      <w:r>
        <w:rPr>
          <w:color w:val="auto"/>
          <w:sz w:val="20"/>
          <w:szCs w:val="20"/>
        </w:rPr>
        <w:pict>
          <v:line id="Shape 47" o:spid="_x0000_s1063" o:spt="20" style="position:absolute;left:0pt;margin-left:-0.45pt;margin-top:206.1pt;height:0pt;width:494.25pt;z-index:-251651072;mso-width-relative:page;mso-height-relative:page;" fillcolor="#FFFFFF" filled="t" stroked="t" coordsize="21600,21600" o:allowincell="f" o:gfxdata="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4vqST2AAAAAkBAAAPAAAAAAAAAAEAIAAAACIA&#10;AABkcnMvZG93bnJldi54bWxQSwECFAAUAAAACACHTuJAQCkqhpcBAABNAwAADgAAAAAAAAABACAA&#10;AAAnAQAAZHJzL2Uyb0RvYy54bWxQSwUGAAAAAAYABgBZAQAAMAUAAAAA&#10;">
            <v:path arrowok="t"/>
            <v:fill on="t" focussize="0,0"/>
            <v:stroke weight="0.48pt" color="#000000" miterlimit="8" joinstyle="miter"/>
            <v:imagedata o:title=""/>
            <o:lock v:ext="edit" aspectratio="f"/>
          </v:line>
        </w:pict>
      </w:r>
      <w:r>
        <w:rPr>
          <w:color w:val="auto"/>
          <w:sz w:val="20"/>
          <w:szCs w:val="20"/>
        </w:rPr>
        <w:pict>
          <v:line id="Shape 48" o:spid="_x0000_s1064" o:spt="20" style="position:absolute;left:0pt;margin-left:-0.2pt;margin-top:17.05pt;height:219.75pt;width:0pt;z-index:-251651072;mso-width-relative:page;mso-height-relative:page;" fillcolor="#FFFFFF" filled="t" stroked="t" coordsize="21600,21600" o:allowincell="f" o:gfxdata="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gPUdMAAAAGAQAADwAAAAAAAAABACAAAAAiAAAAZHJz&#10;L2Rvd25yZXYueG1sUEsBAhQAFAAAAAgAh07iQClxKIeXAQAATQMAAA4AAAAAAAAAAQAgAAAAIgEA&#10;AGRycy9lMm9Eb2MueG1sUEsFBgAAAAAGAAYAWQEAACsFAAAAAA==&#10;">
            <v:path arrowok="t"/>
            <v:fill on="t" focussize="0,0"/>
            <v:stroke weight="0.47992125984252pt" color="#000000" miterlimit="8" joinstyle="miter"/>
            <v:imagedata o:title=""/>
            <o:lock v:ext="edit" aspectratio="f"/>
          </v:line>
        </w:pict>
      </w:r>
      <w:r>
        <w:rPr>
          <w:color w:val="auto"/>
          <w:sz w:val="20"/>
          <w:szCs w:val="20"/>
        </w:rPr>
        <w:pict>
          <v:line id="Shape 49" o:spid="_x0000_s1065" o:spt="20" style="position:absolute;left:0pt;margin-left:493.55pt;margin-top:17.05pt;height:219.75pt;width:0pt;z-index:-251651072;mso-width-relative:page;mso-height-relative:page;" fillcolor="#FFFFFF" filled="t" stroked="t" coordsize="21600,21600" o:allowincell="f" o:gfxdata="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MLlvDXAAAACgEAAA8AAAAAAAAAAQAgAAAAIgAA&#10;AGRycy9kb3ducmV2LnhtbFBLAQIUABQAAAAIAIdO4kC1uKCYlwEAAE0DAAAOAAAAAAAAAAEAIAAA&#10;ACYBAABkcnMvZTJvRG9jLnhtbFBLBQYAAAAABgAGAFkBAAAvBQAAAAA=&#10;">
            <v:path arrowok="t"/>
            <v:fill on="t" focussize="0,0"/>
            <v:stroke weight="0.47992125984252pt" color="#000000" miterlimit="8" joinstyle="miter"/>
            <v:imagedata o:title=""/>
            <o:lock v:ext="edit" aspectratio="f"/>
          </v:line>
        </w:pict>
      </w:r>
    </w:p>
    <w:p>
      <w:pPr>
        <w:spacing w:after="0" w:line="301" w:lineRule="exact"/>
        <w:rPr>
          <w:color w:val="auto"/>
          <w:sz w:val="20"/>
          <w:szCs w:val="20"/>
        </w:rPr>
      </w:pPr>
    </w:p>
    <w:tbl>
      <w:tblPr>
        <w:tblStyle w:val="9"/>
        <w:tblW w:w="10240" w:type="dxa"/>
        <w:tblInd w:w="0" w:type="dxa"/>
        <w:tblLayout w:type="fixed"/>
        <w:tblCellMar>
          <w:top w:w="0" w:type="dxa"/>
          <w:left w:w="0" w:type="dxa"/>
          <w:bottom w:w="0" w:type="dxa"/>
          <w:right w:w="0" w:type="dxa"/>
        </w:tblCellMar>
      </w:tblPr>
      <w:tblGrid>
        <w:gridCol w:w="660"/>
        <w:gridCol w:w="1860"/>
        <w:gridCol w:w="980"/>
        <w:gridCol w:w="1140"/>
        <w:gridCol w:w="1560"/>
        <w:gridCol w:w="2540"/>
        <w:gridCol w:w="1140"/>
        <w:gridCol w:w="360"/>
      </w:tblGrid>
      <w:tr>
        <w:tblPrEx>
          <w:tblCellMar>
            <w:top w:w="0" w:type="dxa"/>
            <w:left w:w="0" w:type="dxa"/>
            <w:bottom w:w="0" w:type="dxa"/>
            <w:right w:w="0" w:type="dxa"/>
          </w:tblCellMar>
        </w:tblPrEx>
        <w:trPr>
          <w:trHeight w:val="293" w:hRule="atLeast"/>
        </w:trPr>
        <w:tc>
          <w:tcPr>
            <w:tcW w:w="660" w:type="dxa"/>
            <w:vMerge w:val="restart"/>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项号</w:t>
            </w:r>
          </w:p>
        </w:tc>
        <w:tc>
          <w:tcPr>
            <w:tcW w:w="1860" w:type="dxa"/>
            <w:vMerge w:val="restart"/>
            <w:tcBorders>
              <w:top w:val="single" w:color="auto" w:sz="8" w:space="0"/>
              <w:right w:val="single" w:color="auto" w:sz="8" w:space="0"/>
            </w:tcBorders>
            <w:vAlign w:val="bottom"/>
          </w:tcPr>
          <w:p>
            <w:pPr>
              <w:spacing w:after="0" w:line="240" w:lineRule="exact"/>
              <w:ind w:left="500"/>
              <w:rPr>
                <w:color w:val="auto"/>
                <w:sz w:val="20"/>
                <w:szCs w:val="20"/>
              </w:rPr>
            </w:pPr>
            <w:r>
              <w:rPr>
                <w:rFonts w:ascii="宋体" w:hAnsi="宋体" w:eastAsia="宋体" w:cs="宋体"/>
                <w:color w:val="auto"/>
                <w:sz w:val="21"/>
                <w:szCs w:val="21"/>
              </w:rPr>
              <w:t>服务名称</w:t>
            </w:r>
          </w:p>
        </w:tc>
        <w:tc>
          <w:tcPr>
            <w:tcW w:w="980" w:type="dxa"/>
            <w:vMerge w:val="restart"/>
            <w:tcBorders>
              <w:top w:val="single" w:color="auto" w:sz="8" w:space="0"/>
              <w:right w:val="single" w:color="auto" w:sz="8" w:space="0"/>
            </w:tcBorders>
            <w:vAlign w:val="bottom"/>
          </w:tcPr>
          <w:p>
            <w:pPr>
              <w:spacing w:after="0" w:line="240" w:lineRule="exact"/>
              <w:ind w:left="160"/>
              <w:rPr>
                <w:color w:val="auto"/>
                <w:sz w:val="20"/>
                <w:szCs w:val="20"/>
              </w:rPr>
            </w:pPr>
            <w:r>
              <w:rPr>
                <w:rFonts w:ascii="宋体" w:hAnsi="宋体" w:eastAsia="宋体" w:cs="宋体"/>
                <w:color w:val="auto"/>
                <w:sz w:val="21"/>
                <w:szCs w:val="21"/>
              </w:rPr>
              <w:t>数量①</w:t>
            </w:r>
          </w:p>
        </w:tc>
        <w:tc>
          <w:tcPr>
            <w:tcW w:w="1140" w:type="dxa"/>
            <w:vMerge w:val="restart"/>
            <w:tcBorders>
              <w:top w:val="single" w:color="auto" w:sz="8" w:space="0"/>
              <w:right w:val="single" w:color="auto" w:sz="8" w:space="0"/>
            </w:tcBorders>
            <w:vAlign w:val="bottom"/>
          </w:tcPr>
          <w:p>
            <w:pPr>
              <w:spacing w:after="0" w:line="240" w:lineRule="exact"/>
              <w:ind w:left="340"/>
              <w:rPr>
                <w:color w:val="auto"/>
                <w:sz w:val="20"/>
                <w:szCs w:val="20"/>
              </w:rPr>
            </w:pPr>
            <w:r>
              <w:rPr>
                <w:rFonts w:ascii="宋体" w:hAnsi="宋体" w:eastAsia="宋体" w:cs="宋体"/>
                <w:color w:val="auto"/>
                <w:sz w:val="21"/>
                <w:szCs w:val="21"/>
              </w:rPr>
              <w:t>单位</w:t>
            </w:r>
          </w:p>
        </w:tc>
        <w:tc>
          <w:tcPr>
            <w:tcW w:w="1560" w:type="dxa"/>
            <w:vMerge w:val="restart"/>
            <w:tcBorders>
              <w:top w:val="single" w:color="auto" w:sz="8" w:space="0"/>
              <w:right w:val="single" w:color="auto" w:sz="8" w:space="0"/>
            </w:tcBorders>
            <w:vAlign w:val="bottom"/>
          </w:tcPr>
          <w:p>
            <w:pPr>
              <w:spacing w:after="0" w:line="240" w:lineRule="exact"/>
              <w:ind w:left="140"/>
              <w:rPr>
                <w:color w:val="auto"/>
                <w:sz w:val="20"/>
                <w:szCs w:val="20"/>
              </w:rPr>
            </w:pPr>
            <w:r>
              <w:rPr>
                <w:rFonts w:ascii="宋体" w:hAnsi="宋体" w:eastAsia="宋体" w:cs="宋体"/>
                <w:color w:val="auto"/>
                <w:sz w:val="21"/>
                <w:szCs w:val="21"/>
              </w:rPr>
              <w:t>单价（元）②</w:t>
            </w:r>
          </w:p>
        </w:tc>
        <w:tc>
          <w:tcPr>
            <w:tcW w:w="254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单项合计=数量×单价</w:t>
            </w:r>
          </w:p>
        </w:tc>
        <w:tc>
          <w:tcPr>
            <w:tcW w:w="1140" w:type="dxa"/>
            <w:vMerge w:val="restart"/>
            <w:tcBorders>
              <w:top w:val="single" w:color="auto" w:sz="8" w:space="0"/>
            </w:tcBorders>
            <w:vAlign w:val="bottom"/>
          </w:tcPr>
          <w:p>
            <w:pPr>
              <w:spacing w:after="0" w:line="240" w:lineRule="exact"/>
              <w:ind w:left="360"/>
              <w:rPr>
                <w:color w:val="auto"/>
                <w:sz w:val="20"/>
                <w:szCs w:val="20"/>
              </w:rPr>
            </w:pPr>
            <w:r>
              <w:rPr>
                <w:rFonts w:ascii="宋体" w:hAnsi="宋体" w:eastAsia="宋体" w:cs="宋体"/>
                <w:color w:val="auto"/>
                <w:sz w:val="21"/>
                <w:szCs w:val="21"/>
              </w:rPr>
              <w:t>备注</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60" w:hRule="atLeast"/>
        </w:trPr>
        <w:tc>
          <w:tcPr>
            <w:tcW w:w="660" w:type="dxa"/>
            <w:vMerge w:val="continue"/>
            <w:tcBorders>
              <w:right w:val="single" w:color="auto" w:sz="8" w:space="0"/>
            </w:tcBorders>
            <w:vAlign w:val="bottom"/>
          </w:tcPr>
          <w:p>
            <w:pPr>
              <w:spacing w:after="0"/>
              <w:rPr>
                <w:color w:val="auto"/>
                <w:sz w:val="13"/>
                <w:szCs w:val="13"/>
              </w:rPr>
            </w:pPr>
          </w:p>
        </w:tc>
        <w:tc>
          <w:tcPr>
            <w:tcW w:w="1860" w:type="dxa"/>
            <w:vMerge w:val="continue"/>
            <w:tcBorders>
              <w:right w:val="single" w:color="auto" w:sz="8" w:space="0"/>
            </w:tcBorders>
            <w:vAlign w:val="bottom"/>
          </w:tcPr>
          <w:p>
            <w:pPr>
              <w:spacing w:after="0"/>
              <w:rPr>
                <w:color w:val="auto"/>
                <w:sz w:val="13"/>
                <w:szCs w:val="13"/>
              </w:rPr>
            </w:pPr>
          </w:p>
        </w:tc>
        <w:tc>
          <w:tcPr>
            <w:tcW w:w="980" w:type="dxa"/>
            <w:vMerge w:val="continue"/>
            <w:tcBorders>
              <w:right w:val="single" w:color="auto" w:sz="8" w:space="0"/>
            </w:tcBorders>
            <w:vAlign w:val="bottom"/>
          </w:tcPr>
          <w:p>
            <w:pPr>
              <w:spacing w:after="0"/>
              <w:rPr>
                <w:color w:val="auto"/>
                <w:sz w:val="13"/>
                <w:szCs w:val="13"/>
              </w:rPr>
            </w:pPr>
          </w:p>
        </w:tc>
        <w:tc>
          <w:tcPr>
            <w:tcW w:w="1140" w:type="dxa"/>
            <w:vMerge w:val="continue"/>
            <w:tcBorders>
              <w:right w:val="single" w:color="auto" w:sz="8" w:space="0"/>
            </w:tcBorders>
            <w:vAlign w:val="bottom"/>
          </w:tcPr>
          <w:p>
            <w:pPr>
              <w:spacing w:after="0"/>
              <w:rPr>
                <w:color w:val="auto"/>
                <w:sz w:val="13"/>
                <w:szCs w:val="13"/>
              </w:rPr>
            </w:pPr>
          </w:p>
        </w:tc>
        <w:tc>
          <w:tcPr>
            <w:tcW w:w="1560" w:type="dxa"/>
            <w:vMerge w:val="continue"/>
            <w:tcBorders>
              <w:right w:val="single" w:color="auto" w:sz="8" w:space="0"/>
            </w:tcBorders>
            <w:vAlign w:val="bottom"/>
          </w:tcPr>
          <w:p>
            <w:pPr>
              <w:spacing w:after="0"/>
              <w:rPr>
                <w:color w:val="auto"/>
                <w:sz w:val="13"/>
                <w:szCs w:val="13"/>
              </w:rPr>
            </w:pPr>
          </w:p>
        </w:tc>
        <w:tc>
          <w:tcPr>
            <w:tcW w:w="25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③＝①×②</w:t>
            </w:r>
          </w:p>
        </w:tc>
        <w:tc>
          <w:tcPr>
            <w:tcW w:w="1140" w:type="dxa"/>
            <w:vMerge w:val="continue"/>
            <w:vAlign w:val="bottom"/>
          </w:tcPr>
          <w:p>
            <w:pPr>
              <w:spacing w:after="0"/>
              <w:rPr>
                <w:color w:val="auto"/>
                <w:sz w:val="13"/>
                <w:szCs w:val="1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61" w:hRule="atLeast"/>
        </w:trPr>
        <w:tc>
          <w:tcPr>
            <w:tcW w:w="660" w:type="dxa"/>
            <w:tcBorders>
              <w:right w:val="single" w:color="auto" w:sz="8" w:space="0"/>
            </w:tcBorders>
            <w:vAlign w:val="bottom"/>
          </w:tcPr>
          <w:p>
            <w:pPr>
              <w:spacing w:after="0"/>
              <w:rPr>
                <w:color w:val="auto"/>
                <w:sz w:val="13"/>
                <w:szCs w:val="13"/>
              </w:rPr>
            </w:pPr>
          </w:p>
        </w:tc>
        <w:tc>
          <w:tcPr>
            <w:tcW w:w="1860" w:type="dxa"/>
            <w:tcBorders>
              <w:right w:val="single" w:color="auto" w:sz="8" w:space="0"/>
            </w:tcBorders>
            <w:vAlign w:val="bottom"/>
          </w:tcPr>
          <w:p>
            <w:pPr>
              <w:spacing w:after="0"/>
              <w:rPr>
                <w:color w:val="auto"/>
                <w:sz w:val="13"/>
                <w:szCs w:val="13"/>
              </w:rPr>
            </w:pPr>
          </w:p>
        </w:tc>
        <w:tc>
          <w:tcPr>
            <w:tcW w:w="980" w:type="dxa"/>
            <w:tcBorders>
              <w:right w:val="single" w:color="auto" w:sz="8" w:space="0"/>
            </w:tcBorders>
            <w:vAlign w:val="bottom"/>
          </w:tcPr>
          <w:p>
            <w:pPr>
              <w:spacing w:after="0"/>
              <w:rPr>
                <w:color w:val="auto"/>
                <w:sz w:val="13"/>
                <w:szCs w:val="13"/>
              </w:rPr>
            </w:pPr>
          </w:p>
        </w:tc>
        <w:tc>
          <w:tcPr>
            <w:tcW w:w="1140" w:type="dxa"/>
            <w:tcBorders>
              <w:right w:val="single" w:color="auto" w:sz="8" w:space="0"/>
            </w:tcBorders>
            <w:vAlign w:val="bottom"/>
          </w:tcPr>
          <w:p>
            <w:pPr>
              <w:spacing w:after="0"/>
              <w:rPr>
                <w:color w:val="auto"/>
                <w:sz w:val="13"/>
                <w:szCs w:val="13"/>
              </w:rPr>
            </w:pPr>
          </w:p>
        </w:tc>
        <w:tc>
          <w:tcPr>
            <w:tcW w:w="1560" w:type="dxa"/>
            <w:tcBorders>
              <w:right w:val="single" w:color="auto" w:sz="8" w:space="0"/>
            </w:tcBorders>
            <w:vAlign w:val="bottom"/>
          </w:tcPr>
          <w:p>
            <w:pPr>
              <w:spacing w:after="0"/>
              <w:rPr>
                <w:color w:val="auto"/>
                <w:sz w:val="13"/>
                <w:szCs w:val="13"/>
              </w:rPr>
            </w:pPr>
          </w:p>
        </w:tc>
        <w:tc>
          <w:tcPr>
            <w:tcW w:w="2540" w:type="dxa"/>
            <w:vMerge w:val="continue"/>
            <w:tcBorders>
              <w:right w:val="single" w:color="auto" w:sz="8" w:space="0"/>
            </w:tcBorders>
            <w:vAlign w:val="bottom"/>
          </w:tcPr>
          <w:p>
            <w:pPr>
              <w:spacing w:after="0"/>
              <w:rPr>
                <w:color w:val="auto"/>
                <w:sz w:val="13"/>
                <w:szCs w:val="13"/>
              </w:rPr>
            </w:pPr>
          </w:p>
        </w:tc>
        <w:tc>
          <w:tcPr>
            <w:tcW w:w="1140" w:type="dxa"/>
            <w:vAlign w:val="bottom"/>
          </w:tcPr>
          <w:p>
            <w:pPr>
              <w:spacing w:after="0"/>
              <w:rPr>
                <w:color w:val="auto"/>
                <w:sz w:val="13"/>
                <w:szCs w:val="1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 w:hRule="atLeast"/>
        </w:trPr>
        <w:tc>
          <w:tcPr>
            <w:tcW w:w="660" w:type="dxa"/>
            <w:tcBorders>
              <w:bottom w:val="single" w:color="auto" w:sz="8" w:space="0"/>
              <w:right w:val="single" w:color="auto" w:sz="8" w:space="0"/>
            </w:tcBorders>
            <w:vAlign w:val="bottom"/>
          </w:tcPr>
          <w:p>
            <w:pPr>
              <w:spacing w:after="0"/>
              <w:rPr>
                <w:color w:val="auto"/>
                <w:sz w:val="3"/>
                <w:szCs w:val="3"/>
              </w:rPr>
            </w:pPr>
          </w:p>
        </w:tc>
        <w:tc>
          <w:tcPr>
            <w:tcW w:w="1860" w:type="dxa"/>
            <w:tcBorders>
              <w:bottom w:val="single" w:color="auto" w:sz="8" w:space="0"/>
              <w:right w:val="single" w:color="auto" w:sz="8" w:space="0"/>
            </w:tcBorders>
            <w:vAlign w:val="bottom"/>
          </w:tcPr>
          <w:p>
            <w:pPr>
              <w:spacing w:after="0"/>
              <w:rPr>
                <w:color w:val="auto"/>
                <w:sz w:val="3"/>
                <w:szCs w:val="3"/>
              </w:rPr>
            </w:pPr>
          </w:p>
        </w:tc>
        <w:tc>
          <w:tcPr>
            <w:tcW w:w="9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right w:val="single" w:color="auto" w:sz="8" w:space="0"/>
            </w:tcBorders>
            <w:vAlign w:val="bottom"/>
          </w:tcPr>
          <w:p>
            <w:pPr>
              <w:spacing w:after="0"/>
              <w:rPr>
                <w:color w:val="auto"/>
                <w:sz w:val="3"/>
                <w:szCs w:val="3"/>
              </w:rPr>
            </w:pPr>
          </w:p>
        </w:tc>
        <w:tc>
          <w:tcPr>
            <w:tcW w:w="1560" w:type="dxa"/>
            <w:tcBorders>
              <w:bottom w:val="single" w:color="auto" w:sz="8" w:space="0"/>
              <w:right w:val="single" w:color="auto" w:sz="8" w:space="0"/>
            </w:tcBorders>
            <w:vAlign w:val="bottom"/>
          </w:tcPr>
          <w:p>
            <w:pPr>
              <w:spacing w:after="0"/>
              <w:rPr>
                <w:color w:val="auto"/>
                <w:sz w:val="3"/>
                <w:szCs w:val="3"/>
              </w:rPr>
            </w:pPr>
          </w:p>
        </w:tc>
        <w:tc>
          <w:tcPr>
            <w:tcW w:w="254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70" w:hRule="atLeast"/>
        </w:trPr>
        <w:tc>
          <w:tcPr>
            <w:tcW w:w="6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1</w:t>
            </w:r>
          </w:p>
        </w:tc>
        <w:tc>
          <w:tcPr>
            <w:tcW w:w="18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560" w:type="dxa"/>
            <w:tcBorders>
              <w:right w:val="single" w:color="auto" w:sz="8" w:space="0"/>
            </w:tcBorders>
            <w:vAlign w:val="bottom"/>
          </w:tcPr>
          <w:p>
            <w:pPr>
              <w:spacing w:after="0"/>
              <w:rPr>
                <w:color w:val="auto"/>
                <w:sz w:val="24"/>
                <w:szCs w:val="24"/>
              </w:rPr>
            </w:pPr>
          </w:p>
        </w:tc>
        <w:tc>
          <w:tcPr>
            <w:tcW w:w="2540" w:type="dxa"/>
            <w:tcBorders>
              <w:right w:val="single" w:color="auto" w:sz="8" w:space="0"/>
            </w:tcBorders>
            <w:vAlign w:val="bottom"/>
          </w:tcPr>
          <w:p>
            <w:pPr>
              <w:spacing w:after="0"/>
              <w:rPr>
                <w:color w:val="auto"/>
                <w:sz w:val="24"/>
                <w:szCs w:val="24"/>
              </w:rPr>
            </w:pPr>
          </w:p>
        </w:tc>
        <w:tc>
          <w:tcPr>
            <w:tcW w:w="1140" w:type="dxa"/>
            <w:vMerge w:val="restart"/>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60" w:hRule="atLeast"/>
        </w:trPr>
        <w:tc>
          <w:tcPr>
            <w:tcW w:w="660" w:type="dxa"/>
            <w:tcBorders>
              <w:bottom w:val="single" w:color="auto" w:sz="8" w:space="0"/>
              <w:right w:val="single" w:color="auto" w:sz="8" w:space="0"/>
            </w:tcBorders>
            <w:vAlign w:val="bottom"/>
          </w:tcPr>
          <w:p>
            <w:pPr>
              <w:spacing w:after="0"/>
              <w:rPr>
                <w:color w:val="auto"/>
                <w:sz w:val="5"/>
                <w:szCs w:val="5"/>
              </w:rPr>
            </w:pPr>
          </w:p>
        </w:tc>
        <w:tc>
          <w:tcPr>
            <w:tcW w:w="186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114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2540" w:type="dxa"/>
            <w:tcBorders>
              <w:bottom w:val="single" w:color="auto" w:sz="8" w:space="0"/>
              <w:right w:val="single" w:color="auto" w:sz="8" w:space="0"/>
            </w:tcBorders>
            <w:vAlign w:val="bottom"/>
          </w:tcPr>
          <w:p>
            <w:pPr>
              <w:spacing w:after="0"/>
              <w:rPr>
                <w:color w:val="auto"/>
                <w:sz w:val="5"/>
                <w:szCs w:val="5"/>
              </w:rPr>
            </w:pPr>
          </w:p>
        </w:tc>
        <w:tc>
          <w:tcPr>
            <w:tcW w:w="1140" w:type="dxa"/>
            <w:vMerge w:val="continue"/>
            <w:vAlign w:val="bottom"/>
          </w:tcPr>
          <w:p>
            <w:pPr>
              <w:spacing w:after="0"/>
              <w:rPr>
                <w:color w:val="auto"/>
                <w:sz w:val="5"/>
                <w:szCs w:val="5"/>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70" w:hRule="atLeast"/>
        </w:trPr>
        <w:tc>
          <w:tcPr>
            <w:tcW w:w="6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2</w:t>
            </w:r>
          </w:p>
        </w:tc>
        <w:tc>
          <w:tcPr>
            <w:tcW w:w="18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560" w:type="dxa"/>
            <w:tcBorders>
              <w:right w:val="single" w:color="auto" w:sz="8" w:space="0"/>
            </w:tcBorders>
            <w:vAlign w:val="bottom"/>
          </w:tcPr>
          <w:p>
            <w:pPr>
              <w:spacing w:after="0"/>
              <w:rPr>
                <w:color w:val="auto"/>
                <w:sz w:val="24"/>
                <w:szCs w:val="24"/>
              </w:rPr>
            </w:pPr>
          </w:p>
        </w:tc>
        <w:tc>
          <w:tcPr>
            <w:tcW w:w="2540" w:type="dxa"/>
            <w:tcBorders>
              <w:right w:val="single" w:color="auto" w:sz="8" w:space="0"/>
            </w:tcBorders>
            <w:vAlign w:val="bottom"/>
          </w:tcPr>
          <w:p>
            <w:pPr>
              <w:spacing w:after="0"/>
              <w:rPr>
                <w:color w:val="auto"/>
                <w:sz w:val="24"/>
                <w:szCs w:val="24"/>
              </w:rPr>
            </w:pPr>
          </w:p>
        </w:tc>
        <w:tc>
          <w:tcPr>
            <w:tcW w:w="1140" w:type="dxa"/>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60" w:hRule="atLeast"/>
        </w:trPr>
        <w:tc>
          <w:tcPr>
            <w:tcW w:w="660" w:type="dxa"/>
            <w:tcBorders>
              <w:bottom w:val="single" w:color="auto" w:sz="8" w:space="0"/>
              <w:right w:val="single" w:color="auto" w:sz="8" w:space="0"/>
            </w:tcBorders>
            <w:vAlign w:val="bottom"/>
          </w:tcPr>
          <w:p>
            <w:pPr>
              <w:spacing w:after="0"/>
              <w:rPr>
                <w:color w:val="auto"/>
                <w:sz w:val="5"/>
                <w:szCs w:val="5"/>
              </w:rPr>
            </w:pPr>
          </w:p>
        </w:tc>
        <w:tc>
          <w:tcPr>
            <w:tcW w:w="186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114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2540" w:type="dxa"/>
            <w:tcBorders>
              <w:bottom w:val="single" w:color="auto" w:sz="8" w:space="0"/>
              <w:right w:val="single" w:color="auto" w:sz="8" w:space="0"/>
            </w:tcBorders>
            <w:vAlign w:val="bottom"/>
          </w:tcPr>
          <w:p>
            <w:pPr>
              <w:spacing w:after="0"/>
              <w:rPr>
                <w:color w:val="auto"/>
                <w:sz w:val="5"/>
                <w:szCs w:val="5"/>
              </w:rPr>
            </w:pPr>
          </w:p>
        </w:tc>
        <w:tc>
          <w:tcPr>
            <w:tcW w:w="1140" w:type="dxa"/>
            <w:vMerge w:val="continue"/>
            <w:vAlign w:val="bottom"/>
          </w:tcPr>
          <w:p>
            <w:pPr>
              <w:spacing w:after="0"/>
              <w:rPr>
                <w:color w:val="auto"/>
                <w:sz w:val="5"/>
                <w:szCs w:val="5"/>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70" w:hRule="atLeast"/>
        </w:trPr>
        <w:tc>
          <w:tcPr>
            <w:tcW w:w="6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w:t>
            </w:r>
          </w:p>
        </w:tc>
        <w:tc>
          <w:tcPr>
            <w:tcW w:w="18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560" w:type="dxa"/>
            <w:tcBorders>
              <w:right w:val="single" w:color="auto" w:sz="8" w:space="0"/>
            </w:tcBorders>
            <w:vAlign w:val="bottom"/>
          </w:tcPr>
          <w:p>
            <w:pPr>
              <w:spacing w:after="0"/>
              <w:rPr>
                <w:color w:val="auto"/>
                <w:sz w:val="24"/>
                <w:szCs w:val="24"/>
              </w:rPr>
            </w:pPr>
          </w:p>
        </w:tc>
        <w:tc>
          <w:tcPr>
            <w:tcW w:w="2540" w:type="dxa"/>
            <w:tcBorders>
              <w:right w:val="single" w:color="auto" w:sz="8" w:space="0"/>
            </w:tcBorders>
            <w:vAlign w:val="bottom"/>
          </w:tcPr>
          <w:p>
            <w:pPr>
              <w:spacing w:after="0"/>
              <w:rPr>
                <w:color w:val="auto"/>
                <w:sz w:val="24"/>
                <w:szCs w:val="24"/>
              </w:rPr>
            </w:pPr>
          </w:p>
        </w:tc>
        <w:tc>
          <w:tcPr>
            <w:tcW w:w="1140" w:type="dxa"/>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60" w:hRule="atLeast"/>
        </w:trPr>
        <w:tc>
          <w:tcPr>
            <w:tcW w:w="660" w:type="dxa"/>
            <w:tcBorders>
              <w:bottom w:val="single" w:color="auto" w:sz="8" w:space="0"/>
              <w:right w:val="single" w:color="auto" w:sz="8" w:space="0"/>
            </w:tcBorders>
            <w:vAlign w:val="bottom"/>
          </w:tcPr>
          <w:p>
            <w:pPr>
              <w:spacing w:after="0"/>
              <w:rPr>
                <w:color w:val="auto"/>
                <w:sz w:val="5"/>
                <w:szCs w:val="5"/>
              </w:rPr>
            </w:pPr>
          </w:p>
        </w:tc>
        <w:tc>
          <w:tcPr>
            <w:tcW w:w="1860" w:type="dxa"/>
            <w:tcBorders>
              <w:bottom w:val="single" w:color="auto" w:sz="8" w:space="0"/>
              <w:right w:val="single" w:color="auto" w:sz="8" w:space="0"/>
            </w:tcBorders>
            <w:vAlign w:val="bottom"/>
          </w:tcPr>
          <w:p>
            <w:pPr>
              <w:spacing w:after="0"/>
              <w:rPr>
                <w:color w:val="auto"/>
                <w:sz w:val="5"/>
                <w:szCs w:val="5"/>
              </w:rPr>
            </w:pPr>
          </w:p>
        </w:tc>
        <w:tc>
          <w:tcPr>
            <w:tcW w:w="980" w:type="dxa"/>
            <w:tcBorders>
              <w:bottom w:val="single" w:color="auto" w:sz="8" w:space="0"/>
              <w:right w:val="single" w:color="auto" w:sz="8" w:space="0"/>
            </w:tcBorders>
            <w:vAlign w:val="bottom"/>
          </w:tcPr>
          <w:p>
            <w:pPr>
              <w:spacing w:after="0"/>
              <w:rPr>
                <w:color w:val="auto"/>
                <w:sz w:val="5"/>
                <w:szCs w:val="5"/>
              </w:rPr>
            </w:pPr>
          </w:p>
        </w:tc>
        <w:tc>
          <w:tcPr>
            <w:tcW w:w="114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2540" w:type="dxa"/>
            <w:tcBorders>
              <w:bottom w:val="single" w:color="auto" w:sz="8" w:space="0"/>
              <w:right w:val="single" w:color="auto" w:sz="8" w:space="0"/>
            </w:tcBorders>
            <w:vAlign w:val="bottom"/>
          </w:tcPr>
          <w:p>
            <w:pPr>
              <w:spacing w:after="0"/>
              <w:rPr>
                <w:color w:val="auto"/>
                <w:sz w:val="5"/>
                <w:szCs w:val="5"/>
              </w:rPr>
            </w:pPr>
          </w:p>
        </w:tc>
        <w:tc>
          <w:tcPr>
            <w:tcW w:w="1140" w:type="dxa"/>
            <w:tcBorders>
              <w:bottom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bl>
    <w:p>
      <w:pPr>
        <w:spacing w:after="0" w:line="238" w:lineRule="exact"/>
        <w:rPr>
          <w:color w:val="auto"/>
          <w:sz w:val="20"/>
          <w:szCs w:val="20"/>
        </w:rPr>
      </w:pPr>
    </w:p>
    <w:p>
      <w:pPr>
        <w:tabs>
          <w:tab w:val="left" w:pos="3080"/>
          <w:tab w:val="left" w:pos="4040"/>
        </w:tabs>
        <w:spacing w:after="0" w:line="240" w:lineRule="exact"/>
        <w:ind w:left="100"/>
        <w:rPr>
          <w:color w:val="auto"/>
          <w:sz w:val="20"/>
          <w:szCs w:val="20"/>
        </w:rPr>
      </w:pPr>
      <w:r>
        <w:rPr>
          <w:rFonts w:ascii="宋体" w:hAnsi="宋体" w:eastAsia="宋体" w:cs="宋体"/>
          <w:color w:val="auto"/>
          <w:sz w:val="21"/>
          <w:szCs w:val="21"/>
        </w:rPr>
        <w:t>磋商总报价（大写）：</w:t>
      </w:r>
      <w:r>
        <w:rPr>
          <w:color w:val="auto"/>
          <w:sz w:val="20"/>
          <w:szCs w:val="20"/>
        </w:rPr>
        <w:tab/>
      </w:r>
      <w:r>
        <w:rPr>
          <w:rFonts w:ascii="宋体" w:hAnsi="宋体" w:eastAsia="宋体" w:cs="宋体"/>
          <w:color w:val="auto"/>
          <w:sz w:val="21"/>
          <w:szCs w:val="21"/>
        </w:rPr>
        <w:t>元（￥</w:t>
      </w:r>
      <w:r>
        <w:rPr>
          <w:color w:val="auto"/>
          <w:sz w:val="20"/>
          <w:szCs w:val="20"/>
        </w:rPr>
        <w:tab/>
      </w:r>
      <w:r>
        <w:rPr>
          <w:rFonts w:ascii="宋体" w:hAnsi="宋体" w:eastAsia="宋体" w:cs="宋体"/>
          <w:color w:val="auto"/>
          <w:sz w:val="20"/>
          <w:szCs w:val="20"/>
        </w:rPr>
        <w:t>）人民币</w:t>
      </w:r>
    </w:p>
    <w:p>
      <w:pPr>
        <w:spacing w:after="0" w:line="368" w:lineRule="exact"/>
        <w:rPr>
          <w:color w:val="auto"/>
          <w:sz w:val="20"/>
          <w:szCs w:val="20"/>
        </w:rPr>
      </w:pPr>
    </w:p>
    <w:p>
      <w:pPr>
        <w:spacing w:after="0" w:line="240" w:lineRule="exact"/>
        <w:ind w:left="100"/>
        <w:rPr>
          <w:color w:val="auto"/>
          <w:sz w:val="20"/>
          <w:szCs w:val="20"/>
        </w:rPr>
      </w:pPr>
      <w:r>
        <w:rPr>
          <w:rFonts w:ascii="宋体" w:hAnsi="宋体" w:eastAsia="宋体" w:cs="宋体"/>
          <w:color w:val="auto"/>
          <w:sz w:val="21"/>
          <w:szCs w:val="21"/>
        </w:rPr>
        <w:t>交付期:</w:t>
      </w:r>
    </w:p>
    <w:p>
      <w:pPr>
        <w:spacing w:after="0" w:line="326" w:lineRule="exact"/>
        <w:rPr>
          <w:color w:val="auto"/>
          <w:sz w:val="20"/>
          <w:szCs w:val="20"/>
        </w:rPr>
      </w:pPr>
    </w:p>
    <w:p>
      <w:pPr>
        <w:spacing w:after="0" w:line="240" w:lineRule="exact"/>
        <w:ind w:left="100"/>
        <w:rPr>
          <w:color w:val="auto"/>
          <w:sz w:val="20"/>
          <w:szCs w:val="20"/>
        </w:rPr>
      </w:pPr>
      <w:r>
        <w:rPr>
          <w:rFonts w:ascii="宋体" w:hAnsi="宋体" w:eastAsia="宋体" w:cs="宋体"/>
          <w:color w:val="auto"/>
          <w:sz w:val="21"/>
          <w:szCs w:val="21"/>
        </w:rPr>
        <w:t>服务期:</w:t>
      </w:r>
    </w:p>
    <w:p>
      <w:pPr>
        <w:spacing w:after="0" w:line="347" w:lineRule="exact"/>
        <w:rPr>
          <w:color w:val="auto"/>
          <w:sz w:val="20"/>
          <w:szCs w:val="20"/>
        </w:rPr>
      </w:pPr>
    </w:p>
    <w:p>
      <w:pPr>
        <w:spacing w:after="0" w:line="240" w:lineRule="exact"/>
        <w:ind w:left="100"/>
        <w:rPr>
          <w:color w:val="auto"/>
          <w:sz w:val="20"/>
          <w:szCs w:val="20"/>
        </w:rPr>
      </w:pPr>
      <w:r>
        <w:rPr>
          <w:rFonts w:ascii="宋体" w:hAnsi="宋体" w:eastAsia="宋体" w:cs="宋体"/>
          <w:color w:val="auto"/>
          <w:sz w:val="21"/>
          <w:szCs w:val="21"/>
        </w:rPr>
        <w:t xml:space="preserve">本项目磋商有效期为磋商截止时间之日起 </w:t>
      </w:r>
      <w:r>
        <w:rPr>
          <w:rFonts w:hint="eastAsia" w:ascii="宋体" w:hAnsi="宋体" w:eastAsia="宋体" w:cs="宋体"/>
          <w:color w:val="auto"/>
          <w:sz w:val="21"/>
          <w:szCs w:val="21"/>
          <w:lang w:val="en-US" w:eastAsia="zh-CN"/>
        </w:rPr>
        <w:t>60</w:t>
      </w:r>
      <w:r>
        <w:rPr>
          <w:rFonts w:ascii="宋体" w:hAnsi="宋体" w:eastAsia="宋体" w:cs="宋体"/>
          <w:color w:val="auto"/>
          <w:sz w:val="21"/>
          <w:szCs w:val="21"/>
        </w:rPr>
        <w:t>天。</w:t>
      </w:r>
    </w:p>
    <w:p>
      <w:pPr>
        <w:spacing w:after="0" w:line="20" w:lineRule="exact"/>
        <w:rPr>
          <w:color w:val="auto"/>
          <w:sz w:val="20"/>
          <w:szCs w:val="20"/>
        </w:rPr>
      </w:pPr>
      <w:r>
        <w:rPr>
          <w:color w:val="auto"/>
          <w:sz w:val="20"/>
          <w:szCs w:val="20"/>
        </w:rPr>
        <w:pict>
          <v:line id="Shape 50" o:spid="_x0000_s1066" o:spt="20" style="position:absolute;left:0pt;margin-left:-0.45pt;margin-top:7.2pt;height:0pt;width:494.25pt;z-index:-251651072;mso-width-relative:page;mso-height-relative:page;" fillcolor="#FFFFFF" filled="t" stroked="t" coordsize="21600,21600" o:allowincell="f" o:gfxdata="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6rG8NQAAAAHAQAADwAAAAAAAAABACAAAAAiAAAAZHJz&#10;L2Rvd25yZXYueG1sUEsBAhQAFAAAAAgAh07iQNcO2cuWAQAATQMAAA4AAAAAAAAAAQAgAAAAIwEA&#10;AGRycy9lMm9Eb2MueG1sUEsFBgAAAAAGAAYAWQEAACsFAAAAAA==&#10;">
            <v:path arrowok="t"/>
            <v:fill on="t" focussize="0,0"/>
            <v:stroke weight="0.47992125984252pt" color="#000000" miterlimit="8" joinstyle="miter"/>
            <v:imagedata o:title=""/>
            <o:lock v:ext="edit" aspectratio="f"/>
          </v:line>
        </w:pic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供应商（公章，自然人除外）：______________________</w:t>
      </w:r>
    </w:p>
    <w:p>
      <w:pPr>
        <w:spacing w:after="0" w:line="20" w:lineRule="exact"/>
        <w:rPr>
          <w:color w:val="auto"/>
          <w:sz w:val="20"/>
          <w:szCs w:val="20"/>
        </w:rPr>
      </w:pPr>
      <w:r>
        <w:rPr>
          <w:color w:val="auto"/>
          <w:sz w:val="20"/>
          <w:szCs w:val="20"/>
        </w:rPr>
        <w:pict>
          <v:line id="Shape 51" o:spid="_x0000_s1067" o:spt="20" style="position:absolute;left:0pt;margin-left:278.5pt;margin-top:0.4pt;height:0pt;width:10.45pt;z-index:-251651072;mso-width-relative:page;mso-height-relative:page;" fillcolor="#FFFFFF" filled="t" stroked="t" coordsize="21600,21600" o:allowincell="f" o:gfxdata="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nZAf0wAAAAUBAAAPAAAAAAAAAAEAIAAAACIAAABkcnMv&#10;ZG93bnJldi54bWxQSwECFAAUAAAACACHTuJACbh35ZYBAABMAwAADgAAAAAAAAABACAAAAAiAQAA&#10;ZHJzL2Uyb0RvYy54bWxQSwUGAAAAAAYABgBZAQAAKgUAAAAA&#10;">
            <v:path arrowok="t"/>
            <v:fill on="t" focussize="0,0"/>
            <v:stroke weight="0.54pt" color="#000000" miterlimit="8" joinstyle="miter"/>
            <v:imagedata o:title=""/>
            <o:lock v:ext="edit" aspectratio="f"/>
          </v:line>
        </w:pict>
      </w:r>
    </w:p>
    <w:p>
      <w:pPr>
        <w:spacing w:after="0" w:line="18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法定代表人、负责人、自然人或相应的委托代理人签字或盖章</w:t>
      </w:r>
    </w:p>
    <w:p>
      <w:pPr>
        <w:spacing w:after="0" w:line="200"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 xml:space="preserve">（属自然人的应在签名处加盖食指指印）： </w:t>
      </w:r>
      <w:r>
        <w:rPr>
          <w:rFonts w:ascii="宋体" w:hAnsi="宋体" w:eastAsia="宋体" w:cs="宋体"/>
          <w:color w:val="auto"/>
          <w:sz w:val="21"/>
          <w:szCs w:val="21"/>
          <w:u w:val="single" w:color="auto"/>
        </w:rPr>
        <w:t>____________</w:t>
      </w:r>
    </w:p>
    <w:p>
      <w:pPr>
        <w:spacing w:after="0" w:line="201"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响应日期：</w:t>
      </w:r>
      <w:r>
        <w:rPr>
          <w:rFonts w:ascii="宋体" w:hAnsi="宋体" w:eastAsia="宋体" w:cs="宋体"/>
          <w:color w:val="auto"/>
          <w:sz w:val="21"/>
          <w:szCs w:val="21"/>
          <w:u w:val="single" w:color="auto"/>
        </w:rPr>
        <w:t>_______________</w:t>
      </w:r>
    </w:p>
    <w:p>
      <w:pPr>
        <w:spacing w:after="0" w:line="200" w:lineRule="exact"/>
        <w:rPr>
          <w:color w:val="auto"/>
          <w:sz w:val="20"/>
          <w:szCs w:val="20"/>
        </w:rPr>
      </w:pPr>
    </w:p>
    <w:p>
      <w:pPr>
        <w:spacing w:after="0" w:line="344"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注</w:t>
      </w:r>
      <w:r>
        <w:rPr>
          <w:rFonts w:ascii="宋体" w:hAnsi="宋体" w:eastAsia="宋体" w:cs="宋体"/>
          <w:b/>
          <w:bCs/>
          <w:color w:val="auto"/>
          <w:sz w:val="21"/>
          <w:szCs w:val="21"/>
        </w:rPr>
        <w:t>：</w:t>
      </w:r>
      <w:r>
        <w:rPr>
          <w:rFonts w:ascii="宋体" w:hAnsi="宋体" w:eastAsia="宋体" w:cs="宋体"/>
          <w:color w:val="auto"/>
          <w:sz w:val="21"/>
          <w:szCs w:val="21"/>
        </w:rPr>
        <w:t>1.供应商必须就“采购需求”中的所有内容作完整唯一报价，否则，其响应文件无效。</w:t>
      </w:r>
    </w:p>
    <w:p>
      <w:pPr>
        <w:spacing w:after="0" w:line="81"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2.供应商应根据所提供的服务如实填写磋商报价表的各项内容。</w:t>
      </w:r>
    </w:p>
    <w:p>
      <w:pPr>
        <w:spacing w:after="0" w:line="113" w:lineRule="exact"/>
        <w:rPr>
          <w:color w:val="auto"/>
          <w:sz w:val="20"/>
          <w:szCs w:val="20"/>
        </w:rPr>
      </w:pPr>
    </w:p>
    <w:p>
      <w:pPr>
        <w:spacing w:after="0" w:line="282" w:lineRule="exact"/>
        <w:ind w:left="220" w:right="240" w:firstLine="616"/>
        <w:jc w:val="both"/>
        <w:rPr>
          <w:color w:val="auto"/>
          <w:sz w:val="20"/>
          <w:szCs w:val="20"/>
        </w:rPr>
      </w:pPr>
      <w:r>
        <w:rPr>
          <w:rFonts w:ascii="宋体" w:hAnsi="宋体" w:eastAsia="宋体" w:cs="宋体"/>
          <w:color w:val="auto"/>
          <w:sz w:val="21"/>
          <w:szCs w:val="21"/>
        </w:rPr>
        <w:t>3.磋商报价表须由法定代表人、负责人、自然人或相应的委托代理人签字或盖章（属自然人的应在签名处加盖食指指印）并加盖供应商公章（自然人除外）。当本表由多页构成时，需逐页加盖供应商公章（属自然人的须逐页签字）。</w:t>
      </w:r>
    </w:p>
    <w:p>
      <w:pPr>
        <w:spacing w:after="0" w:line="200" w:lineRule="exact"/>
        <w:rPr>
          <w:color w:val="auto"/>
          <w:sz w:val="20"/>
          <w:szCs w:val="20"/>
        </w:rPr>
      </w:pPr>
    </w:p>
    <w:p>
      <w:pPr>
        <w:spacing w:after="0" w:line="323" w:lineRule="exact"/>
        <w:rPr>
          <w:color w:val="auto"/>
          <w:sz w:val="20"/>
          <w:szCs w:val="20"/>
        </w:rPr>
      </w:pPr>
    </w:p>
    <w:p>
      <w:pPr>
        <w:pStyle w:val="5"/>
        <w:spacing w:line="400" w:lineRule="exact"/>
        <w:rPr>
          <w:rFonts w:ascii="宋体" w:hAnsi="宋体" w:eastAsia="宋体" w:cs="宋体"/>
          <w:b/>
          <w:bCs/>
          <w:color w:val="auto"/>
          <w:sz w:val="32"/>
          <w:szCs w:val="32"/>
        </w:rPr>
      </w:pPr>
      <w:bookmarkStart w:id="64" w:name="page33"/>
      <w:bookmarkEnd w:id="64"/>
    </w:p>
    <w:p>
      <w:pPr>
        <w:tabs>
          <w:tab w:val="left" w:pos="1305"/>
        </w:tabs>
        <w:spacing w:line="380" w:lineRule="exact"/>
        <w:rPr>
          <w:rFonts w:hint="eastAsia" w:ascii="宋体" w:hAnsi="宋体" w:cs="宋体" w:eastAsiaTheme="minorEastAsia"/>
          <w:b/>
          <w:color w:val="auto"/>
          <w:sz w:val="32"/>
          <w:szCs w:val="32"/>
          <w:lang w:eastAsia="zh-CN"/>
        </w:rPr>
      </w:pPr>
      <w:r>
        <w:rPr>
          <w:rFonts w:hint="eastAsia" w:ascii="宋体" w:hAnsi="宋体" w:eastAsia="宋体" w:cs="宋体"/>
          <w:b/>
          <w:bCs/>
          <w:color w:val="auto"/>
          <w:sz w:val="32"/>
          <w:szCs w:val="32"/>
          <w:lang w:val="en-US" w:eastAsia="zh-CN"/>
        </w:rPr>
        <w:t>7</w:t>
      </w:r>
      <w:r>
        <w:rPr>
          <w:rFonts w:ascii="宋体" w:hAnsi="宋体" w:eastAsia="宋体" w:cs="宋体"/>
          <w:b/>
          <w:bCs/>
          <w:color w:val="auto"/>
          <w:sz w:val="32"/>
          <w:szCs w:val="32"/>
        </w:rPr>
        <w:t>、</w:t>
      </w:r>
      <w:r>
        <w:rPr>
          <w:rFonts w:hint="eastAsia" w:ascii="宋体" w:hAnsi="宋体" w:cs="宋体"/>
          <w:b/>
          <w:color w:val="auto"/>
          <w:sz w:val="32"/>
          <w:szCs w:val="32"/>
        </w:rPr>
        <w:t>项目实施人员一览表【并一起提供由县级以上（含县级）社会养老保险经办机构出具的</w:t>
      </w:r>
      <w:r>
        <w:rPr>
          <w:rFonts w:hint="eastAsia" w:ascii="宋体" w:hAnsi="宋体" w:cs="宋体"/>
          <w:b/>
          <w:color w:val="auto"/>
          <w:sz w:val="32"/>
          <w:szCs w:val="32"/>
          <w:lang w:eastAsia="zh-CN"/>
        </w:rPr>
        <w:t>供应商</w:t>
      </w:r>
      <w:r>
        <w:rPr>
          <w:rFonts w:hint="eastAsia" w:ascii="宋体" w:hAnsi="宋体" w:cs="宋体"/>
          <w:b/>
          <w:color w:val="auto"/>
          <w:sz w:val="32"/>
          <w:szCs w:val="32"/>
        </w:rPr>
        <w:t>为项目实施人员缴纳社保证明复印件，无缴费记录的，应提供由社保部门出具的《依法缴纳或依法免缴社保证明》社保证明复印件】</w:t>
      </w:r>
      <w:r>
        <w:rPr>
          <w:rFonts w:hint="eastAsia" w:ascii="宋体" w:hAnsi="宋体" w:cs="宋体"/>
          <w:b/>
          <w:color w:val="auto"/>
          <w:sz w:val="32"/>
          <w:szCs w:val="32"/>
          <w:lang w:eastAsia="zh-CN"/>
        </w:rPr>
        <w:t>（必须提供）</w:t>
      </w:r>
    </w:p>
    <w:p>
      <w:pPr>
        <w:pStyle w:val="5"/>
        <w:rPr>
          <w:rFonts w:hint="eastAsia" w:hAnsi="宋体" w:cs="宋体"/>
          <w:b/>
          <w:color w:val="auto"/>
          <w:szCs w:val="21"/>
        </w:rPr>
      </w:pPr>
      <w:r>
        <w:rPr>
          <w:rFonts w:hint="eastAsia" w:hAnsi="宋体" w:cs="宋体"/>
          <w:b/>
          <w:color w:val="auto"/>
          <w:sz w:val="32"/>
          <w:szCs w:val="32"/>
        </w:rPr>
        <w:t xml:space="preserve">    </w:t>
      </w:r>
      <w:r>
        <w:rPr>
          <w:rFonts w:hint="eastAsia" w:hAnsi="宋体" w:cs="宋体"/>
          <w:b/>
          <w:color w:val="auto"/>
          <w:szCs w:val="21"/>
        </w:rPr>
        <w:t xml:space="preserve">                     </w:t>
      </w:r>
    </w:p>
    <w:p>
      <w:pPr>
        <w:pStyle w:val="5"/>
        <w:rPr>
          <w:rFonts w:hint="eastAsia" w:hAnsi="宋体" w:cs="宋体"/>
          <w:b/>
          <w:bCs/>
          <w:color w:val="auto"/>
          <w:sz w:val="32"/>
          <w:szCs w:val="32"/>
        </w:rPr>
      </w:pPr>
      <w:r>
        <w:rPr>
          <w:rFonts w:hint="eastAsia" w:hAnsi="宋体" w:cs="宋体"/>
          <w:b/>
          <w:color w:val="auto"/>
          <w:szCs w:val="21"/>
        </w:rPr>
        <w:t xml:space="preserve">                     </w:t>
      </w:r>
      <w:r>
        <w:rPr>
          <w:rFonts w:hint="eastAsia" w:hAnsi="宋体" w:cs="宋体"/>
          <w:b/>
          <w:bCs/>
          <w:color w:val="auto"/>
          <w:sz w:val="32"/>
          <w:szCs w:val="32"/>
        </w:rPr>
        <w:t>项目实施人员一览表（格式）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姓 名</w:t>
            </w:r>
          </w:p>
        </w:tc>
        <w:tc>
          <w:tcPr>
            <w:tcW w:w="806"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职务</w:t>
            </w:r>
          </w:p>
        </w:tc>
        <w:tc>
          <w:tcPr>
            <w:tcW w:w="1537"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专业技术资格</w:t>
            </w:r>
          </w:p>
        </w:tc>
        <w:tc>
          <w:tcPr>
            <w:tcW w:w="1371"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证书编号</w:t>
            </w:r>
          </w:p>
        </w:tc>
        <w:tc>
          <w:tcPr>
            <w:tcW w:w="2163"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参加工作时间</w:t>
            </w:r>
          </w:p>
        </w:tc>
        <w:tc>
          <w:tcPr>
            <w:tcW w:w="2000"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bl>
    <w:p>
      <w:pPr>
        <w:spacing w:line="400" w:lineRule="exact"/>
        <w:rPr>
          <w:rFonts w:hint="eastAsia" w:ascii="宋体" w:hAnsi="宋体" w:cs="宋体"/>
          <w:color w:val="auto"/>
          <w:szCs w:val="21"/>
        </w:rPr>
      </w:pPr>
    </w:p>
    <w:p>
      <w:pPr>
        <w:spacing w:line="400" w:lineRule="exact"/>
        <w:rPr>
          <w:rFonts w:hint="eastAsia" w:ascii="宋体" w:hAnsi="宋体" w:cs="宋体"/>
          <w:color w:val="auto"/>
          <w:szCs w:val="21"/>
        </w:rPr>
      </w:pPr>
      <w:r>
        <w:rPr>
          <w:rFonts w:hint="eastAsia" w:ascii="宋体" w:hAnsi="宋体" w:cs="宋体"/>
          <w:color w:val="auto"/>
          <w:szCs w:val="21"/>
        </w:rPr>
        <w:t>注：1.在填写时，如本表格不适合</w:t>
      </w:r>
      <w:r>
        <w:rPr>
          <w:rFonts w:hint="eastAsia" w:ascii="宋体" w:hAnsi="宋体" w:cs="宋体"/>
          <w:color w:val="auto"/>
          <w:szCs w:val="21"/>
          <w:lang w:eastAsia="zh-CN"/>
        </w:rPr>
        <w:t>供应商</w:t>
      </w:r>
      <w:r>
        <w:rPr>
          <w:rFonts w:hint="eastAsia" w:ascii="宋体" w:hAnsi="宋体" w:cs="宋体"/>
          <w:color w:val="auto"/>
          <w:szCs w:val="21"/>
        </w:rPr>
        <w:t>的实际情况，可根据本表格式自行制表填写。</w:t>
      </w:r>
    </w:p>
    <w:p>
      <w:pPr>
        <w:pStyle w:val="5"/>
        <w:spacing w:line="400" w:lineRule="exact"/>
        <w:ind w:firstLine="3410" w:firstLineChars="1550"/>
        <w:rPr>
          <w:rFonts w:hint="eastAsia" w:hAnsi="宋体" w:cs="宋体"/>
          <w:color w:val="auto"/>
        </w:rPr>
      </w:pPr>
    </w:p>
    <w:p>
      <w:pPr>
        <w:snapToGrid w:val="0"/>
        <w:spacing w:line="400" w:lineRule="exact"/>
        <w:ind w:firstLine="2860" w:firstLineChars="1300"/>
        <w:outlineLvl w:val="4"/>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（公章，自然人除外）：</w:t>
      </w:r>
      <w:r>
        <w:rPr>
          <w:rFonts w:hint="eastAsia" w:ascii="宋体" w:hAnsi="宋体" w:cs="宋体"/>
          <w:color w:val="auto"/>
          <w:szCs w:val="21"/>
          <w:u w:val="single"/>
        </w:rPr>
        <w:t xml:space="preserve">                                  </w:t>
      </w:r>
    </w:p>
    <w:p>
      <w:pPr>
        <w:snapToGrid w:val="0"/>
        <w:spacing w:line="400" w:lineRule="exact"/>
        <w:ind w:firstLine="420"/>
        <w:outlineLvl w:val="4"/>
        <w:rPr>
          <w:rFonts w:hint="eastAsia" w:ascii="宋体" w:hAnsi="宋体" w:cs="宋体"/>
          <w:color w:val="auto"/>
          <w:szCs w:val="21"/>
        </w:rPr>
      </w:pPr>
    </w:p>
    <w:p>
      <w:pPr>
        <w:pStyle w:val="5"/>
        <w:spacing w:line="400" w:lineRule="exact"/>
        <w:ind w:firstLine="2860" w:firstLineChars="1300"/>
        <w:rPr>
          <w:rFonts w:hint="eastAsia" w:hAnsi="宋体" w:cs="宋体"/>
          <w:color w:val="auto"/>
        </w:rPr>
      </w:pPr>
      <w:r>
        <w:rPr>
          <w:rFonts w:hint="eastAsia" w:hAnsi="宋体" w:cs="宋体"/>
          <w:color w:val="auto"/>
        </w:rPr>
        <w:t>法定代表人、负责人、自然人或相应的委托代理人签字（或盖章）</w:t>
      </w:r>
    </w:p>
    <w:p>
      <w:pPr>
        <w:pStyle w:val="5"/>
        <w:spacing w:line="400" w:lineRule="exact"/>
        <w:ind w:firstLine="2860" w:firstLineChars="1300"/>
        <w:rPr>
          <w:rFonts w:hint="eastAsia" w:hAnsi="宋体" w:cs="宋体"/>
          <w:color w:val="auto"/>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5"/>
        <w:ind w:firstLine="3740" w:firstLineChars="1700"/>
        <w:rPr>
          <w:rFonts w:hint="eastAsia" w:hAnsi="宋体" w:cs="宋体"/>
          <w:color w:val="auto"/>
        </w:rPr>
      </w:pPr>
    </w:p>
    <w:p>
      <w:pPr>
        <w:pStyle w:val="5"/>
        <w:spacing w:line="400" w:lineRule="exact"/>
        <w:ind w:firstLine="2860" w:firstLineChars="1300"/>
        <w:rPr>
          <w:rFonts w:hint="eastAsia" w:hAnsi="宋体" w:cs="宋体"/>
          <w:color w:val="auto"/>
          <w:u w:val="single"/>
        </w:rPr>
      </w:pPr>
      <w:r>
        <w:rPr>
          <w:rFonts w:hint="eastAsia" w:hAnsi="宋体" w:cs="宋体"/>
          <w:color w:val="auto"/>
        </w:rPr>
        <w:t>日          期：</w:t>
      </w:r>
      <w:r>
        <w:rPr>
          <w:rFonts w:hint="eastAsia" w:hAnsi="宋体" w:cs="宋体"/>
          <w:color w:val="auto"/>
          <w:u w:val="single"/>
        </w:rPr>
        <w:t xml:space="preserve">     </w:t>
      </w:r>
    </w:p>
    <w:p>
      <w:pPr>
        <w:pStyle w:val="5"/>
        <w:spacing w:line="400" w:lineRule="exact"/>
        <w:ind w:firstLine="2860" w:firstLineChars="1300"/>
        <w:rPr>
          <w:rFonts w:hint="eastAsia" w:hAnsi="宋体" w:cs="宋体"/>
          <w:color w:val="auto"/>
          <w:u w:val="single"/>
        </w:rPr>
      </w:pPr>
    </w:p>
    <w:p>
      <w:pPr>
        <w:pStyle w:val="5"/>
        <w:spacing w:line="400" w:lineRule="exact"/>
        <w:ind w:firstLine="2860" w:firstLineChars="1300"/>
        <w:rPr>
          <w:rFonts w:hint="eastAsia" w:hAnsi="宋体" w:cs="宋体"/>
          <w:color w:val="auto"/>
          <w:u w:val="single"/>
        </w:rPr>
      </w:pPr>
    </w:p>
    <w:p>
      <w:pPr>
        <w:pStyle w:val="5"/>
        <w:spacing w:line="400" w:lineRule="exact"/>
        <w:ind w:firstLine="2860" w:firstLineChars="1300"/>
        <w:rPr>
          <w:rFonts w:hint="eastAsia" w:hAnsi="宋体" w:cs="宋体"/>
          <w:color w:val="auto"/>
          <w:u w:val="single"/>
        </w:rPr>
      </w:pPr>
    </w:p>
    <w:p>
      <w:pPr>
        <w:pStyle w:val="5"/>
        <w:spacing w:line="400" w:lineRule="exact"/>
        <w:ind w:firstLine="2860" w:firstLineChars="1300"/>
        <w:rPr>
          <w:rFonts w:hint="eastAsia" w:hAnsi="宋体" w:cs="宋体"/>
          <w:color w:val="auto"/>
          <w:u w:val="single"/>
        </w:rPr>
      </w:pPr>
    </w:p>
    <w:p>
      <w:pPr>
        <w:pStyle w:val="5"/>
        <w:spacing w:line="400" w:lineRule="exact"/>
        <w:ind w:firstLine="2860" w:firstLineChars="1300"/>
        <w:rPr>
          <w:rFonts w:ascii="宋体" w:hAnsi="宋体" w:eastAsia="宋体" w:cs="宋体"/>
          <w:b/>
          <w:bCs/>
          <w:color w:val="auto"/>
          <w:sz w:val="32"/>
          <w:szCs w:val="32"/>
        </w:rPr>
      </w:pPr>
      <w:r>
        <w:rPr>
          <w:rFonts w:hint="eastAsia" w:hAnsi="宋体" w:cs="宋体"/>
          <w:color w:val="auto"/>
          <w:u w:val="single"/>
        </w:rPr>
        <w:t xml:space="preserve"> </w:t>
      </w:r>
    </w:p>
    <w:p>
      <w:pPr>
        <w:numPr>
          <w:ilvl w:val="0"/>
          <w:numId w:val="0"/>
        </w:numPr>
        <w:spacing w:after="0" w:line="366" w:lineRule="exact"/>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技术方案</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根据服务需求自行编写）</w:t>
      </w:r>
      <w:r>
        <w:rPr>
          <w:rFonts w:ascii="宋体" w:hAnsi="宋体" w:eastAsia="宋体" w:cs="宋体"/>
          <w:b/>
          <w:bCs/>
          <w:color w:val="auto"/>
          <w:sz w:val="28"/>
          <w:szCs w:val="28"/>
        </w:rPr>
        <w:t>（如有，请提供）；</w:t>
      </w:r>
    </w:p>
    <w:p>
      <w:pPr>
        <w:snapToGrid w:val="0"/>
        <w:spacing w:line="400" w:lineRule="exact"/>
        <w:ind w:firstLine="2640" w:firstLineChars="1200"/>
        <w:jc w:val="right"/>
        <w:outlineLvl w:val="4"/>
        <w:rPr>
          <w:rFonts w:hint="eastAsia" w:ascii="宋体" w:hAnsi="宋体" w:cs="宋体"/>
          <w:color w:val="auto"/>
          <w:szCs w:val="21"/>
          <w:lang w:eastAsia="zh-CN"/>
        </w:rPr>
      </w:pPr>
    </w:p>
    <w:p>
      <w:pPr>
        <w:snapToGrid w:val="0"/>
        <w:spacing w:line="400" w:lineRule="exact"/>
        <w:ind w:firstLine="2640" w:firstLineChars="1200"/>
        <w:jc w:val="right"/>
        <w:outlineLvl w:val="4"/>
        <w:rPr>
          <w:rFonts w:hint="eastAsia" w:ascii="宋体" w:hAnsi="宋体" w:cs="宋体"/>
          <w:color w:val="auto"/>
          <w:szCs w:val="21"/>
          <w:lang w:eastAsia="zh-CN"/>
        </w:rPr>
      </w:pPr>
    </w:p>
    <w:p>
      <w:pPr>
        <w:snapToGrid w:val="0"/>
        <w:spacing w:line="400" w:lineRule="exact"/>
        <w:ind w:firstLine="2640" w:firstLineChars="1200"/>
        <w:jc w:val="right"/>
        <w:outlineLvl w:val="4"/>
        <w:rPr>
          <w:rFonts w:hint="eastAsia" w:ascii="宋体" w:hAnsi="宋体" w:cs="宋体"/>
          <w:color w:val="auto"/>
          <w:szCs w:val="21"/>
          <w:lang w:eastAsia="zh-CN"/>
        </w:rPr>
      </w:pPr>
    </w:p>
    <w:p>
      <w:pPr>
        <w:snapToGrid w:val="0"/>
        <w:spacing w:line="400" w:lineRule="exact"/>
        <w:jc w:val="center"/>
        <w:outlineLvl w:val="4"/>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（公章，自然人除外）：</w:t>
      </w:r>
      <w:r>
        <w:rPr>
          <w:rFonts w:hint="eastAsia" w:ascii="宋体" w:hAnsi="宋体" w:cs="宋体"/>
          <w:color w:val="auto"/>
          <w:szCs w:val="21"/>
          <w:u w:val="single"/>
        </w:rPr>
        <w:t xml:space="preserve">                                  </w:t>
      </w:r>
    </w:p>
    <w:p>
      <w:pPr>
        <w:snapToGrid w:val="0"/>
        <w:spacing w:line="400" w:lineRule="exact"/>
        <w:ind w:firstLine="420"/>
        <w:jc w:val="right"/>
        <w:outlineLvl w:val="4"/>
        <w:rPr>
          <w:rFonts w:hint="eastAsia" w:ascii="宋体" w:hAnsi="宋体" w:cs="宋体"/>
          <w:color w:val="auto"/>
          <w:szCs w:val="21"/>
        </w:rPr>
      </w:pPr>
    </w:p>
    <w:p>
      <w:pPr>
        <w:pStyle w:val="5"/>
        <w:spacing w:line="400" w:lineRule="exact"/>
        <w:ind w:firstLine="2640" w:firstLineChars="1200"/>
        <w:jc w:val="right"/>
        <w:rPr>
          <w:rFonts w:hint="eastAsia" w:hAnsi="宋体" w:cs="宋体"/>
          <w:color w:val="auto"/>
        </w:rPr>
      </w:pPr>
      <w:r>
        <w:rPr>
          <w:rFonts w:hint="eastAsia" w:hAnsi="宋体" w:cs="宋体"/>
          <w:color w:val="auto"/>
        </w:rPr>
        <w:t>法定代表人、负责人、自然人或相应的委托代理人签字（或盖章）</w:t>
      </w:r>
    </w:p>
    <w:p>
      <w:pPr>
        <w:pStyle w:val="5"/>
        <w:spacing w:line="400" w:lineRule="exact"/>
        <w:ind w:firstLine="2420" w:firstLineChars="1100"/>
        <w:jc w:val="right"/>
        <w:rPr>
          <w:rFonts w:hint="eastAsia" w:hAnsi="宋体" w:cs="宋体"/>
          <w:color w:val="auto"/>
          <w:szCs w:val="21"/>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5"/>
        <w:spacing w:line="400" w:lineRule="exact"/>
        <w:ind w:left="3740" w:leftChars="1700"/>
        <w:jc w:val="right"/>
        <w:rPr>
          <w:rFonts w:hint="eastAsia" w:hAnsi="宋体" w:cs="宋体"/>
          <w:color w:val="auto"/>
          <w:u w:val="single"/>
        </w:rPr>
      </w:pPr>
    </w:p>
    <w:p>
      <w:pPr>
        <w:numPr>
          <w:ilvl w:val="0"/>
          <w:numId w:val="0"/>
        </w:numPr>
        <w:spacing w:after="0" w:line="366" w:lineRule="exact"/>
        <w:jc w:val="center"/>
        <w:rPr>
          <w:rFonts w:hint="eastAsia" w:hAnsi="宋体" w:cs="宋体"/>
          <w:color w:val="auto"/>
          <w:u w:val="single"/>
        </w:rPr>
      </w:pPr>
      <w:r>
        <w:rPr>
          <w:rFonts w:hint="eastAsia" w:hAnsi="宋体" w:cs="宋体"/>
          <w:color w:val="auto"/>
        </w:rPr>
        <w:t>日          期：</w:t>
      </w:r>
      <w:r>
        <w:rPr>
          <w:rFonts w:hint="eastAsia" w:hAnsi="宋体" w:cs="宋体"/>
          <w:color w:val="auto"/>
          <w:u w:val="single"/>
        </w:rPr>
        <w:t xml:space="preserve">                 </w:t>
      </w:r>
    </w:p>
    <w:p>
      <w:pPr>
        <w:numPr>
          <w:ilvl w:val="0"/>
          <w:numId w:val="0"/>
        </w:numPr>
        <w:spacing w:after="0" w:line="366" w:lineRule="exact"/>
        <w:jc w:val="righ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numPr>
          <w:ilvl w:val="0"/>
          <w:numId w:val="0"/>
        </w:numPr>
        <w:spacing w:after="0" w:line="366" w:lineRule="exact"/>
        <w:rPr>
          <w:rFonts w:hint="eastAsia" w:hAnsi="宋体" w:cs="宋体"/>
          <w:color w:val="auto"/>
          <w:u w:val="single"/>
        </w:rPr>
      </w:pPr>
    </w:p>
    <w:p>
      <w:pPr>
        <w:spacing w:after="0" w:line="120" w:lineRule="exact"/>
        <w:rPr>
          <w:color w:val="auto"/>
          <w:sz w:val="20"/>
          <w:szCs w:val="20"/>
        </w:rPr>
      </w:pPr>
    </w:p>
    <w:p>
      <w:pPr>
        <w:spacing w:after="0" w:line="120" w:lineRule="exact"/>
        <w:rPr>
          <w:color w:val="auto"/>
          <w:sz w:val="20"/>
          <w:szCs w:val="20"/>
        </w:rPr>
      </w:pPr>
    </w:p>
    <w:p>
      <w:pPr>
        <w:numPr>
          <w:ilvl w:val="0"/>
          <w:numId w:val="0"/>
        </w:numPr>
        <w:spacing w:after="0" w:line="366"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9</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实施</w:t>
      </w:r>
      <w:r>
        <w:rPr>
          <w:rFonts w:hint="eastAsia" w:ascii="宋体" w:hAnsi="宋体" w:eastAsia="宋体" w:cs="宋体"/>
          <w:b/>
          <w:bCs/>
          <w:color w:val="auto"/>
          <w:sz w:val="28"/>
          <w:szCs w:val="28"/>
        </w:rPr>
        <w:t>方案（</w:t>
      </w: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根据服务需求自行编写）（如有，请提供）；</w:t>
      </w:r>
    </w:p>
    <w:p>
      <w:pPr>
        <w:numPr>
          <w:ilvl w:val="0"/>
          <w:numId w:val="0"/>
        </w:numPr>
        <w:spacing w:after="0" w:line="366" w:lineRule="exact"/>
        <w:rPr>
          <w:rFonts w:hint="eastAsia" w:ascii="宋体" w:hAnsi="宋体" w:eastAsia="宋体" w:cs="宋体"/>
          <w:b/>
          <w:bCs/>
          <w:color w:val="auto"/>
          <w:sz w:val="28"/>
          <w:szCs w:val="28"/>
        </w:rPr>
      </w:pPr>
    </w:p>
    <w:p>
      <w:pPr>
        <w:numPr>
          <w:ilvl w:val="0"/>
          <w:numId w:val="0"/>
        </w:numPr>
        <w:spacing w:after="0" w:line="366" w:lineRule="exact"/>
        <w:rPr>
          <w:rFonts w:hint="eastAsia" w:ascii="宋体" w:hAnsi="宋体" w:eastAsia="宋体" w:cs="宋体"/>
          <w:b/>
          <w:bCs/>
          <w:color w:val="auto"/>
          <w:sz w:val="28"/>
          <w:szCs w:val="28"/>
        </w:rPr>
      </w:pPr>
    </w:p>
    <w:p>
      <w:pPr>
        <w:snapToGrid w:val="0"/>
        <w:spacing w:line="400" w:lineRule="exact"/>
        <w:ind w:firstLine="2640" w:firstLineChars="1200"/>
        <w:jc w:val="center"/>
        <w:outlineLvl w:val="4"/>
        <w:rPr>
          <w:rFonts w:hint="eastAsia" w:ascii="宋体" w:hAnsi="宋体" w:cs="宋体"/>
          <w:color w:val="auto"/>
          <w:szCs w:val="21"/>
          <w:lang w:eastAsia="zh-CN"/>
        </w:rPr>
      </w:pPr>
    </w:p>
    <w:p>
      <w:pPr>
        <w:snapToGrid w:val="0"/>
        <w:spacing w:line="400" w:lineRule="exact"/>
        <w:ind w:firstLine="2640" w:firstLineChars="1200"/>
        <w:jc w:val="center"/>
        <w:outlineLvl w:val="4"/>
        <w:rPr>
          <w:rFonts w:hint="eastAsia" w:ascii="宋体" w:hAnsi="宋体" w:cs="宋体"/>
          <w:color w:val="auto"/>
          <w:szCs w:val="21"/>
          <w:lang w:eastAsia="zh-CN"/>
        </w:rPr>
      </w:pPr>
    </w:p>
    <w:p>
      <w:pPr>
        <w:snapToGrid w:val="0"/>
        <w:spacing w:line="400" w:lineRule="exact"/>
        <w:ind w:firstLine="2640" w:firstLineChars="1200"/>
        <w:jc w:val="center"/>
        <w:outlineLvl w:val="4"/>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（公章，自然人除外）：</w:t>
      </w:r>
      <w:r>
        <w:rPr>
          <w:rFonts w:hint="eastAsia" w:ascii="宋体" w:hAnsi="宋体" w:cs="宋体"/>
          <w:color w:val="auto"/>
          <w:szCs w:val="21"/>
          <w:u w:val="single"/>
        </w:rPr>
        <w:t xml:space="preserve">                                  </w:t>
      </w:r>
    </w:p>
    <w:p>
      <w:pPr>
        <w:snapToGrid w:val="0"/>
        <w:spacing w:line="400" w:lineRule="exact"/>
        <w:ind w:firstLine="420"/>
        <w:jc w:val="right"/>
        <w:outlineLvl w:val="4"/>
        <w:rPr>
          <w:rFonts w:hint="eastAsia" w:ascii="宋体" w:hAnsi="宋体" w:cs="宋体"/>
          <w:color w:val="auto"/>
          <w:szCs w:val="21"/>
        </w:rPr>
      </w:pPr>
    </w:p>
    <w:p>
      <w:pPr>
        <w:pStyle w:val="5"/>
        <w:spacing w:line="400" w:lineRule="exact"/>
        <w:ind w:firstLine="2640" w:firstLineChars="1200"/>
        <w:jc w:val="right"/>
        <w:rPr>
          <w:rFonts w:hint="eastAsia" w:hAnsi="宋体" w:cs="宋体"/>
          <w:color w:val="auto"/>
        </w:rPr>
      </w:pPr>
      <w:r>
        <w:rPr>
          <w:rFonts w:hint="eastAsia" w:hAnsi="宋体" w:cs="宋体"/>
          <w:color w:val="auto"/>
        </w:rPr>
        <w:t>法定代表人、负责人、自然人或相应的委托代理人签字（或盖章）</w:t>
      </w:r>
    </w:p>
    <w:p>
      <w:pPr>
        <w:pStyle w:val="5"/>
        <w:spacing w:line="400" w:lineRule="exact"/>
        <w:ind w:firstLine="2420" w:firstLineChars="1100"/>
        <w:jc w:val="right"/>
        <w:rPr>
          <w:rFonts w:hint="eastAsia" w:hAnsi="宋体" w:cs="宋体"/>
          <w:color w:val="auto"/>
          <w:szCs w:val="21"/>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5"/>
        <w:spacing w:line="400" w:lineRule="exact"/>
        <w:ind w:left="3740" w:leftChars="1700"/>
        <w:jc w:val="right"/>
        <w:rPr>
          <w:rFonts w:hint="eastAsia" w:hAnsi="宋体" w:cs="宋体"/>
          <w:color w:val="auto"/>
          <w:u w:val="single"/>
        </w:rPr>
      </w:pPr>
    </w:p>
    <w:p>
      <w:pPr>
        <w:numPr>
          <w:ilvl w:val="0"/>
          <w:numId w:val="0"/>
        </w:numPr>
        <w:spacing w:after="0" w:line="366" w:lineRule="exact"/>
        <w:jc w:val="center"/>
        <w:rPr>
          <w:rFonts w:hint="eastAsia" w:hAnsi="宋体" w:cs="宋体"/>
          <w:color w:val="auto"/>
          <w:u w:val="single"/>
        </w:rPr>
      </w:pPr>
      <w:r>
        <w:rPr>
          <w:rFonts w:hint="eastAsia" w:hAnsi="宋体" w:cs="宋体"/>
          <w:color w:val="auto"/>
        </w:rPr>
        <w:t>日          期：</w:t>
      </w:r>
      <w:r>
        <w:rPr>
          <w:rFonts w:hint="eastAsia" w:hAnsi="宋体" w:cs="宋体"/>
          <w:color w:val="auto"/>
          <w:u w:val="single"/>
        </w:rPr>
        <w:t xml:space="preserve">                 </w:t>
      </w:r>
    </w:p>
    <w:p>
      <w:pPr>
        <w:numPr>
          <w:ilvl w:val="0"/>
          <w:numId w:val="0"/>
        </w:numPr>
        <w:spacing w:after="0" w:line="366" w:lineRule="exact"/>
        <w:rPr>
          <w:rFonts w:hint="eastAsia" w:ascii="宋体" w:hAnsi="宋体" w:eastAsia="宋体" w:cs="宋体"/>
          <w:b/>
          <w:bCs/>
          <w:color w:val="auto"/>
          <w:sz w:val="28"/>
          <w:szCs w:val="28"/>
        </w:rPr>
      </w:pPr>
    </w:p>
    <w:p>
      <w:pPr>
        <w:numPr>
          <w:ilvl w:val="0"/>
          <w:numId w:val="0"/>
        </w:numPr>
        <w:spacing w:after="0" w:line="366" w:lineRule="exact"/>
        <w:rPr>
          <w:rFonts w:hint="eastAsia" w:ascii="宋体" w:hAnsi="宋体" w:eastAsia="宋体" w:cs="宋体"/>
          <w:b/>
          <w:bCs/>
          <w:color w:val="auto"/>
          <w:sz w:val="28"/>
          <w:szCs w:val="28"/>
        </w:rPr>
      </w:pPr>
    </w:p>
    <w:p>
      <w:pPr>
        <w:numPr>
          <w:ilvl w:val="0"/>
          <w:numId w:val="0"/>
        </w:numPr>
        <w:spacing w:after="0" w:line="366" w:lineRule="exact"/>
        <w:rPr>
          <w:rFonts w:hint="eastAsia" w:ascii="宋体" w:hAnsi="宋体" w:eastAsia="宋体" w:cs="宋体"/>
          <w:b/>
          <w:bCs/>
          <w:color w:val="auto"/>
          <w:sz w:val="28"/>
          <w:szCs w:val="28"/>
        </w:rPr>
      </w:pPr>
    </w:p>
    <w:p>
      <w:pPr>
        <w:numPr>
          <w:ilvl w:val="0"/>
          <w:numId w:val="0"/>
        </w:numPr>
        <w:spacing w:after="0" w:line="366" w:lineRule="exact"/>
        <w:rPr>
          <w:rFonts w:hint="eastAsia" w:ascii="宋体" w:hAnsi="宋体" w:eastAsia="宋体" w:cs="宋体"/>
          <w:b/>
          <w:bCs/>
          <w:color w:val="auto"/>
          <w:sz w:val="28"/>
          <w:szCs w:val="28"/>
        </w:rPr>
      </w:pPr>
    </w:p>
    <w:p>
      <w:pPr>
        <w:spacing w:after="0" w:line="240" w:lineRule="exact"/>
        <w:ind w:left="420"/>
        <w:rPr>
          <w:rFonts w:ascii="宋体" w:hAnsi="宋体" w:eastAsia="宋体" w:cs="宋体"/>
          <w:color w:val="auto"/>
          <w:sz w:val="21"/>
          <w:szCs w:val="21"/>
        </w:rPr>
      </w:pPr>
    </w:p>
    <w:p>
      <w:pPr>
        <w:numPr>
          <w:ilvl w:val="0"/>
          <w:numId w:val="0"/>
        </w:numPr>
        <w:spacing w:after="0" w:line="366" w:lineRule="exac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10</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第三方检验（测）机构出具的检验（测）报告（如有，请提供）；</w:t>
      </w: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11</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售后服务方案（如有，请提供）；</w:t>
      </w: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12</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应急保障方案（供应商根据服务需求自行编写）（如有，请提供）；</w:t>
      </w: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snapToGrid w:val="0"/>
        <w:spacing w:line="400" w:lineRule="exact"/>
        <w:ind w:firstLine="2640" w:firstLineChars="1200"/>
        <w:jc w:val="center"/>
        <w:outlineLvl w:val="4"/>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（公章，自然人除外）：</w:t>
      </w:r>
      <w:r>
        <w:rPr>
          <w:rFonts w:hint="eastAsia" w:ascii="宋体" w:hAnsi="宋体" w:cs="宋体"/>
          <w:color w:val="auto"/>
          <w:szCs w:val="21"/>
          <w:u w:val="single"/>
        </w:rPr>
        <w:t xml:space="preserve">                                  </w:t>
      </w:r>
    </w:p>
    <w:p>
      <w:pPr>
        <w:snapToGrid w:val="0"/>
        <w:spacing w:line="400" w:lineRule="exact"/>
        <w:ind w:firstLine="420"/>
        <w:jc w:val="right"/>
        <w:outlineLvl w:val="4"/>
        <w:rPr>
          <w:rFonts w:hint="eastAsia" w:ascii="宋体" w:hAnsi="宋体" w:cs="宋体"/>
          <w:color w:val="auto"/>
          <w:szCs w:val="21"/>
        </w:rPr>
      </w:pPr>
    </w:p>
    <w:p>
      <w:pPr>
        <w:pStyle w:val="5"/>
        <w:spacing w:line="400" w:lineRule="exact"/>
        <w:ind w:firstLine="2640" w:firstLineChars="1200"/>
        <w:jc w:val="right"/>
        <w:rPr>
          <w:rFonts w:hint="eastAsia" w:hAnsi="宋体" w:cs="宋体"/>
          <w:color w:val="auto"/>
        </w:rPr>
      </w:pPr>
      <w:r>
        <w:rPr>
          <w:rFonts w:hint="eastAsia" w:hAnsi="宋体" w:cs="宋体"/>
          <w:color w:val="auto"/>
        </w:rPr>
        <w:t>法定代表人、负责人、自然人或相应的委托代理人签字（或盖章）</w:t>
      </w:r>
    </w:p>
    <w:p>
      <w:pPr>
        <w:pStyle w:val="5"/>
        <w:spacing w:line="400" w:lineRule="exact"/>
        <w:ind w:firstLine="2420" w:firstLineChars="1100"/>
        <w:jc w:val="right"/>
        <w:rPr>
          <w:rFonts w:hint="eastAsia" w:hAnsi="宋体" w:cs="宋体"/>
          <w:color w:val="auto"/>
          <w:szCs w:val="21"/>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5"/>
        <w:spacing w:line="400" w:lineRule="exact"/>
        <w:ind w:left="3740" w:leftChars="1700"/>
        <w:jc w:val="right"/>
        <w:rPr>
          <w:rFonts w:hint="eastAsia" w:hAnsi="宋体" w:cs="宋体"/>
          <w:color w:val="auto"/>
          <w:u w:val="single"/>
        </w:rPr>
      </w:pPr>
    </w:p>
    <w:p>
      <w:pPr>
        <w:numPr>
          <w:ilvl w:val="0"/>
          <w:numId w:val="0"/>
        </w:numPr>
        <w:spacing w:after="0" w:line="366" w:lineRule="exact"/>
        <w:ind w:firstLine="4180" w:firstLineChars="1900"/>
        <w:rPr>
          <w:rFonts w:hint="eastAsia" w:ascii="宋体" w:hAnsi="宋体" w:eastAsia="宋体" w:cs="宋体"/>
          <w:b/>
          <w:bCs/>
          <w:color w:val="auto"/>
          <w:sz w:val="28"/>
          <w:szCs w:val="28"/>
          <w:lang w:eastAsia="zh-CN"/>
        </w:rPr>
      </w:pPr>
      <w:r>
        <w:rPr>
          <w:rFonts w:hint="eastAsia" w:hAnsi="宋体" w:cs="宋体"/>
          <w:color w:val="auto"/>
        </w:rPr>
        <w:t>日          期：</w:t>
      </w:r>
      <w:r>
        <w:rPr>
          <w:rFonts w:hint="eastAsia" w:hAnsi="宋体" w:cs="宋体"/>
          <w:color w:val="auto"/>
          <w:u w:val="single"/>
        </w:rPr>
        <w:t xml:space="preserve">                 </w:t>
      </w: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13</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供应商业绩及企业信誉（如有，请提供）；</w:t>
      </w:r>
    </w:p>
    <w:p>
      <w:pPr>
        <w:snapToGrid w:val="0"/>
        <w:spacing w:line="400" w:lineRule="exact"/>
        <w:ind w:firstLine="2640" w:firstLineChars="1200"/>
        <w:jc w:val="center"/>
        <w:outlineLvl w:val="4"/>
        <w:rPr>
          <w:rFonts w:hint="eastAsia" w:ascii="宋体" w:hAnsi="宋体" w:cs="宋体"/>
          <w:color w:val="auto"/>
          <w:szCs w:val="21"/>
          <w:lang w:eastAsia="zh-CN"/>
        </w:rPr>
      </w:pPr>
    </w:p>
    <w:p>
      <w:pPr>
        <w:snapToGrid w:val="0"/>
        <w:spacing w:line="400" w:lineRule="exact"/>
        <w:ind w:firstLine="2640" w:firstLineChars="1200"/>
        <w:jc w:val="center"/>
        <w:outlineLvl w:val="4"/>
        <w:rPr>
          <w:rFonts w:hint="eastAsia" w:ascii="宋体" w:hAnsi="宋体" w:cs="宋体"/>
          <w:color w:val="auto"/>
          <w:szCs w:val="21"/>
          <w:lang w:eastAsia="zh-CN"/>
        </w:rPr>
      </w:pPr>
    </w:p>
    <w:p>
      <w:pPr>
        <w:snapToGrid w:val="0"/>
        <w:spacing w:line="400" w:lineRule="exact"/>
        <w:ind w:firstLine="2640" w:firstLineChars="1200"/>
        <w:jc w:val="center"/>
        <w:outlineLvl w:val="4"/>
        <w:rPr>
          <w:rFonts w:hint="eastAsia" w:ascii="宋体" w:hAnsi="宋体" w:cs="宋体"/>
          <w:color w:val="auto"/>
          <w:szCs w:val="21"/>
          <w:lang w:eastAsia="zh-CN"/>
        </w:rPr>
      </w:pPr>
    </w:p>
    <w:p>
      <w:pPr>
        <w:snapToGrid w:val="0"/>
        <w:spacing w:line="400" w:lineRule="exact"/>
        <w:ind w:firstLine="2640" w:firstLineChars="1200"/>
        <w:jc w:val="center"/>
        <w:outlineLvl w:val="4"/>
        <w:rPr>
          <w:rFonts w:hint="eastAsia" w:ascii="宋体" w:hAnsi="宋体" w:cs="宋体"/>
          <w:color w:val="auto"/>
          <w:szCs w:val="21"/>
          <w:lang w:eastAsia="zh-CN"/>
        </w:rPr>
      </w:pPr>
    </w:p>
    <w:p>
      <w:pPr>
        <w:snapToGrid w:val="0"/>
        <w:spacing w:line="400" w:lineRule="exact"/>
        <w:ind w:firstLine="2640" w:firstLineChars="1200"/>
        <w:jc w:val="center"/>
        <w:outlineLvl w:val="4"/>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（公章，自然人除外）：</w:t>
      </w:r>
      <w:r>
        <w:rPr>
          <w:rFonts w:hint="eastAsia" w:ascii="宋体" w:hAnsi="宋体" w:cs="宋体"/>
          <w:color w:val="auto"/>
          <w:szCs w:val="21"/>
          <w:u w:val="single"/>
        </w:rPr>
        <w:t xml:space="preserve">                                  </w:t>
      </w:r>
    </w:p>
    <w:p>
      <w:pPr>
        <w:snapToGrid w:val="0"/>
        <w:spacing w:line="400" w:lineRule="exact"/>
        <w:ind w:firstLine="420"/>
        <w:jc w:val="right"/>
        <w:outlineLvl w:val="4"/>
        <w:rPr>
          <w:rFonts w:hint="eastAsia" w:ascii="宋体" w:hAnsi="宋体" w:cs="宋体"/>
          <w:color w:val="auto"/>
          <w:szCs w:val="21"/>
        </w:rPr>
      </w:pPr>
    </w:p>
    <w:p>
      <w:pPr>
        <w:pStyle w:val="5"/>
        <w:spacing w:line="400" w:lineRule="exact"/>
        <w:ind w:firstLine="2640" w:firstLineChars="1200"/>
        <w:jc w:val="right"/>
        <w:rPr>
          <w:rFonts w:hint="eastAsia" w:hAnsi="宋体" w:cs="宋体"/>
          <w:color w:val="auto"/>
        </w:rPr>
      </w:pPr>
      <w:r>
        <w:rPr>
          <w:rFonts w:hint="eastAsia" w:hAnsi="宋体" w:cs="宋体"/>
          <w:color w:val="auto"/>
        </w:rPr>
        <w:t>法定代表人、负责人、自然人或相应的委托代理人签字（或盖章）</w:t>
      </w:r>
    </w:p>
    <w:p>
      <w:pPr>
        <w:pStyle w:val="5"/>
        <w:spacing w:line="400" w:lineRule="exact"/>
        <w:ind w:firstLine="2420" w:firstLineChars="1100"/>
        <w:jc w:val="right"/>
        <w:rPr>
          <w:rFonts w:hint="eastAsia" w:hAnsi="宋体" w:cs="宋体"/>
          <w:color w:val="auto"/>
          <w:szCs w:val="21"/>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5"/>
        <w:spacing w:line="400" w:lineRule="exact"/>
        <w:ind w:left="3740" w:leftChars="1700"/>
        <w:jc w:val="right"/>
        <w:rPr>
          <w:rFonts w:hint="eastAsia" w:hAnsi="宋体" w:cs="宋体"/>
          <w:color w:val="auto"/>
          <w:u w:val="single"/>
        </w:rPr>
      </w:pPr>
    </w:p>
    <w:p>
      <w:pPr>
        <w:numPr>
          <w:ilvl w:val="0"/>
          <w:numId w:val="0"/>
        </w:numPr>
        <w:spacing w:after="0" w:line="366" w:lineRule="exact"/>
        <w:ind w:firstLine="4180" w:firstLineChars="1900"/>
        <w:rPr>
          <w:rFonts w:hint="eastAsia" w:ascii="宋体" w:hAnsi="宋体" w:eastAsia="宋体" w:cs="宋体"/>
          <w:b/>
          <w:bCs/>
          <w:color w:val="auto"/>
          <w:sz w:val="28"/>
          <w:szCs w:val="28"/>
          <w:lang w:eastAsia="zh-CN"/>
        </w:rPr>
      </w:pPr>
      <w:r>
        <w:rPr>
          <w:rFonts w:hint="eastAsia" w:hAnsi="宋体" w:cs="宋体"/>
          <w:color w:val="auto"/>
        </w:rPr>
        <w:t>日          期：</w:t>
      </w:r>
      <w:r>
        <w:rPr>
          <w:rFonts w:hint="eastAsia" w:hAnsi="宋体" w:cs="宋体"/>
          <w:color w:val="auto"/>
          <w:u w:val="single"/>
        </w:rPr>
        <w:t xml:space="preserve">                 </w:t>
      </w: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ind w:left="220" w:leftChars="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14</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“采购需求”需提供的有效证明文件（如有，请提供）；</w:t>
      </w: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spacing w:after="0" w:line="240" w:lineRule="exact"/>
        <w:ind w:left="420"/>
        <w:rPr>
          <w:rFonts w:ascii="宋体" w:hAnsi="宋体" w:eastAsia="宋体" w:cs="宋体"/>
          <w:color w:val="auto"/>
          <w:sz w:val="21"/>
          <w:szCs w:val="21"/>
        </w:rPr>
      </w:pPr>
    </w:p>
    <w:p>
      <w:pPr>
        <w:numPr>
          <w:ilvl w:val="0"/>
          <w:numId w:val="0"/>
        </w:numPr>
        <w:spacing w:after="0" w:line="366" w:lineRule="exact"/>
        <w:ind w:left="220" w:leftChars="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1</w:t>
      </w:r>
      <w:r>
        <w:rPr>
          <w:rFonts w:hint="eastAsia" w:ascii="宋体" w:hAnsi="宋体" w:eastAsia="宋体" w:cs="宋体"/>
          <w:b/>
          <w:bCs/>
          <w:color w:val="auto"/>
          <w:sz w:val="28"/>
          <w:szCs w:val="28"/>
          <w:lang w:val="en-US" w:eastAsia="zh-CN"/>
        </w:rPr>
        <w:t>5</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供应商2018年以来通过中介审计的有效完整的财务审计报告复印件（如有，请提供）；</w:t>
      </w:r>
    </w:p>
    <w:p>
      <w:pPr>
        <w:spacing w:after="0" w:line="240" w:lineRule="exact"/>
        <w:ind w:left="420"/>
        <w:rPr>
          <w:rFonts w:ascii="宋体" w:hAnsi="宋体" w:eastAsia="宋体" w:cs="宋体"/>
          <w:color w:val="auto"/>
          <w:sz w:val="21"/>
          <w:szCs w:val="21"/>
        </w:rPr>
      </w:pPr>
    </w:p>
    <w:p>
      <w:pPr>
        <w:spacing w:after="0" w:line="240" w:lineRule="exact"/>
        <w:ind w:left="420"/>
        <w:rPr>
          <w:rFonts w:ascii="宋体" w:hAnsi="宋体" w:eastAsia="宋体" w:cs="宋体"/>
          <w:color w:val="auto"/>
          <w:sz w:val="21"/>
          <w:szCs w:val="21"/>
        </w:rPr>
      </w:pPr>
    </w:p>
    <w:p>
      <w:pPr>
        <w:spacing w:after="0" w:line="240" w:lineRule="exact"/>
        <w:ind w:left="420"/>
        <w:rPr>
          <w:rFonts w:ascii="宋体" w:hAnsi="宋体" w:eastAsia="宋体" w:cs="宋体"/>
          <w:color w:val="auto"/>
          <w:sz w:val="21"/>
          <w:szCs w:val="21"/>
        </w:rPr>
      </w:pPr>
    </w:p>
    <w:p>
      <w:pPr>
        <w:pStyle w:val="2"/>
        <w:rPr>
          <w:rFonts w:ascii="宋体" w:hAnsi="宋体" w:eastAsia="宋体" w:cs="宋体"/>
          <w:color w:val="auto"/>
          <w:sz w:val="21"/>
          <w:szCs w:val="21"/>
        </w:rPr>
      </w:pPr>
    </w:p>
    <w:p/>
    <w:p>
      <w:pPr>
        <w:spacing w:after="0" w:line="240" w:lineRule="exact"/>
        <w:ind w:left="420"/>
        <w:rPr>
          <w:rFonts w:ascii="宋体" w:hAnsi="宋体" w:eastAsia="宋体" w:cs="宋体"/>
          <w:color w:val="auto"/>
          <w:sz w:val="21"/>
          <w:szCs w:val="21"/>
        </w:rPr>
      </w:pPr>
    </w:p>
    <w:p>
      <w:pPr>
        <w:numPr>
          <w:ilvl w:val="0"/>
          <w:numId w:val="0"/>
        </w:numPr>
        <w:spacing w:after="0" w:line="366" w:lineRule="exact"/>
        <w:ind w:left="220" w:leftChars="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16</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供应商相关获奖证书、认证证书等复印件（如有，请提供）；</w:t>
      </w: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pStyle w:val="2"/>
        <w:rPr>
          <w:rFonts w:hint="eastAsia"/>
          <w:lang w:eastAsia="zh-CN"/>
        </w:rPr>
      </w:pPr>
    </w:p>
    <w:p>
      <w:pPr>
        <w:spacing w:after="0" w:line="240" w:lineRule="exact"/>
        <w:ind w:left="420"/>
        <w:rPr>
          <w:rFonts w:ascii="宋体" w:hAnsi="宋体" w:eastAsia="宋体" w:cs="宋体"/>
          <w:color w:val="auto"/>
          <w:sz w:val="21"/>
          <w:szCs w:val="21"/>
        </w:rPr>
      </w:pPr>
    </w:p>
    <w:p>
      <w:pPr>
        <w:numPr>
          <w:ilvl w:val="0"/>
          <w:numId w:val="0"/>
        </w:numPr>
        <w:spacing w:after="0" w:line="366" w:lineRule="exact"/>
        <w:ind w:left="220" w:leftChars="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17</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如产品属于小型、微型企业、监狱企业的，以提供工商注册地的工业和信息化部门等其他行政部门出具的相关证明材料为准（如有，请提供）；</w:t>
      </w: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spacing w:line="500" w:lineRule="exact"/>
        <w:rPr>
          <w:rFonts w:hint="eastAsia" w:ascii="宋体" w:hAnsi="宋体" w:cs="宋体"/>
          <w:b/>
          <w:bCs/>
          <w:color w:val="auto"/>
          <w:sz w:val="32"/>
          <w:szCs w:val="32"/>
        </w:rPr>
      </w:pPr>
      <w:r>
        <w:rPr>
          <w:rFonts w:hint="eastAsia" w:ascii="宋体" w:hAnsi="宋体" w:cs="宋体"/>
          <w:b/>
          <w:bCs/>
          <w:color w:val="auto"/>
          <w:sz w:val="32"/>
          <w:szCs w:val="32"/>
          <w:lang w:val="en-US" w:eastAsia="zh-CN"/>
        </w:rPr>
        <w:t>18</w:t>
      </w:r>
      <w:r>
        <w:rPr>
          <w:rFonts w:ascii="宋体" w:hAnsi="宋体" w:eastAsia="宋体" w:cs="宋体"/>
          <w:b/>
          <w:bCs/>
          <w:color w:val="auto"/>
          <w:sz w:val="32"/>
          <w:szCs w:val="32"/>
        </w:rPr>
        <w:t>、</w:t>
      </w:r>
      <w:r>
        <w:rPr>
          <w:rFonts w:hint="eastAsia" w:ascii="宋体" w:hAnsi="宋体" w:cs="宋体"/>
          <w:b/>
          <w:bCs/>
          <w:color w:val="auto"/>
          <w:sz w:val="32"/>
          <w:szCs w:val="32"/>
        </w:rPr>
        <w:t>符合条件的残疾人福利性单位在参加政府采购活动时，应当提供《残疾人福利性单位声明函》（见附件），并对声明的真实性负责。</w:t>
      </w:r>
    </w:p>
    <w:p>
      <w:pPr>
        <w:spacing w:line="588" w:lineRule="exact"/>
        <w:jc w:val="center"/>
        <w:rPr>
          <w:rFonts w:hint="eastAsia" w:ascii="宋体" w:hAnsi="宋体" w:cs="宋体"/>
          <w:b/>
          <w:color w:val="auto"/>
          <w:spacing w:val="6"/>
          <w:sz w:val="32"/>
          <w:szCs w:val="32"/>
        </w:rPr>
      </w:pPr>
      <w:bookmarkStart w:id="65" w:name="OLE_LINK14"/>
      <w:bookmarkStart w:id="66" w:name="OLE_LINK13"/>
      <w:r>
        <w:rPr>
          <w:rFonts w:hint="eastAsia" w:ascii="宋体" w:hAnsi="宋体" w:cs="宋体"/>
          <w:b/>
          <w:color w:val="auto"/>
          <w:spacing w:val="6"/>
          <w:sz w:val="32"/>
          <w:szCs w:val="32"/>
        </w:rPr>
        <w:t>残疾人福利性单位声明函</w:t>
      </w:r>
    </w:p>
    <w:bookmarkEnd w:id="65"/>
    <w:bookmarkEnd w:id="66"/>
    <w:p>
      <w:pPr>
        <w:spacing w:line="588" w:lineRule="exact"/>
        <w:rPr>
          <w:rFonts w:hint="eastAsia" w:ascii="宋体" w:hAnsi="宋体" w:cs="宋体"/>
          <w:b/>
          <w:color w:val="auto"/>
          <w:spacing w:val="6"/>
          <w:sz w:val="30"/>
          <w:szCs w:val="30"/>
        </w:rPr>
      </w:pPr>
    </w:p>
    <w:p>
      <w:pPr>
        <w:spacing w:line="588" w:lineRule="exact"/>
        <w:ind w:firstLine="624" w:firstLineChars="200"/>
        <w:rPr>
          <w:rFonts w:hint="eastAsia"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w:t>
      </w:r>
      <w:r>
        <w:rPr>
          <w:rFonts w:hint="eastAsia" w:ascii="宋体" w:hAnsi="宋体" w:cs="宋体"/>
          <w:color w:val="auto"/>
          <w:sz w:val="32"/>
          <w:szCs w:val="32"/>
        </w:rPr>
        <w:t>〔2017〕 141</w:t>
      </w:r>
      <w:r>
        <w:rPr>
          <w:rFonts w:hint="eastAsia" w:ascii="宋体" w:hAnsi="宋体" w:cs="宋体"/>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pPr>
        <w:spacing w:line="588" w:lineRule="exact"/>
        <w:ind w:firstLine="624" w:firstLineChars="200"/>
        <w:rPr>
          <w:rFonts w:hint="eastAsia" w:ascii="宋体" w:hAnsi="宋体" w:cs="宋体"/>
          <w:color w:val="auto"/>
          <w:spacing w:val="6"/>
          <w:sz w:val="30"/>
          <w:szCs w:val="30"/>
        </w:rPr>
      </w:pPr>
    </w:p>
    <w:p>
      <w:pPr>
        <w:spacing w:line="588" w:lineRule="exact"/>
        <w:ind w:firstLine="624" w:firstLineChars="200"/>
        <w:rPr>
          <w:rFonts w:hint="eastAsia" w:ascii="宋体" w:hAnsi="宋体" w:cs="宋体"/>
          <w:color w:val="auto"/>
          <w:spacing w:val="6"/>
          <w:sz w:val="30"/>
          <w:szCs w:val="30"/>
        </w:rPr>
      </w:pPr>
    </w:p>
    <w:p>
      <w:pPr>
        <w:tabs>
          <w:tab w:val="left" w:pos="4860"/>
        </w:tabs>
        <w:spacing w:line="588" w:lineRule="exact"/>
        <w:ind w:right="1560" w:firstLine="624" w:firstLineChars="200"/>
        <w:jc w:val="right"/>
        <w:rPr>
          <w:rFonts w:hint="eastAsia" w:ascii="宋体" w:hAnsi="宋体" w:cs="宋体"/>
          <w:color w:val="auto"/>
          <w:spacing w:val="6"/>
          <w:sz w:val="30"/>
          <w:szCs w:val="30"/>
        </w:rPr>
      </w:pPr>
      <w:r>
        <w:rPr>
          <w:rFonts w:hint="eastAsia" w:ascii="宋体" w:hAnsi="宋体" w:cs="宋体"/>
          <w:color w:val="auto"/>
          <w:spacing w:val="6"/>
          <w:sz w:val="30"/>
          <w:szCs w:val="30"/>
        </w:rPr>
        <w:t>单位名称（盖章）：</w:t>
      </w:r>
    </w:p>
    <w:p>
      <w:pPr>
        <w:spacing w:after="0" w:line="372" w:lineRule="exact"/>
        <w:ind w:left="100" w:firstLine="4992" w:firstLineChars="1600"/>
        <w:jc w:val="both"/>
        <w:rPr>
          <w:color w:val="auto"/>
          <w:sz w:val="20"/>
          <w:szCs w:val="20"/>
        </w:rPr>
      </w:pPr>
      <w:r>
        <w:rPr>
          <w:rFonts w:hint="eastAsia" w:ascii="宋体" w:hAnsi="宋体" w:cs="宋体"/>
          <w:color w:val="auto"/>
          <w:spacing w:val="6"/>
          <w:sz w:val="30"/>
          <w:szCs w:val="30"/>
        </w:rPr>
        <w:t>日  期：</w:t>
      </w: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p>
    <w:p>
      <w:pPr>
        <w:numPr>
          <w:ilvl w:val="0"/>
          <w:numId w:val="0"/>
        </w:numPr>
        <w:spacing w:after="0" w:line="366" w:lineRule="exac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19</w:t>
      </w:r>
      <w:r>
        <w:rPr>
          <w:rFonts w:ascii="宋体" w:hAnsi="宋体" w:eastAsia="宋体" w:cs="宋体"/>
          <w:b/>
          <w:bCs/>
          <w:color w:val="auto"/>
          <w:sz w:val="32"/>
          <w:szCs w:val="32"/>
        </w:rPr>
        <w:t>、</w:t>
      </w:r>
      <w:r>
        <w:rPr>
          <w:rFonts w:hint="eastAsia" w:ascii="宋体" w:hAnsi="宋体" w:eastAsia="宋体" w:cs="宋体"/>
          <w:b/>
          <w:bCs/>
          <w:color w:val="auto"/>
          <w:sz w:val="28"/>
          <w:szCs w:val="28"/>
          <w:lang w:eastAsia="zh-CN"/>
        </w:rPr>
        <w:t>供应商可结合本项目的评标办法视自身情况自行提交相关证明材料（如有，请提供）。</w:t>
      </w:r>
    </w:p>
    <w:p>
      <w:pPr>
        <w:pStyle w:val="5"/>
        <w:spacing w:line="400" w:lineRule="exact"/>
        <w:ind w:firstLine="3520" w:firstLineChars="1100"/>
        <w:rPr>
          <w:rFonts w:hint="eastAsia" w:hAnsi="宋体" w:cs="宋体"/>
          <w:color w:val="auto"/>
          <w:sz w:val="32"/>
          <w:szCs w:val="32"/>
        </w:rPr>
      </w:pPr>
      <w:r>
        <w:rPr>
          <w:rFonts w:hint="eastAsia" w:hAnsi="宋体" w:cs="宋体"/>
          <w:color w:val="auto"/>
          <w:sz w:val="32"/>
          <w:szCs w:val="32"/>
        </w:rPr>
        <w:t xml:space="preserve"> </w:t>
      </w:r>
    </w:p>
    <w:p>
      <w:pPr>
        <w:pStyle w:val="5"/>
        <w:ind w:firstLine="2640" w:firstLineChars="1200"/>
        <w:rPr>
          <w:color w:val="auto"/>
          <w:sz w:val="20"/>
          <w:szCs w:val="20"/>
        </w:rPr>
      </w:pPr>
      <w:r>
        <w:rPr>
          <w:rFonts w:hint="eastAsia" w:hAnsi="宋体" w:cs="宋体"/>
          <w:color w:val="auto"/>
          <w:u w:val="single"/>
        </w:rPr>
        <w:t xml:space="preserve">                       </w:t>
      </w:r>
      <w:bookmarkStart w:id="67" w:name="page34"/>
      <w:bookmarkEnd w:id="6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pStyle w:val="2"/>
      </w:pPr>
    </w:p>
    <w:p>
      <w:pPr>
        <w:spacing w:after="0" w:line="200" w:lineRule="exact"/>
        <w:rPr>
          <w:color w:val="auto"/>
          <w:sz w:val="20"/>
          <w:szCs w:val="20"/>
        </w:rPr>
      </w:pPr>
    </w:p>
    <w:p>
      <w:pPr>
        <w:spacing w:after="0" w:line="200" w:lineRule="exact"/>
        <w:rPr>
          <w:color w:val="auto"/>
          <w:sz w:val="20"/>
          <w:szCs w:val="20"/>
        </w:rPr>
      </w:pPr>
    </w:p>
    <w:p>
      <w:pPr>
        <w:spacing w:after="0" w:line="411" w:lineRule="exact"/>
        <w:rPr>
          <w:color w:val="auto"/>
          <w:sz w:val="20"/>
          <w:szCs w:val="20"/>
        </w:rPr>
      </w:pPr>
      <w:bookmarkStart w:id="68" w:name="page38"/>
      <w:bookmarkEnd w:id="68"/>
      <w:r>
        <w:rPr>
          <w:rFonts w:ascii="宋体" w:hAnsi="宋体" w:eastAsia="宋体" w:cs="宋体"/>
          <w:b/>
          <w:bCs/>
          <w:color w:val="auto"/>
          <w:sz w:val="36"/>
          <w:szCs w:val="36"/>
        </w:rPr>
        <w:t>附件：</w:t>
      </w:r>
    </w:p>
    <w:p>
      <w:pPr>
        <w:spacing w:after="0" w:line="200" w:lineRule="exact"/>
        <w:rPr>
          <w:color w:val="auto"/>
          <w:sz w:val="20"/>
          <w:szCs w:val="20"/>
        </w:rPr>
      </w:pPr>
    </w:p>
    <w:p>
      <w:pPr>
        <w:spacing w:after="0" w:line="349" w:lineRule="exact"/>
        <w:rPr>
          <w:color w:val="auto"/>
          <w:sz w:val="20"/>
          <w:szCs w:val="20"/>
        </w:rPr>
      </w:pPr>
    </w:p>
    <w:tbl>
      <w:tblPr>
        <w:tblStyle w:val="9"/>
        <w:tblW w:w="0" w:type="auto"/>
        <w:tblInd w:w="0" w:type="dxa"/>
        <w:tblLayout w:type="fixed"/>
        <w:tblCellMar>
          <w:top w:w="0" w:type="dxa"/>
          <w:left w:w="0" w:type="dxa"/>
          <w:bottom w:w="0" w:type="dxa"/>
          <w:right w:w="0" w:type="dxa"/>
        </w:tblCellMar>
      </w:tblPr>
      <w:tblGrid>
        <w:gridCol w:w="720"/>
        <w:gridCol w:w="120"/>
        <w:gridCol w:w="120"/>
        <w:gridCol w:w="240"/>
        <w:gridCol w:w="180"/>
        <w:gridCol w:w="60"/>
        <w:gridCol w:w="480"/>
        <w:gridCol w:w="240"/>
        <w:gridCol w:w="1320"/>
        <w:gridCol w:w="120"/>
        <w:gridCol w:w="960"/>
        <w:gridCol w:w="120"/>
        <w:gridCol w:w="360"/>
        <w:gridCol w:w="480"/>
        <w:gridCol w:w="480"/>
        <w:gridCol w:w="120"/>
        <w:gridCol w:w="120"/>
        <w:gridCol w:w="120"/>
        <w:gridCol w:w="120"/>
        <w:gridCol w:w="120"/>
        <w:gridCol w:w="360"/>
        <w:gridCol w:w="120"/>
        <w:gridCol w:w="1800"/>
      </w:tblGrid>
      <w:tr>
        <w:tblPrEx>
          <w:tblCellMar>
            <w:top w:w="0" w:type="dxa"/>
            <w:left w:w="0" w:type="dxa"/>
            <w:bottom w:w="0" w:type="dxa"/>
            <w:right w:w="0" w:type="dxa"/>
          </w:tblCellMar>
        </w:tblPrEx>
        <w:trPr>
          <w:trHeight w:val="365" w:hRule="atLeast"/>
        </w:trPr>
        <w:tc>
          <w:tcPr>
            <w:tcW w:w="7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2400" w:type="dxa"/>
            <w:gridSpan w:val="5"/>
            <w:vAlign w:val="bottom"/>
          </w:tcPr>
          <w:p>
            <w:pPr>
              <w:spacing w:after="0" w:line="366" w:lineRule="exact"/>
              <w:ind w:left="300"/>
              <w:rPr>
                <w:color w:val="auto"/>
                <w:sz w:val="20"/>
                <w:szCs w:val="20"/>
              </w:rPr>
            </w:pPr>
            <w:r>
              <w:rPr>
                <w:rFonts w:ascii="宋体" w:hAnsi="宋体" w:eastAsia="宋体" w:cs="宋体"/>
                <w:b/>
                <w:bCs/>
                <w:color w:val="auto"/>
                <w:sz w:val="32"/>
                <w:szCs w:val="32"/>
              </w:rPr>
              <w:t>质疑函范本</w:t>
            </w: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739"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一、质疑供应商基本信息</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质疑供应商：</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47" w:hRule="atLeast"/>
        </w:trPr>
        <w:tc>
          <w:tcPr>
            <w:tcW w:w="1440" w:type="dxa"/>
            <w:gridSpan w:val="6"/>
            <w:vAlign w:val="bottom"/>
          </w:tcPr>
          <w:p>
            <w:pPr>
              <w:spacing w:after="0" w:line="274" w:lineRule="exact"/>
              <w:rPr>
                <w:color w:val="auto"/>
                <w:sz w:val="20"/>
                <w:szCs w:val="20"/>
              </w:rPr>
            </w:pPr>
            <w:r>
              <w:rPr>
                <w:rFonts w:ascii="宋体" w:hAnsi="宋体" w:eastAsia="宋体" w:cs="宋体"/>
                <w:color w:val="auto"/>
                <w:sz w:val="24"/>
                <w:szCs w:val="24"/>
              </w:rPr>
              <w:t>地址：</w:t>
            </w:r>
          </w:p>
        </w:tc>
        <w:tc>
          <w:tcPr>
            <w:tcW w:w="2160" w:type="dxa"/>
            <w:gridSpan w:val="4"/>
            <w:tcBorders>
              <w:top w:val="single" w:color="auto" w:sz="8" w:space="0"/>
            </w:tcBorders>
            <w:vAlign w:val="bottom"/>
          </w:tcPr>
          <w:p>
            <w:pPr>
              <w:spacing w:after="0"/>
              <w:rPr>
                <w:color w:val="auto"/>
                <w:sz w:val="24"/>
                <w:szCs w:val="24"/>
              </w:rPr>
            </w:pPr>
          </w:p>
        </w:tc>
        <w:tc>
          <w:tcPr>
            <w:tcW w:w="2400" w:type="dxa"/>
            <w:gridSpan w:val="5"/>
            <w:tcBorders>
              <w:top w:val="single" w:color="auto" w:sz="8" w:space="0"/>
            </w:tcBorders>
            <w:vAlign w:val="bottom"/>
          </w:tcPr>
          <w:p>
            <w:pPr>
              <w:spacing w:after="0" w:line="274" w:lineRule="exact"/>
              <w:ind w:left="240"/>
              <w:rPr>
                <w:color w:val="auto"/>
                <w:sz w:val="20"/>
                <w:szCs w:val="20"/>
              </w:rPr>
            </w:pPr>
            <w:r>
              <w:rPr>
                <w:rFonts w:ascii="宋体" w:hAnsi="宋体" w:eastAsia="宋体" w:cs="宋体"/>
                <w:color w:val="auto"/>
                <w:sz w:val="24"/>
                <w:szCs w:val="24"/>
              </w:rPr>
              <w:t>邮编：</w:t>
            </w: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720" w:type="dxa"/>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540" w:type="dxa"/>
            <w:gridSpan w:val="2"/>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3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960" w:type="dxa"/>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80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7"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联系人：</w:t>
            </w:r>
          </w:p>
        </w:tc>
        <w:tc>
          <w:tcPr>
            <w:tcW w:w="2400" w:type="dxa"/>
            <w:gridSpan w:val="5"/>
            <w:vAlign w:val="bottom"/>
          </w:tcPr>
          <w:p>
            <w:pPr>
              <w:spacing w:after="0" w:line="274" w:lineRule="exact"/>
              <w:ind w:left="240"/>
              <w:rPr>
                <w:color w:val="auto"/>
                <w:sz w:val="20"/>
                <w:szCs w:val="20"/>
              </w:rPr>
            </w:pPr>
            <w:r>
              <w:rPr>
                <w:rFonts w:ascii="宋体" w:hAnsi="宋体" w:eastAsia="宋体" w:cs="宋体"/>
                <w:color w:val="auto"/>
                <w:sz w:val="24"/>
                <w:szCs w:val="24"/>
              </w:rPr>
              <w:t>联系电话：</w:t>
            </w: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840" w:type="dxa"/>
            <w:gridSpan w:val="2"/>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540" w:type="dxa"/>
            <w:gridSpan w:val="2"/>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32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96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tcBorders>
              <w:right w:val="single" w:color="auto" w:sz="8" w:space="0"/>
            </w:tcBorders>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80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7"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授权代表：</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840" w:type="dxa"/>
            <w:gridSpan w:val="2"/>
            <w:vAlign w:val="bottom"/>
          </w:tcPr>
          <w:p>
            <w:pPr>
              <w:spacing w:after="0" w:line="20" w:lineRule="exact"/>
              <w:rPr>
                <w:color w:val="auto"/>
                <w:sz w:val="1"/>
                <w:szCs w:val="1"/>
              </w:rPr>
            </w:pPr>
          </w:p>
        </w:tc>
        <w:tc>
          <w:tcPr>
            <w:tcW w:w="360" w:type="dxa"/>
            <w:gridSpan w:val="2"/>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540" w:type="dxa"/>
            <w:gridSpan w:val="2"/>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440" w:type="dxa"/>
            <w:gridSpan w:val="2"/>
            <w:shd w:val="clear" w:color="auto" w:fill="000000"/>
            <w:vAlign w:val="bottom"/>
          </w:tcPr>
          <w:p>
            <w:pPr>
              <w:spacing w:after="0" w:line="20" w:lineRule="exact"/>
              <w:rPr>
                <w:color w:val="auto"/>
                <w:sz w:val="1"/>
                <w:szCs w:val="1"/>
              </w:rPr>
            </w:pPr>
          </w:p>
        </w:tc>
        <w:tc>
          <w:tcPr>
            <w:tcW w:w="96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80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7"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联系电话：</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47" w:hRule="atLeast"/>
        </w:trPr>
        <w:tc>
          <w:tcPr>
            <w:tcW w:w="840" w:type="dxa"/>
            <w:gridSpan w:val="2"/>
            <w:vAlign w:val="bottom"/>
          </w:tcPr>
          <w:p>
            <w:pPr>
              <w:spacing w:after="0" w:line="274" w:lineRule="exact"/>
              <w:rPr>
                <w:color w:val="auto"/>
                <w:sz w:val="20"/>
                <w:szCs w:val="20"/>
              </w:rPr>
            </w:pPr>
            <w:r>
              <w:rPr>
                <w:rFonts w:ascii="宋体" w:hAnsi="宋体" w:eastAsia="宋体" w:cs="宋体"/>
                <w:color w:val="auto"/>
                <w:sz w:val="24"/>
                <w:szCs w:val="24"/>
              </w:rPr>
              <w:t>地址：</w:t>
            </w:r>
          </w:p>
        </w:tc>
        <w:tc>
          <w:tcPr>
            <w:tcW w:w="360" w:type="dxa"/>
            <w:gridSpan w:val="2"/>
            <w:vAlign w:val="bottom"/>
          </w:tcPr>
          <w:p>
            <w:pPr>
              <w:spacing w:after="0"/>
              <w:rPr>
                <w:color w:val="auto"/>
                <w:sz w:val="24"/>
                <w:szCs w:val="24"/>
              </w:rPr>
            </w:pPr>
          </w:p>
        </w:tc>
        <w:tc>
          <w:tcPr>
            <w:tcW w:w="2400" w:type="dxa"/>
            <w:gridSpan w:val="6"/>
            <w:tcBorders>
              <w:top w:val="single" w:color="auto" w:sz="8" w:space="0"/>
            </w:tcBorders>
            <w:vAlign w:val="bottom"/>
          </w:tcPr>
          <w:p>
            <w:pPr>
              <w:spacing w:after="0"/>
              <w:rPr>
                <w:color w:val="auto"/>
                <w:sz w:val="24"/>
                <w:szCs w:val="24"/>
              </w:rPr>
            </w:pPr>
          </w:p>
        </w:tc>
        <w:tc>
          <w:tcPr>
            <w:tcW w:w="2400" w:type="dxa"/>
            <w:gridSpan w:val="5"/>
            <w:tcBorders>
              <w:top w:val="single" w:color="auto" w:sz="8" w:space="0"/>
            </w:tcBorders>
            <w:vAlign w:val="bottom"/>
          </w:tcPr>
          <w:p>
            <w:pPr>
              <w:spacing w:after="0" w:line="274" w:lineRule="exact"/>
              <w:ind w:left="240"/>
              <w:rPr>
                <w:color w:val="auto"/>
                <w:sz w:val="20"/>
                <w:szCs w:val="20"/>
              </w:rPr>
            </w:pPr>
            <w:r>
              <w:rPr>
                <w:rFonts w:ascii="宋体" w:hAnsi="宋体" w:eastAsia="宋体" w:cs="宋体"/>
                <w:color w:val="auto"/>
                <w:sz w:val="24"/>
                <w:szCs w:val="24"/>
              </w:rPr>
              <w:t>邮编：</w:t>
            </w:r>
          </w:p>
        </w:tc>
        <w:tc>
          <w:tcPr>
            <w:tcW w:w="1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840" w:type="dxa"/>
            <w:gridSpan w:val="2"/>
            <w:vAlign w:val="bottom"/>
          </w:tcPr>
          <w:p>
            <w:pPr>
              <w:spacing w:after="0" w:line="20" w:lineRule="exact"/>
              <w:rPr>
                <w:color w:val="auto"/>
                <w:sz w:val="1"/>
                <w:szCs w:val="1"/>
              </w:rPr>
            </w:pPr>
          </w:p>
        </w:tc>
        <w:tc>
          <w:tcPr>
            <w:tcW w:w="540" w:type="dxa"/>
            <w:gridSpan w:val="3"/>
            <w:shd w:val="clear" w:color="auto" w:fill="000000"/>
            <w:vAlign w:val="bottom"/>
          </w:tcPr>
          <w:p>
            <w:pPr>
              <w:spacing w:after="0" w:line="20" w:lineRule="exact"/>
              <w:rPr>
                <w:color w:val="auto"/>
                <w:sz w:val="1"/>
                <w:szCs w:val="1"/>
              </w:rPr>
            </w:pPr>
          </w:p>
        </w:tc>
        <w:tc>
          <w:tcPr>
            <w:tcW w:w="540" w:type="dxa"/>
            <w:gridSpan w:val="2"/>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440" w:type="dxa"/>
            <w:gridSpan w:val="2"/>
            <w:shd w:val="clear" w:color="auto" w:fill="000000"/>
            <w:vAlign w:val="bottom"/>
          </w:tcPr>
          <w:p>
            <w:pPr>
              <w:spacing w:after="0" w:line="20" w:lineRule="exact"/>
              <w:rPr>
                <w:color w:val="auto"/>
                <w:sz w:val="1"/>
                <w:szCs w:val="1"/>
              </w:rPr>
            </w:pPr>
          </w:p>
        </w:tc>
        <w:tc>
          <w:tcPr>
            <w:tcW w:w="960" w:type="dxa"/>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tcBorders>
              <w:right w:val="single" w:color="auto" w:sz="8" w:space="0"/>
            </w:tcBorders>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80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6"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二、质疑项目基本情况</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质疑项目的名称：</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1380" w:type="dxa"/>
            <w:gridSpan w:val="5"/>
            <w:vAlign w:val="bottom"/>
          </w:tcPr>
          <w:p>
            <w:pPr>
              <w:spacing w:after="0" w:line="20" w:lineRule="exact"/>
              <w:rPr>
                <w:color w:val="auto"/>
                <w:sz w:val="1"/>
                <w:szCs w:val="1"/>
              </w:rPr>
            </w:pPr>
          </w:p>
        </w:tc>
        <w:tc>
          <w:tcPr>
            <w:tcW w:w="540" w:type="dxa"/>
            <w:gridSpan w:val="2"/>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440" w:type="dxa"/>
            <w:gridSpan w:val="2"/>
            <w:shd w:val="clear" w:color="auto" w:fill="000000"/>
            <w:vAlign w:val="bottom"/>
          </w:tcPr>
          <w:p>
            <w:pPr>
              <w:spacing w:after="0" w:line="20" w:lineRule="exact"/>
              <w:rPr>
                <w:color w:val="auto"/>
                <w:sz w:val="1"/>
                <w:szCs w:val="1"/>
              </w:rPr>
            </w:pPr>
          </w:p>
        </w:tc>
        <w:tc>
          <w:tcPr>
            <w:tcW w:w="1080" w:type="dxa"/>
            <w:gridSpan w:val="2"/>
            <w:shd w:val="clear" w:color="auto" w:fill="000000"/>
            <w:vAlign w:val="bottom"/>
          </w:tcPr>
          <w:p>
            <w:pPr>
              <w:spacing w:after="0" w:line="20" w:lineRule="exact"/>
              <w:rPr>
                <w:color w:val="auto"/>
                <w:sz w:val="1"/>
                <w:szCs w:val="1"/>
              </w:rPr>
            </w:pPr>
          </w:p>
        </w:tc>
        <w:tc>
          <w:tcPr>
            <w:tcW w:w="840" w:type="dxa"/>
            <w:gridSpan w:val="2"/>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tcBorders>
              <w:right w:val="single" w:color="auto" w:sz="8" w:space="0"/>
            </w:tcBorders>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80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8"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质疑项目的编号：</w:t>
            </w:r>
          </w:p>
        </w:tc>
        <w:tc>
          <w:tcPr>
            <w:tcW w:w="2400" w:type="dxa"/>
            <w:gridSpan w:val="5"/>
            <w:vAlign w:val="bottom"/>
          </w:tcPr>
          <w:p>
            <w:pPr>
              <w:spacing w:after="0" w:line="274" w:lineRule="exact"/>
              <w:ind w:left="240"/>
              <w:rPr>
                <w:color w:val="auto"/>
                <w:sz w:val="20"/>
                <w:szCs w:val="20"/>
              </w:rPr>
            </w:pPr>
            <w:r>
              <w:rPr>
                <w:rFonts w:ascii="宋体" w:hAnsi="宋体" w:eastAsia="宋体" w:cs="宋体"/>
                <w:color w:val="auto"/>
                <w:sz w:val="24"/>
                <w:szCs w:val="24"/>
              </w:rPr>
              <w:t>包号：</w:t>
            </w: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47" w:hRule="atLeast"/>
        </w:trPr>
        <w:tc>
          <w:tcPr>
            <w:tcW w:w="1920" w:type="dxa"/>
            <w:gridSpan w:val="7"/>
            <w:vAlign w:val="bottom"/>
          </w:tcPr>
          <w:p>
            <w:pPr>
              <w:spacing w:after="0" w:line="274" w:lineRule="exact"/>
              <w:rPr>
                <w:color w:val="auto"/>
                <w:sz w:val="20"/>
                <w:szCs w:val="20"/>
              </w:rPr>
            </w:pPr>
            <w:r>
              <w:rPr>
                <w:rFonts w:ascii="宋体" w:hAnsi="宋体" w:eastAsia="宋体" w:cs="宋体"/>
                <w:color w:val="auto"/>
                <w:sz w:val="24"/>
                <w:szCs w:val="24"/>
              </w:rPr>
              <w:t>采购人名称：</w:t>
            </w:r>
          </w:p>
        </w:tc>
        <w:tc>
          <w:tcPr>
            <w:tcW w:w="1680" w:type="dxa"/>
            <w:gridSpan w:val="3"/>
            <w:tcBorders>
              <w:top w:val="single" w:color="auto" w:sz="8" w:space="0"/>
            </w:tcBorders>
            <w:vAlign w:val="bottom"/>
          </w:tcPr>
          <w:p>
            <w:pPr>
              <w:spacing w:after="0"/>
              <w:rPr>
                <w:color w:val="auto"/>
                <w:sz w:val="24"/>
                <w:szCs w:val="24"/>
              </w:rPr>
            </w:pPr>
          </w:p>
        </w:tc>
        <w:tc>
          <w:tcPr>
            <w:tcW w:w="960" w:type="dxa"/>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480" w:type="dxa"/>
            <w:tcBorders>
              <w:top w:val="single" w:color="auto" w:sz="8" w:space="0"/>
            </w:tcBorders>
            <w:vAlign w:val="bottom"/>
          </w:tcPr>
          <w:p>
            <w:pPr>
              <w:spacing w:after="0"/>
              <w:rPr>
                <w:color w:val="auto"/>
                <w:sz w:val="24"/>
                <w:szCs w:val="24"/>
              </w:rPr>
            </w:pPr>
          </w:p>
        </w:tc>
        <w:tc>
          <w:tcPr>
            <w:tcW w:w="48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1380" w:type="dxa"/>
            <w:gridSpan w:val="5"/>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720" w:type="dxa"/>
            <w:gridSpan w:val="2"/>
            <w:shd w:val="clear" w:color="auto" w:fill="000000"/>
            <w:vAlign w:val="bottom"/>
          </w:tcPr>
          <w:p>
            <w:pPr>
              <w:spacing w:after="0" w:line="20" w:lineRule="exact"/>
              <w:rPr>
                <w:color w:val="auto"/>
                <w:sz w:val="1"/>
                <w:szCs w:val="1"/>
              </w:rPr>
            </w:pPr>
          </w:p>
        </w:tc>
        <w:tc>
          <w:tcPr>
            <w:tcW w:w="1440" w:type="dxa"/>
            <w:gridSpan w:val="2"/>
            <w:shd w:val="clear" w:color="auto" w:fill="000000"/>
            <w:vAlign w:val="bottom"/>
          </w:tcPr>
          <w:p>
            <w:pPr>
              <w:spacing w:after="0" w:line="20" w:lineRule="exact"/>
              <w:rPr>
                <w:color w:val="auto"/>
                <w:sz w:val="1"/>
                <w:szCs w:val="1"/>
              </w:rPr>
            </w:pPr>
          </w:p>
        </w:tc>
        <w:tc>
          <w:tcPr>
            <w:tcW w:w="96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80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7"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采购文件获取日期：</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1380" w:type="dxa"/>
            <w:gridSpan w:val="5"/>
            <w:vAlign w:val="bottom"/>
          </w:tcPr>
          <w:p>
            <w:pPr>
              <w:spacing w:after="0" w:line="20" w:lineRule="exact"/>
              <w:rPr>
                <w:color w:val="auto"/>
                <w:sz w:val="1"/>
                <w:szCs w:val="1"/>
              </w:rPr>
            </w:pPr>
          </w:p>
        </w:tc>
        <w:tc>
          <w:tcPr>
            <w:tcW w:w="780" w:type="dxa"/>
            <w:gridSpan w:val="3"/>
            <w:vAlign w:val="bottom"/>
          </w:tcPr>
          <w:p>
            <w:pPr>
              <w:spacing w:after="0" w:line="20" w:lineRule="exact"/>
              <w:rPr>
                <w:color w:val="auto"/>
                <w:sz w:val="1"/>
                <w:szCs w:val="1"/>
              </w:rPr>
            </w:pPr>
          </w:p>
        </w:tc>
        <w:tc>
          <w:tcPr>
            <w:tcW w:w="1440" w:type="dxa"/>
            <w:gridSpan w:val="2"/>
            <w:shd w:val="clear" w:color="auto" w:fill="000000"/>
            <w:vAlign w:val="bottom"/>
          </w:tcPr>
          <w:p>
            <w:pPr>
              <w:spacing w:after="0" w:line="20" w:lineRule="exact"/>
              <w:rPr>
                <w:color w:val="auto"/>
                <w:sz w:val="1"/>
                <w:szCs w:val="1"/>
              </w:rPr>
            </w:pPr>
          </w:p>
        </w:tc>
        <w:tc>
          <w:tcPr>
            <w:tcW w:w="96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80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6"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三、质疑事项具体内容</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质疑事项 1：</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47" w:hRule="atLeast"/>
        </w:trPr>
        <w:tc>
          <w:tcPr>
            <w:tcW w:w="1380" w:type="dxa"/>
            <w:gridSpan w:val="5"/>
            <w:vAlign w:val="bottom"/>
          </w:tcPr>
          <w:p>
            <w:pPr>
              <w:spacing w:after="0" w:line="274" w:lineRule="exact"/>
              <w:rPr>
                <w:color w:val="auto"/>
                <w:sz w:val="20"/>
                <w:szCs w:val="20"/>
              </w:rPr>
            </w:pPr>
            <w:r>
              <w:rPr>
                <w:rFonts w:ascii="宋体" w:hAnsi="宋体" w:eastAsia="宋体" w:cs="宋体"/>
                <w:color w:val="auto"/>
                <w:sz w:val="24"/>
                <w:szCs w:val="24"/>
              </w:rPr>
              <w:t>事实依据：</w:t>
            </w:r>
          </w:p>
        </w:tc>
        <w:tc>
          <w:tcPr>
            <w:tcW w:w="2220" w:type="dxa"/>
            <w:gridSpan w:val="5"/>
            <w:tcBorders>
              <w:top w:val="single" w:color="auto" w:sz="8" w:space="0"/>
            </w:tcBorders>
            <w:vAlign w:val="bottom"/>
          </w:tcPr>
          <w:p>
            <w:pPr>
              <w:spacing w:after="0"/>
              <w:rPr>
                <w:color w:val="auto"/>
                <w:sz w:val="24"/>
                <w:szCs w:val="24"/>
              </w:rPr>
            </w:pPr>
          </w:p>
        </w:tc>
        <w:tc>
          <w:tcPr>
            <w:tcW w:w="96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480" w:type="dxa"/>
            <w:tcBorders>
              <w:top w:val="single" w:color="auto" w:sz="8" w:space="0"/>
            </w:tcBorders>
            <w:vAlign w:val="bottom"/>
          </w:tcPr>
          <w:p>
            <w:pPr>
              <w:spacing w:after="0"/>
              <w:rPr>
                <w:color w:val="auto"/>
                <w:sz w:val="24"/>
                <w:szCs w:val="24"/>
              </w:rPr>
            </w:pPr>
          </w:p>
        </w:tc>
        <w:tc>
          <w:tcPr>
            <w:tcW w:w="48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48" w:hRule="atLeast"/>
        </w:trPr>
        <w:tc>
          <w:tcPr>
            <w:tcW w:w="1200" w:type="dxa"/>
            <w:gridSpan w:val="4"/>
            <w:tcBorders>
              <w:bottom w:val="single" w:color="auto" w:sz="8" w:space="0"/>
            </w:tcBorders>
            <w:vAlign w:val="bottom"/>
          </w:tcPr>
          <w:p>
            <w:pPr>
              <w:spacing w:after="0"/>
              <w:rPr>
                <w:color w:val="auto"/>
                <w:sz w:val="24"/>
                <w:szCs w:val="24"/>
              </w:rPr>
            </w:pPr>
          </w:p>
        </w:tc>
        <w:tc>
          <w:tcPr>
            <w:tcW w:w="2400" w:type="dxa"/>
            <w:gridSpan w:val="6"/>
            <w:tcBorders>
              <w:top w:val="single" w:color="auto" w:sz="8" w:space="0"/>
              <w:bottom w:val="single" w:color="auto" w:sz="8" w:space="0"/>
            </w:tcBorders>
            <w:vAlign w:val="bottom"/>
          </w:tcPr>
          <w:p>
            <w:pPr>
              <w:spacing w:after="0"/>
              <w:rPr>
                <w:color w:val="auto"/>
                <w:sz w:val="24"/>
                <w:szCs w:val="24"/>
              </w:rPr>
            </w:pPr>
          </w:p>
        </w:tc>
        <w:tc>
          <w:tcPr>
            <w:tcW w:w="960" w:type="dxa"/>
            <w:tcBorders>
              <w:top w:val="single" w:color="auto" w:sz="8" w:space="0"/>
              <w:bottom w:val="single" w:color="auto" w:sz="8" w:space="0"/>
            </w:tcBorders>
            <w:vAlign w:val="bottom"/>
          </w:tcPr>
          <w:p>
            <w:pPr>
              <w:spacing w:after="0"/>
              <w:rPr>
                <w:color w:val="auto"/>
                <w:sz w:val="24"/>
                <w:szCs w:val="24"/>
              </w:rPr>
            </w:pPr>
          </w:p>
        </w:tc>
        <w:tc>
          <w:tcPr>
            <w:tcW w:w="120" w:type="dxa"/>
            <w:tcBorders>
              <w:top w:val="single" w:color="auto" w:sz="8" w:space="0"/>
              <w:bottom w:val="single" w:color="auto" w:sz="8" w:space="0"/>
            </w:tcBorders>
            <w:vAlign w:val="bottom"/>
          </w:tcPr>
          <w:p>
            <w:pPr>
              <w:spacing w:after="0"/>
              <w:rPr>
                <w:color w:val="auto"/>
                <w:sz w:val="24"/>
                <w:szCs w:val="24"/>
              </w:rPr>
            </w:pPr>
          </w:p>
        </w:tc>
        <w:tc>
          <w:tcPr>
            <w:tcW w:w="360" w:type="dxa"/>
            <w:tcBorders>
              <w:top w:val="single" w:color="auto" w:sz="8" w:space="0"/>
              <w:bottom w:val="single" w:color="auto" w:sz="8" w:space="0"/>
            </w:tcBorders>
            <w:vAlign w:val="bottom"/>
          </w:tcPr>
          <w:p>
            <w:pPr>
              <w:spacing w:after="0"/>
              <w:rPr>
                <w:color w:val="auto"/>
                <w:sz w:val="24"/>
                <w:szCs w:val="24"/>
              </w:rPr>
            </w:pPr>
          </w:p>
        </w:tc>
        <w:tc>
          <w:tcPr>
            <w:tcW w:w="480" w:type="dxa"/>
            <w:tcBorders>
              <w:top w:val="single" w:color="auto" w:sz="8" w:space="0"/>
              <w:bottom w:val="single" w:color="auto" w:sz="8" w:space="0"/>
            </w:tcBorders>
            <w:vAlign w:val="bottom"/>
          </w:tcPr>
          <w:p>
            <w:pPr>
              <w:spacing w:after="0"/>
              <w:rPr>
                <w:color w:val="auto"/>
                <w:sz w:val="24"/>
                <w:szCs w:val="24"/>
              </w:rPr>
            </w:pPr>
          </w:p>
        </w:tc>
        <w:tc>
          <w:tcPr>
            <w:tcW w:w="480" w:type="dxa"/>
            <w:tcBorders>
              <w:top w:val="single" w:color="auto" w:sz="8" w:space="0"/>
              <w:bottom w:val="single" w:color="auto" w:sz="8" w:space="0"/>
            </w:tcBorders>
            <w:vAlign w:val="bottom"/>
          </w:tcPr>
          <w:p>
            <w:pPr>
              <w:spacing w:after="0"/>
              <w:rPr>
                <w:color w:val="auto"/>
                <w:sz w:val="24"/>
                <w:szCs w:val="24"/>
              </w:rPr>
            </w:pPr>
          </w:p>
        </w:tc>
        <w:tc>
          <w:tcPr>
            <w:tcW w:w="120" w:type="dxa"/>
            <w:tcBorders>
              <w:top w:val="single" w:color="auto" w:sz="8" w:space="0"/>
              <w:bottom w:val="single" w:color="auto" w:sz="8" w:space="0"/>
            </w:tcBorders>
            <w:vAlign w:val="bottom"/>
          </w:tcPr>
          <w:p>
            <w:pPr>
              <w:spacing w:after="0"/>
              <w:rPr>
                <w:color w:val="auto"/>
                <w:sz w:val="24"/>
                <w:szCs w:val="24"/>
              </w:rPr>
            </w:pPr>
          </w:p>
        </w:tc>
        <w:tc>
          <w:tcPr>
            <w:tcW w:w="120" w:type="dxa"/>
            <w:tcBorders>
              <w:top w:val="single" w:color="auto" w:sz="8" w:space="0"/>
              <w:bottom w:val="single" w:color="auto" w:sz="8" w:space="0"/>
            </w:tcBorders>
            <w:vAlign w:val="bottom"/>
          </w:tcPr>
          <w:p>
            <w:pPr>
              <w:spacing w:after="0"/>
              <w:rPr>
                <w:color w:val="auto"/>
                <w:sz w:val="24"/>
                <w:szCs w:val="24"/>
              </w:rPr>
            </w:pPr>
          </w:p>
        </w:tc>
        <w:tc>
          <w:tcPr>
            <w:tcW w:w="120" w:type="dxa"/>
            <w:tcBorders>
              <w:top w:val="single" w:color="auto" w:sz="8" w:space="0"/>
              <w:bottom w:val="single" w:color="auto" w:sz="8" w:space="0"/>
            </w:tcBorders>
            <w:vAlign w:val="bottom"/>
          </w:tcPr>
          <w:p>
            <w:pPr>
              <w:spacing w:after="0"/>
              <w:rPr>
                <w:color w:val="auto"/>
                <w:sz w:val="24"/>
                <w:szCs w:val="24"/>
              </w:rPr>
            </w:pPr>
          </w:p>
        </w:tc>
        <w:tc>
          <w:tcPr>
            <w:tcW w:w="120" w:type="dxa"/>
            <w:tcBorders>
              <w:top w:val="single" w:color="auto" w:sz="8" w:space="0"/>
              <w:bottom w:val="single" w:color="auto" w:sz="8" w:space="0"/>
            </w:tcBorders>
            <w:vAlign w:val="bottom"/>
          </w:tcPr>
          <w:p>
            <w:pPr>
              <w:spacing w:after="0"/>
              <w:rPr>
                <w:color w:val="auto"/>
                <w:sz w:val="24"/>
                <w:szCs w:val="24"/>
              </w:rPr>
            </w:pPr>
          </w:p>
        </w:tc>
        <w:tc>
          <w:tcPr>
            <w:tcW w:w="120" w:type="dxa"/>
            <w:tcBorders>
              <w:top w:val="single" w:color="auto" w:sz="8" w:space="0"/>
              <w:bottom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120" w:type="dxa"/>
            <w:tcBorders>
              <w:top w:val="single" w:color="auto" w:sz="8" w:space="0"/>
            </w:tcBorders>
            <w:vAlign w:val="bottom"/>
          </w:tcPr>
          <w:p>
            <w:pPr>
              <w:spacing w:after="0"/>
              <w:rPr>
                <w:color w:val="auto"/>
                <w:sz w:val="24"/>
                <w:szCs w:val="24"/>
              </w:rPr>
            </w:pPr>
          </w:p>
        </w:tc>
        <w:tc>
          <w:tcPr>
            <w:tcW w:w="180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46"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法律依据：</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48" w:hRule="atLeast"/>
        </w:trPr>
        <w:tc>
          <w:tcPr>
            <w:tcW w:w="1200" w:type="dxa"/>
            <w:gridSpan w:val="4"/>
            <w:tcBorders>
              <w:bottom w:val="single" w:color="auto" w:sz="8" w:space="0"/>
            </w:tcBorders>
            <w:vAlign w:val="bottom"/>
          </w:tcPr>
          <w:p>
            <w:pPr>
              <w:spacing w:after="0"/>
              <w:rPr>
                <w:color w:val="auto"/>
                <w:sz w:val="24"/>
                <w:szCs w:val="24"/>
              </w:rPr>
            </w:pPr>
          </w:p>
        </w:tc>
        <w:tc>
          <w:tcPr>
            <w:tcW w:w="2400" w:type="dxa"/>
            <w:gridSpan w:val="6"/>
            <w:tcBorders>
              <w:top w:val="single" w:color="auto" w:sz="8" w:space="0"/>
              <w:bottom w:val="single" w:color="auto" w:sz="8" w:space="0"/>
            </w:tcBorders>
            <w:vAlign w:val="bottom"/>
          </w:tcPr>
          <w:p>
            <w:pPr>
              <w:spacing w:after="0"/>
              <w:rPr>
                <w:color w:val="auto"/>
                <w:sz w:val="24"/>
                <w:szCs w:val="24"/>
              </w:rPr>
            </w:pPr>
          </w:p>
        </w:tc>
        <w:tc>
          <w:tcPr>
            <w:tcW w:w="960" w:type="dxa"/>
            <w:tcBorders>
              <w:top w:val="single" w:color="auto" w:sz="8" w:space="0"/>
              <w:bottom w:val="single" w:color="auto" w:sz="8" w:space="0"/>
            </w:tcBorders>
            <w:vAlign w:val="bottom"/>
          </w:tcPr>
          <w:p>
            <w:pPr>
              <w:spacing w:after="0"/>
              <w:rPr>
                <w:color w:val="auto"/>
                <w:sz w:val="24"/>
                <w:szCs w:val="24"/>
              </w:rPr>
            </w:pPr>
          </w:p>
        </w:tc>
        <w:tc>
          <w:tcPr>
            <w:tcW w:w="120" w:type="dxa"/>
            <w:tcBorders>
              <w:top w:val="single" w:color="auto" w:sz="8" w:space="0"/>
              <w:bottom w:val="single" w:color="auto" w:sz="8" w:space="0"/>
            </w:tcBorders>
            <w:vAlign w:val="bottom"/>
          </w:tcPr>
          <w:p>
            <w:pPr>
              <w:spacing w:after="0"/>
              <w:rPr>
                <w:color w:val="auto"/>
                <w:sz w:val="24"/>
                <w:szCs w:val="24"/>
              </w:rPr>
            </w:pPr>
          </w:p>
        </w:tc>
        <w:tc>
          <w:tcPr>
            <w:tcW w:w="360" w:type="dxa"/>
            <w:tcBorders>
              <w:top w:val="single" w:color="auto" w:sz="8" w:space="0"/>
              <w:bottom w:val="single" w:color="auto" w:sz="8" w:space="0"/>
            </w:tcBorders>
            <w:vAlign w:val="bottom"/>
          </w:tcPr>
          <w:p>
            <w:pPr>
              <w:spacing w:after="0"/>
              <w:rPr>
                <w:color w:val="auto"/>
                <w:sz w:val="24"/>
                <w:szCs w:val="24"/>
              </w:rPr>
            </w:pPr>
          </w:p>
        </w:tc>
        <w:tc>
          <w:tcPr>
            <w:tcW w:w="480" w:type="dxa"/>
            <w:tcBorders>
              <w:top w:val="single" w:color="auto" w:sz="8" w:space="0"/>
              <w:bottom w:val="single" w:color="auto" w:sz="8" w:space="0"/>
            </w:tcBorders>
            <w:vAlign w:val="bottom"/>
          </w:tcPr>
          <w:p>
            <w:pPr>
              <w:spacing w:after="0"/>
              <w:rPr>
                <w:color w:val="auto"/>
                <w:sz w:val="24"/>
                <w:szCs w:val="24"/>
              </w:rPr>
            </w:pPr>
          </w:p>
        </w:tc>
        <w:tc>
          <w:tcPr>
            <w:tcW w:w="480" w:type="dxa"/>
            <w:tcBorders>
              <w:top w:val="single" w:color="auto" w:sz="8" w:space="0"/>
              <w:bottom w:val="single" w:color="auto" w:sz="8" w:space="0"/>
            </w:tcBorders>
            <w:vAlign w:val="bottom"/>
          </w:tcPr>
          <w:p>
            <w:pPr>
              <w:spacing w:after="0"/>
              <w:rPr>
                <w:color w:val="auto"/>
                <w:sz w:val="24"/>
                <w:szCs w:val="24"/>
              </w:rPr>
            </w:pPr>
          </w:p>
        </w:tc>
        <w:tc>
          <w:tcPr>
            <w:tcW w:w="120" w:type="dxa"/>
            <w:tcBorders>
              <w:top w:val="single" w:color="auto" w:sz="8" w:space="0"/>
              <w:bottom w:val="single" w:color="auto" w:sz="8" w:space="0"/>
            </w:tcBorders>
            <w:vAlign w:val="bottom"/>
          </w:tcPr>
          <w:p>
            <w:pPr>
              <w:spacing w:after="0"/>
              <w:rPr>
                <w:color w:val="auto"/>
                <w:sz w:val="24"/>
                <w:szCs w:val="24"/>
              </w:rPr>
            </w:pPr>
          </w:p>
        </w:tc>
        <w:tc>
          <w:tcPr>
            <w:tcW w:w="120" w:type="dxa"/>
            <w:tcBorders>
              <w:top w:val="single" w:color="auto" w:sz="8" w:space="0"/>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45"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质疑事项 2</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67"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67"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四、与质疑事项相关的质疑请求</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请求：</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720" w:type="dxa"/>
            <w:vAlign w:val="bottom"/>
          </w:tcPr>
          <w:p>
            <w:pPr>
              <w:spacing w:after="0" w:line="20" w:lineRule="exact"/>
              <w:rPr>
                <w:color w:val="auto"/>
                <w:sz w:val="1"/>
                <w:szCs w:val="1"/>
              </w:rPr>
            </w:pPr>
          </w:p>
        </w:tc>
        <w:tc>
          <w:tcPr>
            <w:tcW w:w="2880" w:type="dxa"/>
            <w:gridSpan w:val="9"/>
            <w:shd w:val="clear" w:color="auto" w:fill="000000"/>
            <w:vAlign w:val="bottom"/>
          </w:tcPr>
          <w:p>
            <w:pPr>
              <w:spacing w:after="0" w:line="20" w:lineRule="exact"/>
              <w:rPr>
                <w:color w:val="auto"/>
                <w:sz w:val="1"/>
                <w:szCs w:val="1"/>
              </w:rPr>
            </w:pPr>
          </w:p>
        </w:tc>
        <w:tc>
          <w:tcPr>
            <w:tcW w:w="2400" w:type="dxa"/>
            <w:gridSpan w:val="5"/>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tcBorders>
              <w:right w:val="single" w:color="auto" w:sz="8" w:space="0"/>
            </w:tcBorders>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80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6"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签字(签章)：</w:t>
            </w:r>
          </w:p>
        </w:tc>
        <w:tc>
          <w:tcPr>
            <w:tcW w:w="2400" w:type="dxa"/>
            <w:gridSpan w:val="5"/>
            <w:vAlign w:val="bottom"/>
          </w:tcPr>
          <w:p>
            <w:pPr>
              <w:spacing w:after="0" w:line="274" w:lineRule="exact"/>
              <w:ind w:left="120"/>
              <w:rPr>
                <w:color w:val="auto"/>
                <w:sz w:val="20"/>
                <w:szCs w:val="20"/>
              </w:rPr>
            </w:pPr>
            <w:r>
              <w:rPr>
                <w:rFonts w:ascii="宋体" w:hAnsi="宋体" w:eastAsia="宋体" w:cs="宋体"/>
                <w:color w:val="auto"/>
                <w:sz w:val="24"/>
                <w:szCs w:val="24"/>
              </w:rPr>
              <w:t>公章：</w:t>
            </w: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600" w:type="dxa"/>
            <w:gridSpan w:val="10"/>
            <w:vAlign w:val="bottom"/>
          </w:tcPr>
          <w:p>
            <w:pPr>
              <w:spacing w:after="0" w:line="274" w:lineRule="exact"/>
              <w:rPr>
                <w:color w:val="auto"/>
                <w:sz w:val="20"/>
                <w:szCs w:val="20"/>
              </w:rPr>
            </w:pPr>
            <w:r>
              <w:rPr>
                <w:rFonts w:ascii="宋体" w:hAnsi="宋体" w:eastAsia="宋体" w:cs="宋体"/>
                <w:color w:val="auto"/>
                <w:sz w:val="24"/>
                <w:szCs w:val="24"/>
              </w:rPr>
              <w:t>日期：</w:t>
            </w:r>
          </w:p>
        </w:tc>
        <w:tc>
          <w:tcPr>
            <w:tcW w:w="9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80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line="317" w:lineRule="exact"/>
        <w:rPr>
          <w:color w:val="auto"/>
          <w:sz w:val="20"/>
          <w:szCs w:val="20"/>
        </w:rPr>
      </w:pPr>
      <w:bookmarkStart w:id="69" w:name="page39"/>
      <w:bookmarkEnd w:id="69"/>
    </w:p>
    <w:p>
      <w:pPr>
        <w:spacing w:after="0" w:line="274" w:lineRule="exact"/>
        <w:rPr>
          <w:color w:val="auto"/>
          <w:sz w:val="20"/>
          <w:szCs w:val="20"/>
        </w:rPr>
      </w:pPr>
      <w:r>
        <w:rPr>
          <w:rFonts w:ascii="宋体" w:hAnsi="宋体" w:eastAsia="宋体" w:cs="宋体"/>
          <w:color w:val="auto"/>
          <w:sz w:val="24"/>
          <w:szCs w:val="24"/>
        </w:rPr>
        <w:t>说明：</w:t>
      </w:r>
    </w:p>
    <w:p>
      <w:pPr>
        <w:spacing w:after="0" w:line="197"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1、供应商提出质疑时，应提交质疑函和必要的证明材料。</w:t>
      </w:r>
    </w:p>
    <w:p>
      <w:pPr>
        <w:spacing w:after="0" w:line="238" w:lineRule="exact"/>
        <w:rPr>
          <w:color w:val="auto"/>
          <w:sz w:val="20"/>
          <w:szCs w:val="20"/>
        </w:rPr>
      </w:pPr>
    </w:p>
    <w:p>
      <w:pPr>
        <w:spacing w:after="0" w:line="263" w:lineRule="exact"/>
        <w:ind w:left="480"/>
        <w:rPr>
          <w:color w:val="auto"/>
          <w:sz w:val="20"/>
          <w:szCs w:val="20"/>
        </w:rPr>
      </w:pPr>
      <w:r>
        <w:rPr>
          <w:rFonts w:ascii="宋体" w:hAnsi="宋体" w:eastAsia="宋体" w:cs="宋体"/>
          <w:color w:val="auto"/>
          <w:sz w:val="23"/>
          <w:szCs w:val="23"/>
        </w:rPr>
        <w:t>2、质疑供应商若委托代理人进行质疑的，质疑函应按要求列明“授权代表”的有关内</w:t>
      </w:r>
    </w:p>
    <w:p>
      <w:pPr>
        <w:spacing w:after="0" w:line="225"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容，并在附件中提交由质疑供应商签署的授权委托书。授权委托书应载明代理人的姓名或</w:t>
      </w:r>
    </w:p>
    <w:p>
      <w:pPr>
        <w:spacing w:after="0" w:line="227"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者名称、代理事项、具体权限、期限和相关事项。</w:t>
      </w:r>
    </w:p>
    <w:p>
      <w:pPr>
        <w:spacing w:after="0" w:line="227"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3、质疑供应商若对项目的某一分包进行质疑，质疑函中应列明具体分包号。</w:t>
      </w:r>
    </w:p>
    <w:p>
      <w:pPr>
        <w:spacing w:after="0" w:line="225"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4、质疑函的质疑事项应具体、明确，并有必要的事实依据和法律依据。</w:t>
      </w:r>
    </w:p>
    <w:p>
      <w:pPr>
        <w:spacing w:after="0" w:line="227"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5、质疑函的质疑请求应与质疑事项相关。</w:t>
      </w:r>
    </w:p>
    <w:p>
      <w:pPr>
        <w:spacing w:after="0" w:line="238" w:lineRule="exact"/>
        <w:rPr>
          <w:color w:val="auto"/>
          <w:sz w:val="20"/>
          <w:szCs w:val="20"/>
        </w:rPr>
      </w:pPr>
    </w:p>
    <w:p>
      <w:pPr>
        <w:spacing w:after="0" w:line="263" w:lineRule="exact"/>
        <w:ind w:left="480"/>
        <w:rPr>
          <w:color w:val="auto"/>
          <w:sz w:val="20"/>
          <w:szCs w:val="20"/>
        </w:rPr>
      </w:pPr>
      <w:r>
        <w:rPr>
          <w:rFonts w:ascii="宋体" w:hAnsi="宋体" w:eastAsia="宋体" w:cs="宋体"/>
          <w:color w:val="auto"/>
          <w:sz w:val="23"/>
          <w:szCs w:val="23"/>
        </w:rPr>
        <w:t>6、质疑供应商为自然人的，质疑函应由本人签字；质疑供应商为法人或者其他组织的，</w:t>
      </w:r>
    </w:p>
    <w:p>
      <w:pPr>
        <w:spacing w:after="0" w:line="225"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质疑函应由法定代表人、主要负责人，或者其授权代表签字或者盖章，并加盖公章。</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jc w:val="both"/>
        <w:rPr>
          <w:rFonts w:ascii="宋体" w:hAnsi="宋体" w:eastAsia="宋体"/>
          <w:sz w:val="24"/>
          <w:szCs w:val="24"/>
        </w:rPr>
      </w:pPr>
    </w:p>
    <w:sectPr>
      <w:footerReference r:id="rId3" w:type="default"/>
      <w:pgSz w:w="11900" w:h="16838"/>
      <w:pgMar w:top="1440" w:right="1246" w:bottom="653" w:left="1240" w:header="0" w:footer="0" w:gutter="0"/>
      <w:cols w:equalWidth="0" w:num="1">
        <w:col w:w="9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imSun,Bold">
    <w:altName w:val="宋体"/>
    <w:panose1 w:val="00000000000000000000"/>
    <w:charset w:val="86"/>
    <w:family w:val="auto"/>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B05B3"/>
    <w:multiLevelType w:val="singleLevel"/>
    <w:tmpl w:val="A43B05B3"/>
    <w:lvl w:ilvl="0" w:tentative="0">
      <w:start w:val="4"/>
      <w:numFmt w:val="chineseCounting"/>
      <w:suff w:val="nothing"/>
      <w:lvlText w:val="%1、"/>
      <w:lvlJc w:val="left"/>
      <w:rPr>
        <w:rFonts w:hint="eastAsia"/>
      </w:rPr>
    </w:lvl>
  </w:abstractNum>
  <w:abstractNum w:abstractNumId="1">
    <w:nsid w:val="AFD3B0D6"/>
    <w:multiLevelType w:val="singleLevel"/>
    <w:tmpl w:val="AFD3B0D6"/>
    <w:lvl w:ilvl="0" w:tentative="0">
      <w:start w:val="1"/>
      <w:numFmt w:val="decimal"/>
      <w:suff w:val="nothing"/>
      <w:lvlText w:val="%1、"/>
      <w:lvlJc w:val="left"/>
    </w:lvl>
  </w:abstractNum>
  <w:abstractNum w:abstractNumId="2">
    <w:nsid w:val="BDD322D3"/>
    <w:multiLevelType w:val="singleLevel"/>
    <w:tmpl w:val="BDD322D3"/>
    <w:lvl w:ilvl="0" w:tentative="0">
      <w:start w:val="1"/>
      <w:numFmt w:val="decimal"/>
      <w:lvlText w:val="%1."/>
      <w:lvlJc w:val="left"/>
      <w:pPr>
        <w:tabs>
          <w:tab w:val="left" w:pos="312"/>
        </w:tabs>
      </w:pPr>
    </w:lvl>
  </w:abstractNum>
  <w:abstractNum w:abstractNumId="3">
    <w:nsid w:val="D82E32A5"/>
    <w:multiLevelType w:val="singleLevel"/>
    <w:tmpl w:val="D82E32A5"/>
    <w:lvl w:ilvl="0" w:tentative="0">
      <w:start w:val="1"/>
      <w:numFmt w:val="decimal"/>
      <w:suff w:val="nothing"/>
      <w:lvlText w:val="%1、"/>
      <w:lvlJc w:val="left"/>
    </w:lvl>
  </w:abstractNum>
  <w:abstractNum w:abstractNumId="4">
    <w:nsid w:val="E99AF219"/>
    <w:multiLevelType w:val="singleLevel"/>
    <w:tmpl w:val="E99AF219"/>
    <w:lvl w:ilvl="0" w:tentative="0">
      <w:start w:val="1"/>
      <w:numFmt w:val="chineseCounting"/>
      <w:suff w:val="nothing"/>
      <w:lvlText w:val="%1、"/>
      <w:lvlJc w:val="left"/>
      <w:rPr>
        <w:rFonts w:hint="eastAsia"/>
      </w:rPr>
    </w:lvl>
  </w:abstractNum>
  <w:abstractNum w:abstractNumId="5">
    <w:nsid w:val="00000120"/>
    <w:multiLevelType w:val="singleLevel"/>
    <w:tmpl w:val="00000120"/>
    <w:lvl w:ilvl="0" w:tentative="0">
      <w:start w:val="14"/>
      <w:numFmt w:val="decimal"/>
      <w:lvlText w:val="%1."/>
      <w:lvlJc w:val="left"/>
    </w:lvl>
  </w:abstractNum>
  <w:abstractNum w:abstractNumId="6">
    <w:nsid w:val="0000030A"/>
    <w:multiLevelType w:val="singleLevel"/>
    <w:tmpl w:val="0000030A"/>
    <w:lvl w:ilvl="0" w:tentative="0">
      <w:start w:val="10"/>
      <w:numFmt w:val="decimal"/>
      <w:lvlText w:val="%1."/>
      <w:lvlJc w:val="left"/>
    </w:lvl>
  </w:abstractNum>
  <w:abstractNum w:abstractNumId="7">
    <w:nsid w:val="00000732"/>
    <w:multiLevelType w:val="singleLevel"/>
    <w:tmpl w:val="00000732"/>
    <w:lvl w:ilvl="0" w:tentative="0">
      <w:start w:val="13"/>
      <w:numFmt w:val="decimal"/>
      <w:lvlText w:val="%1."/>
      <w:lvlJc w:val="left"/>
    </w:lvl>
  </w:abstractNum>
  <w:abstractNum w:abstractNumId="8">
    <w:nsid w:val="00000DDC"/>
    <w:multiLevelType w:val="singleLevel"/>
    <w:tmpl w:val="00000DDC"/>
    <w:lvl w:ilvl="0" w:tentative="0">
      <w:start w:val="30"/>
      <w:numFmt w:val="decimal"/>
      <w:lvlText w:val="%1."/>
      <w:lvlJc w:val="left"/>
    </w:lvl>
  </w:abstractNum>
  <w:abstractNum w:abstractNumId="9">
    <w:nsid w:val="00001366"/>
    <w:multiLevelType w:val="singleLevel"/>
    <w:tmpl w:val="00001366"/>
    <w:lvl w:ilvl="0" w:tentative="0">
      <w:start w:val="1"/>
      <w:numFmt w:val="decimal"/>
      <w:lvlText w:val="%1."/>
      <w:lvlJc w:val="left"/>
    </w:lvl>
  </w:abstractNum>
  <w:abstractNum w:abstractNumId="10">
    <w:nsid w:val="00001A49"/>
    <w:multiLevelType w:val="singleLevel"/>
    <w:tmpl w:val="00001A49"/>
    <w:lvl w:ilvl="0" w:tentative="0">
      <w:start w:val="24"/>
      <w:numFmt w:val="decimal"/>
      <w:lvlText w:val="%1."/>
      <w:lvlJc w:val="left"/>
    </w:lvl>
  </w:abstractNum>
  <w:abstractNum w:abstractNumId="11">
    <w:nsid w:val="00001CD0"/>
    <w:multiLevelType w:val="singleLevel"/>
    <w:tmpl w:val="00001CD0"/>
    <w:lvl w:ilvl="0" w:tentative="0">
      <w:start w:val="2"/>
      <w:numFmt w:val="decimal"/>
      <w:lvlText w:val="%1."/>
      <w:lvlJc w:val="left"/>
    </w:lvl>
  </w:abstractNum>
  <w:abstractNum w:abstractNumId="12">
    <w:nsid w:val="00002213"/>
    <w:multiLevelType w:val="singleLevel"/>
    <w:tmpl w:val="00002213"/>
    <w:lvl w:ilvl="0" w:tentative="0">
      <w:start w:val="7"/>
      <w:numFmt w:val="decimal"/>
      <w:lvlText w:val="%1."/>
      <w:lvlJc w:val="left"/>
    </w:lvl>
  </w:abstractNum>
  <w:abstractNum w:abstractNumId="13">
    <w:nsid w:val="000022EE"/>
    <w:multiLevelType w:val="singleLevel"/>
    <w:tmpl w:val="000022EE"/>
    <w:lvl w:ilvl="0" w:tentative="0">
      <w:start w:val="17"/>
      <w:numFmt w:val="decimal"/>
      <w:lvlText w:val="%1."/>
      <w:lvlJc w:val="left"/>
    </w:lvl>
  </w:abstractNum>
  <w:abstractNum w:abstractNumId="14">
    <w:nsid w:val="00002350"/>
    <w:multiLevelType w:val="singleLevel"/>
    <w:tmpl w:val="00002350"/>
    <w:lvl w:ilvl="0" w:tentative="0">
      <w:start w:val="16"/>
      <w:numFmt w:val="decimal"/>
      <w:lvlText w:val="%1."/>
      <w:lvlJc w:val="left"/>
    </w:lvl>
  </w:abstractNum>
  <w:abstractNum w:abstractNumId="15">
    <w:nsid w:val="0000260D"/>
    <w:multiLevelType w:val="singleLevel"/>
    <w:tmpl w:val="0000260D"/>
    <w:lvl w:ilvl="0" w:tentative="0">
      <w:start w:val="8"/>
      <w:numFmt w:val="decimal"/>
      <w:lvlText w:val="%1."/>
      <w:lvlJc w:val="left"/>
    </w:lvl>
  </w:abstractNum>
  <w:abstractNum w:abstractNumId="16">
    <w:nsid w:val="0000323B"/>
    <w:multiLevelType w:val="singleLevel"/>
    <w:tmpl w:val="0000323B"/>
    <w:lvl w:ilvl="0" w:tentative="0">
      <w:start w:val="6"/>
      <w:numFmt w:val="decimal"/>
      <w:lvlText w:val="%1."/>
      <w:lvlJc w:val="left"/>
    </w:lvl>
  </w:abstractNum>
  <w:abstractNum w:abstractNumId="17">
    <w:nsid w:val="0000366B"/>
    <w:multiLevelType w:val="singleLevel"/>
    <w:tmpl w:val="0000366B"/>
    <w:lvl w:ilvl="0" w:tentative="0">
      <w:start w:val="1"/>
      <w:numFmt w:val="decimal"/>
      <w:lvlText w:val="%1."/>
      <w:lvlJc w:val="left"/>
    </w:lvl>
  </w:abstractNum>
  <w:abstractNum w:abstractNumId="18">
    <w:nsid w:val="00003A9E"/>
    <w:multiLevelType w:val="singleLevel"/>
    <w:tmpl w:val="00003A9E"/>
    <w:lvl w:ilvl="0" w:tentative="0">
      <w:start w:val="27"/>
      <w:numFmt w:val="decimal"/>
      <w:lvlText w:val="%1."/>
      <w:lvlJc w:val="left"/>
    </w:lvl>
  </w:abstractNum>
  <w:abstractNum w:abstractNumId="19">
    <w:nsid w:val="00003BF6"/>
    <w:multiLevelType w:val="singleLevel"/>
    <w:tmpl w:val="00003BF6"/>
    <w:lvl w:ilvl="0" w:tentative="0">
      <w:start w:val="26"/>
      <w:numFmt w:val="decimal"/>
      <w:lvlText w:val="%1."/>
      <w:lvlJc w:val="left"/>
    </w:lvl>
  </w:abstractNum>
  <w:abstractNum w:abstractNumId="20">
    <w:nsid w:val="00003E12"/>
    <w:multiLevelType w:val="singleLevel"/>
    <w:tmpl w:val="00003E12"/>
    <w:lvl w:ilvl="0" w:tentative="0">
      <w:start w:val="23"/>
      <w:numFmt w:val="decimal"/>
      <w:lvlText w:val="%1."/>
      <w:lvlJc w:val="left"/>
    </w:lvl>
  </w:abstractNum>
  <w:abstractNum w:abstractNumId="21">
    <w:nsid w:val="00004230"/>
    <w:multiLevelType w:val="multilevel"/>
    <w:tmpl w:val="00004230"/>
    <w:lvl w:ilvl="0" w:tentative="0">
      <w:start w:val="1"/>
      <w:numFmt w:val="decimal"/>
      <w:lvlText w:val="%1."/>
      <w:lvlJc w:val="left"/>
    </w:lvl>
    <w:lvl w:ilvl="1" w:tentative="0">
      <w:start w:val="3"/>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00004944"/>
    <w:multiLevelType w:val="multilevel"/>
    <w:tmpl w:val="00004944"/>
    <w:lvl w:ilvl="0" w:tentative="0">
      <w:start w:val="1"/>
      <w:numFmt w:val="decimal"/>
      <w:lvlText w:val="%1"/>
      <w:lvlJc w:val="left"/>
    </w:lvl>
    <w:lvl w:ilvl="1" w:tentative="0">
      <w:start w:val="5"/>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0004B40"/>
    <w:multiLevelType w:val="singleLevel"/>
    <w:tmpl w:val="00004B40"/>
    <w:lvl w:ilvl="0" w:tentative="0">
      <w:start w:val="18"/>
      <w:numFmt w:val="decimal"/>
      <w:lvlText w:val="%1."/>
      <w:lvlJc w:val="left"/>
    </w:lvl>
  </w:abstractNum>
  <w:abstractNum w:abstractNumId="24">
    <w:nsid w:val="00004CAD"/>
    <w:multiLevelType w:val="singleLevel"/>
    <w:tmpl w:val="00004CAD"/>
    <w:lvl w:ilvl="0" w:tentative="0">
      <w:start w:val="31"/>
      <w:numFmt w:val="decimal"/>
      <w:lvlText w:val="%1."/>
      <w:lvlJc w:val="left"/>
    </w:lvl>
  </w:abstractNum>
  <w:abstractNum w:abstractNumId="25">
    <w:nsid w:val="00004DF2"/>
    <w:multiLevelType w:val="multilevel"/>
    <w:tmpl w:val="00004DF2"/>
    <w:lvl w:ilvl="0" w:tentative="0">
      <w:start w:val="2"/>
      <w:numFmt w:val="decimal"/>
      <w:lvlText w:val="%1."/>
      <w:lvlJc w:val="left"/>
    </w:lvl>
    <w:lvl w:ilvl="1" w:tentative="0">
      <w:start w:val="3"/>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00004E45"/>
    <w:multiLevelType w:val="singleLevel"/>
    <w:tmpl w:val="00004E45"/>
    <w:lvl w:ilvl="0" w:tentative="0">
      <w:start w:val="5"/>
      <w:numFmt w:val="decimal"/>
      <w:lvlText w:val="%1."/>
      <w:lvlJc w:val="left"/>
    </w:lvl>
  </w:abstractNum>
  <w:abstractNum w:abstractNumId="27">
    <w:nsid w:val="000056AE"/>
    <w:multiLevelType w:val="singleLevel"/>
    <w:tmpl w:val="000056AE"/>
    <w:lvl w:ilvl="0" w:tentative="0">
      <w:start w:val="12"/>
      <w:numFmt w:val="decimal"/>
      <w:lvlText w:val="%1."/>
      <w:lvlJc w:val="left"/>
    </w:lvl>
  </w:abstractNum>
  <w:abstractNum w:abstractNumId="28">
    <w:nsid w:val="00005878"/>
    <w:multiLevelType w:val="singleLevel"/>
    <w:tmpl w:val="00005878"/>
    <w:lvl w:ilvl="0" w:tentative="0">
      <w:start w:val="19"/>
      <w:numFmt w:val="decimal"/>
      <w:lvlText w:val="%1."/>
      <w:lvlJc w:val="left"/>
    </w:lvl>
  </w:abstractNum>
  <w:abstractNum w:abstractNumId="29">
    <w:nsid w:val="00005CFD"/>
    <w:multiLevelType w:val="singleLevel"/>
    <w:tmpl w:val="00005CFD"/>
    <w:lvl w:ilvl="0" w:tentative="0">
      <w:start w:val="22"/>
      <w:numFmt w:val="decimal"/>
      <w:lvlText w:val="%1."/>
      <w:lvlJc w:val="left"/>
    </w:lvl>
  </w:abstractNum>
  <w:abstractNum w:abstractNumId="30">
    <w:nsid w:val="00005E14"/>
    <w:multiLevelType w:val="multilevel"/>
    <w:tmpl w:val="00005E14"/>
    <w:lvl w:ilvl="0" w:tentative="0">
      <w:start w:val="1"/>
      <w:numFmt w:val="decimal"/>
      <w:lvlText w:val="%1"/>
      <w:lvlJc w:val="left"/>
    </w:lvl>
    <w:lvl w:ilvl="1" w:tentative="0">
      <w:start w:val="1"/>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00005F32"/>
    <w:multiLevelType w:val="singleLevel"/>
    <w:tmpl w:val="00005F32"/>
    <w:lvl w:ilvl="0" w:tentative="0">
      <w:start w:val="25"/>
      <w:numFmt w:val="decimal"/>
      <w:lvlText w:val="%1."/>
      <w:lvlJc w:val="left"/>
    </w:lvl>
  </w:abstractNum>
  <w:abstractNum w:abstractNumId="32">
    <w:nsid w:val="00005F49"/>
    <w:multiLevelType w:val="singleLevel"/>
    <w:tmpl w:val="00005F49"/>
    <w:lvl w:ilvl="0" w:tentative="0">
      <w:start w:val="29"/>
      <w:numFmt w:val="decimal"/>
      <w:lvlText w:val="%1."/>
      <w:lvlJc w:val="left"/>
    </w:lvl>
  </w:abstractNum>
  <w:abstractNum w:abstractNumId="33">
    <w:nsid w:val="00006032"/>
    <w:multiLevelType w:val="singleLevel"/>
    <w:tmpl w:val="00006032"/>
    <w:lvl w:ilvl="0" w:tentative="0">
      <w:start w:val="1"/>
      <w:numFmt w:val="decimal"/>
      <w:lvlText w:val="%1."/>
      <w:lvlJc w:val="left"/>
    </w:lvl>
  </w:abstractNum>
  <w:abstractNum w:abstractNumId="34">
    <w:nsid w:val="000063CB"/>
    <w:multiLevelType w:val="singleLevel"/>
    <w:tmpl w:val="000063CB"/>
    <w:lvl w:ilvl="0" w:tentative="0">
      <w:start w:val="1"/>
      <w:numFmt w:val="decimal"/>
      <w:lvlText w:val="%1."/>
      <w:lvlJc w:val="left"/>
    </w:lvl>
  </w:abstractNum>
  <w:abstractNum w:abstractNumId="35">
    <w:nsid w:val="000066C4"/>
    <w:multiLevelType w:val="multilevel"/>
    <w:tmpl w:val="000066C4"/>
    <w:lvl w:ilvl="0" w:tentative="0">
      <w:start w:val="1"/>
      <w:numFmt w:val="decimal"/>
      <w:lvlText w:val="%1"/>
      <w:lvlJc w:val="left"/>
    </w:lvl>
    <w:lvl w:ilvl="1" w:tentative="0">
      <w:start w:val="2"/>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00006B36"/>
    <w:multiLevelType w:val="singleLevel"/>
    <w:tmpl w:val="00006B36"/>
    <w:lvl w:ilvl="0" w:tentative="0">
      <w:start w:val="20"/>
      <w:numFmt w:val="decimal"/>
      <w:lvlText w:val="%1."/>
      <w:lvlJc w:val="left"/>
    </w:lvl>
  </w:abstractNum>
  <w:abstractNum w:abstractNumId="37">
    <w:nsid w:val="00006B89"/>
    <w:multiLevelType w:val="singleLevel"/>
    <w:tmpl w:val="00006B89"/>
    <w:lvl w:ilvl="0" w:tentative="0">
      <w:start w:val="9"/>
      <w:numFmt w:val="decimal"/>
      <w:lvlText w:val="%1."/>
      <w:lvlJc w:val="left"/>
    </w:lvl>
  </w:abstractNum>
  <w:abstractNum w:abstractNumId="38">
    <w:nsid w:val="00006BFC"/>
    <w:multiLevelType w:val="singleLevel"/>
    <w:tmpl w:val="00006BFC"/>
    <w:lvl w:ilvl="0" w:tentative="0">
      <w:start w:val="2"/>
      <w:numFmt w:val="decimal"/>
      <w:lvlText w:val="%1."/>
      <w:lvlJc w:val="left"/>
    </w:lvl>
  </w:abstractNum>
  <w:abstractNum w:abstractNumId="39">
    <w:nsid w:val="0000759A"/>
    <w:multiLevelType w:val="singleLevel"/>
    <w:tmpl w:val="0000759A"/>
    <w:lvl w:ilvl="0" w:tentative="0">
      <w:start w:val="15"/>
      <w:numFmt w:val="decimal"/>
      <w:lvlText w:val="%1."/>
      <w:lvlJc w:val="left"/>
    </w:lvl>
  </w:abstractNum>
  <w:abstractNum w:abstractNumId="40">
    <w:nsid w:val="0000797D"/>
    <w:multiLevelType w:val="singleLevel"/>
    <w:tmpl w:val="0000797D"/>
    <w:lvl w:ilvl="0" w:tentative="0">
      <w:start w:val="28"/>
      <w:numFmt w:val="decimal"/>
      <w:lvlText w:val="%1."/>
      <w:lvlJc w:val="left"/>
    </w:lvl>
  </w:abstractNum>
  <w:abstractNum w:abstractNumId="41">
    <w:nsid w:val="00007EB7"/>
    <w:multiLevelType w:val="singleLevel"/>
    <w:tmpl w:val="00007EB7"/>
    <w:lvl w:ilvl="0" w:tentative="0">
      <w:start w:val="1"/>
      <w:numFmt w:val="decimal"/>
      <w:lvlText w:val="%1."/>
      <w:lvlJc w:val="left"/>
    </w:lvl>
  </w:abstractNum>
  <w:abstractNum w:abstractNumId="42">
    <w:nsid w:val="00007F96"/>
    <w:multiLevelType w:val="singleLevel"/>
    <w:tmpl w:val="00007F96"/>
    <w:lvl w:ilvl="0" w:tentative="0">
      <w:start w:val="3"/>
      <w:numFmt w:val="decimal"/>
      <w:lvlText w:val="%1."/>
      <w:lvlJc w:val="left"/>
    </w:lvl>
  </w:abstractNum>
  <w:abstractNum w:abstractNumId="43">
    <w:nsid w:val="00007FF5"/>
    <w:multiLevelType w:val="singleLevel"/>
    <w:tmpl w:val="00007FF5"/>
    <w:lvl w:ilvl="0" w:tentative="0">
      <w:start w:val="4"/>
      <w:numFmt w:val="decimal"/>
      <w:lvlText w:val="%1."/>
      <w:lvlJc w:val="left"/>
    </w:lvl>
  </w:abstractNum>
  <w:abstractNum w:abstractNumId="44">
    <w:nsid w:val="2CB8F823"/>
    <w:multiLevelType w:val="singleLevel"/>
    <w:tmpl w:val="2CB8F823"/>
    <w:lvl w:ilvl="0" w:tentative="0">
      <w:start w:val="6"/>
      <w:numFmt w:val="decimal"/>
      <w:suff w:val="nothing"/>
      <w:lvlText w:val="（%1）"/>
      <w:lvlJc w:val="left"/>
    </w:lvl>
  </w:abstractNum>
  <w:num w:numId="1">
    <w:abstractNumId w:val="0"/>
  </w:num>
  <w:num w:numId="2">
    <w:abstractNumId w:val="34"/>
  </w:num>
  <w:num w:numId="3">
    <w:abstractNumId w:val="38"/>
  </w:num>
  <w:num w:numId="4">
    <w:abstractNumId w:val="42"/>
  </w:num>
  <w:num w:numId="5">
    <w:abstractNumId w:val="43"/>
  </w:num>
  <w:num w:numId="6">
    <w:abstractNumId w:val="26"/>
  </w:num>
  <w:num w:numId="7">
    <w:abstractNumId w:val="16"/>
  </w:num>
  <w:num w:numId="8">
    <w:abstractNumId w:val="12"/>
  </w:num>
  <w:num w:numId="9">
    <w:abstractNumId w:val="15"/>
  </w:num>
  <w:num w:numId="10">
    <w:abstractNumId w:val="37"/>
  </w:num>
  <w:num w:numId="11">
    <w:abstractNumId w:val="6"/>
  </w:num>
  <w:num w:numId="12">
    <w:abstractNumId w:val="44"/>
  </w:num>
  <w:num w:numId="13">
    <w:abstractNumId w:val="27"/>
  </w:num>
  <w:num w:numId="14">
    <w:abstractNumId w:val="7"/>
  </w:num>
  <w:num w:numId="15">
    <w:abstractNumId w:val="5"/>
  </w:num>
  <w:num w:numId="16">
    <w:abstractNumId w:val="39"/>
  </w:num>
  <w:num w:numId="17">
    <w:abstractNumId w:val="14"/>
  </w:num>
  <w:num w:numId="18">
    <w:abstractNumId w:val="13"/>
  </w:num>
  <w:num w:numId="19">
    <w:abstractNumId w:val="23"/>
  </w:num>
  <w:num w:numId="20">
    <w:abstractNumId w:val="28"/>
  </w:num>
  <w:num w:numId="21">
    <w:abstractNumId w:val="36"/>
  </w:num>
  <w:num w:numId="22">
    <w:abstractNumId w:val="29"/>
  </w:num>
  <w:num w:numId="23">
    <w:abstractNumId w:val="20"/>
  </w:num>
  <w:num w:numId="24">
    <w:abstractNumId w:val="10"/>
  </w:num>
  <w:num w:numId="25">
    <w:abstractNumId w:val="31"/>
  </w:num>
  <w:num w:numId="26">
    <w:abstractNumId w:val="19"/>
  </w:num>
  <w:num w:numId="27">
    <w:abstractNumId w:val="18"/>
  </w:num>
  <w:num w:numId="28">
    <w:abstractNumId w:val="40"/>
  </w:num>
  <w:num w:numId="29">
    <w:abstractNumId w:val="32"/>
  </w:num>
  <w:num w:numId="30">
    <w:abstractNumId w:val="8"/>
  </w:num>
  <w:num w:numId="31">
    <w:abstractNumId w:val="24"/>
  </w:num>
  <w:num w:numId="32">
    <w:abstractNumId w:val="3"/>
  </w:num>
  <w:num w:numId="33">
    <w:abstractNumId w:val="4"/>
  </w:num>
  <w:num w:numId="34">
    <w:abstractNumId w:val="1"/>
  </w:num>
  <w:num w:numId="35">
    <w:abstractNumId w:val="2"/>
  </w:num>
  <w:num w:numId="36">
    <w:abstractNumId w:val="30"/>
  </w:num>
  <w:num w:numId="37">
    <w:abstractNumId w:val="25"/>
  </w:num>
  <w:num w:numId="38">
    <w:abstractNumId w:val="22"/>
  </w:num>
  <w:num w:numId="39">
    <w:abstractNumId w:val="9"/>
  </w:num>
  <w:num w:numId="40">
    <w:abstractNumId w:val="11"/>
  </w:num>
  <w:num w:numId="41">
    <w:abstractNumId w:val="17"/>
  </w:num>
  <w:num w:numId="42">
    <w:abstractNumId w:val="35"/>
  </w:num>
  <w:num w:numId="43">
    <w:abstractNumId w:val="21"/>
  </w:num>
  <w:num w:numId="44">
    <w:abstractNumId w:val="4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AF4E3E"/>
    <w:rsid w:val="00033AD2"/>
    <w:rsid w:val="001B0F43"/>
    <w:rsid w:val="0030017C"/>
    <w:rsid w:val="003C3BDD"/>
    <w:rsid w:val="005275BC"/>
    <w:rsid w:val="00534E2E"/>
    <w:rsid w:val="006140B1"/>
    <w:rsid w:val="006457F2"/>
    <w:rsid w:val="006E184B"/>
    <w:rsid w:val="00795E7F"/>
    <w:rsid w:val="007B6378"/>
    <w:rsid w:val="009679CC"/>
    <w:rsid w:val="009A2F78"/>
    <w:rsid w:val="00AF4E3E"/>
    <w:rsid w:val="00BC38AD"/>
    <w:rsid w:val="00E23E1D"/>
    <w:rsid w:val="00E83FE3"/>
    <w:rsid w:val="00F11990"/>
    <w:rsid w:val="0257479E"/>
    <w:rsid w:val="02E14E16"/>
    <w:rsid w:val="047B6243"/>
    <w:rsid w:val="071D0EB8"/>
    <w:rsid w:val="09376011"/>
    <w:rsid w:val="0A1B46BD"/>
    <w:rsid w:val="0C2F15A0"/>
    <w:rsid w:val="0CA05994"/>
    <w:rsid w:val="0CB04E17"/>
    <w:rsid w:val="0CB23BD3"/>
    <w:rsid w:val="0EDD67BD"/>
    <w:rsid w:val="0F76022D"/>
    <w:rsid w:val="11FC76EB"/>
    <w:rsid w:val="12447E9B"/>
    <w:rsid w:val="12954BED"/>
    <w:rsid w:val="12EB5A73"/>
    <w:rsid w:val="13A3360D"/>
    <w:rsid w:val="142173C8"/>
    <w:rsid w:val="178B169C"/>
    <w:rsid w:val="1B793A17"/>
    <w:rsid w:val="1D264AC1"/>
    <w:rsid w:val="1D820AC1"/>
    <w:rsid w:val="1FCE795B"/>
    <w:rsid w:val="205F58C1"/>
    <w:rsid w:val="20911F5B"/>
    <w:rsid w:val="217713BC"/>
    <w:rsid w:val="24287218"/>
    <w:rsid w:val="24D1123D"/>
    <w:rsid w:val="25627490"/>
    <w:rsid w:val="26936574"/>
    <w:rsid w:val="26972EC9"/>
    <w:rsid w:val="26C70811"/>
    <w:rsid w:val="28B96EC0"/>
    <w:rsid w:val="29A80167"/>
    <w:rsid w:val="29DC7DC1"/>
    <w:rsid w:val="2AE1201A"/>
    <w:rsid w:val="2B2D228C"/>
    <w:rsid w:val="30747B7A"/>
    <w:rsid w:val="32510943"/>
    <w:rsid w:val="35657EB3"/>
    <w:rsid w:val="378245C5"/>
    <w:rsid w:val="393D4ACB"/>
    <w:rsid w:val="3B405D21"/>
    <w:rsid w:val="3DF11C25"/>
    <w:rsid w:val="3ED912DE"/>
    <w:rsid w:val="416F6DD2"/>
    <w:rsid w:val="42253039"/>
    <w:rsid w:val="42E82C1A"/>
    <w:rsid w:val="432F45C7"/>
    <w:rsid w:val="43A4208B"/>
    <w:rsid w:val="4AEF5318"/>
    <w:rsid w:val="4C3F2086"/>
    <w:rsid w:val="4D0B5D82"/>
    <w:rsid w:val="4D75484F"/>
    <w:rsid w:val="4DCC3A7C"/>
    <w:rsid w:val="4F25064D"/>
    <w:rsid w:val="4F630181"/>
    <w:rsid w:val="50086C6F"/>
    <w:rsid w:val="50824A75"/>
    <w:rsid w:val="51A8767D"/>
    <w:rsid w:val="562922B2"/>
    <w:rsid w:val="564029B8"/>
    <w:rsid w:val="56891FE6"/>
    <w:rsid w:val="57681C91"/>
    <w:rsid w:val="578843CD"/>
    <w:rsid w:val="58A406EE"/>
    <w:rsid w:val="59530617"/>
    <w:rsid w:val="5976751A"/>
    <w:rsid w:val="5B503A1B"/>
    <w:rsid w:val="5C6C1CA5"/>
    <w:rsid w:val="5E3E59F9"/>
    <w:rsid w:val="5E5A5B70"/>
    <w:rsid w:val="5EFD03F7"/>
    <w:rsid w:val="60102424"/>
    <w:rsid w:val="61B97F43"/>
    <w:rsid w:val="61FC5B16"/>
    <w:rsid w:val="667A3434"/>
    <w:rsid w:val="694019BA"/>
    <w:rsid w:val="69DC50A6"/>
    <w:rsid w:val="6A1D456A"/>
    <w:rsid w:val="6A694A73"/>
    <w:rsid w:val="6B7872E4"/>
    <w:rsid w:val="6D0E1E42"/>
    <w:rsid w:val="6E3411FF"/>
    <w:rsid w:val="7444633D"/>
    <w:rsid w:val="7504241D"/>
    <w:rsid w:val="75382E3E"/>
    <w:rsid w:val="76891AED"/>
    <w:rsid w:val="79707C8A"/>
    <w:rsid w:val="7A6A103E"/>
    <w:rsid w:val="7A7377AB"/>
    <w:rsid w:val="7AEE50C1"/>
    <w:rsid w:val="7B2B0445"/>
    <w:rsid w:val="7C66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lang w:val="en-US" w:eastAsia="zh-CN" w:bidi="ar-SA"/>
    </w:rPr>
  </w:style>
  <w:style w:type="paragraph" w:styleId="3">
    <w:name w:val="heading 1"/>
    <w:basedOn w:val="1"/>
    <w:next w:val="1"/>
    <w:qFormat/>
    <w:uiPriority w:val="0"/>
    <w:pPr>
      <w:keepNext/>
      <w:keepLines/>
      <w:spacing w:line="360" w:lineRule="auto"/>
      <w:outlineLvl w:val="0"/>
    </w:pPr>
    <w:rPr>
      <w:rFonts w:ascii="Arial Black" w:hAnsi="Arial Black"/>
      <w:b/>
      <w:spacing w:val="20"/>
      <w:sz w:val="44"/>
      <w:szCs w:val="20"/>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Plain Text"/>
    <w:basedOn w:val="1"/>
    <w:link w:val="23"/>
    <w:qFormat/>
    <w:uiPriority w:val="0"/>
    <w:rPr>
      <w:rFonts w:ascii="宋体" w:hAnsi="Courier New"/>
      <w:szCs w:val="20"/>
    </w:rPr>
  </w:style>
  <w:style w:type="paragraph" w:styleId="6">
    <w:name w:val="footer"/>
    <w:basedOn w:val="1"/>
    <w:semiHidden/>
    <w:unhideWhenUsed/>
    <w:qFormat/>
    <w:uiPriority w:val="99"/>
    <w:pPr>
      <w:tabs>
        <w:tab w:val="center" w:pos="4153"/>
        <w:tab w:val="right" w:pos="8306"/>
      </w:tabs>
      <w:snapToGrid w:val="0"/>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pPr>
    <w:rPr>
      <w:rFonts w:ascii="宋体" w:hAnsi="宋体" w:cs="宋体"/>
      <w:sz w:val="24"/>
    </w:rPr>
  </w:style>
  <w:style w:type="character" w:styleId="11">
    <w:name w:val="Strong"/>
    <w:basedOn w:val="10"/>
    <w:qFormat/>
    <w:uiPriority w:val="22"/>
  </w:style>
  <w:style w:type="character" w:styleId="12">
    <w:name w:val="FollowedHyperlink"/>
    <w:basedOn w:val="10"/>
    <w:semiHidden/>
    <w:unhideWhenUsed/>
    <w:uiPriority w:val="99"/>
    <w:rPr>
      <w:color w:val="800080"/>
      <w:u w:val="none"/>
    </w:rPr>
  </w:style>
  <w:style w:type="character" w:styleId="13">
    <w:name w:val="Emphasis"/>
    <w:basedOn w:val="10"/>
    <w:qFormat/>
    <w:uiPriority w:val="20"/>
  </w:style>
  <w:style w:type="character" w:styleId="14">
    <w:name w:val="HTML Definition"/>
    <w:basedOn w:val="10"/>
    <w:semiHidden/>
    <w:unhideWhenUsed/>
    <w:uiPriority w:val="99"/>
  </w:style>
  <w:style w:type="character" w:styleId="15">
    <w:name w:val="HTML Typewriter"/>
    <w:basedOn w:val="10"/>
    <w:semiHidden/>
    <w:unhideWhenUsed/>
    <w:uiPriority w:val="99"/>
    <w:rPr>
      <w:rFonts w:ascii="monospace" w:hAnsi="monospace" w:eastAsia="monospace" w:cs="monospace"/>
      <w:sz w:val="20"/>
    </w:rPr>
  </w:style>
  <w:style w:type="character" w:styleId="16">
    <w:name w:val="HTML Acronym"/>
    <w:basedOn w:val="10"/>
    <w:semiHidden/>
    <w:unhideWhenUsed/>
    <w:uiPriority w:val="99"/>
  </w:style>
  <w:style w:type="character" w:styleId="17">
    <w:name w:val="HTML Variable"/>
    <w:basedOn w:val="10"/>
    <w:semiHidden/>
    <w:unhideWhenUsed/>
    <w:uiPriority w:val="99"/>
  </w:style>
  <w:style w:type="character" w:styleId="18">
    <w:name w:val="Hyperlink"/>
    <w:qFormat/>
    <w:uiPriority w:val="0"/>
    <w:rPr>
      <w:color w:val="0000FF"/>
      <w:u w:val="none"/>
    </w:rPr>
  </w:style>
  <w:style w:type="character" w:styleId="19">
    <w:name w:val="HTML Code"/>
    <w:basedOn w:val="10"/>
    <w:semiHidden/>
    <w:unhideWhenUsed/>
    <w:uiPriority w:val="99"/>
    <w:rPr>
      <w:rFonts w:hint="default" w:ascii="monospace" w:hAnsi="monospace" w:eastAsia="monospace" w:cs="monospace"/>
      <w:sz w:val="20"/>
    </w:rPr>
  </w:style>
  <w:style w:type="character" w:styleId="20">
    <w:name w:val="HTML Cite"/>
    <w:basedOn w:val="10"/>
    <w:semiHidden/>
    <w:unhideWhenUsed/>
    <w:uiPriority w:val="99"/>
  </w:style>
  <w:style w:type="character" w:styleId="21">
    <w:name w:val="HTML Keyboard"/>
    <w:basedOn w:val="10"/>
    <w:semiHidden/>
    <w:unhideWhenUsed/>
    <w:uiPriority w:val="99"/>
    <w:rPr>
      <w:rFonts w:hint="default" w:ascii="monospace" w:hAnsi="monospace" w:eastAsia="monospace" w:cs="monospace"/>
      <w:sz w:val="20"/>
    </w:rPr>
  </w:style>
  <w:style w:type="character" w:styleId="22">
    <w:name w:val="HTML Sample"/>
    <w:basedOn w:val="10"/>
    <w:semiHidden/>
    <w:unhideWhenUsed/>
    <w:uiPriority w:val="99"/>
    <w:rPr>
      <w:rFonts w:hint="default" w:ascii="monospace" w:hAnsi="monospace" w:eastAsia="monospace" w:cs="monospace"/>
    </w:rPr>
  </w:style>
  <w:style w:type="character" w:customStyle="1" w:styleId="23">
    <w:name w:val="纯文本 Char"/>
    <w:link w:val="5"/>
    <w:qFormat/>
    <w:uiPriority w:val="0"/>
    <w:rPr>
      <w:rFonts w:ascii="宋体" w:hAnsi="Courier New" w:eastAsiaTheme="minorEastAsia" w:cstheme="minorBidi"/>
      <w:sz w:val="22"/>
    </w:rPr>
  </w:style>
  <w:style w:type="paragraph" w:customStyle="1" w:styleId="24">
    <w:name w:val="无间隔1"/>
    <w:basedOn w:val="1"/>
    <w:qFormat/>
    <w:uiPriority w:val="99"/>
    <w:pPr>
      <w:widowControl w:val="0"/>
      <w:jc w:val="both"/>
    </w:pPr>
    <w:rPr>
      <w:rFonts w:ascii="Times New Roman" w:hAnsi="Times New Roman" w:eastAsia="宋体" w:cs="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47"/>
    <customShpInfo spid="_x0000_s1046"/>
    <customShpInfo spid="_x0000_s1049"/>
    <customShpInfo spid="_x0000_s1048"/>
    <customShpInfo spid="_x0000_s1050"/>
    <customShpInfo spid="_x0000_s1060"/>
    <customShpInfo spid="_x0000_s1061"/>
    <customShpInfo spid="_x0000_s1054"/>
    <customShpInfo spid="_x0000_s1059"/>
    <customShpInfo spid="_x0000_s1057"/>
    <customShpInfo spid="_x0000_s1058"/>
    <customShpInfo spid="_x0000_s1055"/>
    <customShpInfo spid="_x0000_s1056"/>
    <customShpInfo spid="_x0000_s1062"/>
    <customShpInfo spid="_x0000_s1063"/>
    <customShpInfo spid="_x0000_s1064"/>
    <customShpInfo spid="_x0000_s1065"/>
    <customShpInfo spid="_x0000_s1066"/>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5372</Words>
  <Characters>30621</Characters>
  <Lines>255</Lines>
  <Paragraphs>71</Paragraphs>
  <TotalTime>0</TotalTime>
  <ScaleCrop>false</ScaleCrop>
  <LinksUpToDate>false</LinksUpToDate>
  <CharactersWithSpaces>35922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2020-03-19T10:48:00Z</dcterms:created>
  <dc:creator>Windows User</dc:creator>
  <cp:lastModifiedBy>执念。</cp:lastModifiedBy>
  <cp:lastPrinted>2020-09-09T02:17:00Z</cp:lastPrinted>
  <dcterms:modified xsi:type="dcterms:W3CDTF">2020-09-30T02:34:25Z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