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rPr>
          <w:rFonts w:ascii="宋体" w:hAnsi="宋体" w:eastAsia="宋体"/>
          <w:sz w:val="24"/>
          <w:szCs w:val="24"/>
        </w:rPr>
      </w:pPr>
      <w:bookmarkStart w:id="0" w:name="page1"/>
      <w:bookmarkEnd w:id="0"/>
      <w:r>
        <w:rPr>
          <w:rFonts w:hint="eastAsia" w:ascii="宋体" w:hAnsi="宋体" w:eastAsia="宋体"/>
          <w:sz w:val="24"/>
          <w:szCs w:val="24"/>
        </w:rPr>
        <w:t xml:space="preserve"> </w:t>
      </w: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310" w:lineRule="exact"/>
        <w:rPr>
          <w:rFonts w:ascii="宋体" w:hAnsi="宋体" w:eastAsia="宋体"/>
          <w:sz w:val="24"/>
          <w:szCs w:val="24"/>
        </w:rPr>
      </w:pPr>
    </w:p>
    <w:p>
      <w:pPr>
        <w:jc w:val="center"/>
        <w:rPr>
          <w:rFonts w:ascii="宋体" w:hAnsi="宋体" w:eastAsia="宋体" w:cs="宋体"/>
          <w:b/>
          <w:bCs/>
          <w:sz w:val="60"/>
          <w:szCs w:val="60"/>
        </w:rPr>
      </w:pPr>
      <w:r>
        <w:rPr>
          <w:rFonts w:hint="eastAsia" w:ascii="宋体" w:hAnsi="宋体" w:eastAsia="宋体" w:cs="宋体"/>
          <w:b/>
          <w:bCs/>
          <w:sz w:val="60"/>
          <w:szCs w:val="60"/>
        </w:rPr>
        <w:t>广西八桂建设项目管理有限公司</w:t>
      </w:r>
    </w:p>
    <w:p>
      <w:pPr>
        <w:jc w:val="center"/>
        <w:rPr>
          <w:rFonts w:ascii="宋体" w:hAnsi="宋体" w:eastAsia="宋体" w:cs="宋体"/>
          <w:b/>
          <w:bCs/>
          <w:sz w:val="60"/>
          <w:szCs w:val="60"/>
        </w:rPr>
      </w:pPr>
    </w:p>
    <w:p>
      <w:pPr>
        <w:jc w:val="center"/>
        <w:rPr>
          <w:sz w:val="20"/>
          <w:szCs w:val="20"/>
        </w:rPr>
      </w:pPr>
      <w:r>
        <w:rPr>
          <w:rFonts w:ascii="宋体" w:hAnsi="宋体" w:eastAsia="宋体" w:cs="宋体"/>
          <w:b/>
          <w:bCs/>
          <w:sz w:val="100"/>
          <w:szCs w:val="100"/>
        </w:rPr>
        <w:t>竞争性磋商文件</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33" w:lineRule="exact"/>
        <w:rPr>
          <w:sz w:val="24"/>
          <w:szCs w:val="24"/>
        </w:rPr>
      </w:pPr>
    </w:p>
    <w:p>
      <w:pPr>
        <w:spacing w:line="439" w:lineRule="exact"/>
        <w:ind w:right="134"/>
        <w:jc w:val="center"/>
        <w:rPr>
          <w:rFonts w:ascii="宋体" w:hAnsi="宋体" w:eastAsia="宋体" w:cs="宋体"/>
          <w:b/>
          <w:bCs/>
          <w:sz w:val="24"/>
          <w:szCs w:val="24"/>
        </w:rPr>
      </w:pPr>
      <w:r>
        <w:rPr>
          <w:rFonts w:ascii="宋体" w:hAnsi="宋体" w:eastAsia="宋体" w:cs="宋体"/>
          <w:b/>
          <w:bCs/>
          <w:sz w:val="32"/>
          <w:szCs w:val="32"/>
        </w:rPr>
        <w:t>项目名称：</w:t>
      </w:r>
      <w:r>
        <w:rPr>
          <w:rFonts w:hint="eastAsia" w:ascii="宋体" w:hAnsi="宋体" w:eastAsia="宋体" w:cs="宋体"/>
          <w:b/>
          <w:bCs/>
          <w:sz w:val="32"/>
          <w:szCs w:val="32"/>
        </w:rPr>
        <w:t>灵川县潭下镇人民政府雪亮工程项目</w:t>
      </w:r>
    </w:p>
    <w:p>
      <w:pPr>
        <w:spacing w:line="439" w:lineRule="exact"/>
        <w:ind w:right="-86"/>
        <w:jc w:val="center"/>
        <w:rPr>
          <w:rFonts w:ascii="宋体" w:hAnsi="宋体" w:eastAsia="宋体" w:cs="宋体"/>
          <w:b/>
          <w:bCs/>
          <w:sz w:val="32"/>
          <w:szCs w:val="32"/>
        </w:rPr>
      </w:pPr>
      <w:r>
        <w:rPr>
          <w:rFonts w:ascii="宋体" w:hAnsi="宋体" w:eastAsia="宋体" w:cs="宋体"/>
          <w:b/>
          <w:bCs/>
          <w:sz w:val="32"/>
          <w:szCs w:val="32"/>
        </w:rPr>
        <w:t>项目编号：</w:t>
      </w:r>
      <w:r>
        <w:rPr>
          <w:rFonts w:hint="eastAsia" w:ascii="宋体" w:hAnsi="宋体" w:eastAsia="宋体" w:cs="宋体"/>
          <w:b/>
          <w:bCs/>
          <w:sz w:val="32"/>
          <w:szCs w:val="32"/>
        </w:rPr>
        <w:t>GLZC2020-C3-230051-GXBG</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351" w:lineRule="exact"/>
        <w:rPr>
          <w:sz w:val="24"/>
          <w:szCs w:val="24"/>
        </w:rPr>
      </w:pPr>
    </w:p>
    <w:p>
      <w:pPr>
        <w:spacing w:line="366" w:lineRule="exact"/>
        <w:ind w:right="6"/>
        <w:jc w:val="center"/>
        <w:rPr>
          <w:rFonts w:eastAsia="宋体"/>
          <w:sz w:val="20"/>
          <w:szCs w:val="20"/>
        </w:rPr>
      </w:pPr>
      <w:r>
        <w:rPr>
          <w:rFonts w:ascii="宋体" w:hAnsi="宋体" w:eastAsia="宋体" w:cs="宋体"/>
          <w:b/>
          <w:bCs/>
          <w:sz w:val="32"/>
          <w:szCs w:val="32"/>
        </w:rPr>
        <w:t>采购代理机构：</w:t>
      </w:r>
      <w:r>
        <w:rPr>
          <w:rFonts w:hint="eastAsia" w:ascii="宋体" w:hAnsi="宋体" w:eastAsia="宋体" w:cs="宋体"/>
          <w:b/>
          <w:bCs/>
          <w:sz w:val="32"/>
          <w:szCs w:val="32"/>
        </w:rPr>
        <w:t>广西八桂建设项目管理有限公司</w:t>
      </w:r>
    </w:p>
    <w:p>
      <w:pPr>
        <w:spacing w:line="155" w:lineRule="exact"/>
        <w:rPr>
          <w:sz w:val="24"/>
          <w:szCs w:val="24"/>
        </w:rPr>
      </w:pPr>
    </w:p>
    <w:p>
      <w:pPr>
        <w:spacing w:line="366" w:lineRule="exact"/>
        <w:ind w:right="6"/>
        <w:jc w:val="center"/>
        <w:rPr>
          <w:sz w:val="20"/>
          <w:szCs w:val="20"/>
        </w:rPr>
      </w:pPr>
      <w:r>
        <w:rPr>
          <w:rFonts w:hint="eastAsia" w:ascii="宋体" w:hAnsi="宋体" w:eastAsia="宋体" w:cs="宋体"/>
          <w:b/>
          <w:bCs/>
          <w:sz w:val="32"/>
          <w:szCs w:val="32"/>
        </w:rPr>
        <w:t>2020</w:t>
      </w:r>
      <w:r>
        <w:rPr>
          <w:rFonts w:ascii="宋体" w:hAnsi="宋体" w:eastAsia="宋体" w:cs="宋体"/>
          <w:b/>
          <w:bCs/>
          <w:sz w:val="32"/>
          <w:szCs w:val="32"/>
        </w:rPr>
        <w:t>年</w:t>
      </w:r>
      <w:r>
        <w:rPr>
          <w:rFonts w:hint="eastAsia" w:ascii="宋体" w:hAnsi="宋体" w:eastAsia="宋体" w:cs="宋体"/>
          <w:b/>
          <w:bCs/>
          <w:sz w:val="32"/>
          <w:szCs w:val="32"/>
        </w:rPr>
        <w:t>1</w:t>
      </w:r>
      <w:r>
        <w:rPr>
          <w:rFonts w:hint="eastAsia" w:ascii="宋体" w:hAnsi="宋体" w:eastAsia="宋体" w:cs="宋体"/>
          <w:b/>
          <w:bCs/>
          <w:sz w:val="32"/>
          <w:szCs w:val="32"/>
          <w:lang w:val="en-US" w:eastAsia="zh-CN"/>
        </w:rPr>
        <w:t>1</w:t>
      </w:r>
      <w:r>
        <w:rPr>
          <w:rFonts w:ascii="宋体" w:hAnsi="宋体" w:eastAsia="宋体" w:cs="宋体"/>
          <w:b/>
          <w:bCs/>
          <w:sz w:val="32"/>
          <w:szCs w:val="32"/>
        </w:rPr>
        <w:t>月</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rFonts w:ascii="宋体" w:hAnsi="宋体" w:eastAsia="宋体"/>
          <w:sz w:val="36"/>
          <w:szCs w:val="36"/>
        </w:rPr>
      </w:pPr>
    </w:p>
    <w:p>
      <w:pPr>
        <w:pStyle w:val="4"/>
      </w:pPr>
    </w:p>
    <w:p>
      <w:pPr>
        <w:spacing w:line="200" w:lineRule="exact"/>
        <w:rPr>
          <w:rFonts w:ascii="宋体" w:hAnsi="宋体" w:eastAsia="宋体"/>
          <w:sz w:val="24"/>
          <w:szCs w:val="24"/>
        </w:rPr>
      </w:pPr>
    </w:p>
    <w:p>
      <w:pPr>
        <w:spacing w:line="200" w:lineRule="exact"/>
        <w:rPr>
          <w:rFonts w:ascii="宋体" w:hAnsi="宋体" w:eastAsia="宋体"/>
          <w:sz w:val="24"/>
          <w:szCs w:val="24"/>
        </w:rPr>
      </w:pPr>
      <w:bookmarkStart w:id="1" w:name="page2"/>
      <w:bookmarkEnd w:id="1"/>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326" w:lineRule="exact"/>
        <w:rPr>
          <w:rFonts w:ascii="宋体" w:hAnsi="宋体" w:eastAsia="宋体"/>
          <w:sz w:val="24"/>
          <w:szCs w:val="24"/>
        </w:rPr>
      </w:pPr>
    </w:p>
    <w:p>
      <w:pPr>
        <w:spacing w:line="326" w:lineRule="exact"/>
        <w:rPr>
          <w:rFonts w:ascii="宋体" w:hAnsi="宋体" w:eastAsia="宋体"/>
          <w:sz w:val="24"/>
          <w:szCs w:val="24"/>
        </w:rPr>
      </w:pPr>
    </w:p>
    <w:p>
      <w:pPr>
        <w:tabs>
          <w:tab w:val="left" w:pos="1080"/>
        </w:tabs>
        <w:spacing w:line="502" w:lineRule="exact"/>
        <w:jc w:val="both"/>
        <w:rPr>
          <w:rFonts w:ascii="宋体" w:hAnsi="宋体" w:eastAsia="宋体" w:cs="宋体"/>
          <w:sz w:val="24"/>
          <w:szCs w:val="24"/>
        </w:rPr>
      </w:pPr>
    </w:p>
    <w:p>
      <w:pPr>
        <w:tabs>
          <w:tab w:val="left" w:pos="1080"/>
        </w:tabs>
        <w:spacing w:line="502" w:lineRule="exact"/>
        <w:jc w:val="center"/>
        <w:rPr>
          <w:sz w:val="20"/>
          <w:szCs w:val="20"/>
        </w:rPr>
      </w:pPr>
      <w:r>
        <w:rPr>
          <w:rFonts w:ascii="宋体" w:hAnsi="宋体" w:eastAsia="宋体" w:cs="宋体"/>
          <w:sz w:val="44"/>
          <w:szCs w:val="44"/>
        </w:rPr>
        <w:t>目</w:t>
      </w:r>
      <w:r>
        <w:rPr>
          <w:rFonts w:ascii="宋体" w:hAnsi="宋体" w:eastAsia="宋体" w:cs="宋体"/>
          <w:sz w:val="44"/>
          <w:szCs w:val="44"/>
        </w:rPr>
        <w:tab/>
      </w:r>
      <w:r>
        <w:rPr>
          <w:rFonts w:ascii="宋体" w:hAnsi="宋体" w:eastAsia="宋体" w:cs="宋体"/>
          <w:sz w:val="44"/>
          <w:szCs w:val="44"/>
        </w:rPr>
        <w:t>录</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90" w:lineRule="exact"/>
        <w:rPr>
          <w:sz w:val="20"/>
          <w:szCs w:val="20"/>
        </w:rPr>
      </w:pPr>
    </w:p>
    <w:p>
      <w:pPr>
        <w:tabs>
          <w:tab w:val="left" w:leader="dot" w:pos="8040"/>
        </w:tabs>
        <w:spacing w:line="366" w:lineRule="exact"/>
        <w:ind w:left="540"/>
        <w:rPr>
          <w:sz w:val="20"/>
          <w:szCs w:val="20"/>
        </w:rPr>
      </w:pPr>
      <w:r>
        <w:rPr>
          <w:rFonts w:ascii="宋体" w:hAnsi="宋体" w:eastAsia="宋体" w:cs="宋体"/>
          <w:sz w:val="32"/>
          <w:szCs w:val="32"/>
        </w:rPr>
        <w:t>第一章：竞争性磋商公告</w:t>
      </w:r>
      <w:r>
        <w:rPr>
          <w:sz w:val="20"/>
          <w:szCs w:val="20"/>
        </w:rPr>
        <w:tab/>
      </w:r>
      <w:r>
        <w:rPr>
          <w:rFonts w:ascii="宋体" w:hAnsi="宋体" w:eastAsia="宋体" w:cs="宋体"/>
          <w:sz w:val="32"/>
          <w:szCs w:val="32"/>
        </w:rPr>
        <w:t>3</w:t>
      </w:r>
    </w:p>
    <w:p>
      <w:pPr>
        <w:spacing w:line="335" w:lineRule="exact"/>
        <w:rPr>
          <w:sz w:val="20"/>
          <w:szCs w:val="20"/>
        </w:rPr>
      </w:pPr>
    </w:p>
    <w:p>
      <w:pPr>
        <w:tabs>
          <w:tab w:val="left" w:leader="dot" w:pos="8040"/>
        </w:tabs>
        <w:spacing w:line="366" w:lineRule="exact"/>
        <w:ind w:left="540"/>
        <w:rPr>
          <w:sz w:val="20"/>
          <w:szCs w:val="20"/>
        </w:rPr>
      </w:pPr>
      <w:r>
        <w:rPr>
          <w:rFonts w:ascii="宋体" w:hAnsi="宋体" w:eastAsia="宋体" w:cs="宋体"/>
          <w:sz w:val="32"/>
          <w:szCs w:val="32"/>
        </w:rPr>
        <w:t>第二章：磋商供应商须知及前附表</w:t>
      </w:r>
      <w:r>
        <w:rPr>
          <w:sz w:val="20"/>
          <w:szCs w:val="20"/>
        </w:rPr>
        <w:tab/>
      </w:r>
      <w:r>
        <w:rPr>
          <w:rFonts w:ascii="宋体" w:hAnsi="宋体" w:eastAsia="宋体" w:cs="宋体"/>
          <w:sz w:val="32"/>
          <w:szCs w:val="32"/>
        </w:rPr>
        <w:t>5</w:t>
      </w:r>
    </w:p>
    <w:p>
      <w:pPr>
        <w:spacing w:line="335" w:lineRule="exact"/>
        <w:rPr>
          <w:sz w:val="20"/>
          <w:szCs w:val="20"/>
        </w:rPr>
      </w:pPr>
    </w:p>
    <w:p>
      <w:pPr>
        <w:tabs>
          <w:tab w:val="left" w:leader="dot" w:pos="8040"/>
        </w:tabs>
        <w:spacing w:line="366" w:lineRule="exact"/>
        <w:ind w:left="540"/>
        <w:rPr>
          <w:sz w:val="20"/>
          <w:szCs w:val="20"/>
        </w:rPr>
      </w:pPr>
      <w:r>
        <w:rPr>
          <w:rFonts w:ascii="宋体" w:hAnsi="宋体" w:eastAsia="宋体" w:cs="宋体"/>
          <w:sz w:val="32"/>
          <w:szCs w:val="32"/>
        </w:rPr>
        <w:t>第三章：</w:t>
      </w:r>
      <w:r>
        <w:rPr>
          <w:rFonts w:hint="eastAsia" w:ascii="宋体" w:hAnsi="宋体" w:eastAsia="宋体" w:cs="宋体"/>
          <w:sz w:val="32"/>
          <w:szCs w:val="32"/>
          <w:lang w:eastAsia="zh-CN"/>
        </w:rPr>
        <w:t>服务</w:t>
      </w:r>
      <w:r>
        <w:rPr>
          <w:rFonts w:ascii="宋体" w:hAnsi="宋体" w:eastAsia="宋体" w:cs="宋体"/>
          <w:sz w:val="32"/>
          <w:szCs w:val="32"/>
        </w:rPr>
        <w:t>采购需求</w:t>
      </w:r>
      <w:r>
        <w:rPr>
          <w:sz w:val="20"/>
          <w:szCs w:val="20"/>
        </w:rPr>
        <w:tab/>
      </w:r>
      <w:r>
        <w:rPr>
          <w:rFonts w:ascii="宋体" w:hAnsi="宋体" w:eastAsia="宋体" w:cs="宋体"/>
          <w:sz w:val="32"/>
          <w:szCs w:val="32"/>
        </w:rPr>
        <w:t>18</w:t>
      </w:r>
    </w:p>
    <w:p>
      <w:pPr>
        <w:spacing w:line="336" w:lineRule="exact"/>
        <w:rPr>
          <w:sz w:val="20"/>
          <w:szCs w:val="20"/>
        </w:rPr>
      </w:pPr>
    </w:p>
    <w:p>
      <w:pPr>
        <w:tabs>
          <w:tab w:val="left" w:leader="dot" w:pos="8040"/>
        </w:tabs>
        <w:spacing w:line="366" w:lineRule="exact"/>
        <w:ind w:left="540"/>
        <w:rPr>
          <w:sz w:val="20"/>
          <w:szCs w:val="20"/>
        </w:rPr>
      </w:pPr>
      <w:r>
        <w:rPr>
          <w:rFonts w:ascii="宋体" w:hAnsi="宋体" w:eastAsia="宋体" w:cs="宋体"/>
          <w:sz w:val="32"/>
          <w:szCs w:val="32"/>
        </w:rPr>
        <w:t>第四章：评审办法</w:t>
      </w:r>
      <w:r>
        <w:rPr>
          <w:sz w:val="20"/>
          <w:szCs w:val="20"/>
        </w:rPr>
        <w:tab/>
      </w:r>
      <w:r>
        <w:rPr>
          <w:rFonts w:ascii="宋体" w:hAnsi="宋体" w:eastAsia="宋体" w:cs="宋体"/>
          <w:sz w:val="32"/>
          <w:szCs w:val="32"/>
        </w:rPr>
        <w:t>24</w:t>
      </w:r>
    </w:p>
    <w:p>
      <w:pPr>
        <w:spacing w:line="335" w:lineRule="exact"/>
        <w:rPr>
          <w:sz w:val="20"/>
          <w:szCs w:val="20"/>
        </w:rPr>
      </w:pPr>
    </w:p>
    <w:p>
      <w:pPr>
        <w:tabs>
          <w:tab w:val="left" w:leader="dot" w:pos="8040"/>
        </w:tabs>
        <w:spacing w:line="366" w:lineRule="exact"/>
        <w:ind w:left="540"/>
        <w:rPr>
          <w:sz w:val="20"/>
          <w:szCs w:val="20"/>
        </w:rPr>
      </w:pPr>
      <w:r>
        <w:rPr>
          <w:rFonts w:ascii="宋体" w:hAnsi="宋体" w:eastAsia="宋体" w:cs="宋体"/>
          <w:sz w:val="32"/>
          <w:szCs w:val="32"/>
        </w:rPr>
        <w:t>第五章：采购合同（合同主要条款及格式）</w:t>
      </w:r>
      <w:r>
        <w:rPr>
          <w:sz w:val="20"/>
          <w:szCs w:val="20"/>
        </w:rPr>
        <w:tab/>
      </w:r>
      <w:r>
        <w:rPr>
          <w:rFonts w:ascii="宋体" w:hAnsi="宋体" w:eastAsia="宋体" w:cs="宋体"/>
          <w:sz w:val="32"/>
          <w:szCs w:val="32"/>
        </w:rPr>
        <w:t>27</w:t>
      </w:r>
    </w:p>
    <w:p>
      <w:pPr>
        <w:spacing w:line="335" w:lineRule="exact"/>
        <w:rPr>
          <w:sz w:val="20"/>
          <w:szCs w:val="20"/>
        </w:rPr>
      </w:pPr>
    </w:p>
    <w:p>
      <w:pPr>
        <w:tabs>
          <w:tab w:val="left" w:leader="dot" w:pos="8040"/>
        </w:tabs>
        <w:spacing w:line="366" w:lineRule="exact"/>
        <w:ind w:left="540"/>
        <w:rPr>
          <w:sz w:val="20"/>
          <w:szCs w:val="20"/>
        </w:rPr>
      </w:pPr>
      <w:r>
        <w:rPr>
          <w:rFonts w:ascii="宋体" w:hAnsi="宋体" w:eastAsia="宋体" w:cs="宋体"/>
          <w:sz w:val="32"/>
          <w:szCs w:val="32"/>
        </w:rPr>
        <w:t>第六章：响应文件（格式）</w:t>
      </w:r>
      <w:r>
        <w:rPr>
          <w:sz w:val="20"/>
          <w:szCs w:val="20"/>
        </w:rPr>
        <w:tab/>
      </w:r>
      <w:r>
        <w:rPr>
          <w:rFonts w:ascii="宋体" w:hAnsi="宋体" w:eastAsia="宋体" w:cs="宋体"/>
          <w:sz w:val="32"/>
          <w:szCs w:val="32"/>
        </w:rPr>
        <w:t>29</w:t>
      </w:r>
    </w:p>
    <w:p>
      <w:pPr>
        <w:spacing w:line="200" w:lineRule="exact"/>
        <w:rPr>
          <w:rFonts w:ascii="宋体" w:hAnsi="宋体" w:eastAsia="宋体"/>
          <w:sz w:val="32"/>
          <w:szCs w:val="32"/>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391" w:lineRule="exact"/>
        <w:rPr>
          <w:rFonts w:ascii="宋体" w:hAnsi="宋体" w:eastAsia="宋体"/>
          <w:sz w:val="24"/>
          <w:szCs w:val="24"/>
        </w:rPr>
      </w:pPr>
    </w:p>
    <w:p>
      <w:pPr>
        <w:spacing w:line="366" w:lineRule="exact"/>
        <w:jc w:val="center"/>
        <w:rPr>
          <w:rFonts w:ascii="宋体" w:hAnsi="宋体" w:eastAsia="宋体" w:cs="宋体"/>
          <w:b/>
          <w:bCs/>
          <w:sz w:val="24"/>
          <w:szCs w:val="24"/>
        </w:rPr>
      </w:pPr>
      <w:bookmarkStart w:id="2" w:name="page3"/>
      <w:bookmarkEnd w:id="2"/>
    </w:p>
    <w:p>
      <w:pPr>
        <w:spacing w:line="366" w:lineRule="exact"/>
        <w:jc w:val="center"/>
        <w:rPr>
          <w:rFonts w:ascii="宋体" w:hAnsi="宋体" w:eastAsia="宋体" w:cs="宋体"/>
          <w:b/>
          <w:bCs/>
          <w:sz w:val="24"/>
          <w:szCs w:val="24"/>
        </w:rPr>
      </w:pPr>
    </w:p>
    <w:p>
      <w:pPr>
        <w:spacing w:line="366" w:lineRule="exact"/>
        <w:jc w:val="center"/>
        <w:rPr>
          <w:rFonts w:ascii="宋体" w:hAnsi="宋体" w:eastAsia="宋体" w:cs="宋体"/>
          <w:b/>
          <w:bCs/>
          <w:sz w:val="24"/>
          <w:szCs w:val="24"/>
        </w:rPr>
      </w:pPr>
    </w:p>
    <w:p>
      <w:pPr>
        <w:spacing w:line="366" w:lineRule="exact"/>
        <w:jc w:val="center"/>
        <w:rPr>
          <w:rFonts w:ascii="宋体" w:hAnsi="宋体" w:eastAsia="宋体" w:cs="宋体"/>
          <w:b/>
          <w:bCs/>
          <w:sz w:val="24"/>
          <w:szCs w:val="24"/>
        </w:rPr>
      </w:pPr>
    </w:p>
    <w:p>
      <w:pPr>
        <w:spacing w:line="366" w:lineRule="exact"/>
        <w:jc w:val="center"/>
        <w:rPr>
          <w:rFonts w:ascii="宋体" w:hAnsi="宋体" w:eastAsia="宋体" w:cs="宋体"/>
          <w:b/>
          <w:bCs/>
          <w:sz w:val="24"/>
          <w:szCs w:val="24"/>
        </w:rPr>
      </w:pPr>
    </w:p>
    <w:p>
      <w:pPr>
        <w:spacing w:line="366" w:lineRule="exact"/>
        <w:jc w:val="center"/>
        <w:rPr>
          <w:rFonts w:ascii="宋体" w:hAnsi="宋体" w:eastAsia="宋体"/>
          <w:sz w:val="24"/>
          <w:szCs w:val="24"/>
        </w:rPr>
      </w:pPr>
      <w:r>
        <w:rPr>
          <w:rFonts w:ascii="宋体" w:hAnsi="宋体" w:eastAsia="宋体" w:cs="宋体"/>
          <w:b/>
          <w:bCs/>
          <w:sz w:val="24"/>
          <w:szCs w:val="24"/>
        </w:rPr>
        <w:t>第一章 竞争性磋商公告</w:t>
      </w:r>
    </w:p>
    <w:p>
      <w:pPr>
        <w:spacing w:line="262" w:lineRule="exact"/>
        <w:rPr>
          <w:rFonts w:ascii="宋体" w:hAnsi="宋体" w:eastAsia="宋体"/>
          <w:sz w:val="24"/>
          <w:szCs w:val="24"/>
        </w:rPr>
      </w:pPr>
    </w:p>
    <w:p>
      <w:pPr>
        <w:pBdr>
          <w:top w:val="single" w:color="auto" w:sz="4" w:space="1"/>
          <w:left w:val="single" w:color="auto" w:sz="4" w:space="4"/>
          <w:bottom w:val="single" w:color="auto" w:sz="4" w:space="1"/>
          <w:right w:val="single" w:color="auto" w:sz="4" w:space="4"/>
        </w:pBdr>
        <w:tabs>
          <w:tab w:val="left" w:pos="3262"/>
        </w:tabs>
        <w:ind w:firstLine="480" w:firstLineChars="200"/>
        <w:rPr>
          <w:rFonts w:hint="eastAsia" w:ascii="宋体" w:hAnsi="宋体" w:eastAsia="宋体"/>
          <w:sz w:val="24"/>
          <w:szCs w:val="24"/>
          <w:lang w:eastAsia="zh-CN"/>
        </w:rPr>
      </w:pPr>
      <w:r>
        <w:rPr>
          <w:rFonts w:hint="eastAsia" w:ascii="宋体" w:hAnsi="宋体" w:eastAsia="宋体"/>
          <w:sz w:val="24"/>
          <w:szCs w:val="24"/>
        </w:rPr>
        <w:t>项目概况</w:t>
      </w:r>
      <w:r>
        <w:rPr>
          <w:rFonts w:hint="eastAsia" w:ascii="宋体" w:hAnsi="宋体" w:eastAsia="宋体"/>
          <w:sz w:val="24"/>
          <w:szCs w:val="24"/>
          <w:lang w:eastAsia="zh-CN"/>
        </w:rPr>
        <w:tab/>
      </w:r>
    </w:p>
    <w:p>
      <w:pPr>
        <w:pBdr>
          <w:top w:val="single" w:color="auto" w:sz="4" w:space="1"/>
          <w:left w:val="single" w:color="auto" w:sz="4" w:space="4"/>
          <w:bottom w:val="single" w:color="auto" w:sz="4" w:space="1"/>
          <w:right w:val="single" w:color="auto" w:sz="4" w:space="4"/>
        </w:pBdr>
        <w:ind w:firstLine="480" w:firstLineChars="200"/>
        <w:rPr>
          <w:rFonts w:ascii="宋体" w:hAnsi="宋体" w:eastAsia="宋体"/>
          <w:sz w:val="24"/>
          <w:szCs w:val="24"/>
        </w:rPr>
      </w:pPr>
      <w:r>
        <w:rPr>
          <w:rFonts w:hint="eastAsia" w:ascii="宋体" w:hAnsi="宋体" w:eastAsia="宋体" w:cs="宋体"/>
          <w:sz w:val="24"/>
          <w:szCs w:val="24"/>
          <w:u w:val="single"/>
        </w:rPr>
        <w:t>灵川县潭下镇人民政府雪亮工程项目</w:t>
      </w:r>
      <w:r>
        <w:rPr>
          <w:rFonts w:hint="eastAsia" w:ascii="宋体" w:hAnsi="宋体" w:eastAsia="宋体"/>
          <w:sz w:val="24"/>
          <w:szCs w:val="24"/>
        </w:rPr>
        <w:t xml:space="preserve"> 采购项目的潜在供应商应在</w:t>
      </w:r>
      <w:r>
        <w:rPr>
          <w:rFonts w:hint="eastAsia" w:ascii="宋体" w:hAnsi="宋体" w:eastAsia="宋体"/>
          <w:sz w:val="24"/>
          <w:szCs w:val="24"/>
          <w:u w:val="single"/>
        </w:rPr>
        <w:t>桂林市公共资源交易中心网（</w:t>
      </w:r>
      <w:r>
        <w:fldChar w:fldCharType="begin"/>
      </w:r>
      <w:r>
        <w:instrText xml:space="preserve"> HYPERLINK "http://ggzy.guilin.cn" </w:instrText>
      </w:r>
      <w:r>
        <w:fldChar w:fldCharType="separate"/>
      </w:r>
      <w:r>
        <w:rPr>
          <w:rFonts w:hint="eastAsia" w:ascii="宋体" w:hAnsi="宋体" w:eastAsia="宋体"/>
          <w:sz w:val="24"/>
          <w:szCs w:val="24"/>
          <w:u w:val="single"/>
        </w:rPr>
        <w:t>http://glggzy.org.cn</w:t>
      </w:r>
      <w:r>
        <w:rPr>
          <w:rFonts w:hint="eastAsia" w:ascii="宋体" w:hAnsi="宋体" w:eastAsia="宋体"/>
          <w:sz w:val="24"/>
          <w:szCs w:val="24"/>
          <w:u w:val="single"/>
        </w:rPr>
        <w:fldChar w:fldCharType="end"/>
      </w:r>
      <w:r>
        <w:rPr>
          <w:rFonts w:hint="eastAsia" w:ascii="宋体" w:hAnsi="宋体" w:eastAsia="宋体"/>
          <w:sz w:val="24"/>
          <w:szCs w:val="24"/>
          <w:u w:val="single"/>
        </w:rPr>
        <w:t>）、</w:t>
      </w:r>
      <w:r>
        <w:rPr>
          <w:rFonts w:hint="eastAsia" w:ascii="宋体" w:hAnsi="宋体" w:eastAsia="宋体" w:cs="宋体"/>
          <w:sz w:val="24"/>
          <w:szCs w:val="24"/>
          <w:u w:val="single"/>
        </w:rPr>
        <w:t>桂林市政府采购网（http://zfcg.czj.guilin.gov.cn/）</w:t>
      </w:r>
      <w:r>
        <w:rPr>
          <w:rFonts w:hint="eastAsia" w:ascii="宋体" w:hAnsi="宋体" w:eastAsia="宋体"/>
          <w:sz w:val="24"/>
          <w:szCs w:val="24"/>
        </w:rPr>
        <w:t>获取采购文件，并于</w:t>
      </w:r>
      <w:r>
        <w:rPr>
          <w:rFonts w:hint="eastAsia" w:ascii="宋体" w:hAnsi="宋体" w:eastAsia="宋体"/>
          <w:sz w:val="24"/>
          <w:szCs w:val="24"/>
          <w:u w:val="single"/>
        </w:rPr>
        <w:t>2020</w:t>
      </w:r>
      <w:r>
        <w:rPr>
          <w:rFonts w:hint="eastAsia" w:ascii="宋体" w:hAnsi="宋体" w:eastAsia="宋体"/>
          <w:bCs/>
          <w:sz w:val="24"/>
          <w:szCs w:val="24"/>
          <w:u w:val="single"/>
        </w:rPr>
        <w:t>年</w:t>
      </w:r>
      <w:r>
        <w:rPr>
          <w:rFonts w:hint="eastAsia" w:ascii="宋体" w:hAnsi="宋体" w:eastAsia="宋体"/>
          <w:bCs/>
          <w:sz w:val="24"/>
          <w:szCs w:val="24"/>
          <w:u w:val="single"/>
          <w:lang w:val="en-US" w:eastAsia="zh-CN"/>
        </w:rPr>
        <w:t>11</w:t>
      </w:r>
      <w:r>
        <w:rPr>
          <w:rFonts w:hint="eastAsia" w:ascii="宋体" w:hAnsi="宋体" w:eastAsia="宋体"/>
          <w:bCs/>
          <w:sz w:val="24"/>
          <w:szCs w:val="24"/>
          <w:u w:val="single"/>
        </w:rPr>
        <w:t>月</w:t>
      </w:r>
      <w:r>
        <w:rPr>
          <w:rFonts w:hint="eastAsia" w:ascii="宋体" w:hAnsi="宋体" w:eastAsia="宋体"/>
          <w:bCs/>
          <w:sz w:val="24"/>
          <w:szCs w:val="24"/>
          <w:u w:val="single"/>
          <w:lang w:val="en-US" w:eastAsia="zh-CN"/>
        </w:rPr>
        <w:t>20</w:t>
      </w:r>
      <w:r>
        <w:rPr>
          <w:rFonts w:hint="eastAsia" w:ascii="宋体" w:hAnsi="宋体" w:eastAsia="宋体"/>
          <w:bCs/>
          <w:sz w:val="24"/>
          <w:szCs w:val="24"/>
          <w:u w:val="single"/>
        </w:rPr>
        <w:t>日10点30分</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rPr>
          <w:rFonts w:ascii="宋体" w:hAnsi="宋体" w:eastAsia="宋体"/>
          <w:sz w:val="24"/>
          <w:szCs w:val="24"/>
        </w:rPr>
      </w:pPr>
    </w:p>
    <w:p>
      <w:pPr>
        <w:pStyle w:val="4"/>
        <w:spacing w:line="360" w:lineRule="auto"/>
        <w:rPr>
          <w:rFonts w:ascii="宋体" w:hAnsi="宋体" w:eastAsia="宋体" w:cs="宋体"/>
          <w:b w:val="0"/>
          <w:sz w:val="24"/>
          <w:szCs w:val="24"/>
        </w:rPr>
      </w:pPr>
      <w:bookmarkStart w:id="3" w:name="_Toc35393798"/>
      <w:bookmarkStart w:id="4" w:name="_Toc35393629"/>
      <w:bookmarkStart w:id="5" w:name="_Toc28359089"/>
      <w:bookmarkStart w:id="6" w:name="_Toc28359012"/>
      <w:r>
        <w:rPr>
          <w:rFonts w:hint="eastAsia" w:ascii="宋体" w:hAnsi="宋体" w:eastAsia="宋体" w:cs="宋体"/>
          <w:b w:val="0"/>
          <w:sz w:val="24"/>
          <w:szCs w:val="24"/>
        </w:rPr>
        <w:t>一、项目基本情况</w:t>
      </w:r>
      <w:bookmarkEnd w:id="3"/>
      <w:bookmarkEnd w:id="4"/>
      <w:bookmarkEnd w:id="5"/>
      <w:bookmarkEnd w:id="6"/>
      <w:r>
        <w:rPr>
          <w:rFonts w:hint="eastAsia" w:ascii="宋体" w:hAnsi="宋体" w:eastAsia="宋体" w:cs="宋体"/>
          <w:b w:val="0"/>
          <w:sz w:val="24"/>
          <w:szCs w:val="24"/>
        </w:rPr>
        <w:t>：</w:t>
      </w:r>
    </w:p>
    <w:p>
      <w:pPr>
        <w:ind w:firstLine="480" w:firstLineChars="200"/>
        <w:rPr>
          <w:rFonts w:ascii="宋体" w:hAnsi="宋体" w:eastAsia="宋体" w:cs="Times New Roman"/>
          <w:sz w:val="24"/>
          <w:szCs w:val="24"/>
        </w:rPr>
      </w:pPr>
      <w:r>
        <w:rPr>
          <w:rFonts w:hint="eastAsia" w:ascii="宋体" w:hAnsi="宋体" w:eastAsia="宋体"/>
          <w:sz w:val="24"/>
          <w:szCs w:val="24"/>
        </w:rPr>
        <w:t>项目编号：</w:t>
      </w:r>
      <w:r>
        <w:rPr>
          <w:rFonts w:hint="eastAsia" w:ascii="宋体" w:hAnsi="宋体" w:eastAsia="宋体" w:cs="Times New Roman"/>
          <w:sz w:val="24"/>
          <w:szCs w:val="24"/>
        </w:rPr>
        <w:t>GLZC2020-C3-230051-GXBG</w:t>
      </w:r>
    </w:p>
    <w:p>
      <w:pPr>
        <w:ind w:firstLine="480" w:firstLineChars="200"/>
        <w:rPr>
          <w:rFonts w:ascii="宋体" w:hAnsi="宋体" w:eastAsia="宋体" w:cs="Times New Roman"/>
          <w:sz w:val="24"/>
          <w:szCs w:val="24"/>
        </w:rPr>
      </w:pPr>
      <w:r>
        <w:rPr>
          <w:rFonts w:hint="eastAsia" w:ascii="宋体" w:hAnsi="宋体" w:eastAsia="宋体"/>
          <w:sz w:val="24"/>
          <w:szCs w:val="24"/>
        </w:rPr>
        <w:t>项目名称：</w:t>
      </w:r>
      <w:r>
        <w:rPr>
          <w:rFonts w:hint="eastAsia" w:ascii="宋体" w:hAnsi="宋体" w:eastAsia="宋体" w:cs="Times New Roman"/>
          <w:sz w:val="24"/>
          <w:szCs w:val="24"/>
        </w:rPr>
        <w:t>灵川县潭下镇人民政府雪亮工程项目</w:t>
      </w:r>
    </w:p>
    <w:p>
      <w:pPr>
        <w:ind w:firstLine="480" w:firstLineChars="200"/>
        <w:rPr>
          <w:rFonts w:ascii="宋体" w:hAnsi="宋体" w:eastAsia="宋体"/>
          <w:sz w:val="24"/>
          <w:szCs w:val="24"/>
        </w:rPr>
      </w:pPr>
      <w:r>
        <w:rPr>
          <w:rFonts w:hint="eastAsia" w:ascii="宋体" w:hAnsi="宋体" w:eastAsia="宋体"/>
          <w:sz w:val="24"/>
          <w:szCs w:val="24"/>
        </w:rPr>
        <w:t xml:space="preserve">采购方式：□竞争性谈判 </w:t>
      </w:r>
      <w:r>
        <w:rPr>
          <w:rFonts w:hint="eastAsia" w:ascii="宋体" w:hAnsi="宋体" w:eastAsia="宋体"/>
          <w:sz w:val="24"/>
          <w:szCs w:val="24"/>
        </w:rPr>
        <w:sym w:font="Wingdings 2" w:char="0052"/>
      </w:r>
      <w:r>
        <w:rPr>
          <w:rFonts w:hint="eastAsia" w:ascii="宋体" w:hAnsi="宋体" w:eastAsia="宋体"/>
          <w:sz w:val="24"/>
          <w:szCs w:val="24"/>
        </w:rPr>
        <w:t>竞争性磋商 □询价</w:t>
      </w:r>
    </w:p>
    <w:p>
      <w:pPr>
        <w:ind w:firstLine="480" w:firstLineChars="200"/>
        <w:rPr>
          <w:rFonts w:ascii="宋体" w:hAnsi="宋体" w:eastAsia="宋体"/>
          <w:sz w:val="24"/>
          <w:szCs w:val="24"/>
        </w:rPr>
      </w:pPr>
      <w:r>
        <w:rPr>
          <w:rFonts w:hint="eastAsia" w:ascii="宋体" w:hAnsi="宋体" w:eastAsia="宋体"/>
          <w:sz w:val="24"/>
          <w:szCs w:val="24"/>
        </w:rPr>
        <w:t>预算金额：人民币壹佰陆拾叁万壹仟贰佰元整</w:t>
      </w:r>
      <w:r>
        <w:rPr>
          <w:rFonts w:hint="eastAsia" w:ascii="宋体" w:hAnsi="宋体" w:eastAsia="宋体" w:cs="Times New Roman"/>
          <w:sz w:val="24"/>
          <w:szCs w:val="24"/>
        </w:rPr>
        <w:t>（￥1631200.00）</w:t>
      </w:r>
    </w:p>
    <w:p>
      <w:pPr>
        <w:ind w:firstLine="480" w:firstLineChars="200"/>
        <w:rPr>
          <w:rFonts w:ascii="宋体" w:hAnsi="宋体" w:eastAsia="宋体"/>
          <w:sz w:val="24"/>
          <w:szCs w:val="24"/>
        </w:rPr>
      </w:pPr>
      <w:r>
        <w:rPr>
          <w:rFonts w:hint="eastAsia" w:ascii="宋体" w:hAnsi="宋体" w:eastAsia="宋体"/>
          <w:sz w:val="24"/>
          <w:szCs w:val="24"/>
        </w:rPr>
        <w:t>最高限价：人民币壹佰陆拾叁万壹仟贰佰元整</w:t>
      </w:r>
      <w:r>
        <w:rPr>
          <w:rFonts w:hint="eastAsia" w:ascii="宋体" w:hAnsi="宋体" w:eastAsia="宋体" w:cs="Times New Roman"/>
          <w:sz w:val="24"/>
          <w:szCs w:val="24"/>
        </w:rPr>
        <w:t>（￥1631200.00）</w:t>
      </w:r>
    </w:p>
    <w:p>
      <w:pPr>
        <w:ind w:firstLine="480" w:firstLineChars="200"/>
        <w:rPr>
          <w:rFonts w:ascii="宋体" w:hAnsi="宋体" w:eastAsia="宋体"/>
          <w:sz w:val="24"/>
          <w:szCs w:val="24"/>
        </w:rPr>
      </w:pPr>
      <w:r>
        <w:rPr>
          <w:rFonts w:hint="eastAsia" w:ascii="宋体" w:hAnsi="宋体" w:eastAsia="宋体"/>
          <w:sz w:val="24"/>
          <w:szCs w:val="24"/>
        </w:rPr>
        <w:t>采购需求：</w:t>
      </w:r>
    </w:p>
    <w:tbl>
      <w:tblPr>
        <w:tblStyle w:val="9"/>
        <w:tblW w:w="9399" w:type="dxa"/>
        <w:tblInd w:w="5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4111"/>
        <w:gridCol w:w="766"/>
        <w:gridCol w:w="1300"/>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Pr>
          <w:p>
            <w:pPr>
              <w:spacing w:line="360" w:lineRule="exact"/>
              <w:jc w:val="center"/>
              <w:rPr>
                <w:rFonts w:ascii="宋体" w:hAnsi="宋体" w:eastAsia="宋体" w:cs="宋体"/>
                <w:b/>
                <w:bCs/>
                <w:sz w:val="24"/>
                <w:szCs w:val="24"/>
              </w:rPr>
            </w:pPr>
            <w:r>
              <w:rPr>
                <w:rFonts w:hint="eastAsia" w:ascii="宋体" w:hAnsi="宋体" w:eastAsia="宋体"/>
                <w:b/>
                <w:sz w:val="24"/>
                <w:szCs w:val="24"/>
              </w:rPr>
              <w:t>序号</w:t>
            </w:r>
          </w:p>
        </w:tc>
        <w:tc>
          <w:tcPr>
            <w:tcW w:w="4111" w:type="dxa"/>
          </w:tcPr>
          <w:p>
            <w:pPr>
              <w:spacing w:line="360" w:lineRule="exact"/>
              <w:jc w:val="center"/>
              <w:rPr>
                <w:rFonts w:ascii="宋体" w:hAnsi="宋体" w:eastAsia="宋体" w:cs="宋体"/>
                <w:b/>
                <w:bCs/>
                <w:sz w:val="24"/>
                <w:szCs w:val="24"/>
              </w:rPr>
            </w:pPr>
            <w:r>
              <w:rPr>
                <w:rFonts w:hint="eastAsia" w:ascii="宋体" w:hAnsi="宋体" w:eastAsia="宋体"/>
                <w:b/>
                <w:sz w:val="24"/>
                <w:szCs w:val="24"/>
              </w:rPr>
              <w:t>服务内容</w:t>
            </w:r>
          </w:p>
        </w:tc>
        <w:tc>
          <w:tcPr>
            <w:tcW w:w="766" w:type="dxa"/>
          </w:tcPr>
          <w:p>
            <w:pPr>
              <w:spacing w:line="360" w:lineRule="exact"/>
              <w:jc w:val="center"/>
              <w:rPr>
                <w:rFonts w:ascii="宋体" w:hAnsi="宋体" w:eastAsia="宋体" w:cs="宋体"/>
                <w:b/>
                <w:bCs/>
                <w:sz w:val="24"/>
                <w:szCs w:val="24"/>
              </w:rPr>
            </w:pPr>
            <w:r>
              <w:rPr>
                <w:rFonts w:hint="eastAsia" w:ascii="宋体" w:hAnsi="宋体" w:eastAsia="宋体"/>
                <w:b/>
                <w:sz w:val="24"/>
                <w:szCs w:val="24"/>
              </w:rPr>
              <w:t>数量</w:t>
            </w:r>
          </w:p>
        </w:tc>
        <w:tc>
          <w:tcPr>
            <w:tcW w:w="1300" w:type="dxa"/>
          </w:tcPr>
          <w:p>
            <w:pPr>
              <w:spacing w:line="360" w:lineRule="exact"/>
              <w:jc w:val="center"/>
              <w:rPr>
                <w:rFonts w:ascii="宋体" w:hAnsi="宋体" w:eastAsia="宋体" w:cs="宋体"/>
                <w:b/>
                <w:bCs/>
                <w:sz w:val="24"/>
                <w:szCs w:val="24"/>
              </w:rPr>
            </w:pPr>
            <w:r>
              <w:rPr>
                <w:rFonts w:hint="eastAsia" w:ascii="宋体" w:hAnsi="宋体" w:eastAsia="宋体"/>
                <w:b/>
                <w:sz w:val="24"/>
                <w:szCs w:val="24"/>
              </w:rPr>
              <w:t>单位</w:t>
            </w:r>
          </w:p>
        </w:tc>
        <w:tc>
          <w:tcPr>
            <w:tcW w:w="2692" w:type="dxa"/>
          </w:tcPr>
          <w:p>
            <w:pPr>
              <w:spacing w:line="360" w:lineRule="exact"/>
              <w:jc w:val="center"/>
              <w:rPr>
                <w:rFonts w:ascii="宋体" w:hAnsi="宋体" w:eastAsia="宋体" w:cs="宋体"/>
                <w:b/>
                <w:bCs/>
                <w:sz w:val="24"/>
                <w:szCs w:val="24"/>
              </w:rPr>
            </w:pPr>
            <w:r>
              <w:rPr>
                <w:rFonts w:hint="eastAsia" w:ascii="宋体" w:hAnsi="宋体" w:eastAsia="宋体"/>
                <w:b/>
                <w:sz w:val="24"/>
                <w:szCs w:val="24"/>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0"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1</w:t>
            </w:r>
          </w:p>
        </w:tc>
        <w:tc>
          <w:tcPr>
            <w:tcW w:w="4111" w:type="dxa"/>
          </w:tcPr>
          <w:p>
            <w:pPr>
              <w:spacing w:line="360" w:lineRule="exact"/>
              <w:jc w:val="center"/>
              <w:rPr>
                <w:rFonts w:ascii="宋体" w:hAnsi="宋体" w:eastAsia="宋体" w:cs="宋体"/>
                <w:sz w:val="24"/>
                <w:szCs w:val="24"/>
              </w:rPr>
            </w:pPr>
            <w:r>
              <w:rPr>
                <w:rFonts w:hint="eastAsia" w:ascii="宋体" w:hAnsi="宋体" w:eastAsia="宋体"/>
                <w:sz w:val="24"/>
                <w:szCs w:val="24"/>
              </w:rPr>
              <w:t>定向视频采集服务</w:t>
            </w:r>
          </w:p>
        </w:tc>
        <w:tc>
          <w:tcPr>
            <w:tcW w:w="766"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1</w:t>
            </w:r>
          </w:p>
        </w:tc>
        <w:tc>
          <w:tcPr>
            <w:tcW w:w="1300"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项</w:t>
            </w:r>
          </w:p>
        </w:tc>
        <w:tc>
          <w:tcPr>
            <w:tcW w:w="2692" w:type="dxa"/>
            <w:vMerge w:val="restart"/>
            <w:vAlign w:val="center"/>
          </w:tcPr>
          <w:p>
            <w:pPr>
              <w:spacing w:line="360" w:lineRule="exact"/>
              <w:jc w:val="center"/>
              <w:rPr>
                <w:rFonts w:ascii="宋体" w:hAnsi="宋体" w:eastAsia="宋体" w:cs="宋体"/>
                <w:b/>
                <w:bCs/>
                <w:sz w:val="24"/>
                <w:szCs w:val="24"/>
              </w:rPr>
            </w:pPr>
            <w:r>
              <w:rPr>
                <w:rFonts w:hint="eastAsia" w:ascii="宋体" w:hAnsi="宋体" w:eastAsia="宋体"/>
                <w:sz w:val="24"/>
                <w:szCs w:val="24"/>
              </w:rPr>
              <w:t>如需进一步了解详细内容，详见磋商文件。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0"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2</w:t>
            </w:r>
          </w:p>
        </w:tc>
        <w:tc>
          <w:tcPr>
            <w:tcW w:w="4111" w:type="dxa"/>
          </w:tcPr>
          <w:p>
            <w:pPr>
              <w:spacing w:line="360" w:lineRule="exact"/>
              <w:jc w:val="center"/>
              <w:rPr>
                <w:rFonts w:ascii="宋体" w:hAnsi="宋体" w:eastAsia="宋体" w:cs="宋体"/>
                <w:sz w:val="24"/>
                <w:szCs w:val="24"/>
              </w:rPr>
            </w:pPr>
            <w:r>
              <w:rPr>
                <w:rFonts w:hint="eastAsia" w:ascii="宋体" w:hAnsi="宋体" w:eastAsia="宋体"/>
                <w:sz w:val="24"/>
                <w:szCs w:val="24"/>
              </w:rPr>
              <w:t>视频监控管理平台服务</w:t>
            </w:r>
          </w:p>
        </w:tc>
        <w:tc>
          <w:tcPr>
            <w:tcW w:w="766"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1</w:t>
            </w:r>
          </w:p>
        </w:tc>
        <w:tc>
          <w:tcPr>
            <w:tcW w:w="1300"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项</w:t>
            </w:r>
          </w:p>
        </w:tc>
        <w:tc>
          <w:tcPr>
            <w:tcW w:w="2692" w:type="dxa"/>
            <w:vMerge w:val="continue"/>
          </w:tcPr>
          <w:p>
            <w:pPr>
              <w:spacing w:line="360" w:lineRule="exact"/>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3</w:t>
            </w:r>
          </w:p>
        </w:tc>
        <w:tc>
          <w:tcPr>
            <w:tcW w:w="4111" w:type="dxa"/>
          </w:tcPr>
          <w:p>
            <w:pPr>
              <w:spacing w:line="360" w:lineRule="exact"/>
              <w:jc w:val="center"/>
              <w:rPr>
                <w:rFonts w:ascii="宋体" w:hAnsi="宋体" w:eastAsia="宋体"/>
                <w:sz w:val="24"/>
                <w:szCs w:val="24"/>
              </w:rPr>
            </w:pPr>
            <w:r>
              <w:rPr>
                <w:rFonts w:hint="eastAsia" w:ascii="宋体" w:hAnsi="宋体" w:eastAsia="宋体"/>
                <w:sz w:val="24"/>
                <w:szCs w:val="24"/>
              </w:rPr>
              <w:t>前端监控联网服务</w:t>
            </w:r>
          </w:p>
        </w:tc>
        <w:tc>
          <w:tcPr>
            <w:tcW w:w="766"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1</w:t>
            </w:r>
          </w:p>
        </w:tc>
        <w:tc>
          <w:tcPr>
            <w:tcW w:w="1300"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项</w:t>
            </w:r>
          </w:p>
        </w:tc>
        <w:tc>
          <w:tcPr>
            <w:tcW w:w="2692" w:type="dxa"/>
            <w:vMerge w:val="continue"/>
          </w:tcPr>
          <w:p>
            <w:pPr>
              <w:spacing w:line="360" w:lineRule="exact"/>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4</w:t>
            </w:r>
          </w:p>
        </w:tc>
        <w:tc>
          <w:tcPr>
            <w:tcW w:w="4111" w:type="dxa"/>
          </w:tcPr>
          <w:p>
            <w:pPr>
              <w:spacing w:line="360" w:lineRule="exact"/>
              <w:jc w:val="center"/>
              <w:rPr>
                <w:rFonts w:ascii="宋体" w:hAnsi="宋体" w:eastAsia="宋体"/>
                <w:sz w:val="24"/>
                <w:szCs w:val="24"/>
              </w:rPr>
            </w:pPr>
            <w:r>
              <w:rPr>
                <w:rFonts w:hint="eastAsia" w:ascii="宋体" w:hAnsi="宋体" w:eastAsia="宋体"/>
                <w:sz w:val="24"/>
                <w:szCs w:val="24"/>
              </w:rPr>
              <w:t>乡镇综治中心及派出所监控联网服务</w:t>
            </w:r>
          </w:p>
        </w:tc>
        <w:tc>
          <w:tcPr>
            <w:tcW w:w="766"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1</w:t>
            </w:r>
          </w:p>
        </w:tc>
        <w:tc>
          <w:tcPr>
            <w:tcW w:w="1300"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项</w:t>
            </w:r>
          </w:p>
        </w:tc>
        <w:tc>
          <w:tcPr>
            <w:tcW w:w="2692" w:type="dxa"/>
            <w:vMerge w:val="continue"/>
          </w:tcPr>
          <w:p>
            <w:pPr>
              <w:spacing w:line="360" w:lineRule="exact"/>
              <w:rPr>
                <w:rFonts w:ascii="宋体" w:hAnsi="宋体" w:eastAsia="宋体" w:cs="宋体"/>
                <w:b/>
                <w:bCs/>
                <w:sz w:val="24"/>
                <w:szCs w:val="24"/>
              </w:rPr>
            </w:pPr>
          </w:p>
        </w:tc>
      </w:tr>
    </w:tbl>
    <w:p>
      <w:pPr>
        <w:rPr>
          <w:rFonts w:ascii="宋体" w:hAnsi="宋体" w:eastAsia="宋体"/>
          <w:sz w:val="24"/>
          <w:szCs w:val="24"/>
        </w:rPr>
      </w:pPr>
    </w:p>
    <w:p>
      <w:pPr>
        <w:ind w:firstLine="480" w:firstLineChars="200"/>
        <w:rPr>
          <w:rFonts w:ascii="宋体" w:hAnsi="宋体" w:eastAsia="宋体"/>
          <w:sz w:val="24"/>
          <w:szCs w:val="24"/>
          <w:u w:val="single"/>
        </w:rPr>
      </w:pPr>
      <w:r>
        <w:rPr>
          <w:rFonts w:hint="eastAsia" w:ascii="宋体" w:hAnsi="宋体" w:eastAsia="宋体"/>
          <w:sz w:val="24"/>
          <w:szCs w:val="24"/>
        </w:rPr>
        <w:t>合同履行期限：服务期限三年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本项目</w:t>
      </w:r>
      <w:r>
        <w:rPr>
          <w:rFonts w:hint="eastAsia" w:ascii="宋体" w:hAnsi="宋体" w:eastAsia="宋体"/>
          <w:sz w:val="24"/>
          <w:szCs w:val="24"/>
          <w:u w:val="single"/>
        </w:rPr>
        <w:t>不接受</w:t>
      </w:r>
      <w:r>
        <w:rPr>
          <w:rFonts w:hint="eastAsia" w:ascii="宋体" w:hAnsi="宋体" w:eastAsia="宋体"/>
          <w:sz w:val="24"/>
          <w:szCs w:val="24"/>
        </w:rPr>
        <w:t>接受联合体。</w:t>
      </w:r>
    </w:p>
    <w:p>
      <w:pPr>
        <w:pStyle w:val="4"/>
        <w:spacing w:line="360" w:lineRule="auto"/>
        <w:rPr>
          <w:rFonts w:ascii="宋体" w:hAnsi="宋体" w:eastAsia="宋体" w:cs="宋体"/>
          <w:b w:val="0"/>
          <w:sz w:val="24"/>
          <w:szCs w:val="24"/>
        </w:rPr>
      </w:pPr>
      <w:bookmarkStart w:id="7" w:name="_Toc28359090"/>
      <w:bookmarkStart w:id="8" w:name="_Toc28359013"/>
      <w:bookmarkStart w:id="9" w:name="_Toc35393630"/>
      <w:bookmarkStart w:id="10" w:name="_Toc35393799"/>
      <w:r>
        <w:rPr>
          <w:rFonts w:hint="eastAsia" w:ascii="宋体" w:hAnsi="宋体" w:eastAsia="宋体" w:cs="宋体"/>
          <w:b w:val="0"/>
          <w:sz w:val="24"/>
          <w:szCs w:val="24"/>
        </w:rPr>
        <w:t>二、申请人的资格要求：</w:t>
      </w:r>
      <w:bookmarkEnd w:id="7"/>
      <w:bookmarkEnd w:id="8"/>
      <w:bookmarkEnd w:id="9"/>
      <w:bookmarkEnd w:id="10"/>
    </w:p>
    <w:p>
      <w:pPr>
        <w:spacing w:line="300" w:lineRule="exact"/>
        <w:ind w:firstLine="480" w:firstLineChars="200"/>
        <w:rPr>
          <w:rFonts w:ascii="宋体" w:hAnsi="宋体" w:eastAsia="宋体" w:cs="宋体"/>
          <w:sz w:val="24"/>
          <w:szCs w:val="24"/>
        </w:rPr>
      </w:pPr>
      <w:bookmarkStart w:id="11" w:name="_Toc28359091"/>
      <w:bookmarkStart w:id="12" w:name="_Toc35393631"/>
      <w:bookmarkStart w:id="13" w:name="_Toc35393800"/>
      <w:bookmarkStart w:id="14" w:name="_Toc28359014"/>
      <w:r>
        <w:rPr>
          <w:rFonts w:hint="eastAsia" w:ascii="宋体" w:hAnsi="宋体" w:eastAsia="宋体" w:cs="宋体"/>
          <w:sz w:val="24"/>
          <w:szCs w:val="24"/>
        </w:rPr>
        <w:t>1.满足《中华人民共和国政府采购法》第二十二条规定；</w:t>
      </w:r>
    </w:p>
    <w:p>
      <w:pPr>
        <w:spacing w:line="340" w:lineRule="exact"/>
        <w:ind w:firstLine="480" w:firstLineChars="200"/>
        <w:rPr>
          <w:rFonts w:ascii="宋体" w:hAnsi="宋体" w:eastAsia="宋体" w:cs="宋体"/>
          <w:sz w:val="24"/>
          <w:szCs w:val="24"/>
        </w:rPr>
      </w:pPr>
      <w:r>
        <w:rPr>
          <w:rFonts w:hint="eastAsia" w:ascii="宋体" w:hAnsi="宋体" w:eastAsia="宋体" w:cs="宋体"/>
          <w:sz w:val="24"/>
          <w:szCs w:val="24"/>
        </w:rPr>
        <w:t>2.落实政府采购政策需满足的资格要求：</w:t>
      </w:r>
    </w:p>
    <w:p>
      <w:pPr>
        <w:spacing w:line="340" w:lineRule="exact"/>
        <w:ind w:firstLine="480" w:firstLineChars="200"/>
        <w:rPr>
          <w:rFonts w:ascii="宋体" w:hAnsi="宋体" w:eastAsia="宋体" w:cs="宋体"/>
          <w:sz w:val="24"/>
          <w:szCs w:val="24"/>
        </w:rPr>
      </w:pPr>
      <w:r>
        <w:rPr>
          <w:rFonts w:hint="eastAsia" w:ascii="宋体" w:hAnsi="宋体" w:eastAsia="宋体" w:cs="宋体"/>
          <w:sz w:val="24"/>
          <w:szCs w:val="24"/>
        </w:rPr>
        <w:t>（1）《政府采购促进中小企业发展暂行办法》（财库[2011]181号）；</w:t>
      </w:r>
    </w:p>
    <w:p>
      <w:pPr>
        <w:spacing w:line="340" w:lineRule="exact"/>
        <w:ind w:firstLine="480" w:firstLineChars="200"/>
        <w:rPr>
          <w:rFonts w:ascii="宋体" w:hAnsi="宋体" w:eastAsia="宋体" w:cs="宋体"/>
          <w:sz w:val="24"/>
          <w:szCs w:val="24"/>
        </w:rPr>
      </w:pPr>
      <w:r>
        <w:rPr>
          <w:rFonts w:hint="eastAsia" w:ascii="宋体" w:hAnsi="宋体" w:eastAsia="宋体" w:cs="宋体"/>
          <w:sz w:val="24"/>
          <w:szCs w:val="24"/>
        </w:rPr>
        <w:t>（2）《关于政府采购支持监狱企业发展有关问题的通知》（财库[2014]68号）；</w:t>
      </w:r>
    </w:p>
    <w:p>
      <w:pPr>
        <w:spacing w:line="340" w:lineRule="exact"/>
        <w:ind w:firstLine="480" w:firstLineChars="200"/>
        <w:rPr>
          <w:rFonts w:ascii="宋体" w:hAnsi="宋体" w:eastAsia="宋体" w:cs="宋体"/>
          <w:sz w:val="24"/>
          <w:szCs w:val="24"/>
        </w:rPr>
      </w:pPr>
      <w:r>
        <w:rPr>
          <w:rFonts w:hint="eastAsia" w:ascii="宋体" w:hAnsi="宋体" w:eastAsia="宋体" w:cs="宋体"/>
          <w:sz w:val="24"/>
          <w:szCs w:val="24"/>
        </w:rPr>
        <w:t>（3）《关于促进残疾人就业政府采购政策的通知》（财库[2017]141号）；</w:t>
      </w:r>
    </w:p>
    <w:p>
      <w:pPr>
        <w:spacing w:line="34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（4）《关于调整优化节能产品、环境标志产品政府采购执行机制的通知》（财库〔2019〕9号）；    </w:t>
      </w:r>
    </w:p>
    <w:p>
      <w:pPr>
        <w:spacing w:line="340" w:lineRule="exact"/>
        <w:ind w:firstLine="480" w:firstLineChars="200"/>
        <w:rPr>
          <w:rFonts w:ascii="宋体" w:hAnsi="宋体" w:eastAsia="宋体" w:cs="宋体"/>
          <w:sz w:val="24"/>
          <w:szCs w:val="24"/>
        </w:rPr>
      </w:pPr>
      <w:r>
        <w:rPr>
          <w:rFonts w:hint="eastAsia" w:ascii="宋体" w:hAnsi="宋体" w:eastAsia="宋体" w:cs="宋体"/>
          <w:sz w:val="24"/>
          <w:szCs w:val="24"/>
        </w:rPr>
        <w:t>（5） 《广西壮族自治区人民政府办公厅关于印发招标采购促进广西工业产品产销对接实施细则的通知》（桂政办发[2015]78号）；</w:t>
      </w:r>
    </w:p>
    <w:p>
      <w:pPr>
        <w:spacing w:line="300" w:lineRule="exact"/>
        <w:ind w:firstLine="480" w:firstLineChars="200"/>
        <w:rPr>
          <w:rFonts w:ascii="宋体" w:hAnsi="宋体" w:eastAsia="宋体" w:cs="宋体"/>
          <w:sz w:val="24"/>
          <w:szCs w:val="24"/>
        </w:rPr>
      </w:pPr>
      <w:r>
        <w:rPr>
          <w:rFonts w:hint="eastAsia" w:ascii="宋体" w:hAnsi="宋体" w:eastAsia="宋体" w:cs="宋体"/>
          <w:sz w:val="24"/>
          <w:szCs w:val="24"/>
        </w:rPr>
        <w:t>3.本项目的特定资格要求：无；</w:t>
      </w:r>
    </w:p>
    <w:p>
      <w:pPr>
        <w:spacing w:line="300" w:lineRule="exact"/>
        <w:ind w:firstLine="480" w:firstLineChars="200"/>
        <w:rPr>
          <w:rFonts w:ascii="宋体" w:hAnsi="宋体" w:eastAsia="宋体" w:cs="宋体"/>
          <w:sz w:val="24"/>
          <w:szCs w:val="24"/>
        </w:rPr>
      </w:pPr>
      <w:r>
        <w:rPr>
          <w:rFonts w:hint="eastAsia" w:ascii="宋体" w:hAnsi="宋体" w:eastAsia="宋体" w:cs="宋体"/>
          <w:sz w:val="24"/>
          <w:szCs w:val="24"/>
        </w:rPr>
        <w:t>4.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w:t>
      </w:r>
    </w:p>
    <w:p>
      <w:pPr>
        <w:spacing w:line="300" w:lineRule="exact"/>
        <w:ind w:firstLine="480" w:firstLineChars="200"/>
        <w:rPr>
          <w:rFonts w:ascii="宋体" w:hAnsi="宋体" w:eastAsia="宋体" w:cs="宋体"/>
          <w:sz w:val="24"/>
          <w:szCs w:val="24"/>
        </w:rPr>
      </w:pPr>
      <w:r>
        <w:rPr>
          <w:rFonts w:hint="eastAsia" w:ascii="宋体" w:hAnsi="宋体" w:eastAsia="宋体" w:cs="宋体"/>
          <w:sz w:val="24"/>
          <w:szCs w:val="24"/>
        </w:rPr>
        <w:t>5.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p>
      <w:pPr>
        <w:pStyle w:val="4"/>
        <w:ind w:firstLine="480" w:firstLineChars="200"/>
      </w:pPr>
      <w:r>
        <w:rPr>
          <w:rFonts w:hint="eastAsia" w:ascii="宋体" w:hAnsi="宋体" w:eastAsia="宋体" w:cs="宋体"/>
          <w:b w:val="0"/>
          <w:bCs w:val="0"/>
          <w:sz w:val="24"/>
          <w:szCs w:val="24"/>
        </w:rPr>
        <w:t>本项目不接受联合体。</w:t>
      </w:r>
    </w:p>
    <w:p>
      <w:pPr>
        <w:rPr>
          <w:rFonts w:ascii="宋体" w:hAnsi="宋体" w:eastAsia="宋体" w:cs="宋体"/>
          <w:sz w:val="24"/>
          <w:szCs w:val="24"/>
        </w:rPr>
      </w:pPr>
      <w:r>
        <w:rPr>
          <w:rFonts w:hint="eastAsia" w:ascii="宋体" w:hAnsi="宋体" w:eastAsia="宋体" w:cs="宋体"/>
          <w:sz w:val="24"/>
          <w:szCs w:val="24"/>
        </w:rPr>
        <w:t>三、获取采购文件</w:t>
      </w:r>
      <w:bookmarkEnd w:id="11"/>
      <w:bookmarkEnd w:id="12"/>
      <w:bookmarkEnd w:id="13"/>
      <w:bookmarkEnd w:id="14"/>
    </w:p>
    <w:p>
      <w:pPr>
        <w:spacing w:line="440" w:lineRule="atLeast"/>
        <w:ind w:firstLine="540"/>
        <w:rPr>
          <w:rFonts w:ascii="宋体" w:hAnsi="宋体" w:eastAsia="宋体" w:cs="宋体"/>
          <w:color w:val="333333"/>
          <w:kern w:val="2"/>
          <w:sz w:val="21"/>
          <w:szCs w:val="21"/>
        </w:rPr>
      </w:pPr>
      <w:bookmarkStart w:id="15" w:name="_Toc28359015"/>
      <w:bookmarkStart w:id="16" w:name="_Toc35393632"/>
      <w:bookmarkStart w:id="17" w:name="_Toc28359092"/>
      <w:bookmarkStart w:id="18" w:name="_Toc35393801"/>
      <w:r>
        <w:rPr>
          <w:rFonts w:hint="eastAsia" w:ascii="宋体" w:hAnsi="宋体" w:eastAsia="宋体" w:cs="宋体"/>
          <w:b/>
          <w:bCs/>
          <w:sz w:val="24"/>
          <w:szCs w:val="24"/>
        </w:rPr>
        <w:t>时间：</w:t>
      </w:r>
      <w:r>
        <w:rPr>
          <w:rFonts w:hint="eastAsia" w:ascii="宋体" w:hAnsi="宋体" w:eastAsia="宋体"/>
          <w:sz w:val="24"/>
          <w:szCs w:val="24"/>
        </w:rPr>
        <w:t>自发布公告之时起至投标截止时间止。</w:t>
      </w:r>
    </w:p>
    <w:p>
      <w:pPr>
        <w:spacing w:line="440" w:lineRule="atLeast"/>
        <w:ind w:firstLine="540"/>
        <w:rPr>
          <w:rFonts w:ascii="宋体" w:hAnsi="宋体" w:eastAsia="宋体" w:cs="宋体"/>
          <w:b/>
          <w:bCs/>
          <w:sz w:val="24"/>
          <w:szCs w:val="24"/>
          <w:u w:val="single"/>
        </w:rPr>
      </w:pPr>
      <w:r>
        <w:rPr>
          <w:rFonts w:hint="eastAsia" w:ascii="宋体" w:hAnsi="宋体" w:eastAsia="宋体" w:cs="宋体"/>
          <w:b/>
          <w:bCs/>
          <w:sz w:val="24"/>
          <w:szCs w:val="24"/>
        </w:rPr>
        <w:t>地点：</w:t>
      </w:r>
      <w:r>
        <w:rPr>
          <w:rFonts w:hint="eastAsia" w:ascii="宋体" w:hAnsi="宋体" w:eastAsia="宋体"/>
          <w:sz w:val="24"/>
          <w:szCs w:val="24"/>
        </w:rPr>
        <w:t>潜在供应商登陆桂林市公共资源交易中心网（</w:t>
      </w:r>
      <w:r>
        <w:fldChar w:fldCharType="begin"/>
      </w:r>
      <w:r>
        <w:instrText xml:space="preserve"> HYPERLINK "http://ggzy.guilin.cn" </w:instrText>
      </w:r>
      <w:r>
        <w:fldChar w:fldCharType="separate"/>
      </w:r>
      <w:r>
        <w:rPr>
          <w:rFonts w:hint="eastAsia" w:ascii="宋体" w:hAnsi="宋体" w:eastAsia="宋体"/>
          <w:sz w:val="24"/>
          <w:szCs w:val="24"/>
        </w:rPr>
        <w:t>http://glggzy.org.cn</w:t>
      </w:r>
      <w:r>
        <w:rPr>
          <w:rFonts w:hint="eastAsia" w:ascii="宋体" w:hAnsi="宋体" w:eastAsia="宋体"/>
          <w:sz w:val="24"/>
          <w:szCs w:val="24"/>
        </w:rPr>
        <w:fldChar w:fldCharType="end"/>
      </w:r>
      <w:r>
        <w:rPr>
          <w:rFonts w:hint="eastAsia" w:ascii="宋体" w:hAnsi="宋体" w:eastAsia="宋体"/>
          <w:sz w:val="24"/>
          <w:szCs w:val="24"/>
        </w:rPr>
        <w:t>）、</w:t>
      </w:r>
      <w:r>
        <w:rPr>
          <w:rFonts w:hint="eastAsia" w:ascii="宋体" w:hAnsi="宋体" w:eastAsia="宋体" w:cs="宋体"/>
          <w:sz w:val="24"/>
          <w:szCs w:val="24"/>
        </w:rPr>
        <w:t>桂林市政府采购网（http://zfcg.czj.guilin.gov.cn/）</w:t>
      </w:r>
      <w:r>
        <w:rPr>
          <w:rFonts w:hint="eastAsia" w:ascii="宋体" w:hAnsi="宋体" w:eastAsia="宋体"/>
          <w:sz w:val="24"/>
          <w:szCs w:val="24"/>
        </w:rPr>
        <w:t>，从网上下载竞争性磋商文件电子版；并根据竞争性磋商文件规定的响应文件递交截止时间和地点直接提交响应文件参与投标。</w:t>
      </w:r>
    </w:p>
    <w:p>
      <w:pPr>
        <w:spacing w:line="440" w:lineRule="atLeast"/>
        <w:ind w:firstLine="540"/>
        <w:rPr>
          <w:rFonts w:ascii="宋体" w:hAnsi="宋体" w:eastAsia="宋体" w:cs="宋体"/>
          <w:sz w:val="24"/>
          <w:szCs w:val="24"/>
          <w:u w:val="single"/>
        </w:rPr>
      </w:pPr>
      <w:r>
        <w:rPr>
          <w:rFonts w:hint="eastAsia" w:ascii="宋体" w:hAnsi="宋体" w:eastAsia="宋体" w:cs="宋体"/>
          <w:b/>
          <w:bCs/>
          <w:sz w:val="24"/>
          <w:szCs w:val="24"/>
        </w:rPr>
        <w:t>方式：</w:t>
      </w:r>
      <w:r>
        <w:rPr>
          <w:rFonts w:hint="eastAsia" w:ascii="宋体" w:hAnsi="宋体" w:eastAsia="宋体"/>
          <w:sz w:val="24"/>
          <w:szCs w:val="24"/>
        </w:rPr>
        <w:t>潜在供应商登陆桂林市公共资源交易中心网（</w:t>
      </w:r>
      <w:r>
        <w:fldChar w:fldCharType="begin"/>
      </w:r>
      <w:r>
        <w:instrText xml:space="preserve"> HYPERLINK "http://ggzy.guilin.cn" </w:instrText>
      </w:r>
      <w:r>
        <w:fldChar w:fldCharType="separate"/>
      </w:r>
      <w:r>
        <w:rPr>
          <w:rFonts w:hint="eastAsia" w:ascii="宋体" w:hAnsi="宋体" w:eastAsia="宋体"/>
          <w:sz w:val="24"/>
          <w:szCs w:val="24"/>
        </w:rPr>
        <w:t>http://glggzy.org.cn</w:t>
      </w:r>
      <w:r>
        <w:rPr>
          <w:rFonts w:hint="eastAsia" w:ascii="宋体" w:hAnsi="宋体" w:eastAsia="宋体"/>
          <w:sz w:val="24"/>
          <w:szCs w:val="24"/>
        </w:rPr>
        <w:fldChar w:fldCharType="end"/>
      </w:r>
      <w:r>
        <w:rPr>
          <w:rFonts w:hint="eastAsia" w:ascii="宋体" w:hAnsi="宋体" w:eastAsia="宋体"/>
          <w:sz w:val="24"/>
          <w:szCs w:val="24"/>
        </w:rPr>
        <w:t>）、</w:t>
      </w:r>
      <w:r>
        <w:rPr>
          <w:rFonts w:hint="eastAsia" w:ascii="宋体" w:hAnsi="宋体" w:eastAsia="宋体" w:cs="宋体"/>
          <w:sz w:val="24"/>
          <w:szCs w:val="24"/>
        </w:rPr>
        <w:t>桂林市政府采购网（http://zfcg.czj.guilin.gov.cn/）</w:t>
      </w:r>
      <w:r>
        <w:rPr>
          <w:rFonts w:hint="eastAsia" w:ascii="宋体" w:hAnsi="宋体" w:eastAsia="宋体"/>
          <w:sz w:val="24"/>
          <w:szCs w:val="24"/>
        </w:rPr>
        <w:t>，从网上下载竞争性磋商文件电子版；</w:t>
      </w:r>
    </w:p>
    <w:p>
      <w:pPr>
        <w:spacing w:line="440" w:lineRule="atLeast"/>
        <w:ind w:firstLine="540"/>
        <w:rPr>
          <w:rFonts w:ascii="宋体" w:hAnsi="宋体" w:eastAsia="宋体" w:cs="宋体"/>
          <w:b/>
          <w:bCs/>
          <w:sz w:val="24"/>
          <w:szCs w:val="24"/>
        </w:rPr>
      </w:pPr>
      <w:r>
        <w:rPr>
          <w:rFonts w:hint="eastAsia" w:ascii="宋体" w:hAnsi="宋体" w:eastAsia="宋体" w:cs="宋体"/>
          <w:b/>
          <w:bCs/>
          <w:sz w:val="24"/>
          <w:szCs w:val="24"/>
        </w:rPr>
        <w:t>售价：</w:t>
      </w:r>
      <w:r>
        <w:rPr>
          <w:rFonts w:hint="eastAsia" w:ascii="宋体" w:hAnsi="宋体" w:eastAsia="宋体" w:cs="宋体"/>
          <w:sz w:val="24"/>
          <w:szCs w:val="24"/>
        </w:rPr>
        <w:t>本项目竞争性磋商文件不收费。</w:t>
      </w:r>
    </w:p>
    <w:p>
      <w:pPr>
        <w:pStyle w:val="4"/>
        <w:numPr>
          <w:ilvl w:val="0"/>
          <w:numId w:val="1"/>
        </w:numPr>
        <w:spacing w:line="360" w:lineRule="auto"/>
        <w:rPr>
          <w:rFonts w:ascii="宋体" w:hAnsi="宋体" w:eastAsia="宋体" w:cs="宋体"/>
          <w:b w:val="0"/>
          <w:sz w:val="24"/>
          <w:szCs w:val="24"/>
        </w:rPr>
      </w:pPr>
      <w:r>
        <w:rPr>
          <w:rFonts w:hint="eastAsia" w:ascii="宋体" w:hAnsi="宋体" w:eastAsia="宋体" w:cs="宋体"/>
          <w:b w:val="0"/>
          <w:sz w:val="24"/>
          <w:szCs w:val="24"/>
        </w:rPr>
        <w:t>响应文件提交</w:t>
      </w:r>
      <w:bookmarkEnd w:id="15"/>
      <w:bookmarkEnd w:id="16"/>
      <w:bookmarkEnd w:id="17"/>
      <w:bookmarkEnd w:id="18"/>
      <w:bookmarkStart w:id="19" w:name="_Toc28359017"/>
      <w:bookmarkStart w:id="20" w:name="_Toc35393803"/>
      <w:bookmarkStart w:id="21" w:name="_Toc35393634"/>
      <w:bookmarkStart w:id="22" w:name="_Toc28359094"/>
    </w:p>
    <w:p>
      <w:pPr>
        <w:pStyle w:val="4"/>
        <w:spacing w:line="360" w:lineRule="auto"/>
        <w:ind w:firstLine="482" w:firstLineChars="200"/>
        <w:rPr>
          <w:rFonts w:ascii="宋体" w:hAnsi="宋体" w:eastAsia="宋体" w:cs="宋体"/>
          <w:sz w:val="24"/>
          <w:szCs w:val="24"/>
          <w:u w:val="single"/>
        </w:rPr>
      </w:pPr>
      <w:r>
        <w:rPr>
          <w:rFonts w:hint="eastAsia" w:ascii="宋体" w:hAnsi="宋体" w:eastAsia="宋体" w:cs="宋体"/>
          <w:sz w:val="24"/>
          <w:szCs w:val="24"/>
        </w:rPr>
        <w:t>截止时间：</w:t>
      </w:r>
      <w:r>
        <w:rPr>
          <w:rFonts w:hint="eastAsia" w:ascii="宋体" w:hAnsi="宋体" w:eastAsia="宋体" w:cs="宋体"/>
          <w:sz w:val="24"/>
          <w:szCs w:val="24"/>
          <w:u w:val="single"/>
        </w:rPr>
        <w:t xml:space="preserve"> 2020年</w:t>
      </w:r>
      <w:r>
        <w:rPr>
          <w:rFonts w:hint="eastAsia" w:ascii="宋体" w:hAnsi="宋体" w:eastAsia="宋体" w:cs="宋体"/>
          <w:sz w:val="24"/>
          <w:szCs w:val="24"/>
          <w:u w:val="single"/>
          <w:lang w:val="en-US" w:eastAsia="zh-CN"/>
        </w:rPr>
        <w:t>11</w:t>
      </w:r>
      <w:r>
        <w:rPr>
          <w:rFonts w:hint="eastAsia" w:ascii="宋体" w:hAnsi="宋体" w:eastAsia="宋体" w:cs="宋体"/>
          <w:sz w:val="24"/>
          <w:szCs w:val="24"/>
          <w:u w:val="single"/>
        </w:rPr>
        <w:t>月</w:t>
      </w:r>
      <w:r>
        <w:rPr>
          <w:rFonts w:hint="eastAsia" w:ascii="宋体" w:hAnsi="宋体" w:eastAsia="宋体" w:cs="宋体"/>
          <w:sz w:val="24"/>
          <w:szCs w:val="24"/>
          <w:u w:val="single"/>
          <w:lang w:val="en-US" w:eastAsia="zh-CN"/>
        </w:rPr>
        <w:t>20</w:t>
      </w:r>
      <w:r>
        <w:rPr>
          <w:rFonts w:hint="eastAsia" w:ascii="宋体" w:hAnsi="宋体" w:eastAsia="宋体" w:cs="宋体"/>
          <w:sz w:val="24"/>
          <w:szCs w:val="24"/>
          <w:u w:val="single"/>
        </w:rPr>
        <w:t>日10点30分</w:t>
      </w:r>
      <w:r>
        <w:rPr>
          <w:rFonts w:hint="eastAsia" w:ascii="宋体" w:hAnsi="宋体" w:eastAsia="宋体" w:cs="宋体"/>
          <w:sz w:val="24"/>
          <w:szCs w:val="24"/>
        </w:rPr>
        <w:t>（北京时间）</w:t>
      </w:r>
    </w:p>
    <w:p>
      <w:pPr>
        <w:spacing w:line="440" w:lineRule="atLeast"/>
        <w:ind w:firstLine="482" w:firstLineChars="200"/>
        <w:rPr>
          <w:rFonts w:ascii="宋体" w:hAnsi="宋体" w:eastAsia="宋体" w:cs="宋体"/>
          <w:b/>
          <w:bCs/>
          <w:sz w:val="24"/>
          <w:szCs w:val="24"/>
          <w:u w:val="single"/>
        </w:rPr>
      </w:pPr>
      <w:r>
        <w:rPr>
          <w:rFonts w:hint="eastAsia" w:ascii="宋体" w:hAnsi="宋体" w:eastAsia="宋体" w:cs="宋体"/>
          <w:b/>
          <w:bCs/>
          <w:sz w:val="24"/>
          <w:szCs w:val="24"/>
        </w:rPr>
        <w:t>地点：</w:t>
      </w:r>
      <w:r>
        <w:rPr>
          <w:rFonts w:hint="eastAsia" w:ascii="宋体" w:hAnsi="宋体" w:eastAsia="宋体"/>
          <w:sz w:val="24"/>
          <w:szCs w:val="24"/>
          <w:u w:val="single"/>
        </w:rPr>
        <w:t>桂林市公共资源交易中心</w:t>
      </w:r>
      <w:r>
        <w:rPr>
          <w:rFonts w:hint="eastAsia" w:ascii="宋体" w:hAnsi="宋体" w:eastAsia="宋体"/>
          <w:sz w:val="24"/>
          <w:szCs w:val="24"/>
          <w:u w:val="single"/>
          <w:lang w:val="en-US" w:eastAsia="zh-CN"/>
        </w:rPr>
        <w:t>2</w:t>
      </w:r>
      <w:r>
        <w:rPr>
          <w:rFonts w:hint="eastAsia" w:ascii="宋体" w:hAnsi="宋体" w:eastAsia="宋体"/>
          <w:b/>
          <w:bCs/>
          <w:sz w:val="24"/>
          <w:szCs w:val="24"/>
          <w:u w:val="single"/>
        </w:rPr>
        <w:t>号开标室</w:t>
      </w:r>
      <w:r>
        <w:rPr>
          <w:rFonts w:hint="eastAsia" w:ascii="宋体" w:hAnsi="宋体" w:eastAsia="宋体"/>
          <w:sz w:val="24"/>
          <w:szCs w:val="24"/>
          <w:u w:val="single"/>
        </w:rPr>
        <w:t>（广西桂林市临桂区西城中路69号创业大厦西辅楼4楼北区）</w:t>
      </w:r>
    </w:p>
    <w:p>
      <w:pPr>
        <w:pStyle w:val="4"/>
        <w:spacing w:line="360" w:lineRule="auto"/>
        <w:rPr>
          <w:rFonts w:ascii="宋体" w:hAnsi="宋体" w:eastAsia="宋体" w:cs="宋体"/>
          <w:b w:val="0"/>
          <w:sz w:val="24"/>
          <w:szCs w:val="24"/>
        </w:rPr>
      </w:pPr>
      <w:r>
        <w:rPr>
          <w:rFonts w:hint="eastAsia" w:ascii="宋体" w:hAnsi="宋体" w:eastAsia="宋体" w:cs="宋体"/>
          <w:b w:val="0"/>
          <w:sz w:val="24"/>
          <w:szCs w:val="24"/>
        </w:rPr>
        <w:t>五、公告期限</w:t>
      </w:r>
      <w:bookmarkEnd w:id="19"/>
      <w:bookmarkEnd w:id="20"/>
      <w:bookmarkEnd w:id="21"/>
      <w:bookmarkEnd w:id="22"/>
    </w:p>
    <w:p>
      <w:pPr>
        <w:ind w:firstLine="480" w:firstLineChars="200"/>
        <w:rPr>
          <w:rFonts w:ascii="宋体" w:hAnsi="宋体" w:eastAsia="宋体" w:cs="宋体"/>
          <w:sz w:val="24"/>
          <w:szCs w:val="24"/>
        </w:rPr>
      </w:pPr>
      <w:r>
        <w:rPr>
          <w:rFonts w:hint="eastAsia" w:ascii="宋体" w:hAnsi="宋体" w:eastAsia="宋体" w:cs="宋体"/>
          <w:sz w:val="24"/>
          <w:szCs w:val="24"/>
        </w:rPr>
        <w:t>自本公告发布之日起5个工作日。</w:t>
      </w:r>
    </w:p>
    <w:p>
      <w:pPr>
        <w:pStyle w:val="4"/>
        <w:spacing w:line="360" w:lineRule="auto"/>
        <w:rPr>
          <w:rFonts w:ascii="宋体" w:hAnsi="宋体" w:eastAsia="宋体" w:cs="宋体"/>
          <w:b w:val="0"/>
          <w:sz w:val="24"/>
          <w:szCs w:val="24"/>
        </w:rPr>
      </w:pPr>
      <w:bookmarkStart w:id="23" w:name="_Toc35393804"/>
      <w:bookmarkStart w:id="24" w:name="_Toc35393635"/>
      <w:r>
        <w:rPr>
          <w:rFonts w:hint="eastAsia" w:ascii="宋体" w:hAnsi="宋体" w:eastAsia="宋体" w:cs="宋体"/>
          <w:b w:val="0"/>
          <w:sz w:val="24"/>
          <w:szCs w:val="24"/>
        </w:rPr>
        <w:t>六、其他补充事宜</w:t>
      </w:r>
      <w:bookmarkEnd w:id="23"/>
      <w:bookmarkEnd w:id="24"/>
    </w:p>
    <w:p>
      <w:pPr>
        <w:spacing w:line="440" w:lineRule="atLeast"/>
        <w:ind w:firstLine="482" w:firstLineChars="200"/>
        <w:rPr>
          <w:rFonts w:ascii="宋体" w:hAnsi="宋体" w:eastAsia="宋体"/>
          <w:b/>
          <w:bCs/>
          <w:sz w:val="24"/>
          <w:szCs w:val="24"/>
        </w:rPr>
      </w:pPr>
      <w:r>
        <w:rPr>
          <w:rFonts w:hint="eastAsia" w:ascii="宋体" w:hAnsi="宋体" w:eastAsia="宋体" w:cs="宋体"/>
          <w:b/>
          <w:bCs/>
          <w:sz w:val="24"/>
          <w:szCs w:val="24"/>
        </w:rPr>
        <w:t>1、</w:t>
      </w:r>
      <w:r>
        <w:rPr>
          <w:rFonts w:hint="eastAsia" w:ascii="宋体" w:hAnsi="宋体" w:eastAsia="宋体"/>
          <w:b/>
          <w:bCs/>
          <w:sz w:val="24"/>
          <w:szCs w:val="24"/>
        </w:rPr>
        <w:t>供应商可以由法定代表人或负责人或自然人或其委托代理人出席开标会议【若为法定代表人出席开标会议需携带法定代表人身份证复印件参加,若为委托代理人出席开标会议需携带身份证复印件及授权委托书原件参加（以上材料均须加盖投标人公章，不须密封，单独提交）】。</w:t>
      </w:r>
    </w:p>
    <w:p>
      <w:pPr>
        <w:spacing w:line="440" w:lineRule="atLeast"/>
        <w:ind w:firstLine="482" w:firstLineChars="200"/>
        <w:rPr>
          <w:rFonts w:ascii="宋体" w:hAnsi="宋体" w:eastAsia="宋体"/>
          <w:b/>
          <w:bCs/>
          <w:sz w:val="24"/>
          <w:szCs w:val="24"/>
        </w:rPr>
      </w:pPr>
      <w:r>
        <w:rPr>
          <w:rFonts w:hint="eastAsia" w:ascii="宋体" w:hAnsi="宋体" w:eastAsia="宋体"/>
          <w:b/>
          <w:bCs/>
          <w:sz w:val="24"/>
          <w:szCs w:val="24"/>
        </w:rPr>
        <w:t>2、磋商时间及地点：</w:t>
      </w:r>
    </w:p>
    <w:p>
      <w:pPr>
        <w:spacing w:line="360" w:lineRule="auto"/>
        <w:ind w:firstLine="480" w:firstLineChars="200"/>
        <w:rPr>
          <w:rFonts w:ascii="宋体" w:hAnsi="宋体" w:eastAsia="宋体" w:cs="宋体"/>
          <w:b/>
          <w:bCs/>
          <w:sz w:val="24"/>
          <w:szCs w:val="24"/>
        </w:rPr>
      </w:pPr>
      <w:r>
        <w:rPr>
          <w:rFonts w:hint="eastAsia" w:ascii="宋体" w:hAnsi="宋体" w:eastAsia="宋体" w:cs="宋体"/>
          <w:sz w:val="24"/>
          <w:szCs w:val="24"/>
        </w:rPr>
        <w:t>响应文件递交截止时间后为磋商小组与磋商供应商磋商时间，具体时间由磋商小组另行通知。地点：</w:t>
      </w:r>
      <w:r>
        <w:rPr>
          <w:rFonts w:hint="eastAsia" w:ascii="宋体" w:hAnsi="宋体" w:eastAsia="宋体" w:cs="宋体"/>
          <w:sz w:val="24"/>
          <w:szCs w:val="24"/>
          <w:u w:val="single"/>
        </w:rPr>
        <w:t>参加磋商的供应商代表请在桂林市公共资源交易中心候标区（广西桂林市临桂区西城中路69号创业大厦西辅楼4楼北区）等待磋商</w:t>
      </w:r>
      <w:r>
        <w:rPr>
          <w:rFonts w:hint="eastAsia" w:ascii="宋体" w:hAnsi="宋体" w:eastAsia="宋体" w:cs="宋体"/>
          <w:sz w:val="24"/>
          <w:szCs w:val="24"/>
        </w:rPr>
        <w:t>。</w:t>
      </w:r>
      <w:r>
        <w:rPr>
          <w:rFonts w:hint="eastAsia" w:ascii="宋体" w:hAnsi="宋体" w:eastAsia="宋体" w:cs="宋体"/>
          <w:b/>
          <w:bCs/>
          <w:sz w:val="24"/>
          <w:szCs w:val="24"/>
        </w:rPr>
        <w:t>参加磋商的法定代表人或负责人或自然人或相应的委托代理人必须持有效证件【法定代表人（负责人、自然人）凭身份证或相应的委托代理人凭授权委托书原件加委托人身份证】依时到达指定地点等候当面磋商。</w:t>
      </w:r>
    </w:p>
    <w:p>
      <w:pPr>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3、电子磋商文件查询及下载网址：</w:t>
      </w:r>
      <w:r>
        <w:rPr>
          <w:rFonts w:hint="eastAsia" w:ascii="宋体" w:hAnsi="宋体" w:eastAsia="宋体" w:cs="宋体"/>
          <w:sz w:val="24"/>
          <w:szCs w:val="24"/>
        </w:rPr>
        <w:t>http://zfcg.czj.guilin.gov.cn/（桂林市政府采购网）、</w:t>
      </w:r>
      <w:r>
        <w:fldChar w:fldCharType="begin"/>
      </w:r>
      <w:r>
        <w:instrText xml:space="preserve"> HYPERLINK "http://ggzy.guilin.cn" </w:instrText>
      </w:r>
      <w:r>
        <w:fldChar w:fldCharType="separate"/>
      </w:r>
      <w:r>
        <w:rPr>
          <w:rFonts w:hint="eastAsia" w:ascii="宋体" w:hAnsi="宋体" w:eastAsia="宋体" w:cs="宋体"/>
          <w:sz w:val="24"/>
          <w:szCs w:val="24"/>
        </w:rPr>
        <w:t>http://glggzy.org.cn</w:t>
      </w:r>
      <w:r>
        <w:rPr>
          <w:rFonts w:hint="eastAsia" w:ascii="宋体" w:hAnsi="宋体" w:eastAsia="宋体" w:cs="宋体"/>
          <w:sz w:val="24"/>
          <w:szCs w:val="24"/>
        </w:rPr>
        <w:fldChar w:fldCharType="end"/>
      </w:r>
      <w:r>
        <w:rPr>
          <w:rFonts w:hint="eastAsia" w:ascii="宋体" w:hAnsi="宋体" w:eastAsia="宋体" w:cs="宋体"/>
          <w:sz w:val="24"/>
          <w:szCs w:val="24"/>
        </w:rPr>
        <w:t>（桂林市公共资源交易中心网）。</w:t>
      </w:r>
    </w:p>
    <w:p>
      <w:pPr>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4、信息公告发布媒体：</w:t>
      </w:r>
      <w:r>
        <w:rPr>
          <w:rFonts w:hint="eastAsia" w:ascii="宋体" w:hAnsi="宋体" w:eastAsia="宋体" w:cs="宋体"/>
          <w:sz w:val="24"/>
          <w:szCs w:val="24"/>
        </w:rPr>
        <w:t>http://www.ccgp.gov.cn（中国政府采购网）、http:// www.gxzfcg.gov.cn（广西壮族自治区政府采购网）、http://zfcg.czj.guilin.gov.cn/（桂林市政府采购网）、</w:t>
      </w:r>
      <w:r>
        <w:fldChar w:fldCharType="begin"/>
      </w:r>
      <w:r>
        <w:instrText xml:space="preserve"> HYPERLINK "http://ggzy.guilin.cn" </w:instrText>
      </w:r>
      <w:r>
        <w:fldChar w:fldCharType="separate"/>
      </w:r>
      <w:r>
        <w:rPr>
          <w:rStyle w:val="18"/>
          <w:rFonts w:hint="eastAsia" w:ascii="宋体" w:hAnsi="宋体" w:eastAsia="宋体" w:cs="宋体"/>
          <w:color w:val="auto"/>
          <w:sz w:val="24"/>
          <w:szCs w:val="24"/>
        </w:rPr>
        <w:t>http://glggzy.org.cn</w:t>
      </w:r>
      <w:r>
        <w:rPr>
          <w:rStyle w:val="18"/>
          <w:rFonts w:hint="eastAsia" w:ascii="宋体" w:hAnsi="宋体" w:eastAsia="宋体" w:cs="宋体"/>
          <w:color w:val="auto"/>
          <w:sz w:val="24"/>
          <w:szCs w:val="24"/>
        </w:rPr>
        <w:fldChar w:fldCharType="end"/>
      </w:r>
      <w:r>
        <w:rPr>
          <w:rFonts w:hint="eastAsia" w:ascii="宋体" w:hAnsi="宋体" w:eastAsia="宋体" w:cs="宋体"/>
          <w:sz w:val="24"/>
          <w:szCs w:val="24"/>
        </w:rPr>
        <w:t>（桂林市公共资源交易中心网）。</w:t>
      </w:r>
    </w:p>
    <w:p>
      <w:pPr>
        <w:spacing w:line="360" w:lineRule="auto"/>
        <w:ind w:firstLine="480" w:firstLineChars="200"/>
        <w:rPr>
          <w:rFonts w:ascii="宋体" w:hAnsi="宋体" w:eastAsia="宋体"/>
          <w:sz w:val="24"/>
          <w:szCs w:val="24"/>
        </w:rPr>
      </w:pPr>
    </w:p>
    <w:p>
      <w:pPr>
        <w:rPr>
          <w:rFonts w:ascii="宋体" w:hAnsi="宋体" w:eastAsia="宋体"/>
          <w:sz w:val="24"/>
          <w:szCs w:val="24"/>
        </w:rPr>
      </w:pPr>
    </w:p>
    <w:p>
      <w:pPr>
        <w:pStyle w:val="4"/>
        <w:spacing w:line="360" w:lineRule="auto"/>
        <w:rPr>
          <w:rFonts w:ascii="宋体" w:hAnsi="宋体" w:eastAsia="宋体" w:cs="宋体"/>
          <w:b w:val="0"/>
          <w:sz w:val="24"/>
          <w:szCs w:val="24"/>
        </w:rPr>
      </w:pPr>
      <w:bookmarkStart w:id="25" w:name="_Toc28359018"/>
      <w:bookmarkStart w:id="26" w:name="_Toc35393636"/>
      <w:bookmarkStart w:id="27" w:name="_Toc28359095"/>
      <w:bookmarkStart w:id="28" w:name="_Toc35393805"/>
      <w:r>
        <w:rPr>
          <w:rFonts w:hint="eastAsia" w:ascii="宋体" w:hAnsi="宋体" w:eastAsia="宋体" w:cs="宋体"/>
          <w:b w:val="0"/>
          <w:sz w:val="24"/>
          <w:szCs w:val="24"/>
        </w:rPr>
        <w:t>七、凡对本次采购提出询问，请按</w:t>
      </w:r>
      <w:r>
        <w:rPr>
          <w:rFonts w:ascii="宋体" w:hAnsi="宋体" w:eastAsia="宋体" w:cs="宋体"/>
          <w:b w:val="0"/>
          <w:sz w:val="24"/>
          <w:szCs w:val="24"/>
        </w:rPr>
        <w:t>以下方式</w:t>
      </w:r>
      <w:r>
        <w:rPr>
          <w:rFonts w:hint="eastAsia" w:ascii="宋体" w:hAnsi="宋体" w:eastAsia="宋体" w:cs="宋体"/>
          <w:b w:val="0"/>
          <w:sz w:val="24"/>
          <w:szCs w:val="24"/>
        </w:rPr>
        <w:t>联系。</w:t>
      </w:r>
      <w:bookmarkEnd w:id="25"/>
      <w:bookmarkEnd w:id="26"/>
      <w:bookmarkEnd w:id="27"/>
      <w:bookmarkEnd w:id="28"/>
    </w:p>
    <w:p>
      <w:pPr>
        <w:pStyle w:val="4"/>
        <w:spacing w:line="360" w:lineRule="auto"/>
        <w:ind w:firstLine="720" w:firstLineChars="300"/>
        <w:rPr>
          <w:rFonts w:ascii="宋体" w:hAnsi="宋体" w:eastAsia="宋体" w:cs="宋体"/>
          <w:b w:val="0"/>
          <w:sz w:val="24"/>
          <w:szCs w:val="24"/>
        </w:rPr>
      </w:pPr>
      <w:bookmarkStart w:id="29" w:name="_Toc28359096"/>
      <w:bookmarkStart w:id="30" w:name="_Toc35393637"/>
      <w:bookmarkStart w:id="31" w:name="_Toc28359019"/>
      <w:bookmarkStart w:id="32" w:name="_Toc35393806"/>
      <w:r>
        <w:rPr>
          <w:rFonts w:hint="eastAsia" w:ascii="宋体" w:hAnsi="宋体" w:eastAsia="宋体" w:cs="宋体"/>
          <w:b w:val="0"/>
          <w:sz w:val="24"/>
          <w:szCs w:val="24"/>
        </w:rPr>
        <w:t>1.采购人信息</w:t>
      </w:r>
      <w:bookmarkEnd w:id="29"/>
      <w:bookmarkEnd w:id="30"/>
      <w:bookmarkEnd w:id="31"/>
      <w:bookmarkEnd w:id="32"/>
    </w:p>
    <w:p>
      <w:pPr>
        <w:spacing w:line="360" w:lineRule="auto"/>
        <w:ind w:left="1116" w:leftChars="371" w:hanging="300" w:hangingChars="125"/>
        <w:rPr>
          <w:rFonts w:ascii="宋体" w:hAnsi="宋体" w:eastAsia="宋体"/>
          <w:sz w:val="24"/>
          <w:szCs w:val="24"/>
        </w:rPr>
      </w:pPr>
      <w:r>
        <w:rPr>
          <w:rFonts w:hint="eastAsia" w:ascii="宋体" w:hAnsi="宋体" w:eastAsia="宋体"/>
          <w:sz w:val="24"/>
          <w:szCs w:val="24"/>
        </w:rPr>
        <w:t>名    称：</w:t>
      </w:r>
      <w:r>
        <w:rPr>
          <w:rFonts w:hint="eastAsia" w:ascii="宋体" w:hAnsi="宋体" w:eastAsia="宋体"/>
          <w:sz w:val="24"/>
          <w:szCs w:val="24"/>
          <w:u w:val="single"/>
        </w:rPr>
        <w:t>灵川县潭下镇人民政府</w:t>
      </w:r>
    </w:p>
    <w:p>
      <w:pPr>
        <w:spacing w:line="360" w:lineRule="auto"/>
        <w:ind w:left="1116" w:leftChars="371" w:hanging="300" w:hangingChars="125"/>
        <w:rPr>
          <w:rFonts w:ascii="宋体" w:hAnsi="宋体" w:eastAsia="宋体"/>
          <w:sz w:val="24"/>
          <w:szCs w:val="24"/>
          <w:u w:val="single"/>
        </w:rPr>
      </w:pPr>
      <w:r>
        <w:rPr>
          <w:rFonts w:hint="eastAsia" w:ascii="宋体" w:hAnsi="宋体" w:eastAsia="宋体"/>
          <w:sz w:val="24"/>
          <w:szCs w:val="24"/>
        </w:rPr>
        <w:t>地    址：</w:t>
      </w:r>
      <w:r>
        <w:rPr>
          <w:rFonts w:hint="eastAsia" w:ascii="宋体" w:hAnsi="宋体" w:eastAsia="宋体"/>
          <w:sz w:val="24"/>
          <w:szCs w:val="24"/>
          <w:u w:val="single"/>
          <w:lang w:eastAsia="zh-CN"/>
        </w:rPr>
        <w:t>灵川县胜利街</w:t>
      </w:r>
      <w:r>
        <w:rPr>
          <w:rFonts w:hint="eastAsia" w:ascii="宋体" w:hAnsi="宋体" w:eastAsia="宋体"/>
          <w:sz w:val="24"/>
          <w:szCs w:val="24"/>
          <w:u w:val="single"/>
          <w:lang w:val="en-US" w:eastAsia="zh-CN"/>
        </w:rPr>
        <w:t>39</w:t>
      </w:r>
    </w:p>
    <w:p>
      <w:pPr>
        <w:spacing w:line="360" w:lineRule="auto"/>
        <w:ind w:left="1116" w:leftChars="371" w:hanging="300" w:hangingChars="125"/>
        <w:rPr>
          <w:rFonts w:hint="default" w:ascii="宋体" w:hAnsi="宋体" w:eastAsia="宋体"/>
          <w:sz w:val="24"/>
          <w:szCs w:val="24"/>
          <w:u w:val="single"/>
          <w:lang w:val="en-US" w:eastAsia="zh-CN"/>
        </w:rPr>
      </w:pPr>
      <w:r>
        <w:rPr>
          <w:rFonts w:hint="eastAsia" w:ascii="宋体" w:hAnsi="宋体" w:eastAsia="宋体"/>
          <w:sz w:val="24"/>
          <w:szCs w:val="24"/>
        </w:rPr>
        <w:t>联系方式：</w:t>
      </w:r>
      <w:r>
        <w:rPr>
          <w:rFonts w:hint="eastAsia" w:ascii="宋体" w:hAnsi="宋体" w:eastAsia="宋体"/>
          <w:sz w:val="24"/>
          <w:szCs w:val="24"/>
          <w:u w:val="single"/>
          <w:lang w:val="en-US" w:eastAsia="zh-CN"/>
        </w:rPr>
        <w:t>0773-6305610</w:t>
      </w:r>
    </w:p>
    <w:p>
      <w:pPr>
        <w:pStyle w:val="4"/>
        <w:spacing w:line="360" w:lineRule="auto"/>
        <w:ind w:firstLine="720" w:firstLineChars="300"/>
        <w:rPr>
          <w:rFonts w:ascii="宋体" w:hAnsi="宋体" w:eastAsia="宋体" w:cs="宋体"/>
          <w:b w:val="0"/>
          <w:sz w:val="24"/>
          <w:szCs w:val="24"/>
        </w:rPr>
      </w:pPr>
      <w:bookmarkStart w:id="33" w:name="_Toc35393807"/>
      <w:bookmarkStart w:id="34" w:name="_Toc28359020"/>
      <w:bookmarkStart w:id="35" w:name="_Toc35393638"/>
      <w:bookmarkStart w:id="36" w:name="_Toc28359097"/>
      <w:r>
        <w:rPr>
          <w:rFonts w:hint="eastAsia" w:ascii="宋体" w:hAnsi="宋体" w:eastAsia="宋体" w:cs="宋体"/>
          <w:b w:val="0"/>
          <w:sz w:val="24"/>
          <w:szCs w:val="24"/>
        </w:rPr>
        <w:t>2.采购代理机构信息</w:t>
      </w:r>
      <w:bookmarkEnd w:id="33"/>
      <w:bookmarkEnd w:id="34"/>
      <w:bookmarkEnd w:id="35"/>
      <w:bookmarkEnd w:id="36"/>
    </w:p>
    <w:p>
      <w:pPr>
        <w:spacing w:line="360" w:lineRule="auto"/>
        <w:ind w:firstLine="720" w:firstLineChars="300"/>
        <w:rPr>
          <w:rFonts w:ascii="宋体" w:hAnsi="宋体" w:eastAsia="宋体"/>
          <w:sz w:val="24"/>
          <w:szCs w:val="24"/>
          <w:u w:val="single"/>
        </w:rPr>
      </w:pPr>
      <w:r>
        <w:rPr>
          <w:rFonts w:hint="eastAsia" w:ascii="宋体" w:hAnsi="宋体" w:eastAsia="宋体"/>
          <w:sz w:val="24"/>
          <w:szCs w:val="24"/>
        </w:rPr>
        <w:t>名    称：</w:t>
      </w:r>
      <w:r>
        <w:rPr>
          <w:rFonts w:hint="eastAsia" w:ascii="宋体" w:hAnsi="宋体" w:eastAsia="宋体"/>
          <w:sz w:val="24"/>
          <w:szCs w:val="24"/>
          <w:u w:val="single"/>
        </w:rPr>
        <w:t>广西八桂建设项目管理有限公司</w:t>
      </w:r>
    </w:p>
    <w:p>
      <w:pPr>
        <w:spacing w:line="360" w:lineRule="auto"/>
        <w:ind w:firstLine="720" w:firstLineChars="300"/>
        <w:rPr>
          <w:rFonts w:ascii="宋体" w:hAnsi="宋体" w:eastAsia="宋体"/>
          <w:sz w:val="24"/>
          <w:szCs w:val="24"/>
          <w:u w:val="single"/>
        </w:rPr>
      </w:pPr>
      <w:r>
        <w:rPr>
          <w:rFonts w:hint="eastAsia" w:ascii="宋体" w:hAnsi="宋体" w:eastAsia="宋体"/>
          <w:sz w:val="24"/>
          <w:szCs w:val="24"/>
        </w:rPr>
        <w:t>地　　址：</w:t>
      </w:r>
      <w:r>
        <w:rPr>
          <w:rFonts w:hint="eastAsia" w:ascii="宋体" w:hAnsi="宋体" w:eastAsia="宋体" w:cs="宋体"/>
          <w:sz w:val="24"/>
          <w:szCs w:val="24"/>
          <w:u w:val="single"/>
        </w:rPr>
        <w:t>桂林市中山南路35号经贸大厦5-14</w:t>
      </w:r>
    </w:p>
    <w:p>
      <w:pPr>
        <w:spacing w:line="360" w:lineRule="auto"/>
        <w:ind w:firstLine="720" w:firstLineChars="300"/>
        <w:rPr>
          <w:rFonts w:ascii="宋体" w:hAnsi="宋体" w:eastAsia="宋体"/>
          <w:sz w:val="24"/>
          <w:szCs w:val="24"/>
          <w:u w:val="single"/>
        </w:rPr>
      </w:pPr>
      <w:r>
        <w:rPr>
          <w:rFonts w:hint="eastAsia" w:ascii="宋体" w:hAnsi="宋体" w:eastAsia="宋体"/>
          <w:sz w:val="24"/>
          <w:szCs w:val="24"/>
        </w:rPr>
        <w:t>联系方式：</w:t>
      </w:r>
      <w:r>
        <w:rPr>
          <w:rFonts w:hint="eastAsia" w:ascii="宋体" w:hAnsi="宋体" w:eastAsia="宋体"/>
          <w:sz w:val="24"/>
          <w:szCs w:val="24"/>
          <w:u w:val="single"/>
        </w:rPr>
        <w:t>0773-2819266</w:t>
      </w:r>
    </w:p>
    <w:p>
      <w:pPr>
        <w:pStyle w:val="4"/>
        <w:spacing w:line="360" w:lineRule="auto"/>
        <w:ind w:firstLine="720" w:firstLineChars="300"/>
        <w:rPr>
          <w:rFonts w:ascii="宋体" w:hAnsi="宋体" w:eastAsia="宋体" w:cs="宋体"/>
          <w:b w:val="0"/>
          <w:sz w:val="24"/>
          <w:szCs w:val="24"/>
        </w:rPr>
      </w:pPr>
      <w:bookmarkStart w:id="37" w:name="_Toc28359021"/>
      <w:bookmarkStart w:id="38" w:name="_Toc35393639"/>
      <w:bookmarkStart w:id="39" w:name="_Toc35393808"/>
      <w:bookmarkStart w:id="40" w:name="_Toc28359098"/>
      <w:r>
        <w:rPr>
          <w:rFonts w:hint="eastAsia" w:ascii="宋体" w:hAnsi="宋体" w:eastAsia="宋体" w:cs="宋体"/>
          <w:b w:val="0"/>
          <w:sz w:val="24"/>
          <w:szCs w:val="24"/>
        </w:rPr>
        <w:t>3.项目联系</w:t>
      </w:r>
      <w:r>
        <w:rPr>
          <w:rFonts w:ascii="宋体" w:hAnsi="宋体" w:eastAsia="宋体" w:cs="宋体"/>
          <w:b w:val="0"/>
          <w:sz w:val="24"/>
          <w:szCs w:val="24"/>
        </w:rPr>
        <w:t>方式</w:t>
      </w:r>
      <w:bookmarkEnd w:id="37"/>
      <w:bookmarkEnd w:id="38"/>
      <w:bookmarkEnd w:id="39"/>
      <w:bookmarkEnd w:id="40"/>
    </w:p>
    <w:p>
      <w:pPr>
        <w:pStyle w:val="6"/>
        <w:spacing w:line="360" w:lineRule="auto"/>
        <w:ind w:firstLine="720" w:firstLineChars="300"/>
        <w:rPr>
          <w:rFonts w:hAnsi="宋体" w:eastAsia="宋体"/>
          <w:sz w:val="24"/>
          <w:szCs w:val="24"/>
        </w:rPr>
      </w:pPr>
      <w:r>
        <w:rPr>
          <w:rFonts w:hint="eastAsia" w:hAnsi="宋体" w:eastAsia="宋体"/>
          <w:sz w:val="24"/>
          <w:szCs w:val="24"/>
        </w:rPr>
        <w:t>项目联系人：</w:t>
      </w:r>
      <w:r>
        <w:rPr>
          <w:rFonts w:hint="eastAsia" w:hAnsi="宋体" w:eastAsia="宋体"/>
          <w:sz w:val="24"/>
          <w:szCs w:val="24"/>
          <w:u w:val="single"/>
        </w:rPr>
        <w:t>范祥意</w:t>
      </w:r>
    </w:p>
    <w:p>
      <w:pPr>
        <w:spacing w:line="360" w:lineRule="auto"/>
        <w:ind w:firstLine="720" w:firstLineChars="300"/>
        <w:rPr>
          <w:rFonts w:ascii="宋体" w:hAnsi="宋体" w:eastAsia="宋体"/>
          <w:sz w:val="24"/>
          <w:szCs w:val="24"/>
          <w:u w:val="single"/>
        </w:rPr>
      </w:pPr>
      <w:r>
        <w:rPr>
          <w:rFonts w:hint="eastAsia" w:ascii="宋体" w:hAnsi="宋体" w:eastAsia="宋体"/>
          <w:sz w:val="24"/>
          <w:szCs w:val="24"/>
        </w:rPr>
        <w:t>电　　 话：</w:t>
      </w:r>
      <w:r>
        <w:rPr>
          <w:rFonts w:hint="eastAsia" w:ascii="宋体" w:hAnsi="宋体" w:eastAsia="宋体"/>
          <w:sz w:val="24"/>
          <w:szCs w:val="24"/>
          <w:u w:val="single"/>
        </w:rPr>
        <w:t>0773-2819266</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3、监督部门：灵川县政府采购管理办公室，联系电话：0773-6812818。</w:t>
      </w: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pStyle w:val="4"/>
      </w:pPr>
    </w:p>
    <w:p>
      <w:pPr>
        <w:spacing w:line="200" w:lineRule="exact"/>
        <w:rPr>
          <w:sz w:val="20"/>
          <w:szCs w:val="20"/>
        </w:rPr>
      </w:pPr>
      <w:bookmarkStart w:id="41" w:name="page7"/>
      <w:bookmarkEnd w:id="41"/>
    </w:p>
    <w:p>
      <w:pPr>
        <w:spacing w:line="200" w:lineRule="exact"/>
        <w:rPr>
          <w:sz w:val="20"/>
          <w:szCs w:val="20"/>
        </w:rPr>
      </w:pPr>
    </w:p>
    <w:p>
      <w:pPr>
        <w:spacing w:line="285" w:lineRule="exact"/>
        <w:rPr>
          <w:sz w:val="20"/>
          <w:szCs w:val="20"/>
        </w:rPr>
      </w:pPr>
    </w:p>
    <w:tbl>
      <w:tblPr>
        <w:tblStyle w:val="9"/>
        <w:tblW w:w="10640" w:type="dxa"/>
        <w:tblInd w:w="10" w:type="dxa"/>
        <w:tblLayout w:type="fixed"/>
        <w:tblCellMar>
          <w:top w:w="0" w:type="dxa"/>
          <w:left w:w="0" w:type="dxa"/>
          <w:bottom w:w="0" w:type="dxa"/>
          <w:right w:w="0" w:type="dxa"/>
        </w:tblCellMar>
      </w:tblPr>
      <w:tblGrid>
        <w:gridCol w:w="580"/>
        <w:gridCol w:w="720"/>
        <w:gridCol w:w="2120"/>
        <w:gridCol w:w="660"/>
        <w:gridCol w:w="6200"/>
        <w:gridCol w:w="360"/>
      </w:tblGrid>
      <w:tr>
        <w:tblPrEx>
          <w:tblCellMar>
            <w:top w:w="0" w:type="dxa"/>
            <w:left w:w="0" w:type="dxa"/>
            <w:bottom w:w="0" w:type="dxa"/>
            <w:right w:w="0" w:type="dxa"/>
          </w:tblCellMar>
        </w:tblPrEx>
        <w:trPr>
          <w:trHeight w:val="382" w:hRule="atLeast"/>
        </w:trPr>
        <w:tc>
          <w:tcPr>
            <w:tcW w:w="580" w:type="dxa"/>
            <w:vAlign w:val="bottom"/>
          </w:tcPr>
          <w:p>
            <w:pPr>
              <w:jc w:val="center"/>
              <w:rPr>
                <w:sz w:val="24"/>
                <w:szCs w:val="24"/>
              </w:rPr>
            </w:pPr>
            <w:bookmarkStart w:id="42" w:name="page5"/>
            <w:bookmarkEnd w:id="42"/>
          </w:p>
        </w:tc>
        <w:tc>
          <w:tcPr>
            <w:tcW w:w="720" w:type="dxa"/>
            <w:vAlign w:val="bottom"/>
          </w:tcPr>
          <w:p>
            <w:pPr>
              <w:jc w:val="center"/>
              <w:rPr>
                <w:sz w:val="24"/>
                <w:szCs w:val="24"/>
              </w:rPr>
            </w:pPr>
          </w:p>
        </w:tc>
        <w:tc>
          <w:tcPr>
            <w:tcW w:w="2780" w:type="dxa"/>
            <w:gridSpan w:val="2"/>
            <w:vAlign w:val="bottom"/>
          </w:tcPr>
          <w:p>
            <w:pPr>
              <w:spacing w:line="366" w:lineRule="exact"/>
              <w:jc w:val="center"/>
              <w:rPr>
                <w:sz w:val="20"/>
                <w:szCs w:val="20"/>
              </w:rPr>
            </w:pPr>
            <w:r>
              <w:rPr>
                <w:rFonts w:ascii="宋体" w:hAnsi="宋体" w:eastAsia="宋体" w:cs="宋体"/>
                <w:b/>
                <w:bCs/>
                <w:sz w:val="32"/>
                <w:szCs w:val="32"/>
              </w:rPr>
              <w:t>第二章</w:t>
            </w:r>
          </w:p>
        </w:tc>
        <w:tc>
          <w:tcPr>
            <w:tcW w:w="6200" w:type="dxa"/>
            <w:vAlign w:val="bottom"/>
          </w:tcPr>
          <w:p>
            <w:pPr>
              <w:spacing w:line="366" w:lineRule="exact"/>
              <w:ind w:right="2301"/>
              <w:jc w:val="center"/>
              <w:rPr>
                <w:sz w:val="20"/>
                <w:szCs w:val="20"/>
              </w:rPr>
            </w:pPr>
            <w:r>
              <w:rPr>
                <w:rFonts w:ascii="宋体" w:hAnsi="宋体" w:eastAsia="宋体" w:cs="宋体"/>
                <w:b/>
                <w:bCs/>
                <w:sz w:val="32"/>
                <w:szCs w:val="32"/>
              </w:rPr>
              <w:t>磋商供应商须知及前附表</w:t>
            </w:r>
          </w:p>
        </w:tc>
        <w:tc>
          <w:tcPr>
            <w:tcW w:w="360" w:type="dxa"/>
            <w:vAlign w:val="bottom"/>
          </w:tcPr>
          <w:p>
            <w:pPr>
              <w:jc w:val="center"/>
              <w:rPr>
                <w:sz w:val="1"/>
                <w:szCs w:val="1"/>
              </w:rPr>
            </w:pPr>
          </w:p>
        </w:tc>
      </w:tr>
      <w:tr>
        <w:tblPrEx>
          <w:tblCellMar>
            <w:top w:w="0" w:type="dxa"/>
            <w:left w:w="0" w:type="dxa"/>
            <w:bottom w:w="0" w:type="dxa"/>
            <w:right w:w="0" w:type="dxa"/>
          </w:tblCellMar>
        </w:tblPrEx>
        <w:trPr>
          <w:trHeight w:val="48" w:hRule="atLeast"/>
        </w:trPr>
        <w:tc>
          <w:tcPr>
            <w:tcW w:w="580" w:type="dxa"/>
            <w:tcBorders>
              <w:bottom w:val="single" w:color="auto" w:sz="8" w:space="0"/>
            </w:tcBorders>
            <w:vAlign w:val="bottom"/>
          </w:tcPr>
          <w:p>
            <w:pPr>
              <w:rPr>
                <w:sz w:val="4"/>
                <w:szCs w:val="4"/>
              </w:rPr>
            </w:pPr>
          </w:p>
        </w:tc>
        <w:tc>
          <w:tcPr>
            <w:tcW w:w="720" w:type="dxa"/>
            <w:tcBorders>
              <w:bottom w:val="single" w:color="auto" w:sz="8" w:space="0"/>
            </w:tcBorders>
            <w:vAlign w:val="bottom"/>
          </w:tcPr>
          <w:p>
            <w:pPr>
              <w:rPr>
                <w:sz w:val="4"/>
                <w:szCs w:val="4"/>
              </w:rPr>
            </w:pPr>
          </w:p>
        </w:tc>
        <w:tc>
          <w:tcPr>
            <w:tcW w:w="2120" w:type="dxa"/>
            <w:tcBorders>
              <w:bottom w:val="single" w:color="auto" w:sz="8" w:space="0"/>
            </w:tcBorders>
            <w:vAlign w:val="bottom"/>
          </w:tcPr>
          <w:p>
            <w:pPr>
              <w:rPr>
                <w:sz w:val="4"/>
                <w:szCs w:val="4"/>
              </w:rPr>
            </w:pPr>
          </w:p>
        </w:tc>
        <w:tc>
          <w:tcPr>
            <w:tcW w:w="660" w:type="dxa"/>
            <w:tcBorders>
              <w:bottom w:val="single" w:color="auto" w:sz="8" w:space="0"/>
            </w:tcBorders>
            <w:vAlign w:val="bottom"/>
          </w:tcPr>
          <w:p>
            <w:pPr>
              <w:rPr>
                <w:sz w:val="4"/>
                <w:szCs w:val="4"/>
              </w:rPr>
            </w:pPr>
          </w:p>
        </w:tc>
        <w:tc>
          <w:tcPr>
            <w:tcW w:w="6200" w:type="dxa"/>
            <w:tcBorders>
              <w:bottom w:val="single" w:color="auto" w:sz="8" w:space="0"/>
            </w:tcBorders>
            <w:vAlign w:val="bottom"/>
          </w:tcPr>
          <w:p>
            <w:pPr>
              <w:rPr>
                <w:sz w:val="4"/>
                <w:szCs w:val="4"/>
              </w:rPr>
            </w:pPr>
          </w:p>
        </w:tc>
        <w:tc>
          <w:tcPr>
            <w:tcW w:w="360" w:type="dxa"/>
            <w:vAlign w:val="bottom"/>
          </w:tcPr>
          <w:p>
            <w:pPr>
              <w:rPr>
                <w:sz w:val="1"/>
                <w:szCs w:val="1"/>
              </w:rPr>
            </w:pPr>
          </w:p>
        </w:tc>
      </w:tr>
      <w:tr>
        <w:tblPrEx>
          <w:tblCellMar>
            <w:top w:w="0" w:type="dxa"/>
            <w:left w:w="0" w:type="dxa"/>
            <w:bottom w:w="0" w:type="dxa"/>
            <w:right w:w="0" w:type="dxa"/>
          </w:tblCellMar>
        </w:tblPrEx>
        <w:trPr>
          <w:trHeight w:val="306" w:hRule="atLeast"/>
        </w:trPr>
        <w:tc>
          <w:tcPr>
            <w:tcW w:w="580" w:type="dxa"/>
            <w:tcBorders>
              <w:left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序</w:t>
            </w:r>
          </w:p>
        </w:tc>
        <w:tc>
          <w:tcPr>
            <w:tcW w:w="7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条款</w:t>
            </w:r>
          </w:p>
        </w:tc>
        <w:tc>
          <w:tcPr>
            <w:tcW w:w="2120" w:type="dxa"/>
            <w:vMerge w:val="restart"/>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条款名称</w:t>
            </w:r>
          </w:p>
        </w:tc>
        <w:tc>
          <w:tcPr>
            <w:tcW w:w="660" w:type="dxa"/>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6200" w:type="dxa"/>
            <w:vMerge w:val="restart"/>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内容、要求</w:t>
            </w:r>
          </w:p>
        </w:tc>
        <w:tc>
          <w:tcPr>
            <w:tcW w:w="360" w:type="dxa"/>
            <w:vAlign w:val="bottom"/>
          </w:tcPr>
          <w:p>
            <w:pPr>
              <w:rPr>
                <w:sz w:val="1"/>
                <w:szCs w:val="1"/>
              </w:rPr>
            </w:pPr>
          </w:p>
        </w:tc>
      </w:tr>
      <w:tr>
        <w:tblPrEx>
          <w:tblCellMar>
            <w:top w:w="0" w:type="dxa"/>
            <w:left w:w="0" w:type="dxa"/>
            <w:bottom w:w="0" w:type="dxa"/>
            <w:right w:w="0" w:type="dxa"/>
          </w:tblCellMar>
        </w:tblPrEx>
        <w:trPr>
          <w:trHeight w:val="180" w:hRule="atLeast"/>
        </w:trPr>
        <w:tc>
          <w:tcPr>
            <w:tcW w:w="580" w:type="dxa"/>
            <w:vMerge w:val="restart"/>
            <w:tcBorders>
              <w:left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号</w:t>
            </w:r>
          </w:p>
        </w:tc>
        <w:tc>
          <w:tcPr>
            <w:tcW w:w="720" w:type="dxa"/>
            <w:vMerge w:val="restart"/>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号</w:t>
            </w:r>
          </w:p>
        </w:tc>
        <w:tc>
          <w:tcPr>
            <w:tcW w:w="2120" w:type="dxa"/>
            <w:vMerge w:val="continue"/>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660" w:type="dxa"/>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6200" w:type="dxa"/>
            <w:vMerge w:val="continue"/>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360" w:type="dxa"/>
            <w:vAlign w:val="bottom"/>
          </w:tcPr>
          <w:p>
            <w:pPr>
              <w:rPr>
                <w:sz w:val="1"/>
                <w:szCs w:val="1"/>
              </w:rPr>
            </w:pPr>
          </w:p>
        </w:tc>
      </w:tr>
      <w:tr>
        <w:tblPrEx>
          <w:tblCellMar>
            <w:top w:w="0" w:type="dxa"/>
            <w:left w:w="0" w:type="dxa"/>
            <w:bottom w:w="0" w:type="dxa"/>
            <w:right w:w="0" w:type="dxa"/>
          </w:tblCellMar>
        </w:tblPrEx>
        <w:trPr>
          <w:trHeight w:val="90" w:hRule="atLeast"/>
        </w:trPr>
        <w:tc>
          <w:tcPr>
            <w:tcW w:w="580" w:type="dxa"/>
            <w:vMerge w:val="continue"/>
            <w:tcBorders>
              <w:left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720" w:type="dxa"/>
            <w:vMerge w:val="continue"/>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660" w:type="dxa"/>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620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360" w:type="dxa"/>
            <w:vAlign w:val="bottom"/>
          </w:tcPr>
          <w:p>
            <w:pPr>
              <w:rPr>
                <w:sz w:val="1"/>
                <w:szCs w:val="1"/>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720" w:type="dxa"/>
            <w:tcBorders>
              <w:bottom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2120" w:type="dxa"/>
            <w:tcBorders>
              <w:bottom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6860" w:type="dxa"/>
            <w:gridSpan w:val="2"/>
            <w:tcBorders>
              <w:bottom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360" w:type="dxa"/>
            <w:vAlign w:val="bottom"/>
          </w:tcPr>
          <w:p>
            <w:pPr>
              <w:rPr>
                <w:sz w:val="1"/>
                <w:szCs w:val="1"/>
              </w:rPr>
            </w:pPr>
          </w:p>
        </w:tc>
      </w:tr>
      <w:tr>
        <w:tblPrEx>
          <w:tblCellMar>
            <w:top w:w="0" w:type="dxa"/>
            <w:left w:w="0" w:type="dxa"/>
            <w:bottom w:w="0" w:type="dxa"/>
            <w:right w:w="0" w:type="dxa"/>
          </w:tblCellMar>
        </w:tblPrEx>
        <w:trPr>
          <w:trHeight w:val="90" w:hRule="atLeast"/>
        </w:trPr>
        <w:tc>
          <w:tcPr>
            <w:tcW w:w="580" w:type="dxa"/>
            <w:vMerge w:val="restart"/>
            <w:tcBorders>
              <w:left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w:t>
            </w:r>
          </w:p>
        </w:tc>
        <w:tc>
          <w:tcPr>
            <w:tcW w:w="720" w:type="dxa"/>
            <w:vMerge w:val="restart"/>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1.1</w:t>
            </w:r>
          </w:p>
        </w:tc>
        <w:tc>
          <w:tcPr>
            <w:tcW w:w="2120" w:type="dxa"/>
            <w:vMerge w:val="restart"/>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项目名称及项目编号</w:t>
            </w:r>
          </w:p>
        </w:tc>
        <w:tc>
          <w:tcPr>
            <w:tcW w:w="6860" w:type="dxa"/>
            <w:gridSpan w:val="2"/>
            <w:tcBorders>
              <w:right w:val="single" w:color="auto" w:sz="8" w:space="0"/>
            </w:tcBorders>
            <w:vAlign w:val="bottom"/>
          </w:tcPr>
          <w:p>
            <w:pPr>
              <w:spacing w:line="240" w:lineRule="exact"/>
              <w:jc w:val="both"/>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项目名称：灵川县潭下镇人民政府雪亮工程项目</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180" w:hRule="atLeast"/>
        </w:trPr>
        <w:tc>
          <w:tcPr>
            <w:tcW w:w="580" w:type="dxa"/>
            <w:vMerge w:val="continue"/>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vMerge w:val="continue"/>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vMerge w:val="continue"/>
            <w:tcBorders>
              <w:right w:val="single" w:color="auto" w:sz="8" w:space="0"/>
            </w:tcBorders>
            <w:vAlign w:val="bottom"/>
          </w:tcPr>
          <w:p>
            <w:pPr>
              <w:jc w:val="center"/>
              <w:rPr>
                <w:rFonts w:hint="eastAsia" w:ascii="宋体" w:hAnsi="宋体" w:eastAsiaTheme="minorEastAsia" w:cstheme="minorBidi"/>
                <w:color w:val="000000"/>
                <w:sz w:val="22"/>
                <w:szCs w:val="21"/>
                <w:lang w:val="en-US" w:eastAsia="zh-CN" w:bidi="ar-SA"/>
              </w:rPr>
            </w:pPr>
          </w:p>
        </w:tc>
        <w:tc>
          <w:tcPr>
            <w:tcW w:w="6860" w:type="dxa"/>
            <w:gridSpan w:val="2"/>
            <w:vMerge w:val="restart"/>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项目编号：GLZC2020-C3-230051-GXBG</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18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jc w:val="center"/>
              <w:rPr>
                <w:rFonts w:hint="eastAsia" w:ascii="宋体" w:hAnsi="宋体" w:eastAsiaTheme="minorEastAsia" w:cstheme="minorBidi"/>
                <w:color w:val="000000"/>
                <w:sz w:val="22"/>
                <w:szCs w:val="21"/>
                <w:lang w:val="en-US" w:eastAsia="zh-CN" w:bidi="ar-SA"/>
              </w:rPr>
            </w:pPr>
          </w:p>
        </w:tc>
        <w:tc>
          <w:tcPr>
            <w:tcW w:w="6860" w:type="dxa"/>
            <w:gridSpan w:val="2"/>
            <w:vMerge w:val="continue"/>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bottom w:val="single" w:color="auto" w:sz="8" w:space="0"/>
              <w:right w:val="single" w:color="auto" w:sz="8" w:space="0"/>
            </w:tcBorders>
            <w:vAlign w:val="bottom"/>
          </w:tcPr>
          <w:p>
            <w:pPr>
              <w:jc w:val="center"/>
              <w:rPr>
                <w:rFonts w:hint="eastAsia" w:ascii="宋体" w:hAnsi="宋体" w:eastAsiaTheme="minorEastAsia" w:cstheme="minorBidi"/>
                <w:color w:val="000000"/>
                <w:sz w:val="22"/>
                <w:szCs w:val="21"/>
                <w:lang w:val="en-US" w:eastAsia="zh-CN" w:bidi="ar-SA"/>
              </w:rPr>
            </w:pPr>
          </w:p>
        </w:tc>
        <w:tc>
          <w:tcPr>
            <w:tcW w:w="6860" w:type="dxa"/>
            <w:gridSpan w:val="2"/>
            <w:tcBorders>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07"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jc w:val="center"/>
              <w:rPr>
                <w:rFonts w:hint="eastAsia" w:ascii="宋体" w:hAnsi="宋体" w:eastAsiaTheme="minorEastAsia" w:cstheme="minorBidi"/>
                <w:color w:val="000000"/>
                <w:sz w:val="22"/>
                <w:szCs w:val="21"/>
                <w:lang w:val="en-US" w:eastAsia="zh-CN" w:bidi="ar-SA"/>
              </w:rPr>
            </w:pPr>
          </w:p>
        </w:tc>
        <w:tc>
          <w:tcPr>
            <w:tcW w:w="6860" w:type="dxa"/>
            <w:gridSpan w:val="2"/>
            <w:tcBorders>
              <w:right w:val="single" w:color="auto" w:sz="8" w:space="0"/>
            </w:tcBorders>
            <w:vAlign w:val="bottom"/>
          </w:tcPr>
          <w:p>
            <w:pPr>
              <w:spacing w:line="30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3.1.满足《中华人民共和国政府采购法》第二十二条规定；</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jc w:val="center"/>
              <w:rPr>
                <w:rFonts w:hint="eastAsia" w:ascii="宋体" w:hAnsi="宋体" w:eastAsiaTheme="minorEastAsia" w:cstheme="minorBidi"/>
                <w:color w:val="000000"/>
                <w:sz w:val="22"/>
                <w:szCs w:val="21"/>
                <w:lang w:val="en-US" w:eastAsia="zh-CN" w:bidi="ar-SA"/>
              </w:rPr>
            </w:pPr>
          </w:p>
        </w:tc>
        <w:tc>
          <w:tcPr>
            <w:tcW w:w="6860" w:type="dxa"/>
            <w:gridSpan w:val="2"/>
            <w:tcBorders>
              <w:right w:val="single" w:color="auto" w:sz="8" w:space="0"/>
            </w:tcBorders>
            <w:vAlign w:val="bottom"/>
          </w:tcPr>
          <w:p>
            <w:pPr>
              <w:spacing w:line="3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3.2.落实政府采购政策需满足的资格要求：</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jc w:val="center"/>
              <w:rPr>
                <w:rFonts w:hint="eastAsia" w:ascii="宋体" w:hAnsi="宋体" w:eastAsiaTheme="minorEastAsia" w:cstheme="minorBidi"/>
                <w:color w:val="000000"/>
                <w:sz w:val="22"/>
                <w:szCs w:val="21"/>
                <w:lang w:val="en-US" w:eastAsia="zh-CN" w:bidi="ar-SA"/>
              </w:rPr>
            </w:pPr>
          </w:p>
        </w:tc>
        <w:tc>
          <w:tcPr>
            <w:tcW w:w="6860" w:type="dxa"/>
            <w:gridSpan w:val="2"/>
            <w:tcBorders>
              <w:right w:val="single" w:color="auto" w:sz="8" w:space="0"/>
            </w:tcBorders>
            <w:vAlign w:val="bottom"/>
          </w:tcPr>
          <w:p>
            <w:pPr>
              <w:spacing w:line="340" w:lineRule="exact"/>
              <w:ind w:left="100" w:firstLine="440" w:firstLineChars="200"/>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（1）《政府采购促进中小企业发展暂行办法》（财库[2011]181号）；</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jc w:val="center"/>
              <w:rPr>
                <w:rFonts w:hint="eastAsia" w:ascii="宋体" w:hAnsi="宋体" w:eastAsiaTheme="minorEastAsia" w:cstheme="minorBidi"/>
                <w:color w:val="000000"/>
                <w:sz w:val="22"/>
                <w:szCs w:val="21"/>
                <w:lang w:val="en-US" w:eastAsia="zh-CN" w:bidi="ar-SA"/>
              </w:rPr>
            </w:pPr>
          </w:p>
        </w:tc>
        <w:tc>
          <w:tcPr>
            <w:tcW w:w="6860" w:type="dxa"/>
            <w:gridSpan w:val="2"/>
            <w:tcBorders>
              <w:right w:val="single" w:color="auto" w:sz="8" w:space="0"/>
            </w:tcBorders>
            <w:vAlign w:val="bottom"/>
          </w:tcPr>
          <w:p>
            <w:pPr>
              <w:spacing w:line="340" w:lineRule="exact"/>
              <w:ind w:left="100" w:firstLine="440" w:firstLineChars="200"/>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（2）《关于政府采购支持监狱企业发展有关问题的通知》（财库[2014]68号）；</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jc w:val="center"/>
              <w:rPr>
                <w:rFonts w:hint="eastAsia" w:ascii="宋体" w:hAnsi="宋体" w:eastAsiaTheme="minorEastAsia" w:cstheme="minorBidi"/>
                <w:color w:val="000000"/>
                <w:sz w:val="22"/>
                <w:szCs w:val="21"/>
                <w:lang w:val="en-US" w:eastAsia="zh-CN" w:bidi="ar-SA"/>
              </w:rPr>
            </w:pPr>
          </w:p>
        </w:tc>
        <w:tc>
          <w:tcPr>
            <w:tcW w:w="6860" w:type="dxa"/>
            <w:gridSpan w:val="2"/>
            <w:tcBorders>
              <w:right w:val="single" w:color="auto" w:sz="8" w:space="0"/>
            </w:tcBorders>
            <w:vAlign w:val="bottom"/>
          </w:tcPr>
          <w:p>
            <w:pPr>
              <w:spacing w:line="340" w:lineRule="exact"/>
              <w:ind w:left="100" w:firstLine="440" w:firstLineChars="200"/>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（3）《关于促进残疾人就业政府采购政策的通知》（财库[2017]141号）；</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2</w:t>
            </w:r>
          </w:p>
        </w:tc>
        <w:tc>
          <w:tcPr>
            <w:tcW w:w="7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3</w:t>
            </w: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供应商资格</w:t>
            </w:r>
          </w:p>
        </w:tc>
        <w:tc>
          <w:tcPr>
            <w:tcW w:w="6860" w:type="dxa"/>
            <w:gridSpan w:val="2"/>
            <w:tcBorders>
              <w:right w:val="single" w:color="auto" w:sz="8" w:space="0"/>
            </w:tcBorders>
            <w:vAlign w:val="bottom"/>
          </w:tcPr>
          <w:p>
            <w:pPr>
              <w:spacing w:line="340" w:lineRule="exact"/>
              <w:ind w:left="100" w:firstLine="440" w:firstLineChars="200"/>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 xml:space="preserve">（4）《关于调整优化节能产品、环境标志产品政府采购执行机制的通知》（财库〔2019〕9号）；    </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jc w:val="center"/>
              <w:rPr>
                <w:rFonts w:hint="eastAsia" w:ascii="宋体" w:hAnsi="宋体" w:eastAsiaTheme="minorEastAsia" w:cstheme="minorBidi"/>
                <w:color w:val="000000"/>
                <w:sz w:val="22"/>
                <w:szCs w:val="21"/>
                <w:lang w:val="en-US" w:eastAsia="zh-CN" w:bidi="ar-SA"/>
              </w:rPr>
            </w:pPr>
          </w:p>
        </w:tc>
        <w:tc>
          <w:tcPr>
            <w:tcW w:w="6860" w:type="dxa"/>
            <w:gridSpan w:val="2"/>
            <w:tcBorders>
              <w:right w:val="single" w:color="auto" w:sz="8" w:space="0"/>
            </w:tcBorders>
            <w:vAlign w:val="bottom"/>
          </w:tcPr>
          <w:p>
            <w:pPr>
              <w:spacing w:line="340" w:lineRule="exact"/>
              <w:ind w:left="100" w:firstLine="440" w:firstLineChars="200"/>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（5） 《广西壮族自治区人民政府办公厅关于印发招标采购促进广西工业产品产销对接实施细则的通知》（桂政办发[2015]78号）；</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jc w:val="center"/>
              <w:rPr>
                <w:rFonts w:hint="eastAsia" w:ascii="宋体" w:hAnsi="宋体" w:eastAsiaTheme="minorEastAsia" w:cstheme="minorBidi"/>
                <w:color w:val="000000"/>
                <w:sz w:val="22"/>
                <w:szCs w:val="21"/>
                <w:lang w:val="en-US" w:eastAsia="zh-CN" w:bidi="ar-SA"/>
              </w:rPr>
            </w:pPr>
          </w:p>
        </w:tc>
        <w:tc>
          <w:tcPr>
            <w:tcW w:w="6860" w:type="dxa"/>
            <w:gridSpan w:val="2"/>
            <w:tcBorders>
              <w:right w:val="single" w:color="auto" w:sz="8" w:space="0"/>
            </w:tcBorders>
            <w:vAlign w:val="bottom"/>
          </w:tcPr>
          <w:p>
            <w:pPr>
              <w:spacing w:line="30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3.3.本项目的特定资格要求：无；</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jc w:val="center"/>
              <w:rPr>
                <w:rFonts w:hint="eastAsia" w:ascii="宋体" w:hAnsi="宋体" w:eastAsiaTheme="minorEastAsia" w:cstheme="minorBidi"/>
                <w:color w:val="000000"/>
                <w:sz w:val="22"/>
                <w:szCs w:val="21"/>
                <w:lang w:val="en-US" w:eastAsia="zh-CN" w:bidi="ar-SA"/>
              </w:rPr>
            </w:pPr>
          </w:p>
        </w:tc>
        <w:tc>
          <w:tcPr>
            <w:tcW w:w="6860" w:type="dxa"/>
            <w:gridSpan w:val="2"/>
            <w:tcBorders>
              <w:right w:val="single" w:color="auto" w:sz="8" w:space="0"/>
            </w:tcBorders>
            <w:vAlign w:val="bottom"/>
          </w:tcPr>
          <w:p>
            <w:pPr>
              <w:spacing w:line="30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3.4.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jc w:val="center"/>
              <w:rPr>
                <w:rFonts w:hint="eastAsia" w:ascii="宋体" w:hAnsi="宋体" w:eastAsiaTheme="minorEastAsia" w:cstheme="minorBidi"/>
                <w:color w:val="000000"/>
                <w:sz w:val="22"/>
                <w:szCs w:val="21"/>
                <w:lang w:val="en-US" w:eastAsia="zh-CN" w:bidi="ar-SA"/>
              </w:rPr>
            </w:pPr>
          </w:p>
        </w:tc>
        <w:tc>
          <w:tcPr>
            <w:tcW w:w="6860" w:type="dxa"/>
            <w:gridSpan w:val="2"/>
            <w:tcBorders>
              <w:right w:val="single" w:color="auto" w:sz="8" w:space="0"/>
            </w:tcBorders>
            <w:vAlign w:val="bottom"/>
          </w:tcPr>
          <w:p>
            <w:pPr>
              <w:spacing w:line="30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3.5.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jc w:val="center"/>
              <w:rPr>
                <w:rFonts w:hint="eastAsia" w:ascii="宋体" w:hAnsi="宋体" w:eastAsiaTheme="minorEastAsia" w:cstheme="minorBidi"/>
                <w:color w:val="000000"/>
                <w:sz w:val="22"/>
                <w:szCs w:val="21"/>
                <w:lang w:val="en-US" w:eastAsia="zh-CN" w:bidi="ar-SA"/>
              </w:rPr>
            </w:pPr>
          </w:p>
        </w:tc>
        <w:tc>
          <w:tcPr>
            <w:tcW w:w="6860" w:type="dxa"/>
            <w:gridSpan w:val="2"/>
            <w:tcBorders>
              <w:right w:val="single" w:color="auto" w:sz="8" w:space="0"/>
            </w:tcBorders>
            <w:vAlign w:val="bottom"/>
          </w:tcPr>
          <w:p>
            <w:pPr>
              <w:spacing w:line="360" w:lineRule="auto"/>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3.6本项目不接受联合体。</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bottom w:val="single" w:color="auto" w:sz="8" w:space="0"/>
              <w:right w:val="single" w:color="auto" w:sz="8" w:space="0"/>
            </w:tcBorders>
            <w:vAlign w:val="bottom"/>
          </w:tcPr>
          <w:p>
            <w:pPr>
              <w:jc w:val="center"/>
              <w:rPr>
                <w:rFonts w:hint="eastAsia" w:ascii="宋体" w:hAnsi="宋体" w:eastAsiaTheme="minorEastAsia" w:cstheme="minorBidi"/>
                <w:color w:val="000000"/>
                <w:sz w:val="22"/>
                <w:szCs w:val="21"/>
                <w:lang w:val="en-US" w:eastAsia="zh-CN" w:bidi="ar-SA"/>
              </w:rPr>
            </w:pPr>
          </w:p>
        </w:tc>
        <w:tc>
          <w:tcPr>
            <w:tcW w:w="6860" w:type="dxa"/>
            <w:gridSpan w:val="2"/>
            <w:tcBorders>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06" w:hRule="atLeast"/>
        </w:trPr>
        <w:tc>
          <w:tcPr>
            <w:tcW w:w="580" w:type="dxa"/>
            <w:tcBorders>
              <w:left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3</w:t>
            </w:r>
          </w:p>
        </w:tc>
        <w:tc>
          <w:tcPr>
            <w:tcW w:w="7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4</w:t>
            </w:r>
          </w:p>
        </w:tc>
        <w:tc>
          <w:tcPr>
            <w:tcW w:w="2120" w:type="dxa"/>
            <w:tcBorders>
              <w:right w:val="single" w:color="auto" w:sz="8" w:space="0"/>
            </w:tcBorders>
            <w:vAlign w:val="bottom"/>
          </w:tcPr>
          <w:p>
            <w:pPr>
              <w:spacing w:line="240" w:lineRule="exact"/>
              <w:ind w:left="100"/>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磋商费用</w:t>
            </w:r>
          </w:p>
        </w:tc>
        <w:tc>
          <w:tcPr>
            <w:tcW w:w="6860" w:type="dxa"/>
            <w:gridSpan w:val="2"/>
            <w:tcBorders>
              <w:right w:val="single" w:color="auto" w:sz="8" w:space="0"/>
            </w:tcBorders>
            <w:vAlign w:val="bottom"/>
          </w:tcPr>
          <w:p>
            <w:pPr>
              <w:spacing w:line="30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不论磋商结果如何，供应商均应自行承担所有与磋商有关的全部费用。</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bottom w:val="single" w:color="auto" w:sz="8" w:space="0"/>
              <w:right w:val="single" w:color="auto" w:sz="8" w:space="0"/>
            </w:tcBorders>
            <w:vAlign w:val="bottom"/>
          </w:tcPr>
          <w:p>
            <w:pPr>
              <w:spacing w:line="240" w:lineRule="exact"/>
              <w:ind w:left="100"/>
              <w:jc w:val="center"/>
              <w:rPr>
                <w:rFonts w:hint="eastAsia" w:ascii="宋体" w:hAnsi="宋体" w:eastAsiaTheme="minorEastAsia" w:cstheme="minorBidi"/>
                <w:color w:val="000000"/>
                <w:sz w:val="22"/>
                <w:szCs w:val="21"/>
                <w:lang w:val="en-US" w:eastAsia="zh-CN" w:bidi="ar-SA"/>
              </w:rPr>
            </w:pPr>
          </w:p>
        </w:tc>
        <w:tc>
          <w:tcPr>
            <w:tcW w:w="6860" w:type="dxa"/>
            <w:gridSpan w:val="2"/>
            <w:tcBorders>
              <w:bottom w:val="single" w:color="auto" w:sz="8" w:space="0"/>
              <w:right w:val="single" w:color="auto" w:sz="8" w:space="0"/>
            </w:tcBorders>
            <w:vAlign w:val="bottom"/>
          </w:tcPr>
          <w:p>
            <w:pPr>
              <w:spacing w:line="300" w:lineRule="exact"/>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06"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ind w:left="100"/>
              <w:jc w:val="center"/>
              <w:rPr>
                <w:rFonts w:hint="eastAsia" w:ascii="宋体" w:hAnsi="宋体" w:eastAsiaTheme="minorEastAsia" w:cstheme="minorBidi"/>
                <w:color w:val="000000"/>
                <w:sz w:val="22"/>
                <w:szCs w:val="21"/>
                <w:lang w:val="en-US" w:eastAsia="zh-CN" w:bidi="ar-SA"/>
              </w:rPr>
            </w:pPr>
          </w:p>
        </w:tc>
        <w:tc>
          <w:tcPr>
            <w:tcW w:w="6860" w:type="dxa"/>
            <w:gridSpan w:val="2"/>
            <w:tcBorders>
              <w:right w:val="single" w:color="auto" w:sz="8" w:space="0"/>
            </w:tcBorders>
            <w:vAlign w:val="bottom"/>
          </w:tcPr>
          <w:p>
            <w:pPr>
              <w:spacing w:line="30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采购项目预算金额（人民币）：1631200元。报价超过采购预算金额的，响应文件按无效处理。</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91"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ind w:left="100" w:leftChars="0"/>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磋商报价及采购预算</w:t>
            </w:r>
          </w:p>
        </w:tc>
        <w:tc>
          <w:tcPr>
            <w:tcW w:w="6860" w:type="dxa"/>
            <w:gridSpan w:val="2"/>
            <w:tcBorders>
              <w:right w:val="single" w:color="auto" w:sz="8" w:space="0"/>
            </w:tcBorders>
            <w:vAlign w:val="bottom"/>
          </w:tcPr>
          <w:p>
            <w:pPr>
              <w:spacing w:line="30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13.2 供应商必须就“采购需求”中的所有服务内容作完整唯一报价，否则，其响应文件无效。响应文件只允许有一个报价，有选择的或有条</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80" w:hRule="atLeast"/>
        </w:trPr>
        <w:tc>
          <w:tcPr>
            <w:tcW w:w="580" w:type="dxa"/>
            <w:tcBorders>
              <w:left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4</w:t>
            </w:r>
          </w:p>
        </w:tc>
        <w:tc>
          <w:tcPr>
            <w:tcW w:w="7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13</w:t>
            </w:r>
          </w:p>
        </w:tc>
        <w:tc>
          <w:tcPr>
            <w:tcW w:w="2120" w:type="dxa"/>
            <w:tcBorders>
              <w:right w:val="single" w:color="auto" w:sz="8" w:space="0"/>
            </w:tcBorders>
            <w:vAlign w:val="bottom"/>
          </w:tcPr>
          <w:p>
            <w:pPr>
              <w:spacing w:line="240" w:lineRule="exact"/>
              <w:ind w:left="100" w:leftChars="0"/>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总金额</w:t>
            </w:r>
          </w:p>
        </w:tc>
        <w:tc>
          <w:tcPr>
            <w:tcW w:w="6860" w:type="dxa"/>
            <w:gridSpan w:val="2"/>
            <w:tcBorders>
              <w:right w:val="single" w:color="auto" w:sz="8" w:space="0"/>
            </w:tcBorders>
            <w:vAlign w:val="bottom"/>
          </w:tcPr>
          <w:p>
            <w:pPr>
              <w:spacing w:line="30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件的报价将不予接受。</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39"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ind w:left="100"/>
              <w:jc w:val="center"/>
              <w:rPr>
                <w:rFonts w:hint="eastAsia" w:ascii="宋体" w:hAnsi="宋体" w:eastAsiaTheme="minorEastAsia" w:cstheme="minorBidi"/>
                <w:color w:val="000000"/>
                <w:sz w:val="22"/>
                <w:szCs w:val="21"/>
                <w:lang w:val="en-US" w:eastAsia="zh-CN" w:bidi="ar-SA"/>
              </w:rPr>
            </w:pPr>
          </w:p>
        </w:tc>
        <w:tc>
          <w:tcPr>
            <w:tcW w:w="6860" w:type="dxa"/>
            <w:gridSpan w:val="2"/>
            <w:tcBorders>
              <w:right w:val="single" w:color="auto" w:sz="8" w:space="0"/>
            </w:tcBorders>
            <w:vAlign w:val="bottom"/>
          </w:tcPr>
          <w:p>
            <w:pPr>
              <w:spacing w:line="30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13.4 未书面退出磋商的供应商在规定时间内密封提交最后报价，其最后报价超出采购预算金额导致已通过评审的响应文件无效的，按供应商</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lang w:val="en-US" w:eastAsia="zh-CN"/>
              </w:rPr>
            </w:pPr>
          </w:p>
          <w:p>
            <w:pPr>
              <w:pStyle w:val="4"/>
              <w:rPr>
                <w:rFonts w:hint="eastAsia"/>
                <w:lang w:val="en-US" w:eastAsia="zh-CN"/>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ind w:left="100" w:leftChars="0"/>
              <w:jc w:val="center"/>
              <w:rPr>
                <w:rFonts w:hint="eastAsia" w:ascii="宋体" w:hAnsi="宋体" w:eastAsiaTheme="minorEastAsia" w:cstheme="minorBidi"/>
                <w:color w:val="000000"/>
                <w:sz w:val="22"/>
                <w:szCs w:val="21"/>
                <w:lang w:val="en-US" w:eastAsia="zh-CN" w:bidi="ar-SA"/>
              </w:rPr>
            </w:pPr>
          </w:p>
        </w:tc>
        <w:tc>
          <w:tcPr>
            <w:tcW w:w="6860" w:type="dxa"/>
            <w:gridSpan w:val="2"/>
            <w:tcBorders>
              <w:right w:val="single" w:color="auto" w:sz="8" w:space="0"/>
            </w:tcBorders>
            <w:vAlign w:val="bottom"/>
          </w:tcPr>
          <w:p>
            <w:pPr>
              <w:spacing w:line="30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在提交响应文件截止时间后撤回响应文件处理。</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27" w:hRule="atLeast"/>
        </w:trPr>
        <w:tc>
          <w:tcPr>
            <w:tcW w:w="580" w:type="dxa"/>
            <w:tcBorders>
              <w:left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5</w:t>
            </w:r>
          </w:p>
        </w:tc>
        <w:tc>
          <w:tcPr>
            <w:tcW w:w="7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14.1</w:t>
            </w:r>
          </w:p>
        </w:tc>
        <w:tc>
          <w:tcPr>
            <w:tcW w:w="2120" w:type="dxa"/>
            <w:tcBorders>
              <w:right w:val="single" w:color="auto" w:sz="8" w:space="0"/>
            </w:tcBorders>
            <w:vAlign w:val="bottom"/>
          </w:tcPr>
          <w:p>
            <w:pPr>
              <w:spacing w:line="240" w:lineRule="exact"/>
              <w:ind w:left="100"/>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响应文件有效期</w:t>
            </w:r>
          </w:p>
        </w:tc>
        <w:tc>
          <w:tcPr>
            <w:tcW w:w="6860" w:type="dxa"/>
            <w:gridSpan w:val="2"/>
            <w:tcBorders>
              <w:right w:val="single" w:color="auto" w:sz="8" w:space="0"/>
            </w:tcBorders>
            <w:vAlign w:val="bottom"/>
          </w:tcPr>
          <w:p>
            <w:pPr>
              <w:spacing w:line="240" w:lineRule="exact"/>
              <w:ind w:left="100"/>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响应文件递交截止时间之日起60 天，有效期不足的响应文件将被拒绝。</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24" w:hRule="atLeast"/>
        </w:trPr>
        <w:tc>
          <w:tcPr>
            <w:tcW w:w="580" w:type="dxa"/>
            <w:tcBorders>
              <w:left w:val="single" w:color="auto" w:sz="8" w:space="0"/>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bottom w:val="single" w:color="auto" w:sz="8" w:space="0"/>
              <w:right w:val="single" w:color="auto" w:sz="8" w:space="0"/>
            </w:tcBorders>
            <w:vAlign w:val="bottom"/>
          </w:tcPr>
          <w:p>
            <w:pPr>
              <w:spacing w:line="240" w:lineRule="exact"/>
              <w:ind w:left="100"/>
              <w:jc w:val="center"/>
              <w:rPr>
                <w:rFonts w:hint="eastAsia" w:ascii="宋体" w:hAnsi="宋体" w:eastAsiaTheme="minorEastAsia" w:cstheme="minorBidi"/>
                <w:color w:val="000000"/>
                <w:sz w:val="22"/>
                <w:szCs w:val="21"/>
                <w:lang w:val="en-US" w:eastAsia="zh-CN" w:bidi="ar-SA"/>
              </w:rPr>
            </w:pPr>
          </w:p>
        </w:tc>
        <w:tc>
          <w:tcPr>
            <w:tcW w:w="6860" w:type="dxa"/>
            <w:gridSpan w:val="2"/>
            <w:tcBorders>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06" w:hRule="atLeast"/>
        </w:trPr>
        <w:tc>
          <w:tcPr>
            <w:tcW w:w="580" w:type="dxa"/>
            <w:tcBorders>
              <w:left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6</w:t>
            </w:r>
          </w:p>
        </w:tc>
        <w:tc>
          <w:tcPr>
            <w:tcW w:w="7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15.1</w:t>
            </w:r>
          </w:p>
        </w:tc>
        <w:tc>
          <w:tcPr>
            <w:tcW w:w="2120" w:type="dxa"/>
            <w:tcBorders>
              <w:right w:val="single" w:color="auto" w:sz="8" w:space="0"/>
            </w:tcBorders>
            <w:vAlign w:val="bottom"/>
          </w:tcPr>
          <w:p>
            <w:pPr>
              <w:spacing w:line="240" w:lineRule="exact"/>
              <w:ind w:left="100"/>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响应文件份数</w:t>
            </w:r>
          </w:p>
        </w:tc>
        <w:tc>
          <w:tcPr>
            <w:tcW w:w="6860" w:type="dxa"/>
            <w:gridSpan w:val="2"/>
            <w:tcBorders>
              <w:right w:val="single" w:color="auto" w:sz="8" w:space="0"/>
            </w:tcBorders>
            <w:vAlign w:val="bottom"/>
          </w:tcPr>
          <w:p>
            <w:pPr>
              <w:spacing w:line="240" w:lineRule="exact"/>
              <w:ind w:left="100"/>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正本壹册，副本叁册，须完整提交（A4 纸装订）。</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bottom w:val="single" w:color="auto" w:sz="8" w:space="0"/>
              <w:right w:val="single" w:color="auto" w:sz="8" w:space="0"/>
            </w:tcBorders>
            <w:vAlign w:val="bottom"/>
          </w:tcPr>
          <w:p>
            <w:pPr>
              <w:spacing w:line="240" w:lineRule="exact"/>
              <w:ind w:left="100"/>
              <w:jc w:val="center"/>
              <w:rPr>
                <w:rFonts w:hint="eastAsia" w:ascii="宋体" w:hAnsi="宋体" w:eastAsiaTheme="minorEastAsia" w:cstheme="minorBidi"/>
                <w:color w:val="000000"/>
                <w:sz w:val="22"/>
                <w:szCs w:val="21"/>
                <w:lang w:val="en-US" w:eastAsia="zh-CN" w:bidi="ar-SA"/>
              </w:rPr>
            </w:pPr>
          </w:p>
        </w:tc>
        <w:tc>
          <w:tcPr>
            <w:tcW w:w="6860" w:type="dxa"/>
            <w:gridSpan w:val="2"/>
            <w:tcBorders>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06"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ind w:left="100"/>
              <w:jc w:val="center"/>
              <w:rPr>
                <w:rFonts w:hint="eastAsia" w:ascii="宋体" w:hAnsi="宋体" w:eastAsiaTheme="minorEastAsia" w:cstheme="minorBidi"/>
                <w:color w:val="000000"/>
                <w:sz w:val="22"/>
                <w:szCs w:val="21"/>
                <w:lang w:val="en-US" w:eastAsia="zh-CN" w:bidi="ar-SA"/>
              </w:rPr>
            </w:pPr>
          </w:p>
        </w:tc>
        <w:tc>
          <w:tcPr>
            <w:tcW w:w="6860" w:type="dxa"/>
            <w:gridSpan w:val="2"/>
            <w:tcBorders>
              <w:right w:val="single" w:color="auto" w:sz="8" w:space="0"/>
            </w:tcBorders>
            <w:vAlign w:val="bottom"/>
          </w:tcPr>
          <w:p>
            <w:pPr>
              <w:spacing w:line="240" w:lineRule="exact"/>
              <w:ind w:left="100"/>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供应商应按供应商须知第 11.1 款“响应文件组成”规定的顺序自编目录及页码，响应文件的“正本”、“副本”应当单独装订成册并标</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7</w:t>
            </w:r>
          </w:p>
        </w:tc>
        <w:tc>
          <w:tcPr>
            <w:tcW w:w="7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15.2</w:t>
            </w:r>
          </w:p>
        </w:tc>
        <w:tc>
          <w:tcPr>
            <w:tcW w:w="2120" w:type="dxa"/>
            <w:tcBorders>
              <w:right w:val="single" w:color="auto" w:sz="8" w:space="0"/>
            </w:tcBorders>
            <w:vAlign w:val="bottom"/>
          </w:tcPr>
          <w:p>
            <w:pPr>
              <w:spacing w:line="240" w:lineRule="exact"/>
              <w:ind w:left="100"/>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响应文件装订要求</w:t>
            </w:r>
          </w:p>
        </w:tc>
        <w:tc>
          <w:tcPr>
            <w:tcW w:w="6860" w:type="dxa"/>
            <w:gridSpan w:val="2"/>
            <w:tcBorders>
              <w:right w:val="single" w:color="auto" w:sz="8" w:space="0"/>
            </w:tcBorders>
            <w:vAlign w:val="bottom"/>
          </w:tcPr>
          <w:p>
            <w:pPr>
              <w:spacing w:line="240" w:lineRule="exact"/>
              <w:ind w:left="100"/>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注页码，装订应牢固，不易拆散和换页。封面应注明“正本”、“副本”字样，封面上写明项目名称、项目编号、采购代理机构、供应商单位名称。</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bottom w:val="single" w:color="auto" w:sz="8" w:space="0"/>
              <w:right w:val="single" w:color="auto" w:sz="8" w:space="0"/>
            </w:tcBorders>
            <w:vAlign w:val="bottom"/>
          </w:tcPr>
          <w:p>
            <w:pPr>
              <w:jc w:val="center"/>
              <w:rPr>
                <w:rFonts w:hint="eastAsia" w:ascii="宋体" w:hAnsi="宋体" w:eastAsiaTheme="minorEastAsia" w:cstheme="minorBidi"/>
                <w:color w:val="000000"/>
                <w:sz w:val="22"/>
                <w:szCs w:val="21"/>
                <w:lang w:val="en-US" w:eastAsia="zh-CN" w:bidi="ar-SA"/>
              </w:rPr>
            </w:pPr>
          </w:p>
        </w:tc>
        <w:tc>
          <w:tcPr>
            <w:tcW w:w="6860" w:type="dxa"/>
            <w:gridSpan w:val="2"/>
            <w:tcBorders>
              <w:bottom w:val="single" w:color="auto" w:sz="4"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bottom w:val="single" w:color="auto" w:sz="4" w:space="0"/>
              <w:right w:val="single" w:color="auto" w:sz="8" w:space="0"/>
            </w:tcBorders>
            <w:vAlign w:val="center"/>
          </w:tcPr>
          <w:p>
            <w:pPr>
              <w:spacing w:line="380" w:lineRule="atLeast"/>
              <w:jc w:val="center"/>
              <w:rPr>
                <w:rFonts w:hint="eastAsia" w:ascii="宋体" w:hAnsi="宋体" w:eastAsiaTheme="minorEastAsia" w:cstheme="minorBidi"/>
                <w:color w:val="000000"/>
                <w:sz w:val="22"/>
                <w:szCs w:val="21"/>
                <w:lang w:val="en-US" w:eastAsia="zh-CN" w:bidi="ar-SA"/>
              </w:rPr>
            </w:pPr>
            <w:r>
              <w:rPr>
                <w:rFonts w:hint="eastAsia" w:ascii="宋体" w:hAnsi="宋体"/>
                <w:color w:val="auto"/>
                <w:highlight w:val="none"/>
                <w:lang w:val="en-US" w:eastAsia="zh-CN"/>
              </w:rPr>
              <w:t>8</w:t>
            </w:r>
          </w:p>
        </w:tc>
        <w:tc>
          <w:tcPr>
            <w:tcW w:w="720" w:type="dxa"/>
            <w:tcBorders>
              <w:bottom w:val="single" w:color="auto" w:sz="4" w:space="0"/>
              <w:right w:val="single" w:color="auto" w:sz="8" w:space="0"/>
            </w:tcBorders>
            <w:vAlign w:val="center"/>
          </w:tcPr>
          <w:p>
            <w:pPr>
              <w:spacing w:line="380" w:lineRule="atLeast"/>
              <w:jc w:val="center"/>
              <w:rPr>
                <w:rFonts w:hint="eastAsia" w:ascii="宋体" w:hAnsi="宋体" w:eastAsiaTheme="minorEastAsia" w:cstheme="minorBidi"/>
                <w:color w:val="000000"/>
                <w:sz w:val="22"/>
                <w:szCs w:val="21"/>
                <w:lang w:val="en-US" w:eastAsia="zh-CN" w:bidi="ar-SA"/>
              </w:rPr>
            </w:pPr>
            <w:r>
              <w:rPr>
                <w:rFonts w:hint="eastAsia" w:ascii="宋体" w:hAnsi="宋体"/>
                <w:color w:val="auto"/>
                <w:highlight w:val="none"/>
              </w:rPr>
              <w:t>1</w:t>
            </w:r>
            <w:r>
              <w:rPr>
                <w:rFonts w:hint="eastAsia" w:ascii="宋体" w:hAnsi="宋体"/>
                <w:color w:val="auto"/>
                <w:highlight w:val="none"/>
                <w:lang w:val="en-US" w:eastAsia="zh-CN"/>
              </w:rPr>
              <w:t>5</w:t>
            </w:r>
            <w:r>
              <w:rPr>
                <w:rFonts w:hint="eastAsia" w:ascii="宋体" w:hAnsi="宋体"/>
                <w:color w:val="auto"/>
                <w:highlight w:val="none"/>
              </w:rPr>
              <w:t>.6</w:t>
            </w:r>
          </w:p>
        </w:tc>
        <w:tc>
          <w:tcPr>
            <w:tcW w:w="2120" w:type="dxa"/>
            <w:tcBorders>
              <w:bottom w:val="single" w:color="auto" w:sz="4" w:space="0"/>
              <w:right w:val="single" w:color="auto" w:sz="8" w:space="0"/>
            </w:tcBorders>
            <w:vAlign w:val="center"/>
          </w:tcPr>
          <w:p>
            <w:pPr>
              <w:spacing w:line="380" w:lineRule="atLeast"/>
              <w:jc w:val="center"/>
              <w:rPr>
                <w:rFonts w:hint="eastAsia" w:ascii="宋体" w:hAnsi="宋体" w:eastAsiaTheme="minorEastAsia" w:cstheme="minorBidi"/>
                <w:color w:val="000000"/>
                <w:sz w:val="22"/>
                <w:szCs w:val="21"/>
                <w:lang w:val="en-US" w:eastAsia="zh-CN" w:bidi="ar-SA"/>
              </w:rPr>
            </w:pPr>
            <w:r>
              <w:rPr>
                <w:rFonts w:hint="eastAsia" w:ascii="宋体" w:hAnsi="宋体" w:cs="宋体"/>
                <w:color w:val="auto"/>
                <w:position w:val="10"/>
                <w:szCs w:val="21"/>
                <w:highlight w:val="none"/>
              </w:rPr>
              <w:t>响应文件包装、密封</w:t>
            </w:r>
          </w:p>
        </w:tc>
        <w:tc>
          <w:tcPr>
            <w:tcW w:w="6860" w:type="dxa"/>
            <w:gridSpan w:val="2"/>
            <w:tcBorders>
              <w:bottom w:val="single" w:color="auto" w:sz="4" w:space="0"/>
              <w:right w:val="single" w:color="auto" w:sz="8" w:space="0"/>
            </w:tcBorders>
            <w:vAlign w:val="center"/>
          </w:tcPr>
          <w:p>
            <w:pPr>
              <w:spacing w:line="380" w:lineRule="atLeast"/>
              <w:rPr>
                <w:rFonts w:hint="eastAsia" w:ascii="宋体" w:hAnsi="宋体" w:eastAsiaTheme="minorEastAsia" w:cstheme="minorBidi"/>
                <w:color w:val="000000"/>
                <w:sz w:val="22"/>
                <w:szCs w:val="21"/>
                <w:lang w:val="en-US" w:eastAsia="zh-CN" w:bidi="ar-SA"/>
              </w:rPr>
            </w:pPr>
            <w:r>
              <w:rPr>
                <w:rFonts w:hint="eastAsia" w:ascii="宋体" w:hAnsi="宋体" w:cs="宋体"/>
                <w:color w:val="auto"/>
                <w:szCs w:val="21"/>
                <w:highlight w:val="none"/>
              </w:rPr>
              <w:t>响应文件包装、</w:t>
            </w:r>
            <w:r>
              <w:rPr>
                <w:rFonts w:ascii="宋体" w:hAnsi="宋体" w:cs="宋体"/>
                <w:color w:val="auto"/>
                <w:szCs w:val="21"/>
                <w:highlight w:val="none"/>
              </w:rPr>
              <w:t>密封</w:t>
            </w:r>
            <w:r>
              <w:rPr>
                <w:rFonts w:hint="eastAsia" w:ascii="宋体" w:hAnsi="宋体" w:cs="宋体"/>
                <w:color w:val="auto"/>
                <w:szCs w:val="21"/>
                <w:highlight w:val="none"/>
              </w:rPr>
              <w:t>：将响应文件“正本”、“副本”一并装入并密封在一个响应文件袋（盒、箱）中，并在密封处密封签章（公章或密封章或法定代表人或负责人或自然人或其授权委托代理人签字均可）。</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180" w:hRule="atLeast"/>
        </w:trPr>
        <w:tc>
          <w:tcPr>
            <w:tcW w:w="580" w:type="dxa"/>
            <w:tcBorders>
              <w:top w:val="single" w:color="auto" w:sz="4" w:space="0"/>
              <w:left w:val="single" w:color="auto" w:sz="8" w:space="0"/>
              <w:bottom w:val="single" w:color="auto" w:sz="4" w:space="0"/>
              <w:right w:val="single" w:color="auto" w:sz="8" w:space="0"/>
            </w:tcBorders>
            <w:vAlign w:val="center"/>
          </w:tcPr>
          <w:p>
            <w:pPr>
              <w:spacing w:line="380" w:lineRule="atLeast"/>
              <w:jc w:val="center"/>
              <w:rPr>
                <w:rFonts w:hint="default" w:ascii="宋体" w:hAnsi="宋体" w:eastAsiaTheme="minorEastAsia" w:cstheme="minorBidi"/>
                <w:color w:val="000000"/>
                <w:sz w:val="22"/>
                <w:szCs w:val="21"/>
                <w:lang w:val="en-US" w:eastAsia="zh-CN" w:bidi="ar-SA"/>
              </w:rPr>
            </w:pPr>
            <w:r>
              <w:rPr>
                <w:rFonts w:hint="eastAsia" w:ascii="宋体" w:hAnsi="宋体" w:cstheme="minorBidi"/>
                <w:color w:val="000000"/>
                <w:sz w:val="22"/>
                <w:szCs w:val="21"/>
                <w:lang w:val="en-US" w:eastAsia="zh-CN" w:bidi="ar-SA"/>
              </w:rPr>
              <w:t>9</w:t>
            </w:r>
          </w:p>
        </w:tc>
        <w:tc>
          <w:tcPr>
            <w:tcW w:w="720" w:type="dxa"/>
            <w:tcBorders>
              <w:top w:val="single" w:color="auto" w:sz="4" w:space="0"/>
              <w:bottom w:val="single" w:color="auto" w:sz="4" w:space="0"/>
              <w:right w:val="single" w:color="auto" w:sz="8" w:space="0"/>
            </w:tcBorders>
            <w:vAlign w:val="center"/>
          </w:tcPr>
          <w:p>
            <w:pPr>
              <w:spacing w:line="380" w:lineRule="atLeast"/>
              <w:jc w:val="center"/>
              <w:rPr>
                <w:rFonts w:hint="default" w:ascii="宋体" w:hAnsi="宋体" w:eastAsiaTheme="minorEastAsia" w:cstheme="minorBidi"/>
                <w:color w:val="000000"/>
                <w:sz w:val="22"/>
                <w:szCs w:val="21"/>
                <w:lang w:val="en-US" w:eastAsia="zh-CN" w:bidi="ar-SA"/>
              </w:rPr>
            </w:pPr>
            <w:r>
              <w:rPr>
                <w:rFonts w:hint="eastAsia" w:ascii="宋体" w:hAnsi="宋体" w:cstheme="minorBidi"/>
                <w:color w:val="000000"/>
                <w:sz w:val="22"/>
                <w:szCs w:val="21"/>
                <w:lang w:val="en-US" w:eastAsia="zh-CN" w:bidi="ar-SA"/>
              </w:rPr>
              <w:t>15.7</w:t>
            </w:r>
          </w:p>
        </w:tc>
        <w:tc>
          <w:tcPr>
            <w:tcW w:w="2120" w:type="dxa"/>
            <w:tcBorders>
              <w:top w:val="single" w:color="auto" w:sz="4" w:space="0"/>
              <w:bottom w:val="single" w:color="auto" w:sz="4" w:space="0"/>
              <w:right w:val="single" w:color="auto" w:sz="8" w:space="0"/>
            </w:tcBorders>
            <w:vAlign w:val="center"/>
          </w:tcPr>
          <w:p>
            <w:pPr>
              <w:spacing w:line="380" w:lineRule="atLeast"/>
              <w:jc w:val="center"/>
              <w:rPr>
                <w:rFonts w:hint="eastAsia" w:ascii="宋体" w:hAnsi="宋体" w:eastAsiaTheme="minorEastAsia" w:cstheme="minorBidi"/>
                <w:color w:val="000000"/>
                <w:sz w:val="22"/>
                <w:szCs w:val="21"/>
                <w:lang w:val="en-US" w:eastAsia="zh-CN" w:bidi="ar-SA"/>
              </w:rPr>
            </w:pPr>
            <w:r>
              <w:rPr>
                <w:rFonts w:hint="eastAsia" w:ascii="宋体" w:hAnsi="宋体" w:cs="宋体"/>
                <w:color w:val="auto"/>
                <w:position w:val="10"/>
                <w:szCs w:val="21"/>
                <w:highlight w:val="none"/>
              </w:rPr>
              <w:t>响应文件包封袋上标记</w:t>
            </w:r>
          </w:p>
        </w:tc>
        <w:tc>
          <w:tcPr>
            <w:tcW w:w="6860" w:type="dxa"/>
            <w:gridSpan w:val="2"/>
            <w:tcBorders>
              <w:top w:val="single" w:color="auto" w:sz="4" w:space="0"/>
              <w:bottom w:val="single" w:color="auto" w:sz="4" w:space="0"/>
              <w:right w:val="single" w:color="auto" w:sz="8" w:space="0"/>
            </w:tcBorders>
            <w:vAlign w:val="center"/>
          </w:tcPr>
          <w:p>
            <w:pPr>
              <w:spacing w:line="380" w:lineRule="atLeast"/>
              <w:ind w:left="1050" w:hanging="1100" w:hangingChars="500"/>
              <w:rPr>
                <w:rFonts w:hint="eastAsia" w:eastAsia="宋体"/>
                <w:bCs/>
                <w:color w:val="auto"/>
                <w:szCs w:val="21"/>
                <w:highlight w:val="none"/>
                <w:u w:val="single"/>
                <w:lang w:eastAsia="zh-CN"/>
              </w:rPr>
            </w:pPr>
            <w:r>
              <w:rPr>
                <w:rFonts w:hint="eastAsia" w:ascii="宋体" w:hAnsi="宋体" w:cs="宋体"/>
                <w:color w:val="auto"/>
                <w:szCs w:val="21"/>
                <w:highlight w:val="none"/>
              </w:rPr>
              <w:t>项目名称：</w:t>
            </w:r>
            <w:r>
              <w:rPr>
                <w:rFonts w:hint="eastAsia" w:ascii="宋体" w:hAnsi="宋体" w:eastAsiaTheme="minorEastAsia" w:cstheme="minorBidi"/>
                <w:color w:val="000000"/>
                <w:sz w:val="22"/>
                <w:szCs w:val="21"/>
                <w:lang w:val="en-US" w:eastAsia="zh-CN" w:bidi="ar-SA"/>
              </w:rPr>
              <w:t>灵川县潭下镇人民政府雪亮工程项目</w:t>
            </w:r>
          </w:p>
          <w:p>
            <w:pPr>
              <w:spacing w:line="380" w:lineRule="atLeas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项目编号：</w:t>
            </w:r>
            <w:r>
              <w:rPr>
                <w:rFonts w:hint="eastAsia" w:ascii="宋体" w:hAnsi="宋体" w:eastAsiaTheme="minorEastAsia" w:cstheme="minorBidi"/>
                <w:color w:val="000000"/>
                <w:sz w:val="22"/>
                <w:szCs w:val="21"/>
                <w:lang w:val="en-US" w:eastAsia="zh-CN" w:bidi="ar-SA"/>
              </w:rPr>
              <w:t>GLZC2020-C3-230051-GXBG</w:t>
            </w:r>
          </w:p>
          <w:p>
            <w:pPr>
              <w:spacing w:line="380" w:lineRule="atLeast"/>
              <w:jc w:val="both"/>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采购代理机构：</w:t>
            </w:r>
            <w:r>
              <w:rPr>
                <w:rFonts w:hint="eastAsia" w:ascii="宋体" w:hAnsi="宋体" w:cs="宋体"/>
                <w:color w:val="auto"/>
                <w:szCs w:val="21"/>
                <w:highlight w:val="none"/>
                <w:lang w:eastAsia="zh-CN"/>
              </w:rPr>
              <w:t>广西八桂建设项目管理有限公司</w:t>
            </w:r>
          </w:p>
          <w:p>
            <w:pPr>
              <w:spacing w:line="380" w:lineRule="atLeast"/>
              <w:rPr>
                <w:rFonts w:ascii="宋体" w:hAnsi="宋体" w:cs="宋体"/>
                <w:color w:val="auto"/>
                <w:szCs w:val="21"/>
                <w:highlight w:val="none"/>
                <w:u w:val="single"/>
              </w:rPr>
            </w:pPr>
            <w:r>
              <w:rPr>
                <w:rFonts w:hint="eastAsia" w:ascii="宋体" w:hAnsi="宋体" w:cs="宋体"/>
                <w:color w:val="auto"/>
                <w:szCs w:val="21"/>
                <w:highlight w:val="none"/>
              </w:rPr>
              <w:t>供应商名称：</w:t>
            </w:r>
          </w:p>
          <w:p>
            <w:pPr>
              <w:spacing w:line="380" w:lineRule="atLeast"/>
              <w:rPr>
                <w:rFonts w:hint="eastAsia" w:ascii="宋体" w:hAnsi="宋体" w:eastAsiaTheme="minorEastAsia" w:cstheme="minorBidi"/>
                <w:color w:val="000000"/>
                <w:sz w:val="22"/>
                <w:szCs w:val="21"/>
                <w:lang w:val="en-US" w:eastAsia="zh-CN" w:bidi="ar-SA"/>
              </w:rPr>
            </w:pPr>
            <w:r>
              <w:rPr>
                <w:rFonts w:hint="eastAsia" w:ascii="宋体" w:hAnsi="宋体"/>
                <w:color w:val="auto"/>
                <w:spacing w:val="-4"/>
                <w:szCs w:val="21"/>
                <w:highlight w:val="none"/>
              </w:rPr>
              <w:t>在</w:t>
            </w:r>
            <w:r>
              <w:rPr>
                <w:rFonts w:hint="eastAsia" w:ascii="宋体" w:hAnsi="宋体"/>
                <w:color w:val="auto"/>
                <w:szCs w:val="21"/>
                <w:highlight w:val="none"/>
              </w:rPr>
              <w:t xml:space="preserve">    年  月  日</w:t>
            </w:r>
            <w:r>
              <w:rPr>
                <w:rFonts w:hint="eastAsia" w:ascii="宋体" w:hAnsi="宋体"/>
                <w:color w:val="auto"/>
                <w:spacing w:val="-4"/>
                <w:szCs w:val="21"/>
                <w:highlight w:val="none"/>
              </w:rPr>
              <w:t>上午  时  分前不得开启</w:t>
            </w:r>
            <w:r>
              <w:rPr>
                <w:rFonts w:hint="eastAsia" w:ascii="宋体" w:hAnsi="宋体"/>
                <w:b/>
                <w:color w:val="auto"/>
                <w:spacing w:val="-4"/>
                <w:szCs w:val="21"/>
                <w:highlight w:val="none"/>
              </w:rPr>
              <w:t>(此处供应商填写响应文件递交截止时间)</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180" w:hRule="atLeast"/>
        </w:trPr>
        <w:tc>
          <w:tcPr>
            <w:tcW w:w="580" w:type="dxa"/>
            <w:tcBorders>
              <w:top w:val="single" w:color="auto" w:sz="4" w:space="0"/>
              <w:left w:val="single" w:color="auto" w:sz="8" w:space="0"/>
              <w:bottom w:val="single" w:color="auto" w:sz="4" w:space="0"/>
              <w:right w:val="single" w:color="auto" w:sz="8" w:space="0"/>
            </w:tcBorders>
            <w:vAlign w:val="center"/>
          </w:tcPr>
          <w:p>
            <w:pPr>
              <w:spacing w:line="380" w:lineRule="atLeast"/>
              <w:jc w:val="center"/>
              <w:rPr>
                <w:rFonts w:hint="default" w:ascii="宋体" w:hAnsi="宋体" w:eastAsiaTheme="minorEastAsia" w:cstheme="minorBidi"/>
                <w:color w:val="000000"/>
                <w:sz w:val="22"/>
                <w:szCs w:val="21"/>
                <w:lang w:val="en-US" w:eastAsia="zh-CN" w:bidi="ar-SA"/>
              </w:rPr>
            </w:pPr>
            <w:r>
              <w:rPr>
                <w:rFonts w:hint="eastAsia" w:ascii="宋体" w:hAnsi="宋体" w:cs="宋体"/>
                <w:color w:val="auto"/>
                <w:szCs w:val="21"/>
                <w:highlight w:val="none"/>
                <w:lang w:val="en-US" w:eastAsia="zh-CN"/>
              </w:rPr>
              <w:t>10</w:t>
            </w:r>
          </w:p>
        </w:tc>
        <w:tc>
          <w:tcPr>
            <w:tcW w:w="720" w:type="dxa"/>
            <w:tcBorders>
              <w:top w:val="single" w:color="auto" w:sz="4" w:space="0"/>
              <w:bottom w:val="single" w:color="auto" w:sz="4" w:space="0"/>
              <w:right w:val="single" w:color="auto" w:sz="8" w:space="0"/>
            </w:tcBorders>
            <w:vAlign w:val="center"/>
          </w:tcPr>
          <w:p>
            <w:pPr>
              <w:spacing w:line="380" w:lineRule="atLeast"/>
              <w:jc w:val="center"/>
              <w:rPr>
                <w:rFonts w:hint="eastAsia" w:ascii="宋体" w:hAnsi="宋体" w:cstheme="minorBidi"/>
                <w:color w:val="000000"/>
                <w:sz w:val="22"/>
                <w:szCs w:val="21"/>
                <w:lang w:val="en-US" w:eastAsia="zh-CN" w:bidi="ar-SA"/>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.8</w:t>
            </w:r>
          </w:p>
        </w:tc>
        <w:tc>
          <w:tcPr>
            <w:tcW w:w="2120" w:type="dxa"/>
            <w:tcBorders>
              <w:top w:val="single" w:color="auto" w:sz="4" w:space="0"/>
              <w:bottom w:val="single" w:color="auto" w:sz="4" w:space="0"/>
              <w:right w:val="single" w:color="auto" w:sz="8" w:space="0"/>
            </w:tcBorders>
            <w:vAlign w:val="center"/>
          </w:tcPr>
          <w:p>
            <w:pPr>
              <w:spacing w:line="380" w:lineRule="atLeast"/>
              <w:jc w:val="center"/>
              <w:rPr>
                <w:rFonts w:hint="eastAsia" w:ascii="宋体" w:hAnsi="宋体" w:cs="宋体"/>
                <w:color w:val="auto"/>
                <w:position w:val="10"/>
                <w:szCs w:val="21"/>
                <w:highlight w:val="none"/>
              </w:rPr>
            </w:pPr>
            <w:r>
              <w:rPr>
                <w:rFonts w:hint="eastAsia" w:ascii="宋体" w:hAnsi="宋体" w:cs="宋体"/>
                <w:color w:val="auto"/>
                <w:szCs w:val="21"/>
                <w:highlight w:val="none"/>
              </w:rPr>
              <w:t>供应商公章</w:t>
            </w:r>
          </w:p>
        </w:tc>
        <w:tc>
          <w:tcPr>
            <w:tcW w:w="6860" w:type="dxa"/>
            <w:gridSpan w:val="2"/>
            <w:tcBorders>
              <w:top w:val="single" w:color="auto" w:sz="4" w:space="0"/>
              <w:bottom w:val="single" w:color="auto" w:sz="4" w:space="0"/>
              <w:right w:val="single" w:color="auto" w:sz="8" w:space="0"/>
            </w:tcBorders>
            <w:vAlign w:val="center"/>
          </w:tcPr>
          <w:p>
            <w:pPr>
              <w:spacing w:line="380" w:lineRule="atLeast"/>
              <w:rPr>
                <w:rFonts w:hint="eastAsia" w:ascii="宋体" w:hAnsi="宋体"/>
                <w:color w:val="auto"/>
                <w:spacing w:val="-4"/>
                <w:szCs w:val="21"/>
                <w:highlight w:val="none"/>
              </w:rPr>
            </w:pPr>
            <w:r>
              <w:rPr>
                <w:rFonts w:hint="eastAsia" w:ascii="宋体" w:hAnsi="宋体" w:cs="宋体"/>
                <w:color w:val="auto"/>
                <w:szCs w:val="21"/>
                <w:highlight w:val="none"/>
              </w:rPr>
              <w:t>本竞争性磋商文件中描述供应商的“公章”是指根据我国对公章的管理规定，用供应商法定主体行为名称制作的印章，除本文件有特殊规定外，供应商的财务章、部门章、分公司章、工会章、合同章、磋商专用章、业务专用章及银行的转账章、现金收讫章、现金付讫章等其它形式印章均不能代替公章。</w:t>
            </w:r>
          </w:p>
        </w:tc>
        <w:tc>
          <w:tcPr>
            <w:tcW w:w="360" w:type="dxa"/>
            <w:vAlign w:val="bottom"/>
          </w:tcPr>
          <w:p>
            <w:pPr>
              <w:rPr>
                <w:rFonts w:hint="eastAsia" w:ascii="宋体" w:hAnsi="宋体" w:eastAsiaTheme="minorEastAsia" w:cstheme="minorBidi"/>
                <w:color w:val="000000"/>
                <w:sz w:val="22"/>
                <w:szCs w:val="21"/>
                <w:lang w:val="en-US" w:eastAsia="zh-CN" w:bidi="ar-SA"/>
              </w:rPr>
            </w:pPr>
          </w:p>
        </w:tc>
      </w:tr>
    </w:tbl>
    <w:p>
      <w:pPr>
        <w:spacing w:line="1" w:lineRule="exact"/>
        <w:rPr>
          <w:rFonts w:hint="eastAsia" w:ascii="宋体" w:hAnsi="宋体" w:eastAsiaTheme="minorEastAsia" w:cstheme="minorBidi"/>
          <w:color w:val="000000"/>
          <w:sz w:val="22"/>
          <w:szCs w:val="21"/>
          <w:lang w:val="en-US" w:eastAsia="zh-CN" w:bidi="ar-SA"/>
        </w:rPr>
      </w:pPr>
    </w:p>
    <w:tbl>
      <w:tblPr>
        <w:tblStyle w:val="9"/>
        <w:tblW w:w="10640" w:type="dxa"/>
        <w:tblInd w:w="10" w:type="dxa"/>
        <w:tblLayout w:type="fixed"/>
        <w:tblCellMar>
          <w:top w:w="0" w:type="dxa"/>
          <w:left w:w="0" w:type="dxa"/>
          <w:bottom w:w="0" w:type="dxa"/>
          <w:right w:w="0" w:type="dxa"/>
        </w:tblCellMar>
      </w:tblPr>
      <w:tblGrid>
        <w:gridCol w:w="580"/>
        <w:gridCol w:w="720"/>
        <w:gridCol w:w="2120"/>
        <w:gridCol w:w="100"/>
        <w:gridCol w:w="200"/>
        <w:gridCol w:w="840"/>
        <w:gridCol w:w="420"/>
        <w:gridCol w:w="840"/>
        <w:gridCol w:w="1020"/>
        <w:gridCol w:w="1280"/>
        <w:gridCol w:w="160"/>
        <w:gridCol w:w="2000"/>
        <w:gridCol w:w="360"/>
      </w:tblGrid>
      <w:tr>
        <w:tblPrEx>
          <w:tblCellMar>
            <w:top w:w="0" w:type="dxa"/>
            <w:left w:w="0" w:type="dxa"/>
            <w:bottom w:w="0" w:type="dxa"/>
            <w:right w:w="0" w:type="dxa"/>
          </w:tblCellMar>
        </w:tblPrEx>
        <w:trPr>
          <w:trHeight w:val="306"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6760" w:type="dxa"/>
            <w:gridSpan w:val="8"/>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响应文件递交起止时间：2020年</w:t>
            </w:r>
            <w:r>
              <w:rPr>
                <w:rFonts w:hint="eastAsia" w:ascii="宋体" w:hAnsi="宋体" w:cstheme="minorBidi"/>
                <w:color w:val="000000"/>
                <w:sz w:val="22"/>
                <w:szCs w:val="21"/>
                <w:lang w:val="en-US" w:eastAsia="zh-CN" w:bidi="ar-SA"/>
              </w:rPr>
              <w:t>11</w:t>
            </w:r>
            <w:r>
              <w:rPr>
                <w:rFonts w:hint="eastAsia" w:ascii="宋体" w:hAnsi="宋体" w:eastAsiaTheme="minorEastAsia" w:cstheme="minorBidi"/>
                <w:color w:val="000000"/>
                <w:sz w:val="22"/>
                <w:szCs w:val="21"/>
                <w:lang w:val="en-US" w:eastAsia="zh-CN" w:bidi="ar-SA"/>
              </w:rPr>
              <w:t>月</w:t>
            </w:r>
            <w:r>
              <w:rPr>
                <w:rFonts w:hint="eastAsia" w:ascii="宋体" w:hAnsi="宋体" w:cstheme="minorBidi"/>
                <w:color w:val="000000"/>
                <w:sz w:val="22"/>
                <w:szCs w:val="21"/>
                <w:lang w:val="en-US" w:eastAsia="zh-CN" w:bidi="ar-SA"/>
              </w:rPr>
              <w:t>20</w:t>
            </w:r>
            <w:r>
              <w:rPr>
                <w:rFonts w:hint="eastAsia" w:ascii="宋体" w:hAnsi="宋体" w:eastAsiaTheme="minorEastAsia" w:cstheme="minorBidi"/>
                <w:color w:val="000000"/>
                <w:sz w:val="22"/>
                <w:szCs w:val="21"/>
                <w:lang w:val="en-US" w:eastAsia="zh-CN" w:bidi="ar-SA"/>
              </w:rPr>
              <w:t>日10时至10时30分</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w:t>
            </w:r>
            <w:r>
              <w:rPr>
                <w:rFonts w:hint="eastAsia" w:ascii="宋体" w:hAnsi="宋体" w:cstheme="minorBidi"/>
                <w:color w:val="000000"/>
                <w:sz w:val="22"/>
                <w:szCs w:val="21"/>
                <w:lang w:val="en-US" w:eastAsia="zh-CN" w:bidi="ar-SA"/>
              </w:rPr>
              <w:t>1</w:t>
            </w:r>
          </w:p>
        </w:tc>
        <w:tc>
          <w:tcPr>
            <w:tcW w:w="7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17.1</w:t>
            </w: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响应文件递交起止</w:t>
            </w:r>
            <w:r>
              <w:rPr>
                <w:rFonts w:hint="eastAsia" w:ascii="宋体" w:hAnsi="宋体" w:cstheme="minorBidi"/>
                <w:color w:val="000000"/>
                <w:sz w:val="22"/>
                <w:szCs w:val="21"/>
                <w:lang w:val="en-US" w:eastAsia="zh-CN" w:bidi="ar-SA"/>
              </w:rPr>
              <w:t>时间</w:t>
            </w:r>
          </w:p>
        </w:tc>
        <w:tc>
          <w:tcPr>
            <w:tcW w:w="6860" w:type="dxa"/>
            <w:gridSpan w:val="9"/>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供应商递交响应文件时，须携带加盖单位公章的授权委托书原件（委托代理时，不须密封，单独提交），未携带以上相关材料递交的或逾期</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6760" w:type="dxa"/>
            <w:gridSpan w:val="8"/>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送达的或未按竞争性磋商文件要求密封的响应文件将予以拒收。</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bottom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tcBorders>
              <w:bottom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200" w:type="dxa"/>
            <w:tcBorders>
              <w:bottom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840" w:type="dxa"/>
            <w:tcBorders>
              <w:bottom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420" w:type="dxa"/>
            <w:tcBorders>
              <w:bottom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3140" w:type="dxa"/>
            <w:gridSpan w:val="3"/>
            <w:tcBorders>
              <w:bottom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160" w:type="dxa"/>
            <w:tcBorders>
              <w:bottom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2000" w:type="dxa"/>
            <w:tcBorders>
              <w:bottom w:val="single" w:color="auto" w:sz="8" w:space="0"/>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40" w:hRule="atLeast"/>
        </w:trPr>
        <w:tc>
          <w:tcPr>
            <w:tcW w:w="580" w:type="dxa"/>
            <w:vMerge w:val="restart"/>
            <w:tcBorders>
              <w:left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w:t>
            </w:r>
            <w:r>
              <w:rPr>
                <w:rFonts w:hint="eastAsia" w:ascii="宋体" w:hAnsi="宋体" w:cstheme="minorBidi"/>
                <w:color w:val="000000"/>
                <w:sz w:val="22"/>
                <w:szCs w:val="21"/>
                <w:lang w:val="en-US" w:eastAsia="zh-CN" w:bidi="ar-SA"/>
              </w:rPr>
              <w:t>2</w:t>
            </w:r>
          </w:p>
        </w:tc>
        <w:tc>
          <w:tcPr>
            <w:tcW w:w="720" w:type="dxa"/>
            <w:vMerge w:val="restart"/>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17.2</w:t>
            </w:r>
          </w:p>
        </w:tc>
        <w:tc>
          <w:tcPr>
            <w:tcW w:w="2120" w:type="dxa"/>
            <w:vMerge w:val="restart"/>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响应文件递交地点</w:t>
            </w:r>
          </w:p>
        </w:tc>
        <w:tc>
          <w:tcPr>
            <w:tcW w:w="6860" w:type="dxa"/>
            <w:gridSpan w:val="9"/>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桂林市公共资源交易中心号</w:t>
            </w:r>
            <w:r>
              <w:rPr>
                <w:rFonts w:hint="eastAsia" w:ascii="宋体" w:hAnsi="宋体" w:cstheme="minorBidi"/>
                <w:color w:val="000000"/>
                <w:sz w:val="22"/>
                <w:szCs w:val="21"/>
                <w:lang w:val="en-US" w:eastAsia="zh-CN" w:bidi="ar-SA"/>
              </w:rPr>
              <w:t>2</w:t>
            </w:r>
            <w:r>
              <w:rPr>
                <w:rFonts w:hint="eastAsia" w:ascii="宋体" w:hAnsi="宋体" w:eastAsiaTheme="minorEastAsia" w:cstheme="minorBidi"/>
                <w:color w:val="000000"/>
                <w:sz w:val="22"/>
                <w:szCs w:val="21"/>
                <w:lang w:val="en-US" w:eastAsia="zh-CN" w:bidi="ar-SA"/>
              </w:rPr>
              <w:t xml:space="preserve">开标室（广西桂林市临桂区西城中路 69 </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180" w:hRule="atLeast"/>
        </w:trPr>
        <w:tc>
          <w:tcPr>
            <w:tcW w:w="580" w:type="dxa"/>
            <w:vMerge w:val="continue"/>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vMerge w:val="continue"/>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vMerge w:val="continue"/>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2300" w:type="dxa"/>
            <w:gridSpan w:val="4"/>
            <w:vMerge w:val="restart"/>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cstheme="minorBidi"/>
                <w:color w:val="000000"/>
                <w:sz w:val="22"/>
                <w:szCs w:val="21"/>
                <w:lang w:val="en-US" w:eastAsia="zh-CN" w:bidi="ar-SA"/>
              </w:rPr>
              <w:t>号</w:t>
            </w:r>
            <w:r>
              <w:rPr>
                <w:rFonts w:hint="eastAsia" w:ascii="宋体" w:hAnsi="宋体" w:eastAsiaTheme="minorEastAsia" w:cstheme="minorBidi"/>
                <w:color w:val="000000"/>
                <w:sz w:val="22"/>
                <w:szCs w:val="21"/>
                <w:lang w:val="en-US" w:eastAsia="zh-CN" w:bidi="ar-SA"/>
              </w:rPr>
              <w:t>西辅楼 4 楼）。</w:t>
            </w:r>
          </w:p>
        </w:tc>
        <w:tc>
          <w:tcPr>
            <w:tcW w:w="1020" w:type="dxa"/>
            <w:vMerge w:val="restart"/>
            <w:tcBorders>
              <w:top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3440" w:type="dxa"/>
            <w:gridSpan w:val="3"/>
            <w:vMerge w:val="restart"/>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1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2300" w:type="dxa"/>
            <w:gridSpan w:val="4"/>
            <w:vMerge w:val="continue"/>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1020" w:type="dxa"/>
            <w:vMerge w:val="continue"/>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3440" w:type="dxa"/>
            <w:gridSpan w:val="3"/>
            <w:vMerge w:val="continue"/>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bottom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6860" w:type="dxa"/>
            <w:gridSpan w:val="9"/>
            <w:tcBorders>
              <w:bottom w:val="single" w:color="auto" w:sz="8" w:space="0"/>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552" w:hRule="atLeast"/>
        </w:trPr>
        <w:tc>
          <w:tcPr>
            <w:tcW w:w="580" w:type="dxa"/>
            <w:vMerge w:val="restart"/>
            <w:tcBorders>
              <w:left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w:t>
            </w:r>
            <w:r>
              <w:rPr>
                <w:rFonts w:hint="eastAsia" w:ascii="宋体" w:hAnsi="宋体" w:cstheme="minorBidi"/>
                <w:color w:val="000000"/>
                <w:sz w:val="22"/>
                <w:szCs w:val="21"/>
                <w:lang w:val="en-US" w:eastAsia="zh-CN" w:bidi="ar-SA"/>
              </w:rPr>
              <w:t>3</w:t>
            </w:r>
          </w:p>
        </w:tc>
        <w:tc>
          <w:tcPr>
            <w:tcW w:w="720" w:type="dxa"/>
            <w:vMerge w:val="restart"/>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18.1</w:t>
            </w:r>
          </w:p>
        </w:tc>
        <w:tc>
          <w:tcPr>
            <w:tcW w:w="2120" w:type="dxa"/>
            <w:vMerge w:val="restart"/>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磋商小组组成</w:t>
            </w:r>
          </w:p>
        </w:tc>
        <w:tc>
          <w:tcPr>
            <w:tcW w:w="6860" w:type="dxa"/>
            <w:gridSpan w:val="9"/>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磋商小组由采购人代表和有关方面的专家组成，</w:t>
            </w:r>
            <w:r>
              <w:rPr>
                <w:rFonts w:hint="eastAsia" w:ascii="宋体" w:hAnsi="宋体" w:eastAsiaTheme="minorEastAsia" w:cstheme="minorBidi"/>
                <w:color w:val="000000"/>
                <w:sz w:val="22"/>
                <w:szCs w:val="21"/>
                <w:u w:val="single"/>
                <w:lang w:val="en-US" w:eastAsia="zh-CN" w:bidi="ar-SA"/>
              </w:rPr>
              <w:t>共 3人</w:t>
            </w:r>
            <w:r>
              <w:rPr>
                <w:rFonts w:hint="eastAsia" w:ascii="宋体" w:hAnsi="宋体" w:eastAsiaTheme="minorEastAsia" w:cstheme="minorBidi"/>
                <w:color w:val="000000"/>
                <w:sz w:val="22"/>
                <w:szCs w:val="21"/>
                <w:lang w:val="en-US" w:eastAsia="zh-CN" w:bidi="ar-SA"/>
              </w:rPr>
              <w:t>，其中采购人</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180" w:hRule="atLeast"/>
        </w:trPr>
        <w:tc>
          <w:tcPr>
            <w:tcW w:w="580" w:type="dxa"/>
            <w:vMerge w:val="continue"/>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vMerge w:val="continue"/>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vMerge w:val="continue"/>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4600" w:type="dxa"/>
            <w:gridSpan w:val="6"/>
            <w:vMerge w:val="restart"/>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cstheme="minorBidi"/>
                <w:color w:val="000000"/>
                <w:sz w:val="22"/>
                <w:szCs w:val="21"/>
                <w:u w:val="single"/>
                <w:lang w:val="en-US" w:eastAsia="zh-CN" w:bidi="ar-SA"/>
              </w:rPr>
              <w:t>代表</w:t>
            </w:r>
            <w:r>
              <w:rPr>
                <w:rFonts w:hint="eastAsia" w:ascii="宋体" w:hAnsi="宋体" w:eastAsiaTheme="minorEastAsia" w:cstheme="minorBidi"/>
                <w:color w:val="000000"/>
                <w:sz w:val="22"/>
                <w:szCs w:val="21"/>
                <w:u w:val="single"/>
                <w:lang w:val="en-US" w:eastAsia="zh-CN" w:bidi="ar-SA"/>
              </w:rPr>
              <w:t>1 人</w:t>
            </w:r>
            <w:r>
              <w:rPr>
                <w:rFonts w:hint="eastAsia" w:ascii="宋体" w:hAnsi="宋体" w:eastAsiaTheme="minorEastAsia" w:cstheme="minorBidi"/>
                <w:color w:val="000000"/>
                <w:sz w:val="22"/>
                <w:szCs w:val="21"/>
                <w:lang w:val="en-US" w:eastAsia="zh-CN" w:bidi="ar-SA"/>
              </w:rPr>
              <w:t>，</w:t>
            </w:r>
            <w:r>
              <w:rPr>
                <w:rFonts w:hint="eastAsia" w:ascii="宋体" w:hAnsi="宋体" w:eastAsiaTheme="minorEastAsia" w:cstheme="minorBidi"/>
                <w:color w:val="000000"/>
                <w:sz w:val="22"/>
                <w:szCs w:val="21"/>
                <w:u w:val="single"/>
                <w:lang w:val="en-US" w:eastAsia="zh-CN" w:bidi="ar-SA"/>
              </w:rPr>
              <w:t>专家 2 人</w:t>
            </w:r>
            <w:r>
              <w:rPr>
                <w:rFonts w:hint="eastAsia" w:ascii="宋体" w:hAnsi="宋体" w:eastAsiaTheme="minorEastAsia" w:cstheme="minorBidi"/>
                <w:color w:val="000000"/>
                <w:sz w:val="22"/>
                <w:szCs w:val="21"/>
                <w:lang w:val="en-US" w:eastAsia="zh-CN" w:bidi="ar-SA"/>
              </w:rPr>
              <w:t>。</w:t>
            </w:r>
          </w:p>
        </w:tc>
        <w:tc>
          <w:tcPr>
            <w:tcW w:w="160" w:type="dxa"/>
            <w:vMerge w:val="restart"/>
            <w:tcBorders>
              <w:top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2000" w:type="dxa"/>
            <w:vMerge w:val="restart"/>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161"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4600" w:type="dxa"/>
            <w:gridSpan w:val="6"/>
            <w:vMerge w:val="continue"/>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160" w:type="dxa"/>
            <w:vMerge w:val="continue"/>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2000" w:type="dxa"/>
            <w:vMerge w:val="continue"/>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22" w:hRule="atLeast"/>
        </w:trPr>
        <w:tc>
          <w:tcPr>
            <w:tcW w:w="580" w:type="dxa"/>
            <w:tcBorders>
              <w:left w:val="single" w:color="auto" w:sz="8" w:space="0"/>
              <w:bottom w:val="single" w:color="auto" w:sz="8" w:space="0"/>
              <w:right w:val="single" w:color="auto" w:sz="8" w:space="0"/>
            </w:tcBorders>
            <w:vAlign w:val="bottom"/>
          </w:tcPr>
          <w:p>
            <w:pPr>
              <w:spacing w:line="20" w:lineRule="exact"/>
              <w:rPr>
                <w:rFonts w:hint="eastAsia" w:ascii="宋体" w:hAnsi="宋体" w:eastAsiaTheme="minorEastAsia" w:cstheme="minorBidi"/>
                <w:color w:val="000000"/>
                <w:sz w:val="22"/>
                <w:szCs w:val="21"/>
                <w:lang w:val="en-US" w:eastAsia="zh-CN" w:bidi="ar-SA"/>
              </w:rPr>
            </w:pPr>
          </w:p>
        </w:tc>
        <w:tc>
          <w:tcPr>
            <w:tcW w:w="720" w:type="dxa"/>
            <w:tcBorders>
              <w:bottom w:val="single" w:color="auto" w:sz="8" w:space="0"/>
              <w:right w:val="single" w:color="auto" w:sz="8" w:space="0"/>
            </w:tcBorders>
            <w:vAlign w:val="bottom"/>
          </w:tcPr>
          <w:p>
            <w:pPr>
              <w:spacing w:line="20" w:lineRule="exact"/>
              <w:rPr>
                <w:rFonts w:hint="eastAsia" w:ascii="宋体" w:hAnsi="宋体" w:eastAsiaTheme="minorEastAsia" w:cstheme="minorBidi"/>
                <w:color w:val="000000"/>
                <w:sz w:val="22"/>
                <w:szCs w:val="21"/>
                <w:lang w:val="en-US" w:eastAsia="zh-CN" w:bidi="ar-SA"/>
              </w:rPr>
            </w:pPr>
          </w:p>
        </w:tc>
        <w:tc>
          <w:tcPr>
            <w:tcW w:w="2120" w:type="dxa"/>
            <w:tcBorders>
              <w:bottom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tcBorders>
              <w:bottom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200" w:type="dxa"/>
            <w:tcBorders>
              <w:top w:val="single" w:color="auto" w:sz="8" w:space="0"/>
              <w:bottom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840" w:type="dxa"/>
            <w:tcBorders>
              <w:bottom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420" w:type="dxa"/>
            <w:tcBorders>
              <w:top w:val="single" w:color="auto" w:sz="8" w:space="0"/>
              <w:bottom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5300" w:type="dxa"/>
            <w:gridSpan w:val="5"/>
            <w:tcBorders>
              <w:bottom w:val="single" w:color="auto" w:sz="8" w:space="0"/>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06"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6760" w:type="dxa"/>
            <w:gridSpan w:val="8"/>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18.2.1 磋商时间：响应文件递交截止时间后。</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6760" w:type="dxa"/>
            <w:gridSpan w:val="8"/>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 xml:space="preserve">18.2.2 磋商地点：桂林市公共资源交易中心评标室（临桂区西城中路 </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vMerge w:val="restart"/>
            <w:tcBorders>
              <w:right w:val="single" w:color="auto" w:sz="8" w:space="0"/>
            </w:tcBorders>
            <w:vAlign w:val="bottom"/>
          </w:tcPr>
          <w:p>
            <w:pPr>
              <w:spacing w:line="240" w:lineRule="exact"/>
              <w:ind w:firstLine="2420" w:firstLineChars="1100"/>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磋</w:t>
            </w:r>
          </w:p>
          <w:p>
            <w:pPr>
              <w:spacing w:line="240" w:lineRule="exact"/>
              <w:ind w:firstLine="2420" w:firstLineChars="1100"/>
              <w:jc w:val="center"/>
              <w:rPr>
                <w:rFonts w:hint="eastAsia" w:ascii="宋体" w:hAnsi="宋体" w:eastAsiaTheme="minorEastAsia" w:cstheme="minorBidi"/>
                <w:color w:val="000000"/>
                <w:sz w:val="22"/>
                <w:szCs w:val="21"/>
                <w:lang w:val="en-US" w:eastAsia="zh-CN" w:bidi="ar-SA"/>
              </w:rPr>
            </w:pPr>
            <w:r>
              <w:rPr>
                <w:rFonts w:hint="eastAsia" w:ascii="宋体" w:hAnsi="宋体" w:cstheme="minorBidi"/>
                <w:color w:val="000000"/>
                <w:sz w:val="22"/>
                <w:szCs w:val="21"/>
                <w:lang w:val="en-US" w:eastAsia="zh-CN" w:bidi="ar-SA"/>
              </w:rPr>
              <w:t>磋</w:t>
            </w: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6760" w:type="dxa"/>
            <w:gridSpan w:val="8"/>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cstheme="minorBidi"/>
                <w:color w:val="000000"/>
                <w:sz w:val="22"/>
                <w:szCs w:val="21"/>
                <w:lang w:val="en-US" w:eastAsia="zh-CN" w:bidi="ar-SA"/>
              </w:rPr>
              <w:t>69</w:t>
            </w:r>
            <w:r>
              <w:rPr>
                <w:rFonts w:hint="eastAsia" w:ascii="宋体" w:hAnsi="宋体" w:eastAsiaTheme="minorEastAsia" w:cstheme="minorBidi"/>
                <w:color w:val="000000"/>
                <w:sz w:val="22"/>
                <w:szCs w:val="21"/>
                <w:lang w:val="en-US" w:eastAsia="zh-CN" w:bidi="ar-SA"/>
              </w:rPr>
              <w:t>号创业大厦西辅楼 4 楼，具体事项评标室另行通知）。</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180" w:hRule="atLeast"/>
        </w:trPr>
        <w:tc>
          <w:tcPr>
            <w:tcW w:w="580" w:type="dxa"/>
            <w:vMerge w:val="restart"/>
            <w:tcBorders>
              <w:left w:val="single" w:color="auto" w:sz="8" w:space="0"/>
              <w:right w:val="single" w:color="auto" w:sz="8" w:space="0"/>
            </w:tcBorders>
            <w:vAlign w:val="bottom"/>
          </w:tcPr>
          <w:p>
            <w:pPr>
              <w:spacing w:line="240" w:lineRule="exact"/>
              <w:jc w:val="center"/>
              <w:rPr>
                <w:rFonts w:hint="default" w:ascii="宋体" w:hAnsi="宋体" w:eastAsiaTheme="minorEastAsia" w:cstheme="minorBidi"/>
                <w:color w:val="000000"/>
                <w:sz w:val="22"/>
                <w:szCs w:val="21"/>
                <w:lang w:val="en-US" w:eastAsia="zh-CN" w:bidi="ar-SA"/>
              </w:rPr>
            </w:pPr>
            <w:r>
              <w:rPr>
                <w:rFonts w:hint="eastAsia" w:ascii="宋体" w:hAnsi="宋体" w:cstheme="minorBidi"/>
                <w:color w:val="000000"/>
                <w:sz w:val="22"/>
                <w:szCs w:val="21"/>
                <w:lang w:val="en-US" w:eastAsia="zh-CN" w:bidi="ar-SA"/>
              </w:rPr>
              <w:t>14</w:t>
            </w:r>
          </w:p>
        </w:tc>
        <w:tc>
          <w:tcPr>
            <w:tcW w:w="720" w:type="dxa"/>
            <w:vMerge w:val="restart"/>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18.2</w:t>
            </w:r>
          </w:p>
        </w:tc>
        <w:tc>
          <w:tcPr>
            <w:tcW w:w="2120" w:type="dxa"/>
            <w:vMerge w:val="continue"/>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6860" w:type="dxa"/>
            <w:gridSpan w:val="9"/>
            <w:vMerge w:val="restart"/>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18.2.3 磋商参加人员：供应商法定代表人、负责人、自然人或相应委</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180" w:hRule="atLeast"/>
        </w:trPr>
        <w:tc>
          <w:tcPr>
            <w:tcW w:w="580" w:type="dxa"/>
            <w:vMerge w:val="continue"/>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vMerge w:val="continue"/>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vMerge w:val="restart"/>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cstheme="minorBidi"/>
                <w:color w:val="000000"/>
                <w:sz w:val="22"/>
                <w:szCs w:val="21"/>
                <w:lang w:val="en-US" w:eastAsia="zh-CN" w:bidi="ar-SA"/>
              </w:rPr>
              <w:t>磋</w:t>
            </w:r>
            <w:r>
              <w:rPr>
                <w:rFonts w:hint="eastAsia" w:ascii="宋体" w:hAnsi="宋体" w:eastAsiaTheme="minorEastAsia" w:cstheme="minorBidi"/>
                <w:color w:val="000000"/>
                <w:sz w:val="22"/>
                <w:szCs w:val="21"/>
                <w:lang w:val="en-US" w:eastAsia="zh-CN" w:bidi="ar-SA"/>
              </w:rPr>
              <w:t>商时间、地点、</w:t>
            </w:r>
            <w:r>
              <w:rPr>
                <w:rFonts w:hint="eastAsia" w:ascii="宋体" w:hAnsi="宋体" w:cstheme="minorBidi"/>
                <w:color w:val="000000"/>
                <w:sz w:val="22"/>
                <w:szCs w:val="21"/>
                <w:lang w:val="en-US" w:eastAsia="zh-CN" w:bidi="ar-SA"/>
              </w:rPr>
              <w:t>人员</w:t>
            </w:r>
          </w:p>
        </w:tc>
        <w:tc>
          <w:tcPr>
            <w:tcW w:w="6860" w:type="dxa"/>
            <w:gridSpan w:val="9"/>
            <w:vMerge w:val="continue"/>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18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vMerge w:val="continue"/>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6860" w:type="dxa"/>
            <w:gridSpan w:val="9"/>
            <w:vMerge w:val="restart"/>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托代理人持有效身份证原件参加磋商。请供应商按时到达指定地点等候</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18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6860" w:type="dxa"/>
            <w:gridSpan w:val="9"/>
            <w:vMerge w:val="continue"/>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6860" w:type="dxa"/>
            <w:gridSpan w:val="9"/>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cstheme="minorBidi"/>
                <w:color w:val="000000"/>
                <w:sz w:val="22"/>
                <w:szCs w:val="21"/>
                <w:lang w:val="en-US" w:eastAsia="zh-CN" w:bidi="ar-SA"/>
              </w:rPr>
              <w:t>当</w:t>
            </w:r>
            <w:r>
              <w:rPr>
                <w:rFonts w:hint="eastAsia" w:ascii="宋体" w:hAnsi="宋体" w:eastAsiaTheme="minorEastAsia" w:cstheme="minorBidi"/>
                <w:color w:val="000000"/>
                <w:sz w:val="22"/>
                <w:szCs w:val="21"/>
                <w:lang w:val="en-US" w:eastAsia="zh-CN" w:bidi="ar-SA"/>
              </w:rPr>
              <w:t>面磋商。</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6860" w:type="dxa"/>
            <w:gridSpan w:val="9"/>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18.2.4 响应文件递交截止时间后，由磋商小组在评标室内开启响应文件。</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bottom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6860" w:type="dxa"/>
            <w:gridSpan w:val="9"/>
            <w:tcBorders>
              <w:bottom w:val="single" w:color="auto" w:sz="8" w:space="0"/>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51" w:hRule="atLeast"/>
        </w:trPr>
        <w:tc>
          <w:tcPr>
            <w:tcW w:w="580" w:type="dxa"/>
            <w:tcBorders>
              <w:left w:val="single" w:color="auto" w:sz="8" w:space="0"/>
              <w:right w:val="single" w:color="auto" w:sz="8" w:space="0"/>
            </w:tcBorders>
            <w:vAlign w:val="bottom"/>
          </w:tcPr>
          <w:p>
            <w:pPr>
              <w:spacing w:line="240" w:lineRule="exact"/>
              <w:jc w:val="center"/>
              <w:rPr>
                <w:rFonts w:hint="default" w:ascii="宋体" w:hAnsi="宋体" w:eastAsiaTheme="minorEastAsia" w:cstheme="minorBidi"/>
                <w:color w:val="000000"/>
                <w:sz w:val="22"/>
                <w:szCs w:val="21"/>
                <w:lang w:val="en-US" w:eastAsia="zh-CN" w:bidi="ar-SA"/>
              </w:rPr>
            </w:pPr>
            <w:r>
              <w:rPr>
                <w:rFonts w:hint="eastAsia" w:ascii="宋体" w:hAnsi="宋体" w:cstheme="minorBidi"/>
                <w:color w:val="000000"/>
                <w:sz w:val="22"/>
                <w:szCs w:val="21"/>
                <w:lang w:val="en-US" w:eastAsia="zh-CN" w:bidi="ar-SA"/>
              </w:rPr>
              <w:t>15</w:t>
            </w:r>
          </w:p>
        </w:tc>
        <w:tc>
          <w:tcPr>
            <w:tcW w:w="7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19.2</w:t>
            </w: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评审办法</w:t>
            </w:r>
          </w:p>
        </w:tc>
        <w:tc>
          <w:tcPr>
            <w:tcW w:w="6860" w:type="dxa"/>
            <w:gridSpan w:val="9"/>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具体详见第四章评审办法。</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88" w:hRule="atLeast"/>
        </w:trPr>
        <w:tc>
          <w:tcPr>
            <w:tcW w:w="580" w:type="dxa"/>
            <w:tcBorders>
              <w:left w:val="single" w:color="auto" w:sz="8" w:space="0"/>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bottom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tcBorders>
              <w:bottom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6760" w:type="dxa"/>
            <w:gridSpan w:val="8"/>
            <w:tcBorders>
              <w:bottom w:val="single" w:color="auto" w:sz="8" w:space="0"/>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284"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6760" w:type="dxa"/>
            <w:gridSpan w:val="8"/>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根据《关于做好政府采购有关信用主体标识码登记及在政府采购活动</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6760" w:type="dxa"/>
            <w:gridSpan w:val="8"/>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cstheme="minorBidi"/>
                <w:color w:val="000000"/>
                <w:sz w:val="22"/>
                <w:szCs w:val="21"/>
                <w:lang w:val="en-US" w:eastAsia="zh-CN" w:bidi="ar-SA"/>
              </w:rPr>
              <w:t>中查</w:t>
            </w:r>
            <w:r>
              <w:rPr>
                <w:rFonts w:hint="eastAsia" w:ascii="宋体" w:hAnsi="宋体" w:eastAsiaTheme="minorEastAsia" w:cstheme="minorBidi"/>
                <w:color w:val="000000"/>
                <w:sz w:val="22"/>
                <w:szCs w:val="21"/>
                <w:lang w:val="en-US" w:eastAsia="zh-CN" w:bidi="ar-SA"/>
              </w:rPr>
              <w:t>询使用信用记录有关问题的通知》（桂财采〔2016〕37），由采</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6760" w:type="dxa"/>
            <w:gridSpan w:val="8"/>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cstheme="minorBidi"/>
                <w:color w:val="000000"/>
                <w:sz w:val="22"/>
                <w:szCs w:val="21"/>
                <w:lang w:val="en-US" w:eastAsia="zh-CN" w:bidi="ar-SA"/>
              </w:rPr>
              <w:t>购代理机构</w:t>
            </w:r>
            <w:r>
              <w:rPr>
                <w:rFonts w:hint="eastAsia" w:ascii="宋体" w:hAnsi="宋体" w:eastAsiaTheme="minorEastAsia" w:cstheme="minorBidi"/>
                <w:color w:val="000000"/>
                <w:sz w:val="22"/>
                <w:szCs w:val="21"/>
                <w:lang w:val="en-US" w:eastAsia="zh-CN" w:bidi="ar-SA"/>
              </w:rPr>
              <w:t>对第一成交候选人进行信用查询：</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6760" w:type="dxa"/>
            <w:gridSpan w:val="8"/>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（1）查询渠道：“信用中国”网站(www.creditchina.gov.cn)、中国</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6760" w:type="dxa"/>
            <w:gridSpan w:val="8"/>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cstheme="minorBidi"/>
                <w:color w:val="000000"/>
                <w:sz w:val="22"/>
                <w:szCs w:val="21"/>
                <w:lang w:val="en-US" w:eastAsia="zh-CN" w:bidi="ar-SA"/>
              </w:rPr>
              <w:t>政府</w:t>
            </w:r>
            <w:r>
              <w:rPr>
                <w:rFonts w:hint="eastAsia" w:ascii="宋体" w:hAnsi="宋体" w:eastAsiaTheme="minorEastAsia" w:cstheme="minorBidi"/>
                <w:color w:val="000000"/>
                <w:sz w:val="22"/>
                <w:szCs w:val="21"/>
                <w:lang w:val="en-US" w:eastAsia="zh-CN" w:bidi="ar-SA"/>
              </w:rPr>
              <w:t>采购网(www.ccgp.gov.cn)等；</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6760" w:type="dxa"/>
            <w:gridSpan w:val="8"/>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（2）查询截止时点：成交通知书发出前；</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83" w:hRule="atLeast"/>
        </w:trPr>
        <w:tc>
          <w:tcPr>
            <w:tcW w:w="580" w:type="dxa"/>
            <w:tcBorders>
              <w:left w:val="single" w:color="auto" w:sz="8" w:space="0"/>
              <w:right w:val="single" w:color="auto" w:sz="8" w:space="0"/>
            </w:tcBorders>
            <w:vAlign w:val="bottom"/>
          </w:tcPr>
          <w:p>
            <w:pPr>
              <w:spacing w:line="240" w:lineRule="exact"/>
              <w:jc w:val="center"/>
              <w:rPr>
                <w:rFonts w:hint="default"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w:t>
            </w:r>
            <w:r>
              <w:rPr>
                <w:rFonts w:hint="eastAsia" w:ascii="宋体" w:hAnsi="宋体" w:cstheme="minorBidi"/>
                <w:color w:val="000000"/>
                <w:sz w:val="22"/>
                <w:szCs w:val="21"/>
                <w:lang w:val="en-US" w:eastAsia="zh-CN" w:bidi="ar-SA"/>
              </w:rPr>
              <w:t>6</w:t>
            </w:r>
          </w:p>
        </w:tc>
        <w:tc>
          <w:tcPr>
            <w:tcW w:w="7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20.3</w:t>
            </w: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信用查询</w:t>
            </w: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6760" w:type="dxa"/>
            <w:gridSpan w:val="8"/>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（3）信用信息查询记录和证据留存方式：在查询网站中直接打印查询</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37"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6760" w:type="dxa"/>
            <w:gridSpan w:val="8"/>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cstheme="minorBidi"/>
                <w:color w:val="000000"/>
                <w:sz w:val="22"/>
                <w:szCs w:val="21"/>
                <w:lang w:val="en-US" w:eastAsia="zh-CN" w:bidi="ar-SA"/>
              </w:rPr>
              <w:t>记</w:t>
            </w:r>
            <w:r>
              <w:rPr>
                <w:rFonts w:hint="eastAsia" w:ascii="宋体" w:hAnsi="宋体" w:eastAsiaTheme="minorEastAsia" w:cstheme="minorBidi"/>
                <w:color w:val="000000"/>
                <w:sz w:val="22"/>
                <w:szCs w:val="21"/>
                <w:lang w:val="en-US" w:eastAsia="zh-CN" w:bidi="ar-SA"/>
              </w:rPr>
              <w:t>录，打印材料作为采购活动资料保存。</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83"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6760" w:type="dxa"/>
            <w:gridSpan w:val="8"/>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（4）信用信息使用规则：对在“信用中国”网站</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6760" w:type="dxa"/>
            <w:gridSpan w:val="8"/>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w:t>
            </w:r>
            <w:r>
              <w:rPr>
                <w:rFonts w:hint="eastAsia" w:ascii="宋体" w:hAnsi="宋体" w:eastAsiaTheme="minorEastAsia" w:cstheme="minorBidi"/>
                <w:color w:val="000000"/>
                <w:sz w:val="22"/>
                <w:szCs w:val="21"/>
                <w:lang w:val="en-US" w:eastAsia="zh-CN" w:bidi="ar-SA"/>
              </w:rPr>
              <w:fldChar w:fldCharType="begin"/>
            </w:r>
            <w:r>
              <w:rPr>
                <w:rFonts w:hint="eastAsia" w:ascii="宋体" w:hAnsi="宋体" w:eastAsiaTheme="minorEastAsia" w:cstheme="minorBidi"/>
                <w:color w:val="000000"/>
                <w:sz w:val="22"/>
                <w:szCs w:val="21"/>
                <w:lang w:val="en-US" w:eastAsia="zh-CN" w:bidi="ar-SA"/>
              </w:rPr>
              <w:instrText xml:space="preserve"> HYPERLINK "http://www.creditchina.gov.cn/" \h </w:instrText>
            </w:r>
            <w:r>
              <w:rPr>
                <w:rFonts w:hint="eastAsia" w:ascii="宋体" w:hAnsi="宋体" w:eastAsiaTheme="minorEastAsia" w:cstheme="minorBidi"/>
                <w:color w:val="000000"/>
                <w:sz w:val="22"/>
                <w:szCs w:val="21"/>
                <w:lang w:val="en-US" w:eastAsia="zh-CN" w:bidi="ar-SA"/>
              </w:rPr>
              <w:fldChar w:fldCharType="separate"/>
            </w:r>
            <w:r>
              <w:rPr>
                <w:rFonts w:hint="eastAsia" w:ascii="宋体" w:hAnsi="宋体" w:eastAsiaTheme="minorEastAsia" w:cstheme="minorBidi"/>
                <w:color w:val="000000"/>
                <w:sz w:val="22"/>
                <w:szCs w:val="21"/>
                <w:lang w:val="en-US" w:eastAsia="zh-CN" w:bidi="ar-SA"/>
              </w:rPr>
              <w:t>www.creditchina.gov.cn</w:t>
            </w:r>
            <w:r>
              <w:rPr>
                <w:rFonts w:hint="eastAsia" w:ascii="宋体" w:hAnsi="宋体" w:eastAsiaTheme="minorEastAsia" w:cstheme="minorBidi"/>
                <w:color w:val="000000"/>
                <w:sz w:val="22"/>
                <w:szCs w:val="21"/>
                <w:lang w:val="en-US" w:eastAsia="zh-CN" w:bidi="ar-SA"/>
              </w:rPr>
              <w:fldChar w:fldCharType="end"/>
            </w:r>
            <w:r>
              <w:rPr>
                <w:rFonts w:hint="eastAsia" w:ascii="宋体" w:hAnsi="宋体" w:eastAsiaTheme="minorEastAsia" w:cstheme="minorBidi"/>
                <w:color w:val="000000"/>
                <w:sz w:val="22"/>
                <w:szCs w:val="21"/>
                <w:lang w:val="en-US" w:eastAsia="zh-CN" w:bidi="ar-SA"/>
              </w:rPr>
              <w:t>）、中国政府采购网（</w:t>
            </w:r>
            <w:r>
              <w:rPr>
                <w:rFonts w:hint="eastAsia" w:ascii="宋体" w:hAnsi="宋体" w:eastAsiaTheme="minorEastAsia" w:cstheme="minorBidi"/>
                <w:color w:val="000000"/>
                <w:sz w:val="22"/>
                <w:szCs w:val="21"/>
                <w:lang w:val="en-US" w:eastAsia="zh-CN" w:bidi="ar-SA"/>
              </w:rPr>
              <w:fldChar w:fldCharType="begin"/>
            </w:r>
            <w:r>
              <w:rPr>
                <w:rFonts w:hint="eastAsia" w:ascii="宋体" w:hAnsi="宋体" w:eastAsiaTheme="minorEastAsia" w:cstheme="minorBidi"/>
                <w:color w:val="000000"/>
                <w:sz w:val="22"/>
                <w:szCs w:val="21"/>
                <w:lang w:val="en-US" w:eastAsia="zh-CN" w:bidi="ar-SA"/>
              </w:rPr>
              <w:instrText xml:space="preserve"> HYPERLINK "http://www.ccgp.gov.cn/" \h </w:instrText>
            </w:r>
            <w:r>
              <w:rPr>
                <w:rFonts w:hint="eastAsia" w:ascii="宋体" w:hAnsi="宋体" w:eastAsiaTheme="minorEastAsia" w:cstheme="minorBidi"/>
                <w:color w:val="000000"/>
                <w:sz w:val="22"/>
                <w:szCs w:val="21"/>
                <w:lang w:val="en-US" w:eastAsia="zh-CN" w:bidi="ar-SA"/>
              </w:rPr>
              <w:fldChar w:fldCharType="separate"/>
            </w:r>
            <w:r>
              <w:rPr>
                <w:rFonts w:hint="eastAsia" w:ascii="宋体" w:hAnsi="宋体" w:eastAsiaTheme="minorEastAsia" w:cstheme="minorBidi"/>
                <w:color w:val="000000"/>
                <w:sz w:val="22"/>
                <w:szCs w:val="21"/>
                <w:lang w:val="en-US" w:eastAsia="zh-CN" w:bidi="ar-SA"/>
              </w:rPr>
              <w:t>www.ccgp.gov.cn</w:t>
            </w:r>
            <w:r>
              <w:rPr>
                <w:rFonts w:hint="eastAsia" w:ascii="宋体" w:hAnsi="宋体" w:eastAsiaTheme="minorEastAsia" w:cstheme="minorBidi"/>
                <w:color w:val="000000"/>
                <w:sz w:val="22"/>
                <w:szCs w:val="21"/>
                <w:lang w:val="en-US" w:eastAsia="zh-CN" w:bidi="ar-SA"/>
              </w:rPr>
              <w:fldChar w:fldCharType="end"/>
            </w:r>
            <w:r>
              <w:rPr>
                <w:rFonts w:hint="eastAsia" w:ascii="宋体" w:hAnsi="宋体" w:eastAsiaTheme="minorEastAsia" w:cstheme="minorBidi"/>
                <w:color w:val="000000"/>
                <w:sz w:val="22"/>
                <w:szCs w:val="21"/>
                <w:lang w:val="en-US" w:eastAsia="zh-CN" w:bidi="ar-SA"/>
              </w:rPr>
              <w:t>）</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6760" w:type="dxa"/>
            <w:gridSpan w:val="8"/>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cstheme="minorBidi"/>
                <w:color w:val="000000"/>
                <w:sz w:val="22"/>
                <w:szCs w:val="21"/>
                <w:lang w:val="en-US" w:eastAsia="zh-CN" w:bidi="ar-SA"/>
              </w:rPr>
              <w:t>等渠</w:t>
            </w:r>
            <w:r>
              <w:rPr>
                <w:rFonts w:hint="eastAsia" w:ascii="宋体" w:hAnsi="宋体" w:eastAsiaTheme="minorEastAsia" w:cstheme="minorBidi"/>
                <w:color w:val="000000"/>
                <w:sz w:val="22"/>
                <w:szCs w:val="21"/>
                <w:lang w:val="en-US" w:eastAsia="zh-CN" w:bidi="ar-SA"/>
              </w:rPr>
              <w:t>道列入失信被执行人、重大税收违法案件当事人名单、政府采购严重违法</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6760" w:type="dxa"/>
            <w:gridSpan w:val="8"/>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cstheme="minorBidi"/>
                <w:color w:val="000000"/>
                <w:sz w:val="22"/>
                <w:szCs w:val="21"/>
                <w:lang w:val="en-US" w:eastAsia="zh-CN" w:bidi="ar-SA"/>
              </w:rPr>
              <w:t>严重违法</w:t>
            </w:r>
            <w:r>
              <w:rPr>
                <w:rFonts w:hint="eastAsia" w:ascii="宋体" w:hAnsi="宋体" w:eastAsiaTheme="minorEastAsia" w:cstheme="minorBidi"/>
                <w:color w:val="000000"/>
                <w:sz w:val="22"/>
                <w:szCs w:val="21"/>
                <w:lang w:val="en-US" w:eastAsia="zh-CN" w:bidi="ar-SA"/>
              </w:rPr>
              <w:t>失信行为记录名单及其他不符合《中华人民共和国政府采购</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100" w:type="dxa"/>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6760" w:type="dxa"/>
            <w:gridSpan w:val="8"/>
            <w:tcBorders>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法》第二十二条规定条件的供应商，取消其成交候选人资格。</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bottom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6860" w:type="dxa"/>
            <w:gridSpan w:val="9"/>
            <w:tcBorders>
              <w:bottom w:val="single" w:color="auto" w:sz="8" w:space="0"/>
              <w:right w:val="single" w:color="auto" w:sz="8" w:space="0"/>
            </w:tcBorders>
            <w:vAlign w:val="bottom"/>
          </w:tcPr>
          <w:p>
            <w:pPr>
              <w:spacing w:line="240" w:lineRule="exact"/>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bl>
    <w:p>
      <w:pPr>
        <w:spacing w:line="1" w:lineRule="exact"/>
        <w:rPr>
          <w:rFonts w:hint="eastAsia" w:ascii="宋体" w:hAnsi="宋体" w:eastAsiaTheme="minorEastAsia" w:cstheme="minorBidi"/>
          <w:color w:val="000000"/>
          <w:sz w:val="22"/>
          <w:szCs w:val="21"/>
          <w:lang w:val="en-US" w:eastAsia="zh-CN" w:bidi="ar-SA"/>
        </w:rPr>
      </w:pPr>
    </w:p>
    <w:tbl>
      <w:tblPr>
        <w:tblStyle w:val="9"/>
        <w:tblW w:w="10640" w:type="dxa"/>
        <w:tblInd w:w="10" w:type="dxa"/>
        <w:tblLayout w:type="fixed"/>
        <w:tblCellMar>
          <w:top w:w="0" w:type="dxa"/>
          <w:left w:w="0" w:type="dxa"/>
          <w:bottom w:w="0" w:type="dxa"/>
          <w:right w:w="0" w:type="dxa"/>
        </w:tblCellMar>
      </w:tblPr>
      <w:tblGrid>
        <w:gridCol w:w="580"/>
        <w:gridCol w:w="720"/>
        <w:gridCol w:w="2120"/>
        <w:gridCol w:w="6860"/>
        <w:gridCol w:w="360"/>
      </w:tblGrid>
      <w:tr>
        <w:tblPrEx>
          <w:tblCellMar>
            <w:top w:w="0" w:type="dxa"/>
            <w:left w:w="0" w:type="dxa"/>
            <w:bottom w:w="0" w:type="dxa"/>
            <w:right w:w="0" w:type="dxa"/>
          </w:tblCellMar>
        </w:tblPrEx>
        <w:trPr>
          <w:trHeight w:val="326" w:hRule="atLeast"/>
        </w:trPr>
        <w:tc>
          <w:tcPr>
            <w:tcW w:w="580" w:type="dxa"/>
            <w:tcBorders>
              <w:top w:val="single" w:color="auto" w:sz="8" w:space="0"/>
              <w:left w:val="single" w:color="auto" w:sz="8" w:space="0"/>
              <w:right w:val="single" w:color="auto" w:sz="8" w:space="0"/>
            </w:tcBorders>
            <w:vAlign w:val="bottom"/>
          </w:tcPr>
          <w:p>
            <w:pPr>
              <w:jc w:val="center"/>
              <w:rPr>
                <w:rFonts w:hint="default"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1</w:t>
            </w:r>
            <w:r>
              <w:rPr>
                <w:rFonts w:hint="eastAsia" w:ascii="宋体" w:hAnsi="宋体" w:cstheme="minorBidi"/>
                <w:color w:val="000000"/>
                <w:sz w:val="22"/>
                <w:szCs w:val="21"/>
                <w:lang w:val="en-US" w:eastAsia="zh-CN" w:bidi="ar-SA"/>
              </w:rPr>
              <w:t>7</w:t>
            </w:r>
          </w:p>
        </w:tc>
        <w:tc>
          <w:tcPr>
            <w:tcW w:w="720" w:type="dxa"/>
            <w:tcBorders>
              <w:top w:val="single" w:color="auto" w:sz="8" w:space="0"/>
              <w:right w:val="single" w:color="auto" w:sz="8" w:space="0"/>
            </w:tcBorders>
            <w:vAlign w:val="bottom"/>
          </w:tcPr>
          <w:p>
            <w:pPr>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26</w:t>
            </w:r>
          </w:p>
        </w:tc>
        <w:tc>
          <w:tcPr>
            <w:tcW w:w="2120" w:type="dxa"/>
            <w:tcBorders>
              <w:top w:val="single" w:color="auto" w:sz="8" w:space="0"/>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成交公告</w:t>
            </w:r>
          </w:p>
        </w:tc>
        <w:tc>
          <w:tcPr>
            <w:tcW w:w="6860" w:type="dxa"/>
            <w:tcBorders>
              <w:top w:val="single" w:color="auto" w:sz="8" w:space="0"/>
              <w:right w:val="single" w:color="auto" w:sz="8" w:space="0"/>
            </w:tcBorders>
            <w:vAlign w:val="bottom"/>
          </w:tcPr>
          <w:p>
            <w:pPr>
              <w:spacing w:line="240" w:lineRule="exact"/>
              <w:ind w:left="100"/>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中按顺序确定成交供应商，采购代理机构在成交供应商确定之日起两</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及成交通知书</w:t>
            </w:r>
          </w:p>
        </w:tc>
        <w:tc>
          <w:tcPr>
            <w:tcW w:w="6860" w:type="dxa"/>
            <w:tcBorders>
              <w:right w:val="single" w:color="auto" w:sz="8" w:space="0"/>
            </w:tcBorders>
            <w:vAlign w:val="bottom"/>
          </w:tcPr>
          <w:p>
            <w:pPr>
              <w:spacing w:line="240" w:lineRule="exact"/>
              <w:ind w:left="100"/>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个工作日内发出成交通知书，并在指定媒体上公告成交信息。</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jc w:val="center"/>
              <w:rPr>
                <w:rFonts w:hint="eastAsia" w:ascii="宋体" w:hAnsi="宋体" w:eastAsiaTheme="minorEastAsia" w:cstheme="minorBidi"/>
                <w:color w:val="000000"/>
                <w:sz w:val="22"/>
                <w:szCs w:val="21"/>
                <w:lang w:val="en-US" w:eastAsia="zh-CN" w:bidi="ar-SA"/>
              </w:rPr>
            </w:pPr>
          </w:p>
        </w:tc>
        <w:tc>
          <w:tcPr>
            <w:tcW w:w="6860" w:type="dxa"/>
            <w:tcBorders>
              <w:right w:val="single" w:color="auto" w:sz="8" w:space="0"/>
            </w:tcBorders>
            <w:vAlign w:val="bottom"/>
          </w:tcPr>
          <w:p>
            <w:pPr>
              <w:spacing w:line="240" w:lineRule="exact"/>
              <w:ind w:left="100"/>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26.2 在发布成交公告的同时，采购代理机构向成交供应商发出成交通</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ind w:left="100"/>
              <w:jc w:val="center"/>
              <w:rPr>
                <w:rFonts w:hint="eastAsia" w:ascii="宋体" w:hAnsi="宋体" w:eastAsiaTheme="minorEastAsia" w:cstheme="minorBidi"/>
                <w:color w:val="000000"/>
                <w:sz w:val="22"/>
                <w:szCs w:val="21"/>
                <w:lang w:val="en-US" w:eastAsia="zh-CN" w:bidi="ar-SA"/>
              </w:rPr>
            </w:pPr>
          </w:p>
        </w:tc>
        <w:tc>
          <w:tcPr>
            <w:tcW w:w="6860" w:type="dxa"/>
            <w:tcBorders>
              <w:right w:val="single" w:color="auto" w:sz="8" w:space="0"/>
            </w:tcBorders>
            <w:vAlign w:val="bottom"/>
          </w:tcPr>
          <w:p>
            <w:pPr>
              <w:spacing w:line="240" w:lineRule="exact"/>
              <w:ind w:left="100"/>
              <w:rPr>
                <w:rFonts w:hint="eastAsia" w:ascii="宋体" w:hAnsi="宋体" w:eastAsiaTheme="minorEastAsia" w:cstheme="minorBidi"/>
                <w:color w:val="000000"/>
                <w:sz w:val="22"/>
                <w:szCs w:val="21"/>
                <w:lang w:val="en-US" w:eastAsia="zh-CN" w:bidi="ar-SA"/>
              </w:rPr>
            </w:pPr>
            <w:r>
              <w:rPr>
                <w:rFonts w:hint="eastAsia" w:ascii="宋体" w:hAnsi="宋体" w:cstheme="minorBidi"/>
                <w:color w:val="000000"/>
                <w:sz w:val="22"/>
                <w:szCs w:val="21"/>
                <w:lang w:val="en-US" w:eastAsia="zh-CN" w:bidi="ar-SA"/>
              </w:rPr>
              <w:t>知</w:t>
            </w:r>
            <w:r>
              <w:rPr>
                <w:rFonts w:hint="eastAsia" w:ascii="宋体" w:hAnsi="宋体" w:eastAsiaTheme="minorEastAsia" w:cstheme="minorBidi"/>
                <w:color w:val="000000"/>
                <w:sz w:val="22"/>
                <w:szCs w:val="21"/>
                <w:lang w:val="en-US" w:eastAsia="zh-CN" w:bidi="ar-SA"/>
              </w:rPr>
              <w:t>书。成交供应商应自接到通知之日起七个工作日内，办理成交通知</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90" w:hRule="atLeast"/>
        </w:trPr>
        <w:tc>
          <w:tcPr>
            <w:tcW w:w="580" w:type="dxa"/>
            <w:tcBorders>
              <w:left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right w:val="single" w:color="auto" w:sz="8" w:space="0"/>
            </w:tcBorders>
            <w:vAlign w:val="bottom"/>
          </w:tcPr>
          <w:p>
            <w:pPr>
              <w:spacing w:line="240" w:lineRule="exact"/>
              <w:ind w:left="100"/>
              <w:jc w:val="center"/>
              <w:rPr>
                <w:rFonts w:hint="eastAsia" w:ascii="宋体" w:hAnsi="宋体" w:eastAsiaTheme="minorEastAsia" w:cstheme="minorBidi"/>
                <w:color w:val="000000"/>
                <w:sz w:val="22"/>
                <w:szCs w:val="21"/>
                <w:lang w:val="en-US" w:eastAsia="zh-CN" w:bidi="ar-SA"/>
              </w:rPr>
            </w:pPr>
          </w:p>
        </w:tc>
        <w:tc>
          <w:tcPr>
            <w:tcW w:w="6860" w:type="dxa"/>
            <w:tcBorders>
              <w:right w:val="single" w:color="auto" w:sz="8" w:space="0"/>
            </w:tcBorders>
            <w:vAlign w:val="bottom"/>
          </w:tcPr>
          <w:p>
            <w:pPr>
              <w:spacing w:line="240" w:lineRule="exact"/>
              <w:ind w:left="100"/>
              <w:rPr>
                <w:rFonts w:hint="eastAsia" w:ascii="宋体" w:hAnsi="宋体" w:eastAsiaTheme="minorEastAsia" w:cstheme="minorBidi"/>
                <w:color w:val="000000"/>
                <w:sz w:val="22"/>
                <w:szCs w:val="21"/>
                <w:lang w:val="en-US" w:eastAsia="zh-CN" w:bidi="ar-SA"/>
              </w:rPr>
            </w:pPr>
            <w:r>
              <w:rPr>
                <w:rFonts w:hint="eastAsia" w:ascii="宋体" w:hAnsi="宋体" w:eastAsiaTheme="minorEastAsia" w:cstheme="minorBidi"/>
                <w:color w:val="000000"/>
                <w:sz w:val="22"/>
                <w:szCs w:val="21"/>
                <w:lang w:val="en-US" w:eastAsia="zh-CN" w:bidi="ar-SA"/>
              </w:rPr>
              <w:t>书领取手续。</w:t>
            </w: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720" w:type="dxa"/>
            <w:tcBorders>
              <w:bottom w:val="single" w:color="auto" w:sz="8" w:space="0"/>
              <w:right w:val="single" w:color="auto" w:sz="8" w:space="0"/>
            </w:tcBorders>
            <w:vAlign w:val="bottom"/>
          </w:tcPr>
          <w:p>
            <w:pPr>
              <w:rPr>
                <w:rFonts w:hint="eastAsia" w:ascii="宋体" w:hAnsi="宋体" w:eastAsiaTheme="minorEastAsia" w:cstheme="minorBidi"/>
                <w:color w:val="000000"/>
                <w:sz w:val="22"/>
                <w:szCs w:val="21"/>
                <w:lang w:val="en-US" w:eastAsia="zh-CN" w:bidi="ar-SA"/>
              </w:rPr>
            </w:pPr>
          </w:p>
        </w:tc>
        <w:tc>
          <w:tcPr>
            <w:tcW w:w="2120" w:type="dxa"/>
            <w:tcBorders>
              <w:bottom w:val="single" w:color="auto" w:sz="8" w:space="0"/>
              <w:right w:val="single" w:color="auto" w:sz="8" w:space="0"/>
            </w:tcBorders>
            <w:vAlign w:val="bottom"/>
          </w:tcPr>
          <w:p>
            <w:pPr>
              <w:spacing w:line="240" w:lineRule="exact"/>
              <w:ind w:left="100"/>
              <w:jc w:val="center"/>
              <w:rPr>
                <w:rFonts w:hint="eastAsia" w:ascii="宋体" w:hAnsi="宋体" w:eastAsiaTheme="minorEastAsia" w:cstheme="minorBidi"/>
                <w:color w:val="000000"/>
                <w:sz w:val="22"/>
                <w:szCs w:val="21"/>
                <w:lang w:val="en-US" w:eastAsia="zh-CN" w:bidi="ar-SA"/>
              </w:rPr>
            </w:pPr>
          </w:p>
        </w:tc>
        <w:tc>
          <w:tcPr>
            <w:tcW w:w="6860" w:type="dxa"/>
            <w:tcBorders>
              <w:bottom w:val="single" w:color="auto" w:sz="8" w:space="0"/>
              <w:right w:val="single" w:color="auto" w:sz="8" w:space="0"/>
            </w:tcBorders>
            <w:vAlign w:val="bottom"/>
          </w:tcPr>
          <w:p>
            <w:pPr>
              <w:spacing w:line="240" w:lineRule="exact"/>
              <w:ind w:left="100"/>
              <w:rPr>
                <w:rFonts w:hint="eastAsia" w:ascii="宋体" w:hAnsi="宋体" w:eastAsiaTheme="minorEastAsia" w:cstheme="minorBidi"/>
                <w:color w:val="000000"/>
                <w:sz w:val="22"/>
                <w:szCs w:val="21"/>
                <w:lang w:val="en-US" w:eastAsia="zh-CN" w:bidi="ar-SA"/>
              </w:rPr>
            </w:pPr>
          </w:p>
        </w:tc>
        <w:tc>
          <w:tcPr>
            <w:tcW w:w="360" w:type="dxa"/>
            <w:vAlign w:val="bottom"/>
          </w:tcPr>
          <w:p>
            <w:pPr>
              <w:rPr>
                <w:rFonts w:hint="eastAsia" w:ascii="宋体" w:hAnsi="宋体" w:eastAsiaTheme="minorEastAsia" w:cstheme="minorBidi"/>
                <w:color w:val="000000"/>
                <w:sz w:val="22"/>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3321" w:hRule="atLeast"/>
        </w:trPr>
        <w:tc>
          <w:tcPr>
            <w:tcW w:w="580" w:type="dxa"/>
            <w:noWrap/>
            <w:vAlign w:val="center"/>
          </w:tcPr>
          <w:p>
            <w:pPr>
              <w:spacing w:line="340" w:lineRule="exact"/>
              <w:jc w:val="center"/>
              <w:rPr>
                <w:rFonts w:hint="eastAsia" w:ascii="宋体" w:hAnsi="宋体" w:eastAsiaTheme="minorEastAsia"/>
                <w:color w:val="000000"/>
                <w:szCs w:val="21"/>
                <w:lang w:val="en-US" w:eastAsia="zh-CN"/>
              </w:rPr>
            </w:pPr>
            <w:r>
              <w:rPr>
                <w:rFonts w:hint="eastAsia" w:ascii="宋体" w:hAnsi="宋体"/>
                <w:color w:val="000000"/>
                <w:szCs w:val="21"/>
              </w:rPr>
              <w:t>1</w:t>
            </w:r>
            <w:r>
              <w:rPr>
                <w:rFonts w:hint="eastAsia" w:ascii="宋体" w:hAnsi="宋体"/>
                <w:color w:val="000000"/>
                <w:szCs w:val="21"/>
                <w:lang w:val="en-US" w:eastAsia="zh-CN"/>
              </w:rPr>
              <w:t>8</w:t>
            </w:r>
          </w:p>
        </w:tc>
        <w:tc>
          <w:tcPr>
            <w:tcW w:w="720" w:type="dxa"/>
            <w:noWrap/>
            <w:vAlign w:val="center"/>
          </w:tcPr>
          <w:p>
            <w:pPr>
              <w:spacing w:line="340" w:lineRule="exact"/>
              <w:jc w:val="center"/>
              <w:rPr>
                <w:rFonts w:ascii="宋体" w:hAnsi="宋体"/>
                <w:color w:val="000000"/>
                <w:szCs w:val="21"/>
              </w:rPr>
            </w:pPr>
            <w:r>
              <w:rPr>
                <w:rFonts w:hint="eastAsia" w:ascii="宋体" w:hAnsi="宋体"/>
                <w:color w:val="000000"/>
                <w:szCs w:val="21"/>
              </w:rPr>
              <w:t>31</w:t>
            </w:r>
          </w:p>
        </w:tc>
        <w:tc>
          <w:tcPr>
            <w:tcW w:w="2120" w:type="dxa"/>
            <w:noWrap/>
            <w:vAlign w:val="center"/>
          </w:tcPr>
          <w:p>
            <w:pPr>
              <w:spacing w:line="320" w:lineRule="exact"/>
              <w:jc w:val="center"/>
              <w:rPr>
                <w:rFonts w:ascii="宋体" w:hAnsi="宋体"/>
                <w:color w:val="000000"/>
                <w:szCs w:val="21"/>
              </w:rPr>
            </w:pPr>
            <w:r>
              <w:rPr>
                <w:rFonts w:hint="eastAsia" w:ascii="宋体" w:hAnsi="宋体"/>
                <w:color w:val="000000"/>
                <w:szCs w:val="21"/>
              </w:rPr>
              <w:t>中标公告及中标通知书</w:t>
            </w:r>
          </w:p>
        </w:tc>
        <w:tc>
          <w:tcPr>
            <w:tcW w:w="6860" w:type="dxa"/>
            <w:noWrap/>
          </w:tcPr>
          <w:p>
            <w:pPr>
              <w:pStyle w:val="6"/>
              <w:tabs>
                <w:tab w:val="left" w:pos="455"/>
              </w:tabs>
              <w:spacing w:line="360" w:lineRule="exact"/>
              <w:rPr>
                <w:rFonts w:hAnsi="宋体"/>
                <w:color w:val="000000"/>
              </w:rPr>
            </w:pPr>
            <w:r>
              <w:rPr>
                <w:rFonts w:hint="eastAsia" w:hAnsi="宋体"/>
                <w:color w:val="000000"/>
              </w:rPr>
              <w:t xml:space="preserve">31.1 </w:t>
            </w:r>
            <w:r>
              <w:rPr>
                <w:rFonts w:hint="eastAsia" w:hAnsi="宋体"/>
                <w:color w:val="000000"/>
                <w:szCs w:val="21"/>
              </w:rPr>
              <w:t>采购代理机构于评标结束后两个工作日内将评审报告送交采购人，采购人应当自收到评标报告五个工作日内在评标报告推荐的中标候选供应商中按顺序确定中标供应商，采购代理机构在中标供应商确定之日起两个工作日内发出中标通知书，并在指定媒体上公告中标信息。</w:t>
            </w:r>
          </w:p>
          <w:p>
            <w:pPr>
              <w:pStyle w:val="6"/>
              <w:spacing w:line="360" w:lineRule="exact"/>
              <w:rPr>
                <w:rFonts w:hAnsi="宋体"/>
                <w:color w:val="000000"/>
                <w:szCs w:val="21"/>
              </w:rPr>
            </w:pPr>
            <w:r>
              <w:rPr>
                <w:rFonts w:hint="eastAsia" w:hAnsi="宋体"/>
                <w:color w:val="000000"/>
              </w:rPr>
              <w:t>31.2 中标供应商应自接到通知之日起七个工作日内，办理中标通知书领取手续，如不按期办理领取手续，视为自动放弃中标资格。中标供应商所投相应标的投标保证金将不予退还，上缴同级财政国库，并从评标委员会推荐的中标候选供应商中按顺序重新确定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462" w:hRule="atLeast"/>
        </w:trPr>
        <w:tc>
          <w:tcPr>
            <w:tcW w:w="580" w:type="dxa"/>
            <w:noWrap/>
            <w:vAlign w:val="center"/>
          </w:tcPr>
          <w:p>
            <w:pPr>
              <w:spacing w:line="340" w:lineRule="exact"/>
              <w:jc w:val="center"/>
              <w:rPr>
                <w:rFonts w:hint="eastAsia" w:ascii="宋体" w:hAnsi="宋体" w:eastAsiaTheme="minorEastAsia"/>
                <w:color w:val="000000"/>
                <w:szCs w:val="21"/>
                <w:lang w:val="en-US" w:eastAsia="zh-CN"/>
              </w:rPr>
            </w:pPr>
            <w:r>
              <w:rPr>
                <w:rFonts w:hint="eastAsia" w:ascii="宋体" w:hAnsi="宋体"/>
                <w:color w:val="000000"/>
                <w:szCs w:val="21"/>
              </w:rPr>
              <w:t>1</w:t>
            </w:r>
            <w:r>
              <w:rPr>
                <w:rFonts w:hint="eastAsia" w:ascii="宋体" w:hAnsi="宋体"/>
                <w:color w:val="000000"/>
                <w:szCs w:val="21"/>
                <w:lang w:val="en-US" w:eastAsia="zh-CN"/>
              </w:rPr>
              <w:t>9</w:t>
            </w:r>
          </w:p>
        </w:tc>
        <w:tc>
          <w:tcPr>
            <w:tcW w:w="720" w:type="dxa"/>
            <w:noWrap/>
            <w:vAlign w:val="center"/>
          </w:tcPr>
          <w:p>
            <w:pPr>
              <w:spacing w:line="340" w:lineRule="exact"/>
              <w:jc w:val="center"/>
              <w:rPr>
                <w:rFonts w:ascii="宋体" w:hAnsi="宋体"/>
                <w:color w:val="000000"/>
                <w:szCs w:val="21"/>
              </w:rPr>
            </w:pPr>
            <w:r>
              <w:rPr>
                <w:rFonts w:hint="eastAsia" w:ascii="宋体" w:hAnsi="宋体"/>
                <w:color w:val="000000"/>
                <w:szCs w:val="21"/>
              </w:rPr>
              <w:t>32.1</w:t>
            </w:r>
          </w:p>
        </w:tc>
        <w:tc>
          <w:tcPr>
            <w:tcW w:w="2120" w:type="dxa"/>
            <w:noWrap/>
            <w:vAlign w:val="center"/>
          </w:tcPr>
          <w:p>
            <w:pPr>
              <w:spacing w:line="320" w:lineRule="exact"/>
              <w:jc w:val="center"/>
              <w:rPr>
                <w:rFonts w:ascii="宋体" w:hAnsi="宋体"/>
                <w:color w:val="000000"/>
                <w:szCs w:val="21"/>
              </w:rPr>
            </w:pPr>
            <w:r>
              <w:rPr>
                <w:rFonts w:hint="eastAsia" w:ascii="宋体" w:hAnsi="宋体"/>
                <w:color w:val="000000"/>
                <w:szCs w:val="21"/>
              </w:rPr>
              <w:t>履约保证金</w:t>
            </w:r>
          </w:p>
        </w:tc>
        <w:tc>
          <w:tcPr>
            <w:tcW w:w="6860" w:type="dxa"/>
            <w:noWrap/>
            <w:vAlign w:val="center"/>
          </w:tcPr>
          <w:p>
            <w:pPr>
              <w:spacing w:line="320" w:lineRule="exact"/>
              <w:rPr>
                <w:rFonts w:ascii="宋体" w:hAnsi="宋体"/>
                <w:color w:val="000000"/>
                <w:szCs w:val="21"/>
              </w:rPr>
            </w:pPr>
            <w:r>
              <w:rPr>
                <w:rFonts w:hint="eastAsia" w:ascii="宋体" w:hAnsi="宋体"/>
                <w:color w:val="000000"/>
                <w:szCs w:val="21"/>
              </w:rPr>
              <w:t>履约保证金金额</w:t>
            </w:r>
            <w:r>
              <w:rPr>
                <w:rFonts w:hint="eastAsia" w:ascii="宋体" w:hAnsi="宋体"/>
                <w:color w:val="000000"/>
              </w:rPr>
              <w:t>按中标价的5%</w:t>
            </w:r>
            <w:r>
              <w:rPr>
                <w:rFonts w:hint="eastAsia" w:ascii="宋体" w:hAnsi="宋体"/>
                <w:color w:val="000000"/>
                <w:szCs w:val="21"/>
              </w:rPr>
              <w:t>（人民币，四舍五入到元）</w:t>
            </w:r>
            <w:r>
              <w:rPr>
                <w:rFonts w:hint="eastAsia" w:ascii="宋体" w:hAnsi="宋体"/>
                <w:color w:val="000000"/>
              </w:rPr>
              <w:t>缴纳，由中标供应商在领取中标通知书前将履约保证金以转账、电汇等非现金形式缴入桂林市公共资源交易中心保证金专户 ,并由资源交易中心转入桂林市政府采购管理办公室履约保证金专户。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463" w:hRule="atLeast"/>
        </w:trPr>
        <w:tc>
          <w:tcPr>
            <w:tcW w:w="580" w:type="dxa"/>
            <w:noWrap/>
            <w:vAlign w:val="center"/>
          </w:tcPr>
          <w:p>
            <w:pPr>
              <w:spacing w:line="34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20</w:t>
            </w:r>
          </w:p>
        </w:tc>
        <w:tc>
          <w:tcPr>
            <w:tcW w:w="720" w:type="dxa"/>
            <w:noWrap/>
            <w:vAlign w:val="center"/>
          </w:tcPr>
          <w:p>
            <w:pPr>
              <w:spacing w:line="340" w:lineRule="exact"/>
              <w:jc w:val="center"/>
              <w:rPr>
                <w:rFonts w:ascii="宋体" w:hAnsi="宋体"/>
                <w:color w:val="000000"/>
                <w:szCs w:val="21"/>
              </w:rPr>
            </w:pPr>
            <w:r>
              <w:rPr>
                <w:rFonts w:hint="eastAsia" w:ascii="宋体" w:hAnsi="宋体"/>
                <w:color w:val="000000"/>
                <w:szCs w:val="21"/>
              </w:rPr>
              <w:t>33.1</w:t>
            </w:r>
          </w:p>
        </w:tc>
        <w:tc>
          <w:tcPr>
            <w:tcW w:w="2120" w:type="dxa"/>
            <w:noWrap/>
            <w:vAlign w:val="center"/>
          </w:tcPr>
          <w:p>
            <w:pPr>
              <w:spacing w:line="320" w:lineRule="exact"/>
              <w:jc w:val="center"/>
              <w:rPr>
                <w:rFonts w:ascii="宋体" w:hAnsi="宋体"/>
                <w:color w:val="000000"/>
                <w:szCs w:val="21"/>
              </w:rPr>
            </w:pPr>
            <w:r>
              <w:rPr>
                <w:rFonts w:hint="eastAsia" w:ascii="宋体" w:hAnsi="宋体"/>
                <w:color w:val="000000"/>
                <w:szCs w:val="21"/>
              </w:rPr>
              <w:t>签订合同时间</w:t>
            </w:r>
          </w:p>
        </w:tc>
        <w:tc>
          <w:tcPr>
            <w:tcW w:w="6860" w:type="dxa"/>
            <w:noWrap/>
            <w:vAlign w:val="center"/>
          </w:tcPr>
          <w:p>
            <w:pPr>
              <w:spacing w:line="320" w:lineRule="exact"/>
              <w:rPr>
                <w:rFonts w:hint="eastAsia" w:ascii="宋体" w:hAnsi="宋体" w:eastAsiaTheme="minorEastAsia"/>
                <w:color w:val="000000"/>
                <w:szCs w:val="21"/>
                <w:lang w:eastAsia="zh-CN"/>
              </w:rPr>
            </w:pPr>
            <w:r>
              <w:rPr>
                <w:rFonts w:hint="eastAsia" w:ascii="宋体" w:hAnsi="宋体"/>
                <w:color w:val="000000"/>
                <w:szCs w:val="21"/>
              </w:rPr>
              <w:t>中标通知书发出之日起</w:t>
            </w:r>
            <w:r>
              <w:rPr>
                <w:rFonts w:hint="eastAsia" w:ascii="宋体" w:hAnsi="宋体"/>
                <w:color w:val="000000"/>
                <w:szCs w:val="21"/>
                <w:lang w:eastAsia="zh-CN"/>
              </w:rPr>
              <w:t>二十五</w:t>
            </w:r>
            <w:r>
              <w:rPr>
                <w:rFonts w:hint="eastAsia" w:ascii="宋体" w:hAnsi="宋体"/>
                <w:color w:val="000000"/>
                <w:szCs w:val="21"/>
              </w:rPr>
              <w:t>日内</w:t>
            </w:r>
            <w:r>
              <w:rPr>
                <w:rFonts w:hint="eastAsia" w:ascii="宋体" w:hAnsi="宋体"/>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956" w:hRule="atLeast"/>
        </w:trPr>
        <w:tc>
          <w:tcPr>
            <w:tcW w:w="580" w:type="dxa"/>
            <w:noWrap/>
            <w:vAlign w:val="center"/>
          </w:tcPr>
          <w:p>
            <w:pPr>
              <w:spacing w:line="340" w:lineRule="exact"/>
              <w:jc w:val="center"/>
              <w:rPr>
                <w:rFonts w:hint="eastAsia" w:ascii="宋体" w:hAnsi="宋体" w:eastAsiaTheme="minorEastAsia"/>
                <w:color w:val="000000"/>
                <w:szCs w:val="21"/>
                <w:lang w:val="en-US" w:eastAsia="zh-CN"/>
              </w:rPr>
            </w:pPr>
            <w:r>
              <w:rPr>
                <w:rFonts w:hint="eastAsia" w:ascii="宋体" w:hAnsi="宋体"/>
                <w:color w:val="000000"/>
                <w:szCs w:val="21"/>
              </w:rPr>
              <w:t>2</w:t>
            </w:r>
            <w:r>
              <w:rPr>
                <w:rFonts w:hint="eastAsia" w:ascii="宋体" w:hAnsi="宋体"/>
                <w:color w:val="000000"/>
                <w:szCs w:val="21"/>
                <w:lang w:val="en-US" w:eastAsia="zh-CN"/>
              </w:rPr>
              <w:t>1</w:t>
            </w:r>
          </w:p>
        </w:tc>
        <w:tc>
          <w:tcPr>
            <w:tcW w:w="720" w:type="dxa"/>
            <w:noWrap/>
            <w:vAlign w:val="center"/>
          </w:tcPr>
          <w:p>
            <w:pPr>
              <w:spacing w:line="340" w:lineRule="exact"/>
              <w:jc w:val="center"/>
              <w:rPr>
                <w:rFonts w:ascii="宋体" w:hAnsi="宋体"/>
                <w:color w:val="000000"/>
                <w:szCs w:val="21"/>
              </w:rPr>
            </w:pPr>
            <w:r>
              <w:rPr>
                <w:rFonts w:hint="eastAsia" w:ascii="宋体" w:hAnsi="宋体"/>
                <w:color w:val="000000"/>
                <w:szCs w:val="21"/>
              </w:rPr>
              <w:t>33.3</w:t>
            </w:r>
          </w:p>
        </w:tc>
        <w:tc>
          <w:tcPr>
            <w:tcW w:w="2120" w:type="dxa"/>
            <w:noWrap/>
            <w:vAlign w:val="center"/>
          </w:tcPr>
          <w:p>
            <w:pPr>
              <w:spacing w:line="320" w:lineRule="exact"/>
              <w:jc w:val="center"/>
              <w:rPr>
                <w:rFonts w:ascii="宋体" w:hAnsi="宋体"/>
                <w:color w:val="000000"/>
                <w:szCs w:val="21"/>
              </w:rPr>
            </w:pPr>
            <w:r>
              <w:rPr>
                <w:rFonts w:hint="eastAsia" w:ascii="宋体" w:hAnsi="宋体"/>
                <w:color w:val="000000"/>
                <w:szCs w:val="21"/>
              </w:rPr>
              <w:t>合同备案存档</w:t>
            </w:r>
          </w:p>
        </w:tc>
        <w:tc>
          <w:tcPr>
            <w:tcW w:w="6860" w:type="dxa"/>
            <w:noWrap/>
            <w:vAlign w:val="center"/>
          </w:tcPr>
          <w:p>
            <w:pPr>
              <w:spacing w:line="320" w:lineRule="exact"/>
              <w:rPr>
                <w:rFonts w:ascii="宋体" w:hAnsi="宋体"/>
                <w:color w:val="000000"/>
                <w:szCs w:val="21"/>
              </w:rPr>
            </w:pPr>
            <w:r>
              <w:rPr>
                <w:rFonts w:hint="eastAsia" w:ascii="宋体" w:hAnsi="宋体"/>
                <w:color w:val="000000"/>
              </w:rPr>
              <w:t>政府采购合同双方自签订之日起1个工作日内将合同原件两份交采购代理机构。采购代理机构将政府采购合同在省级以上人民政府财政部门指定媒体上公告并于合同签订之日起7个工作日内将一份合同原件送桂林市政府采购管理办公室备案，一份由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1001" w:hRule="atLeast"/>
        </w:trPr>
        <w:tc>
          <w:tcPr>
            <w:tcW w:w="580" w:type="dxa"/>
            <w:noWrap/>
            <w:vAlign w:val="center"/>
          </w:tcPr>
          <w:p>
            <w:pPr>
              <w:spacing w:line="340" w:lineRule="exact"/>
              <w:jc w:val="center"/>
              <w:rPr>
                <w:rFonts w:hint="eastAsia" w:ascii="宋体" w:hAnsi="宋体" w:eastAsiaTheme="minorEastAsia"/>
                <w:color w:val="000000"/>
                <w:szCs w:val="21"/>
                <w:lang w:val="en-US" w:eastAsia="zh-CN"/>
              </w:rPr>
            </w:pPr>
            <w:r>
              <w:rPr>
                <w:rFonts w:hint="eastAsia" w:ascii="宋体" w:hAnsi="宋体"/>
                <w:color w:val="000000"/>
                <w:szCs w:val="21"/>
              </w:rPr>
              <w:t>2</w:t>
            </w:r>
            <w:r>
              <w:rPr>
                <w:rFonts w:hint="eastAsia" w:ascii="宋体" w:hAnsi="宋体"/>
                <w:color w:val="000000"/>
                <w:szCs w:val="21"/>
                <w:lang w:val="en-US" w:eastAsia="zh-CN"/>
              </w:rPr>
              <w:t>2</w:t>
            </w:r>
          </w:p>
        </w:tc>
        <w:tc>
          <w:tcPr>
            <w:tcW w:w="720" w:type="dxa"/>
            <w:noWrap/>
            <w:vAlign w:val="center"/>
          </w:tcPr>
          <w:p>
            <w:pPr>
              <w:spacing w:line="340" w:lineRule="exact"/>
              <w:jc w:val="center"/>
              <w:rPr>
                <w:rFonts w:ascii="宋体" w:hAnsi="宋体"/>
                <w:color w:val="000000"/>
                <w:szCs w:val="21"/>
              </w:rPr>
            </w:pPr>
            <w:r>
              <w:rPr>
                <w:rFonts w:hint="eastAsia" w:ascii="宋体" w:hAnsi="宋体"/>
                <w:color w:val="000000"/>
                <w:szCs w:val="21"/>
              </w:rPr>
              <w:t>34</w:t>
            </w:r>
          </w:p>
        </w:tc>
        <w:tc>
          <w:tcPr>
            <w:tcW w:w="2120" w:type="dxa"/>
            <w:noWrap/>
            <w:vAlign w:val="center"/>
          </w:tcPr>
          <w:p>
            <w:pPr>
              <w:spacing w:line="320" w:lineRule="exact"/>
              <w:jc w:val="center"/>
              <w:rPr>
                <w:rFonts w:ascii="宋体" w:hAnsi="宋体"/>
                <w:color w:val="000000"/>
                <w:szCs w:val="21"/>
              </w:rPr>
            </w:pPr>
            <w:r>
              <w:rPr>
                <w:rFonts w:hint="eastAsia" w:ascii="宋体" w:hAnsi="宋体"/>
                <w:color w:val="000000"/>
                <w:szCs w:val="21"/>
              </w:rPr>
              <w:t>招标代理服务费</w:t>
            </w:r>
          </w:p>
        </w:tc>
        <w:tc>
          <w:tcPr>
            <w:tcW w:w="6860" w:type="dxa"/>
            <w:noWrap/>
            <w:vAlign w:val="center"/>
          </w:tcPr>
          <w:p>
            <w:pPr>
              <w:spacing w:line="320" w:lineRule="exact"/>
              <w:rPr>
                <w:rFonts w:ascii="宋体" w:hAnsi="宋体"/>
                <w:color w:val="000000"/>
                <w:szCs w:val="21"/>
              </w:rPr>
            </w:pPr>
            <w:r>
              <w:rPr>
                <w:rFonts w:hint="eastAsia" w:ascii="宋体" w:hAnsi="宋体"/>
                <w:color w:val="000000"/>
                <w:szCs w:val="21"/>
              </w:rPr>
              <w:t>本项目招标代理服务收费标准参照计价格[2002]1980号《招标代理服务收费管理暂行办法》服务类收费标准向中标供应商收取。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1024" w:hRule="atLeast"/>
        </w:trPr>
        <w:tc>
          <w:tcPr>
            <w:tcW w:w="580" w:type="dxa"/>
            <w:noWrap/>
            <w:vAlign w:val="center"/>
          </w:tcPr>
          <w:p>
            <w:pPr>
              <w:spacing w:line="340" w:lineRule="exact"/>
              <w:jc w:val="center"/>
              <w:rPr>
                <w:rFonts w:hint="eastAsia" w:ascii="宋体" w:hAnsi="宋体" w:eastAsiaTheme="minorEastAsia"/>
                <w:color w:val="000000"/>
                <w:szCs w:val="21"/>
                <w:lang w:val="en-US" w:eastAsia="zh-CN"/>
              </w:rPr>
            </w:pPr>
            <w:r>
              <w:rPr>
                <w:rFonts w:hint="eastAsia" w:ascii="宋体" w:hAnsi="宋体"/>
                <w:color w:val="000000"/>
                <w:szCs w:val="21"/>
              </w:rPr>
              <w:t>2</w:t>
            </w:r>
            <w:r>
              <w:rPr>
                <w:rFonts w:hint="eastAsia" w:ascii="宋体" w:hAnsi="宋体"/>
                <w:color w:val="000000"/>
                <w:szCs w:val="21"/>
                <w:lang w:val="en-US" w:eastAsia="zh-CN"/>
              </w:rPr>
              <w:t>3</w:t>
            </w:r>
          </w:p>
        </w:tc>
        <w:tc>
          <w:tcPr>
            <w:tcW w:w="720" w:type="dxa"/>
            <w:noWrap/>
            <w:vAlign w:val="center"/>
          </w:tcPr>
          <w:p>
            <w:pPr>
              <w:spacing w:line="340" w:lineRule="exact"/>
              <w:jc w:val="center"/>
              <w:rPr>
                <w:rFonts w:ascii="宋体" w:hAnsi="宋体"/>
                <w:color w:val="000000"/>
                <w:szCs w:val="21"/>
              </w:rPr>
            </w:pPr>
            <w:r>
              <w:rPr>
                <w:rFonts w:hint="eastAsia" w:ascii="宋体" w:hAnsi="宋体"/>
                <w:color w:val="000000"/>
                <w:szCs w:val="21"/>
              </w:rPr>
              <w:t>36</w:t>
            </w:r>
          </w:p>
        </w:tc>
        <w:tc>
          <w:tcPr>
            <w:tcW w:w="2120" w:type="dxa"/>
            <w:noWrap/>
            <w:vAlign w:val="center"/>
          </w:tcPr>
          <w:p>
            <w:pPr>
              <w:spacing w:line="320" w:lineRule="exact"/>
              <w:jc w:val="center"/>
              <w:rPr>
                <w:rFonts w:ascii="宋体" w:hAnsi="宋体"/>
                <w:color w:val="000000"/>
                <w:szCs w:val="21"/>
              </w:rPr>
            </w:pPr>
            <w:r>
              <w:rPr>
                <w:rFonts w:hint="eastAsia" w:ascii="宋体" w:hAnsi="宋体"/>
                <w:color w:val="000000"/>
                <w:szCs w:val="21"/>
              </w:rPr>
              <w:t>解释权</w:t>
            </w:r>
          </w:p>
        </w:tc>
        <w:tc>
          <w:tcPr>
            <w:tcW w:w="6860" w:type="dxa"/>
            <w:noWrap/>
            <w:vAlign w:val="center"/>
          </w:tcPr>
          <w:p>
            <w:pPr>
              <w:spacing w:line="320" w:lineRule="exact"/>
              <w:rPr>
                <w:rFonts w:ascii="宋体" w:hAnsi="宋体"/>
                <w:color w:val="000000"/>
                <w:szCs w:val="21"/>
              </w:rPr>
            </w:pPr>
            <w:r>
              <w:rPr>
                <w:rFonts w:hint="eastAsia" w:ascii="宋体" w:hAnsi="宋体"/>
                <w:color w:val="000000"/>
              </w:rPr>
              <w:t>本招标文件是根据《中华人民共和国政府采购法》、《中华人民共和国政府采购法实施条例》和政府采购管理有关规定编制，</w:t>
            </w:r>
            <w:r>
              <w:rPr>
                <w:rFonts w:hint="eastAsia" w:ascii="宋体" w:hAnsi="宋体"/>
                <w:color w:val="000000"/>
                <w:szCs w:val="21"/>
              </w:rPr>
              <w:t>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540" w:hRule="atLeast"/>
        </w:trPr>
        <w:tc>
          <w:tcPr>
            <w:tcW w:w="580" w:type="dxa"/>
            <w:noWrap/>
            <w:vAlign w:val="center"/>
          </w:tcPr>
          <w:p>
            <w:pPr>
              <w:spacing w:line="340" w:lineRule="exact"/>
              <w:jc w:val="center"/>
              <w:rPr>
                <w:rFonts w:hint="eastAsia" w:ascii="宋体" w:hAnsi="宋体" w:eastAsiaTheme="minorEastAsia"/>
                <w:color w:val="000000"/>
                <w:szCs w:val="21"/>
                <w:lang w:val="en-US" w:eastAsia="zh-CN"/>
              </w:rPr>
            </w:pPr>
            <w:r>
              <w:rPr>
                <w:rFonts w:hint="eastAsia" w:ascii="宋体" w:hAnsi="宋体"/>
                <w:color w:val="000000"/>
                <w:szCs w:val="21"/>
              </w:rPr>
              <w:t>2</w:t>
            </w:r>
            <w:r>
              <w:rPr>
                <w:rFonts w:hint="eastAsia" w:ascii="宋体" w:hAnsi="宋体"/>
                <w:color w:val="000000"/>
                <w:szCs w:val="21"/>
                <w:lang w:val="en-US" w:eastAsia="zh-CN"/>
              </w:rPr>
              <w:t>4</w:t>
            </w:r>
          </w:p>
        </w:tc>
        <w:tc>
          <w:tcPr>
            <w:tcW w:w="720" w:type="dxa"/>
            <w:noWrap/>
            <w:vAlign w:val="center"/>
          </w:tcPr>
          <w:p>
            <w:pPr>
              <w:spacing w:line="340" w:lineRule="exact"/>
              <w:jc w:val="center"/>
              <w:rPr>
                <w:rFonts w:ascii="宋体" w:hAnsi="宋体"/>
                <w:color w:val="000000"/>
                <w:szCs w:val="21"/>
              </w:rPr>
            </w:pPr>
            <w:r>
              <w:rPr>
                <w:rFonts w:hint="eastAsia" w:ascii="宋体" w:hAnsi="宋体"/>
                <w:color w:val="000000"/>
                <w:szCs w:val="21"/>
              </w:rPr>
              <w:t>37</w:t>
            </w:r>
          </w:p>
        </w:tc>
        <w:tc>
          <w:tcPr>
            <w:tcW w:w="2120" w:type="dxa"/>
            <w:noWrap/>
            <w:vAlign w:val="center"/>
          </w:tcPr>
          <w:p>
            <w:pPr>
              <w:spacing w:line="320" w:lineRule="exact"/>
              <w:jc w:val="center"/>
              <w:rPr>
                <w:rFonts w:ascii="宋体" w:hAnsi="宋体"/>
                <w:color w:val="000000"/>
                <w:position w:val="10"/>
                <w:szCs w:val="21"/>
              </w:rPr>
            </w:pPr>
            <w:r>
              <w:rPr>
                <w:rFonts w:hint="eastAsia" w:ascii="宋体" w:hAnsi="宋体"/>
                <w:color w:val="000000"/>
                <w:szCs w:val="21"/>
              </w:rPr>
              <w:t>监督管理部门</w:t>
            </w:r>
          </w:p>
        </w:tc>
        <w:tc>
          <w:tcPr>
            <w:tcW w:w="6860" w:type="dxa"/>
            <w:noWrap/>
            <w:vAlign w:val="center"/>
          </w:tcPr>
          <w:p>
            <w:pPr>
              <w:spacing w:line="320" w:lineRule="exact"/>
              <w:rPr>
                <w:rFonts w:ascii="宋体" w:hAnsi="宋体"/>
                <w:color w:val="000000"/>
                <w:szCs w:val="21"/>
              </w:rPr>
            </w:pPr>
            <w:r>
              <w:rPr>
                <w:rFonts w:hint="eastAsia" w:ascii="宋体" w:hAnsi="宋体"/>
                <w:color w:val="000000"/>
                <w:szCs w:val="21"/>
              </w:rPr>
              <w:t>灵川县政府采购管理办公室   电话：</w:t>
            </w:r>
            <w:r>
              <w:rPr>
                <w:rFonts w:ascii="宋体" w:hAnsi="宋体" w:eastAsia="宋体" w:cs="宋体"/>
                <w:sz w:val="24"/>
                <w:szCs w:val="24"/>
              </w:rPr>
              <w:t>0773-6812818。</w:t>
            </w:r>
          </w:p>
        </w:tc>
      </w:tr>
    </w:tbl>
    <w:p>
      <w:pPr>
        <w:pStyle w:val="4"/>
        <w:rPr>
          <w:rFonts w:ascii="宋体" w:hAnsi="宋体" w:eastAsia="宋体"/>
          <w:sz w:val="24"/>
          <w:szCs w:val="24"/>
        </w:rPr>
      </w:pPr>
    </w:p>
    <w:p>
      <w:pPr>
        <w:rPr>
          <w:rFonts w:ascii="宋体" w:hAnsi="宋体" w:eastAsia="宋体"/>
          <w:sz w:val="24"/>
          <w:szCs w:val="24"/>
        </w:rPr>
      </w:pPr>
    </w:p>
    <w:p>
      <w:pPr>
        <w:pStyle w:val="4"/>
        <w:rPr>
          <w:rFonts w:ascii="宋体" w:hAnsi="宋体" w:eastAsia="宋体"/>
          <w:sz w:val="24"/>
          <w:szCs w:val="24"/>
        </w:rPr>
      </w:pPr>
    </w:p>
    <w:p>
      <w:pPr>
        <w:rPr>
          <w:rFonts w:ascii="宋体" w:hAnsi="宋体" w:eastAsia="宋体"/>
          <w:sz w:val="24"/>
          <w:szCs w:val="24"/>
        </w:rPr>
      </w:pPr>
    </w:p>
    <w:p>
      <w:pPr>
        <w:pStyle w:val="4"/>
      </w:pPr>
    </w:p>
    <w:p/>
    <w:p>
      <w:pPr>
        <w:pStyle w:val="4"/>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20" w:lineRule="exact"/>
        <w:ind w:right="100"/>
        <w:jc w:val="both"/>
        <w:rPr>
          <w:rFonts w:ascii="宋体" w:hAnsi="宋体" w:eastAsia="宋体" w:cs="宋体"/>
          <w:b/>
          <w:bCs/>
          <w:sz w:val="24"/>
          <w:szCs w:val="24"/>
        </w:rPr>
      </w:pPr>
      <w:bookmarkStart w:id="43" w:name="page8"/>
      <w:bookmarkEnd w:id="43"/>
    </w:p>
    <w:p>
      <w:pPr>
        <w:pStyle w:val="2"/>
        <w:rPr>
          <w:rFonts w:ascii="宋体" w:hAnsi="宋体" w:eastAsia="宋体" w:cs="宋体"/>
          <w:b/>
          <w:bCs/>
          <w:sz w:val="24"/>
          <w:szCs w:val="24"/>
        </w:rPr>
      </w:pPr>
    </w:p>
    <w:p>
      <w:pPr>
        <w:pStyle w:val="2"/>
        <w:rPr>
          <w:rFonts w:ascii="宋体" w:hAnsi="宋体" w:eastAsia="宋体" w:cs="宋体"/>
          <w:b/>
          <w:bCs/>
          <w:sz w:val="24"/>
          <w:szCs w:val="24"/>
        </w:rPr>
      </w:pPr>
    </w:p>
    <w:p>
      <w:pPr>
        <w:pStyle w:val="2"/>
        <w:rPr>
          <w:rFonts w:ascii="宋体" w:hAnsi="宋体" w:eastAsia="宋体" w:cs="宋体"/>
          <w:b/>
          <w:bCs/>
          <w:sz w:val="24"/>
          <w:szCs w:val="24"/>
        </w:rPr>
      </w:pPr>
    </w:p>
    <w:p>
      <w:pPr>
        <w:pStyle w:val="2"/>
        <w:rPr>
          <w:rFonts w:ascii="宋体" w:hAnsi="宋体" w:eastAsia="宋体" w:cs="宋体"/>
          <w:b/>
          <w:bCs/>
          <w:sz w:val="24"/>
          <w:szCs w:val="24"/>
        </w:rPr>
      </w:pPr>
    </w:p>
    <w:p>
      <w:pPr>
        <w:spacing w:line="320" w:lineRule="exact"/>
        <w:ind w:right="100"/>
        <w:jc w:val="center"/>
        <w:rPr>
          <w:rFonts w:ascii="宋体" w:hAnsi="宋体" w:eastAsia="宋体"/>
          <w:sz w:val="24"/>
          <w:szCs w:val="24"/>
        </w:rPr>
      </w:pPr>
      <w:r>
        <w:rPr>
          <w:rFonts w:ascii="宋体" w:hAnsi="宋体" w:eastAsia="宋体" w:cs="宋体"/>
          <w:b/>
          <w:bCs/>
          <w:sz w:val="24"/>
          <w:szCs w:val="24"/>
        </w:rPr>
        <w:t>一、总则</w:t>
      </w:r>
    </w:p>
    <w:p>
      <w:pPr>
        <w:spacing w:line="110" w:lineRule="exact"/>
        <w:rPr>
          <w:rFonts w:ascii="宋体" w:hAnsi="宋体" w:eastAsia="宋体"/>
          <w:sz w:val="24"/>
          <w:szCs w:val="24"/>
        </w:rPr>
      </w:pPr>
    </w:p>
    <w:p>
      <w:pPr>
        <w:numPr>
          <w:ilvl w:val="0"/>
          <w:numId w:val="2"/>
        </w:numPr>
        <w:tabs>
          <w:tab w:val="left" w:pos="740"/>
        </w:tabs>
        <w:spacing w:line="240" w:lineRule="exact"/>
        <w:ind w:left="740" w:hanging="320"/>
        <w:rPr>
          <w:rFonts w:ascii="宋体" w:hAnsi="宋体" w:eastAsia="宋体" w:cs="宋体"/>
          <w:b/>
          <w:bCs/>
          <w:sz w:val="24"/>
          <w:szCs w:val="24"/>
        </w:rPr>
      </w:pPr>
      <w:r>
        <w:rPr>
          <w:rFonts w:ascii="宋体" w:hAnsi="宋体" w:eastAsia="宋体" w:cs="宋体"/>
          <w:b/>
          <w:bCs/>
          <w:sz w:val="24"/>
          <w:szCs w:val="24"/>
        </w:rPr>
        <w:t>适应范围</w:t>
      </w:r>
    </w:p>
    <w:p>
      <w:pPr>
        <w:spacing w:line="120" w:lineRule="exact"/>
        <w:rPr>
          <w:rFonts w:ascii="宋体" w:hAnsi="宋体" w:eastAsia="宋体"/>
          <w:sz w:val="24"/>
          <w:szCs w:val="24"/>
        </w:rPr>
      </w:pPr>
    </w:p>
    <w:p>
      <w:pPr>
        <w:tabs>
          <w:tab w:val="left" w:pos="940"/>
        </w:tabs>
        <w:spacing w:line="240" w:lineRule="exact"/>
        <w:ind w:left="440"/>
        <w:rPr>
          <w:rFonts w:ascii="宋体" w:hAnsi="宋体" w:eastAsia="宋体"/>
          <w:sz w:val="24"/>
          <w:szCs w:val="24"/>
        </w:rPr>
      </w:pPr>
      <w:r>
        <w:rPr>
          <w:rFonts w:ascii="宋体" w:hAnsi="宋体" w:eastAsia="宋体" w:cs="宋体"/>
          <w:sz w:val="24"/>
          <w:szCs w:val="24"/>
        </w:rPr>
        <w:t>1.1</w:t>
      </w:r>
      <w:r>
        <w:rPr>
          <w:rFonts w:ascii="宋体" w:hAnsi="宋体" w:eastAsia="宋体"/>
          <w:sz w:val="24"/>
          <w:szCs w:val="24"/>
        </w:rPr>
        <w:tab/>
      </w:r>
      <w:r>
        <w:rPr>
          <w:rFonts w:ascii="宋体" w:hAnsi="宋体" w:eastAsia="宋体" w:cs="宋体"/>
          <w:sz w:val="24"/>
          <w:szCs w:val="24"/>
        </w:rPr>
        <w:t>项目名称及项目编号</w:t>
      </w:r>
    </w:p>
    <w:p>
      <w:pPr>
        <w:spacing w:line="120" w:lineRule="exact"/>
        <w:rPr>
          <w:rFonts w:ascii="宋体" w:hAnsi="宋体" w:eastAsia="宋体"/>
          <w:sz w:val="24"/>
          <w:szCs w:val="24"/>
        </w:rPr>
      </w:pPr>
    </w:p>
    <w:p>
      <w:pPr>
        <w:spacing w:line="240" w:lineRule="exact"/>
        <w:ind w:left="960"/>
        <w:rPr>
          <w:rFonts w:ascii="宋体" w:hAnsi="宋体" w:eastAsia="宋体"/>
          <w:sz w:val="24"/>
          <w:szCs w:val="24"/>
        </w:rPr>
      </w:pPr>
      <w:r>
        <w:rPr>
          <w:rFonts w:ascii="宋体" w:hAnsi="宋体" w:eastAsia="宋体" w:cs="宋体"/>
          <w:sz w:val="24"/>
          <w:szCs w:val="24"/>
        </w:rPr>
        <w:t>项目名称：</w:t>
      </w:r>
      <w:r>
        <w:rPr>
          <w:rFonts w:hint="eastAsia" w:ascii="宋体" w:hAnsi="宋体" w:eastAsia="宋体" w:cs="宋体"/>
          <w:sz w:val="24"/>
          <w:szCs w:val="24"/>
        </w:rPr>
        <w:t>灵川县潭下镇人民政府雪亮工程项目</w:t>
      </w:r>
    </w:p>
    <w:p>
      <w:pPr>
        <w:spacing w:line="120" w:lineRule="exact"/>
        <w:rPr>
          <w:rFonts w:ascii="宋体" w:hAnsi="宋体" w:eastAsia="宋体"/>
          <w:sz w:val="24"/>
          <w:szCs w:val="24"/>
        </w:rPr>
      </w:pPr>
    </w:p>
    <w:p>
      <w:pPr>
        <w:spacing w:line="240" w:lineRule="exact"/>
        <w:ind w:left="960"/>
        <w:rPr>
          <w:rFonts w:ascii="宋体" w:hAnsi="宋体" w:eastAsia="宋体"/>
          <w:sz w:val="24"/>
          <w:szCs w:val="24"/>
        </w:rPr>
      </w:pPr>
      <w:r>
        <w:rPr>
          <w:rFonts w:ascii="宋体" w:hAnsi="宋体" w:eastAsia="宋体" w:cs="宋体"/>
          <w:sz w:val="24"/>
          <w:szCs w:val="24"/>
        </w:rPr>
        <w:t>项目编号：</w:t>
      </w:r>
      <w:r>
        <w:rPr>
          <w:rFonts w:hint="eastAsia" w:ascii="宋体" w:hAnsi="宋体" w:eastAsia="宋体" w:cs="宋体"/>
          <w:sz w:val="24"/>
          <w:szCs w:val="24"/>
        </w:rPr>
        <w:t>GLZC2020-C3-230051-GXBG</w:t>
      </w:r>
    </w:p>
    <w:p>
      <w:pPr>
        <w:spacing w:line="152" w:lineRule="exact"/>
        <w:rPr>
          <w:rFonts w:ascii="宋体" w:hAnsi="宋体" w:eastAsia="宋体"/>
          <w:sz w:val="24"/>
          <w:szCs w:val="24"/>
        </w:rPr>
      </w:pPr>
    </w:p>
    <w:p>
      <w:pPr>
        <w:spacing w:line="284" w:lineRule="exact"/>
        <w:ind w:right="100" w:firstLine="412"/>
        <w:rPr>
          <w:rFonts w:ascii="宋体" w:hAnsi="宋体" w:eastAsia="宋体"/>
          <w:sz w:val="24"/>
          <w:szCs w:val="24"/>
        </w:rPr>
      </w:pPr>
      <w:r>
        <w:rPr>
          <w:rFonts w:ascii="宋体" w:hAnsi="宋体" w:eastAsia="宋体" w:cs="宋体"/>
          <w:sz w:val="24"/>
          <w:szCs w:val="24"/>
        </w:rPr>
        <w:t>1.2 本竞争性磋商文件（以下简称磋商文件）适用于本磋商项目的磋商、评审、合同履约、验收、付款等行为（法律、法规另有规定的，从其规定）。</w:t>
      </w:r>
    </w:p>
    <w:p>
      <w:pPr>
        <w:spacing w:line="121" w:lineRule="exact"/>
        <w:rPr>
          <w:rFonts w:ascii="宋体" w:hAnsi="宋体" w:eastAsia="宋体"/>
          <w:sz w:val="24"/>
          <w:szCs w:val="24"/>
        </w:rPr>
      </w:pPr>
    </w:p>
    <w:p>
      <w:pPr>
        <w:numPr>
          <w:ilvl w:val="0"/>
          <w:numId w:val="3"/>
        </w:numPr>
        <w:tabs>
          <w:tab w:val="left" w:pos="760"/>
        </w:tabs>
        <w:spacing w:line="240" w:lineRule="exact"/>
        <w:ind w:left="760" w:hanging="318"/>
        <w:rPr>
          <w:rFonts w:ascii="宋体" w:hAnsi="宋体" w:eastAsia="宋体" w:cs="宋体"/>
          <w:b/>
          <w:bCs/>
          <w:sz w:val="24"/>
          <w:szCs w:val="24"/>
        </w:rPr>
      </w:pPr>
      <w:r>
        <w:rPr>
          <w:rFonts w:ascii="宋体" w:hAnsi="宋体" w:eastAsia="宋体" w:cs="宋体"/>
          <w:b/>
          <w:bCs/>
          <w:sz w:val="24"/>
          <w:szCs w:val="24"/>
        </w:rPr>
        <w:t>定义</w:t>
      </w:r>
    </w:p>
    <w:p>
      <w:pPr>
        <w:spacing w:line="152" w:lineRule="exact"/>
        <w:rPr>
          <w:rFonts w:ascii="宋体" w:hAnsi="宋体" w:eastAsia="宋体"/>
          <w:sz w:val="24"/>
          <w:szCs w:val="24"/>
        </w:rPr>
      </w:pPr>
    </w:p>
    <w:p>
      <w:pPr>
        <w:spacing w:line="284" w:lineRule="exact"/>
        <w:ind w:right="100" w:firstLine="436"/>
        <w:rPr>
          <w:rFonts w:ascii="宋体" w:hAnsi="宋体" w:eastAsia="宋体"/>
          <w:sz w:val="24"/>
          <w:szCs w:val="24"/>
        </w:rPr>
      </w:pPr>
      <w:r>
        <w:rPr>
          <w:rFonts w:ascii="宋体" w:hAnsi="宋体" w:eastAsia="宋体" w:cs="宋体"/>
          <w:sz w:val="24"/>
          <w:szCs w:val="24"/>
        </w:rPr>
        <w:t>2.1“供应商”是指符合本次采购项目的供应商资格并提交响应文件、参加磋商的供应商。如果该供应商在本次磋商中成交，即成为“成交供应商”。</w:t>
      </w:r>
    </w:p>
    <w:p>
      <w:pPr>
        <w:spacing w:line="153" w:lineRule="exact"/>
        <w:rPr>
          <w:rFonts w:ascii="宋体" w:hAnsi="宋体" w:eastAsia="宋体"/>
          <w:sz w:val="24"/>
          <w:szCs w:val="24"/>
        </w:rPr>
      </w:pPr>
    </w:p>
    <w:p>
      <w:pPr>
        <w:spacing w:line="284" w:lineRule="exact"/>
        <w:ind w:right="100" w:firstLine="436"/>
        <w:rPr>
          <w:rFonts w:ascii="宋体" w:hAnsi="宋体" w:eastAsia="宋体"/>
          <w:sz w:val="24"/>
          <w:szCs w:val="24"/>
        </w:rPr>
      </w:pPr>
      <w:r>
        <w:rPr>
          <w:rFonts w:ascii="宋体" w:hAnsi="宋体" w:eastAsia="宋体" w:cs="宋体"/>
          <w:sz w:val="24"/>
          <w:szCs w:val="24"/>
        </w:rPr>
        <w:t>2.2“货物”系指按磋商文件规定，供应商须向采购人提供的一切设备、保险、税金、备品备件、工具、手册及其它有关技术资料和材料。</w:t>
      </w:r>
    </w:p>
    <w:p>
      <w:pPr>
        <w:spacing w:line="153" w:lineRule="exact"/>
        <w:rPr>
          <w:rFonts w:ascii="宋体" w:hAnsi="宋体" w:eastAsia="宋体"/>
          <w:sz w:val="24"/>
          <w:szCs w:val="24"/>
        </w:rPr>
      </w:pPr>
    </w:p>
    <w:p>
      <w:pPr>
        <w:spacing w:line="284" w:lineRule="exact"/>
        <w:ind w:right="100" w:firstLine="436"/>
        <w:rPr>
          <w:rFonts w:ascii="宋体" w:hAnsi="宋体" w:eastAsia="宋体"/>
          <w:sz w:val="24"/>
          <w:szCs w:val="24"/>
        </w:rPr>
      </w:pPr>
      <w:r>
        <w:rPr>
          <w:rFonts w:ascii="宋体" w:hAnsi="宋体" w:eastAsia="宋体" w:cs="宋体"/>
          <w:sz w:val="24"/>
          <w:szCs w:val="24"/>
        </w:rPr>
        <w:t>2.3“服务”系指按磋商文件规定，供应商须承担的安装、调试、技术协助、校准、培训、技术指导以及其他类似的义务。</w:t>
      </w:r>
    </w:p>
    <w:p>
      <w:pPr>
        <w:spacing w:line="121"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2.4“项目”系指供应商按磋商文件规定向采购人提供的货物和服务。</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2.5“书面形式”包括信函、传真、电报等。</w:t>
      </w:r>
    </w:p>
    <w:p>
      <w:pPr>
        <w:spacing w:line="121" w:lineRule="exact"/>
        <w:rPr>
          <w:rFonts w:ascii="宋体" w:hAnsi="宋体" w:eastAsia="宋体"/>
          <w:sz w:val="24"/>
          <w:szCs w:val="24"/>
        </w:rPr>
      </w:pPr>
    </w:p>
    <w:p>
      <w:pPr>
        <w:numPr>
          <w:ilvl w:val="0"/>
          <w:numId w:val="4"/>
        </w:numPr>
        <w:tabs>
          <w:tab w:val="left" w:pos="760"/>
        </w:tabs>
        <w:spacing w:line="240" w:lineRule="exact"/>
        <w:ind w:left="760" w:hanging="318"/>
        <w:rPr>
          <w:rFonts w:ascii="宋体" w:hAnsi="宋体" w:eastAsia="宋体" w:cs="宋体"/>
          <w:b/>
          <w:bCs/>
          <w:sz w:val="24"/>
          <w:szCs w:val="24"/>
        </w:rPr>
      </w:pPr>
      <w:r>
        <w:rPr>
          <w:rFonts w:ascii="宋体" w:hAnsi="宋体" w:eastAsia="宋体" w:cs="宋体"/>
          <w:b/>
          <w:bCs/>
          <w:sz w:val="24"/>
          <w:szCs w:val="24"/>
        </w:rPr>
        <w:t>供应商资格</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见磋商供应商须知前附表第 2 条内容。</w:t>
      </w:r>
    </w:p>
    <w:p>
      <w:pPr>
        <w:spacing w:line="120" w:lineRule="exact"/>
        <w:rPr>
          <w:rFonts w:ascii="宋体" w:hAnsi="宋体" w:eastAsia="宋体"/>
          <w:sz w:val="24"/>
          <w:szCs w:val="24"/>
        </w:rPr>
      </w:pPr>
    </w:p>
    <w:p>
      <w:pPr>
        <w:numPr>
          <w:ilvl w:val="0"/>
          <w:numId w:val="5"/>
        </w:numPr>
        <w:tabs>
          <w:tab w:val="left" w:pos="760"/>
        </w:tabs>
        <w:spacing w:line="240" w:lineRule="exact"/>
        <w:ind w:left="760" w:hanging="318"/>
        <w:rPr>
          <w:rFonts w:ascii="宋体" w:hAnsi="宋体" w:eastAsia="宋体" w:cs="宋体"/>
          <w:b/>
          <w:bCs/>
          <w:sz w:val="24"/>
          <w:szCs w:val="24"/>
        </w:rPr>
      </w:pPr>
      <w:r>
        <w:rPr>
          <w:rFonts w:ascii="宋体" w:hAnsi="宋体" w:eastAsia="宋体" w:cs="宋体"/>
          <w:b/>
          <w:bCs/>
          <w:sz w:val="24"/>
          <w:szCs w:val="24"/>
        </w:rPr>
        <w:t>磋商费用</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不论磋商结果如何，供应商均应自行承担所有与磋商有关的全部费用。</w:t>
      </w:r>
    </w:p>
    <w:p>
      <w:pPr>
        <w:spacing w:line="120" w:lineRule="exact"/>
        <w:rPr>
          <w:rFonts w:ascii="宋体" w:hAnsi="宋体" w:eastAsia="宋体"/>
          <w:sz w:val="24"/>
          <w:szCs w:val="24"/>
        </w:rPr>
      </w:pPr>
    </w:p>
    <w:p>
      <w:pPr>
        <w:numPr>
          <w:ilvl w:val="0"/>
          <w:numId w:val="6"/>
        </w:numPr>
        <w:tabs>
          <w:tab w:val="left" w:pos="680"/>
        </w:tabs>
        <w:spacing w:line="240" w:lineRule="exact"/>
        <w:ind w:left="680" w:hanging="260"/>
        <w:rPr>
          <w:rFonts w:ascii="宋体" w:hAnsi="宋体" w:eastAsia="宋体" w:cs="宋体"/>
          <w:b/>
          <w:bCs/>
          <w:sz w:val="24"/>
          <w:szCs w:val="24"/>
        </w:rPr>
      </w:pPr>
      <w:r>
        <w:rPr>
          <w:rFonts w:ascii="宋体" w:hAnsi="宋体" w:eastAsia="宋体" w:cs="宋体"/>
          <w:b/>
          <w:bCs/>
          <w:sz w:val="24"/>
          <w:szCs w:val="24"/>
        </w:rPr>
        <w:t>联合体要求</w:t>
      </w:r>
    </w:p>
    <w:p>
      <w:pPr>
        <w:spacing w:line="120" w:lineRule="exact"/>
        <w:rPr>
          <w:rFonts w:ascii="宋体" w:hAnsi="宋体" w:eastAsia="宋体"/>
          <w:sz w:val="24"/>
          <w:szCs w:val="24"/>
        </w:rPr>
      </w:pPr>
    </w:p>
    <w:p>
      <w:pPr>
        <w:spacing w:line="240" w:lineRule="exact"/>
        <w:ind w:left="540"/>
        <w:rPr>
          <w:rFonts w:ascii="宋体" w:hAnsi="宋体" w:eastAsia="宋体"/>
          <w:sz w:val="24"/>
          <w:szCs w:val="24"/>
        </w:rPr>
      </w:pPr>
      <w:r>
        <w:rPr>
          <w:rFonts w:ascii="宋体" w:hAnsi="宋体" w:eastAsia="宋体" w:cs="宋体"/>
          <w:sz w:val="24"/>
          <w:szCs w:val="24"/>
        </w:rPr>
        <w:t>本项目不接受联合体磋商。</w:t>
      </w:r>
    </w:p>
    <w:p>
      <w:pPr>
        <w:spacing w:line="120" w:lineRule="exact"/>
        <w:rPr>
          <w:rFonts w:ascii="宋体" w:hAnsi="宋体" w:eastAsia="宋体"/>
          <w:sz w:val="24"/>
          <w:szCs w:val="24"/>
        </w:rPr>
      </w:pPr>
    </w:p>
    <w:p>
      <w:pPr>
        <w:numPr>
          <w:ilvl w:val="0"/>
          <w:numId w:val="7"/>
        </w:numPr>
        <w:tabs>
          <w:tab w:val="left" w:pos="740"/>
        </w:tabs>
        <w:spacing w:line="240" w:lineRule="exact"/>
        <w:ind w:left="740" w:hanging="320"/>
        <w:rPr>
          <w:rFonts w:ascii="宋体" w:hAnsi="宋体" w:eastAsia="宋体" w:cs="宋体"/>
          <w:b/>
          <w:bCs/>
          <w:sz w:val="24"/>
          <w:szCs w:val="24"/>
        </w:rPr>
      </w:pPr>
      <w:r>
        <w:rPr>
          <w:rFonts w:ascii="宋体" w:hAnsi="宋体" w:eastAsia="宋体" w:cs="宋体"/>
          <w:b/>
          <w:bCs/>
          <w:sz w:val="24"/>
          <w:szCs w:val="24"/>
        </w:rPr>
        <w:t>质疑和投诉</w:t>
      </w:r>
    </w:p>
    <w:p>
      <w:pPr>
        <w:spacing w:line="120" w:lineRule="exact"/>
        <w:rPr>
          <w:rFonts w:ascii="宋体" w:hAnsi="宋体" w:eastAsia="宋体"/>
          <w:sz w:val="24"/>
          <w:szCs w:val="24"/>
        </w:rPr>
      </w:pPr>
    </w:p>
    <w:p>
      <w:pPr>
        <w:spacing w:line="143" w:lineRule="exact"/>
        <w:rPr>
          <w:rFonts w:ascii="宋体" w:hAnsi="宋体" w:eastAsia="宋体"/>
          <w:sz w:val="24"/>
          <w:szCs w:val="24"/>
        </w:rPr>
      </w:pPr>
    </w:p>
    <w:p>
      <w:pPr>
        <w:spacing w:line="307" w:lineRule="exact"/>
        <w:ind w:firstLine="434"/>
        <w:jc w:val="both"/>
        <w:rPr>
          <w:rFonts w:ascii="宋体" w:hAnsi="宋体" w:eastAsia="宋体"/>
          <w:sz w:val="24"/>
          <w:szCs w:val="24"/>
        </w:rPr>
      </w:pPr>
      <w:r>
        <w:rPr>
          <w:rFonts w:ascii="宋体" w:hAnsi="宋体" w:eastAsia="宋体" w:cs="宋体"/>
          <w:sz w:val="24"/>
          <w:szCs w:val="24"/>
        </w:rPr>
        <w:t>6.1 供应商认为磋商文件使自己的合法权益受到损害的，应当在公告期限届满之日起 7 个工作日内，以书面形式向采购代理机构提出质疑。供应商认为采购过程或成交结果使自己的合法权益受到损害的，应当在各采购程序环节结束之日或成交公告期限届满之日起七个工作日内，以书面形式采购代理机构提出质疑。采购代理机构应认真做好质疑处理工作。</w:t>
      </w:r>
    </w:p>
    <w:p>
      <w:pPr>
        <w:spacing w:line="133" w:lineRule="exact"/>
        <w:rPr>
          <w:rFonts w:ascii="宋体" w:hAnsi="宋体" w:eastAsia="宋体"/>
          <w:sz w:val="24"/>
          <w:szCs w:val="24"/>
        </w:rPr>
      </w:pPr>
    </w:p>
    <w:p>
      <w:pPr>
        <w:spacing w:line="275" w:lineRule="exact"/>
        <w:ind w:firstLine="434"/>
        <w:jc w:val="both"/>
        <w:rPr>
          <w:rFonts w:ascii="宋体" w:hAnsi="宋体" w:eastAsia="宋体"/>
          <w:sz w:val="24"/>
          <w:szCs w:val="24"/>
        </w:rPr>
      </w:pPr>
      <w:r>
        <w:rPr>
          <w:rFonts w:ascii="宋体" w:hAnsi="宋体" w:eastAsia="宋体" w:cs="宋体"/>
          <w:sz w:val="24"/>
          <w:szCs w:val="24"/>
        </w:rPr>
        <w:t>6.2 供应商对采购代理机构的质疑答复不满意或者采购代理机构未在规定的时间内作出答复的，可以在答复期满后十五个工作日内向灵川县政府采购管理办公室投诉。</w:t>
      </w:r>
    </w:p>
    <w:p>
      <w:pPr>
        <w:spacing w:line="253" w:lineRule="exact"/>
        <w:rPr>
          <w:rFonts w:ascii="宋体" w:hAnsi="宋体" w:eastAsia="宋体"/>
          <w:sz w:val="24"/>
          <w:szCs w:val="24"/>
        </w:rPr>
      </w:pPr>
    </w:p>
    <w:p>
      <w:pPr>
        <w:spacing w:line="296" w:lineRule="exact"/>
        <w:ind w:firstLine="199"/>
        <w:rPr>
          <w:rFonts w:ascii="宋体" w:hAnsi="宋体" w:eastAsia="宋体"/>
          <w:sz w:val="24"/>
          <w:szCs w:val="24"/>
        </w:rPr>
      </w:pPr>
      <w:r>
        <w:rPr>
          <w:rFonts w:ascii="宋体" w:hAnsi="宋体" w:eastAsia="宋体" w:cs="宋体"/>
          <w:sz w:val="24"/>
          <w:szCs w:val="24"/>
        </w:rPr>
        <w:t>6.3 质疑、投诉应当采用书面形式(</w:t>
      </w:r>
      <w:r>
        <w:rPr>
          <w:rFonts w:ascii="宋体" w:hAnsi="宋体" w:eastAsia="宋体" w:cs="宋体"/>
          <w:b/>
          <w:bCs/>
          <w:sz w:val="24"/>
          <w:szCs w:val="24"/>
        </w:rPr>
        <w:t>质疑与投诉模板在中国政府采购网上下载</w:t>
      </w:r>
      <w:r>
        <w:rPr>
          <w:rFonts w:ascii="宋体" w:hAnsi="宋体" w:eastAsia="宋体" w:cs="宋体"/>
          <w:sz w:val="24"/>
          <w:szCs w:val="24"/>
        </w:rPr>
        <w:t>),质疑书、投诉书实行实名制，均应明确阐述磋商文件、磋商过程或成交结果中使自己合法权益受到损害的实质性内容，并提供必要的证明材料。</w:t>
      </w:r>
    </w:p>
    <w:p>
      <w:pPr>
        <w:spacing w:line="122" w:lineRule="exact"/>
        <w:rPr>
          <w:rFonts w:ascii="宋体" w:hAnsi="宋体" w:eastAsia="宋体"/>
          <w:sz w:val="24"/>
          <w:szCs w:val="24"/>
        </w:rPr>
      </w:pPr>
    </w:p>
    <w:p>
      <w:pPr>
        <w:numPr>
          <w:ilvl w:val="0"/>
          <w:numId w:val="8"/>
        </w:numPr>
        <w:tabs>
          <w:tab w:val="left" w:pos="760"/>
        </w:tabs>
        <w:spacing w:line="240" w:lineRule="exact"/>
        <w:ind w:left="760" w:hanging="318"/>
        <w:rPr>
          <w:rFonts w:ascii="宋体" w:hAnsi="宋体" w:eastAsia="宋体" w:cs="宋体"/>
          <w:b/>
          <w:bCs/>
          <w:sz w:val="24"/>
          <w:szCs w:val="24"/>
        </w:rPr>
      </w:pPr>
      <w:r>
        <w:rPr>
          <w:rFonts w:ascii="宋体" w:hAnsi="宋体" w:eastAsia="宋体" w:cs="宋体"/>
          <w:b/>
          <w:bCs/>
          <w:sz w:val="24"/>
          <w:szCs w:val="24"/>
        </w:rPr>
        <w:t>转包与分包</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7.1 本项目不允许转包。</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7.2 本项目不可以分包。</w:t>
      </w:r>
    </w:p>
    <w:p>
      <w:pPr>
        <w:spacing w:line="121" w:lineRule="exact"/>
        <w:rPr>
          <w:rFonts w:ascii="宋体" w:hAnsi="宋体" w:eastAsia="宋体"/>
          <w:sz w:val="24"/>
          <w:szCs w:val="24"/>
        </w:rPr>
      </w:pPr>
    </w:p>
    <w:p>
      <w:pPr>
        <w:numPr>
          <w:ilvl w:val="0"/>
          <w:numId w:val="9"/>
        </w:numPr>
        <w:tabs>
          <w:tab w:val="left" w:pos="760"/>
        </w:tabs>
        <w:spacing w:line="240" w:lineRule="exact"/>
        <w:ind w:left="760" w:hanging="318"/>
        <w:rPr>
          <w:rFonts w:ascii="宋体" w:hAnsi="宋体" w:eastAsia="宋体" w:cs="宋体"/>
          <w:b/>
          <w:bCs/>
          <w:sz w:val="24"/>
          <w:szCs w:val="24"/>
        </w:rPr>
      </w:pPr>
      <w:r>
        <w:rPr>
          <w:rFonts w:ascii="宋体" w:hAnsi="宋体" w:eastAsia="宋体" w:cs="宋体"/>
          <w:b/>
          <w:bCs/>
          <w:sz w:val="24"/>
          <w:szCs w:val="24"/>
        </w:rPr>
        <w:t>特别说明</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8.1 关联供应商不得参加同一合同项下政府采购活动，否则响应文件将被视为无效：</w:t>
      </w:r>
    </w:p>
    <w:p>
      <w:pPr>
        <w:spacing w:line="284" w:lineRule="exact"/>
        <w:ind w:firstLine="480" w:firstLineChars="200"/>
        <w:jc w:val="both"/>
        <w:rPr>
          <w:rFonts w:ascii="宋体" w:hAnsi="宋体" w:eastAsia="宋体"/>
          <w:sz w:val="24"/>
          <w:szCs w:val="24"/>
        </w:rPr>
      </w:pPr>
      <w:bookmarkStart w:id="44" w:name="page9"/>
      <w:bookmarkEnd w:id="44"/>
      <w:r>
        <w:rPr>
          <w:rFonts w:ascii="宋体" w:hAnsi="宋体" w:eastAsia="宋体" w:cs="宋体"/>
          <w:sz w:val="24"/>
          <w:szCs w:val="24"/>
        </w:rPr>
        <w:t>8.1.1 单位负责人为同一人或者存在直接控股、管理关系的不同供应商，不得参加同一合同项下的政府采购活动。</w:t>
      </w:r>
    </w:p>
    <w:p>
      <w:pPr>
        <w:spacing w:line="153" w:lineRule="exact"/>
        <w:rPr>
          <w:rFonts w:ascii="宋体" w:hAnsi="宋体" w:eastAsia="宋体"/>
          <w:sz w:val="24"/>
          <w:szCs w:val="24"/>
        </w:rPr>
      </w:pPr>
    </w:p>
    <w:p>
      <w:pPr>
        <w:spacing w:line="284" w:lineRule="exact"/>
        <w:ind w:firstLine="436"/>
        <w:jc w:val="both"/>
        <w:rPr>
          <w:rFonts w:ascii="宋体" w:hAnsi="宋体" w:eastAsia="宋体"/>
          <w:sz w:val="24"/>
          <w:szCs w:val="24"/>
        </w:rPr>
      </w:pPr>
      <w:r>
        <w:rPr>
          <w:rFonts w:ascii="宋体" w:hAnsi="宋体" w:eastAsia="宋体" w:cs="宋体"/>
          <w:sz w:val="24"/>
          <w:szCs w:val="24"/>
        </w:rPr>
        <w:t>8.1.2 除单一来源采购项目外，为本采购项目提供整体设计、规范编制或者项目管理、监理、检测等服务的供应商，不得再参加本次采购活动。</w:t>
      </w:r>
    </w:p>
    <w:p>
      <w:pPr>
        <w:spacing w:line="153" w:lineRule="exact"/>
        <w:rPr>
          <w:rFonts w:ascii="宋体" w:hAnsi="宋体" w:eastAsia="宋体"/>
          <w:sz w:val="24"/>
          <w:szCs w:val="24"/>
        </w:rPr>
      </w:pPr>
    </w:p>
    <w:p>
      <w:pPr>
        <w:spacing w:line="284" w:lineRule="exact"/>
        <w:ind w:firstLine="436"/>
        <w:jc w:val="both"/>
        <w:rPr>
          <w:rFonts w:ascii="宋体" w:hAnsi="宋体" w:eastAsia="宋体"/>
          <w:sz w:val="24"/>
          <w:szCs w:val="24"/>
        </w:rPr>
      </w:pPr>
      <w:r>
        <w:rPr>
          <w:rFonts w:ascii="宋体" w:hAnsi="宋体" w:eastAsia="宋体" w:cs="宋体"/>
          <w:sz w:val="24"/>
          <w:szCs w:val="24"/>
        </w:rPr>
        <w:t>8.2 供应商磋商所使用的资格、信誉、荣誉、业绩与企业认证必须为本法人所拥有，供应商磋商所使用的采购项目实施人员必须为磋商供应商员工。</w:t>
      </w:r>
    </w:p>
    <w:p>
      <w:pPr>
        <w:spacing w:line="153" w:lineRule="exact"/>
        <w:rPr>
          <w:rFonts w:ascii="宋体" w:hAnsi="宋体" w:eastAsia="宋体"/>
          <w:sz w:val="24"/>
          <w:szCs w:val="24"/>
        </w:rPr>
      </w:pPr>
    </w:p>
    <w:p>
      <w:pPr>
        <w:spacing w:line="284" w:lineRule="exact"/>
        <w:ind w:firstLine="436"/>
        <w:jc w:val="both"/>
        <w:rPr>
          <w:rFonts w:ascii="宋体" w:hAnsi="宋体" w:eastAsia="宋体"/>
          <w:sz w:val="24"/>
          <w:szCs w:val="24"/>
        </w:rPr>
      </w:pPr>
      <w:r>
        <w:rPr>
          <w:rFonts w:ascii="宋体" w:hAnsi="宋体" w:eastAsia="宋体" w:cs="宋体"/>
          <w:sz w:val="24"/>
          <w:szCs w:val="24"/>
        </w:rPr>
        <w:t>8.3 供应商应仔细阅读磋商文件的所有内容，按照磋商文件的要求提交响应文件，并对所提供的全部资料的真实性承担法律责任。</w:t>
      </w:r>
    </w:p>
    <w:p>
      <w:pPr>
        <w:spacing w:line="153" w:lineRule="exact"/>
        <w:rPr>
          <w:rFonts w:ascii="宋体" w:hAnsi="宋体" w:eastAsia="宋体"/>
          <w:sz w:val="24"/>
          <w:szCs w:val="24"/>
        </w:rPr>
      </w:pPr>
    </w:p>
    <w:p>
      <w:pPr>
        <w:spacing w:line="309" w:lineRule="exact"/>
        <w:ind w:firstLine="436"/>
        <w:jc w:val="both"/>
        <w:rPr>
          <w:rFonts w:ascii="宋体" w:hAnsi="宋体" w:eastAsia="宋体"/>
          <w:sz w:val="24"/>
          <w:szCs w:val="24"/>
        </w:rPr>
      </w:pPr>
      <w:r>
        <w:rPr>
          <w:rFonts w:ascii="宋体" w:hAnsi="宋体" w:eastAsia="宋体" w:cs="宋体"/>
          <w:sz w:val="24"/>
          <w:szCs w:val="24"/>
        </w:rPr>
        <w:t>8.4 供应商在磋商活动中提供任何虚假材料，其磋商无效，并报监管部门查处；成交后发现的，成交人须依照《中华人民共和国消费者权益保护法》赔偿采购人，且民事赔偿并不免除违法供应商的行政与刑事责任。</w:t>
      </w:r>
    </w:p>
    <w:p>
      <w:pPr>
        <w:spacing w:line="200" w:lineRule="exact"/>
        <w:rPr>
          <w:rFonts w:ascii="宋体" w:hAnsi="宋体" w:eastAsia="宋体"/>
          <w:sz w:val="24"/>
          <w:szCs w:val="24"/>
        </w:rPr>
      </w:pPr>
    </w:p>
    <w:p>
      <w:pPr>
        <w:spacing w:line="213" w:lineRule="exact"/>
        <w:rPr>
          <w:rFonts w:ascii="宋体" w:hAnsi="宋体" w:eastAsia="宋体"/>
          <w:sz w:val="24"/>
          <w:szCs w:val="24"/>
        </w:rPr>
      </w:pPr>
    </w:p>
    <w:p>
      <w:pPr>
        <w:spacing w:line="320" w:lineRule="exact"/>
        <w:ind w:left="4080"/>
        <w:rPr>
          <w:rFonts w:ascii="宋体" w:hAnsi="宋体" w:eastAsia="宋体"/>
          <w:sz w:val="24"/>
          <w:szCs w:val="24"/>
        </w:rPr>
      </w:pPr>
      <w:r>
        <w:rPr>
          <w:rFonts w:ascii="宋体" w:hAnsi="宋体" w:eastAsia="宋体" w:cs="宋体"/>
          <w:b/>
          <w:bCs/>
          <w:sz w:val="24"/>
          <w:szCs w:val="24"/>
        </w:rPr>
        <w:t>二、磋商文件</w:t>
      </w:r>
    </w:p>
    <w:p>
      <w:pPr>
        <w:spacing w:line="110" w:lineRule="exact"/>
        <w:rPr>
          <w:rFonts w:ascii="宋体" w:hAnsi="宋体" w:eastAsia="宋体"/>
          <w:sz w:val="24"/>
          <w:szCs w:val="24"/>
        </w:rPr>
      </w:pPr>
    </w:p>
    <w:p>
      <w:pPr>
        <w:numPr>
          <w:ilvl w:val="0"/>
          <w:numId w:val="10"/>
        </w:numPr>
        <w:tabs>
          <w:tab w:val="left" w:pos="760"/>
        </w:tabs>
        <w:spacing w:line="240" w:lineRule="exact"/>
        <w:ind w:left="760" w:hanging="316"/>
        <w:rPr>
          <w:rFonts w:ascii="宋体" w:hAnsi="宋体" w:eastAsia="宋体" w:cs="宋体"/>
          <w:b/>
          <w:bCs/>
          <w:sz w:val="24"/>
          <w:szCs w:val="24"/>
        </w:rPr>
      </w:pPr>
      <w:r>
        <w:rPr>
          <w:rFonts w:ascii="宋体" w:hAnsi="宋体" w:eastAsia="宋体" w:cs="宋体"/>
          <w:b/>
          <w:bCs/>
          <w:sz w:val="24"/>
          <w:szCs w:val="24"/>
        </w:rPr>
        <w:t>磋商文件的构成</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（1）竞争性磋商公告；</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（2）供应商须知；</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（3）采购需求；</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（4）评审办法；</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（5）采购合同（合同主要条款及格式）；</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（6）响应文件格式。</w:t>
      </w:r>
    </w:p>
    <w:p>
      <w:pPr>
        <w:spacing w:line="121" w:lineRule="exact"/>
        <w:rPr>
          <w:rFonts w:ascii="宋体" w:hAnsi="宋体" w:eastAsia="宋体"/>
          <w:sz w:val="24"/>
          <w:szCs w:val="24"/>
        </w:rPr>
      </w:pPr>
    </w:p>
    <w:p>
      <w:pPr>
        <w:numPr>
          <w:ilvl w:val="0"/>
          <w:numId w:val="11"/>
        </w:numPr>
        <w:tabs>
          <w:tab w:val="left" w:pos="860"/>
        </w:tabs>
        <w:spacing w:line="240" w:lineRule="exact"/>
        <w:ind w:left="860" w:hanging="416"/>
        <w:rPr>
          <w:rFonts w:ascii="宋体" w:hAnsi="宋体" w:eastAsia="宋体" w:cs="宋体"/>
          <w:b/>
          <w:bCs/>
          <w:sz w:val="24"/>
          <w:szCs w:val="24"/>
        </w:rPr>
      </w:pPr>
      <w:r>
        <w:rPr>
          <w:rFonts w:ascii="宋体" w:hAnsi="宋体" w:eastAsia="宋体" w:cs="宋体"/>
          <w:b/>
          <w:bCs/>
          <w:sz w:val="24"/>
          <w:szCs w:val="24"/>
        </w:rPr>
        <w:t>磋商文件的澄清与修改</w:t>
      </w:r>
    </w:p>
    <w:p>
      <w:pPr>
        <w:spacing w:line="152" w:lineRule="exact"/>
        <w:rPr>
          <w:rFonts w:ascii="宋体" w:hAnsi="宋体" w:eastAsia="宋体"/>
          <w:sz w:val="24"/>
          <w:szCs w:val="24"/>
        </w:rPr>
      </w:pPr>
    </w:p>
    <w:p>
      <w:pPr>
        <w:spacing w:line="284" w:lineRule="exact"/>
        <w:ind w:firstLine="437"/>
        <w:jc w:val="both"/>
        <w:rPr>
          <w:rFonts w:ascii="宋体" w:hAnsi="宋体" w:eastAsia="宋体"/>
          <w:sz w:val="24"/>
          <w:szCs w:val="24"/>
        </w:rPr>
      </w:pPr>
      <w:r>
        <w:rPr>
          <w:rFonts w:ascii="宋体" w:hAnsi="宋体" w:eastAsia="宋体" w:cs="宋体"/>
          <w:sz w:val="24"/>
          <w:szCs w:val="24"/>
        </w:rPr>
        <w:t>10.1 供应商应认真阅读磋商文件，发现其中有误或有不合理要求的，应在磋商截止日期 5 日前以书面形式要求采购代理机构澄清。</w:t>
      </w:r>
    </w:p>
    <w:p>
      <w:pPr>
        <w:spacing w:line="153" w:lineRule="exact"/>
        <w:rPr>
          <w:rFonts w:ascii="宋体" w:hAnsi="宋体" w:eastAsia="宋体"/>
          <w:sz w:val="24"/>
          <w:szCs w:val="24"/>
        </w:rPr>
      </w:pPr>
    </w:p>
    <w:p>
      <w:pPr>
        <w:spacing w:line="322" w:lineRule="exact"/>
        <w:ind w:firstLine="437"/>
        <w:jc w:val="both"/>
        <w:rPr>
          <w:rFonts w:ascii="宋体" w:hAnsi="宋体" w:eastAsia="宋体"/>
          <w:sz w:val="24"/>
          <w:szCs w:val="24"/>
        </w:rPr>
      </w:pPr>
      <w:r>
        <w:rPr>
          <w:rFonts w:ascii="宋体" w:hAnsi="宋体" w:eastAsia="宋体" w:cs="宋体"/>
          <w:sz w:val="24"/>
          <w:szCs w:val="24"/>
        </w:rPr>
        <w:t>10.2 提交首次响应文件截止之日前，采购代理机构可以对已发出的磋商文件进行必要澄清或者修改，澄清或者修改的内容可能影响响应文件编制的，采购代理机构应当在提交首次响应文件递交截止时间 5 日前在本项目竞争性磋商公告发布的同一媒体上发布更正公告，不足 5 日的，应当顺延首次响应文件递交截止时间。</w:t>
      </w:r>
    </w:p>
    <w:p>
      <w:pPr>
        <w:spacing w:line="154" w:lineRule="exact"/>
        <w:rPr>
          <w:rFonts w:ascii="宋体" w:hAnsi="宋体" w:eastAsia="宋体"/>
          <w:sz w:val="24"/>
          <w:szCs w:val="24"/>
        </w:rPr>
      </w:pPr>
    </w:p>
    <w:p>
      <w:pPr>
        <w:spacing w:line="309" w:lineRule="exact"/>
        <w:ind w:firstLine="437"/>
        <w:jc w:val="both"/>
        <w:rPr>
          <w:rFonts w:ascii="宋体" w:hAnsi="宋体" w:eastAsia="宋体"/>
          <w:sz w:val="24"/>
          <w:szCs w:val="24"/>
        </w:rPr>
      </w:pPr>
      <w:r>
        <w:rPr>
          <w:rFonts w:ascii="宋体" w:hAnsi="宋体" w:eastAsia="宋体" w:cs="宋体"/>
          <w:sz w:val="24"/>
          <w:szCs w:val="24"/>
        </w:rPr>
        <w:t>10.3 供应商获得竞争性磋商文件后应实时关注相关网站了解澄清、修改等与项目有关的内容，如因供应商未及时登录相关网站了解澄清、修改等与项目有关的内容，从而导致磋商无效的，由供应商自行承担责任。</w:t>
      </w:r>
    </w:p>
    <w:p>
      <w:pPr>
        <w:spacing w:line="155" w:lineRule="exact"/>
        <w:rPr>
          <w:rFonts w:ascii="宋体" w:hAnsi="宋体" w:eastAsia="宋体"/>
          <w:sz w:val="24"/>
          <w:szCs w:val="24"/>
        </w:rPr>
      </w:pPr>
    </w:p>
    <w:p>
      <w:pPr>
        <w:spacing w:line="284" w:lineRule="exact"/>
        <w:ind w:firstLine="437"/>
        <w:jc w:val="both"/>
        <w:rPr>
          <w:rFonts w:ascii="宋体" w:hAnsi="宋体" w:eastAsia="宋体"/>
          <w:sz w:val="24"/>
          <w:szCs w:val="24"/>
        </w:rPr>
      </w:pPr>
      <w:r>
        <w:rPr>
          <w:rFonts w:ascii="宋体" w:hAnsi="宋体" w:eastAsia="宋体" w:cs="宋体"/>
          <w:sz w:val="24"/>
          <w:szCs w:val="24"/>
        </w:rPr>
        <w:t>10.4 澄清或者修改的内容为磋商文件的组成部分。当澄清或者修改通知就同一内容的表述不一致时，以最后发出的文件为准。</w:t>
      </w:r>
    </w:p>
    <w:p>
      <w:pPr>
        <w:spacing w:line="153" w:lineRule="exact"/>
        <w:rPr>
          <w:rFonts w:ascii="宋体" w:hAnsi="宋体" w:eastAsia="宋体"/>
          <w:sz w:val="24"/>
          <w:szCs w:val="24"/>
        </w:rPr>
      </w:pPr>
    </w:p>
    <w:p>
      <w:pPr>
        <w:spacing w:line="284" w:lineRule="exact"/>
        <w:ind w:firstLine="437"/>
        <w:jc w:val="both"/>
        <w:rPr>
          <w:rFonts w:ascii="宋体" w:hAnsi="宋体" w:eastAsia="宋体"/>
          <w:sz w:val="24"/>
          <w:szCs w:val="24"/>
        </w:rPr>
      </w:pPr>
      <w:r>
        <w:rPr>
          <w:rFonts w:ascii="宋体" w:hAnsi="宋体" w:eastAsia="宋体" w:cs="宋体"/>
          <w:sz w:val="24"/>
          <w:szCs w:val="24"/>
        </w:rPr>
        <w:t>10.5 磋商文件的澄清或者修改都应该通过本项目采购代理机构以法定形式发布，采购人非通过本机构，不得擅自澄清或者修改磋商文件。</w:t>
      </w:r>
    </w:p>
    <w:p>
      <w:pPr>
        <w:spacing w:line="153" w:lineRule="exact"/>
        <w:rPr>
          <w:rFonts w:ascii="宋体" w:hAnsi="宋体" w:eastAsia="宋体"/>
          <w:sz w:val="24"/>
          <w:szCs w:val="24"/>
        </w:rPr>
      </w:pPr>
    </w:p>
    <w:p>
      <w:pPr>
        <w:spacing w:line="284" w:lineRule="exact"/>
        <w:ind w:firstLine="420"/>
        <w:jc w:val="both"/>
        <w:rPr>
          <w:rFonts w:ascii="宋体" w:hAnsi="宋体" w:eastAsia="宋体"/>
          <w:sz w:val="24"/>
          <w:szCs w:val="24"/>
        </w:rPr>
      </w:pPr>
      <w:r>
        <w:rPr>
          <w:rFonts w:ascii="宋体" w:hAnsi="宋体" w:eastAsia="宋体" w:cs="宋体"/>
          <w:sz w:val="24"/>
          <w:szCs w:val="24"/>
        </w:rPr>
        <w:t>10.6 采购代理机构可以视采购具体情况，延长首次响应文件递交截止时间和磋商时间，并将变更时间通知所有获取磋商文件收受人，在本项目竞争性磋商公告发布的同一媒体上发布变更公告。</w:t>
      </w:r>
    </w:p>
    <w:p>
      <w:pPr>
        <w:spacing w:line="200" w:lineRule="exact"/>
        <w:rPr>
          <w:rFonts w:ascii="宋体" w:hAnsi="宋体" w:eastAsia="宋体"/>
          <w:sz w:val="24"/>
          <w:szCs w:val="24"/>
        </w:rPr>
      </w:pPr>
    </w:p>
    <w:p>
      <w:pPr>
        <w:spacing w:line="212" w:lineRule="exact"/>
        <w:rPr>
          <w:rFonts w:ascii="宋体" w:hAnsi="宋体" w:eastAsia="宋体"/>
          <w:sz w:val="24"/>
          <w:szCs w:val="24"/>
        </w:rPr>
      </w:pPr>
    </w:p>
    <w:p>
      <w:pPr>
        <w:pStyle w:val="4"/>
      </w:pPr>
    </w:p>
    <w:p>
      <w:pPr>
        <w:spacing w:line="320" w:lineRule="exact"/>
        <w:rPr>
          <w:rFonts w:ascii="宋体" w:hAnsi="宋体" w:eastAsia="宋体" w:cs="宋体"/>
          <w:b/>
          <w:bCs/>
          <w:sz w:val="24"/>
          <w:szCs w:val="24"/>
        </w:rPr>
      </w:pPr>
    </w:p>
    <w:p>
      <w:pPr>
        <w:pStyle w:val="2"/>
      </w:pPr>
    </w:p>
    <w:p>
      <w:pPr>
        <w:spacing w:line="320" w:lineRule="exact"/>
        <w:ind w:left="2960"/>
        <w:rPr>
          <w:rFonts w:ascii="宋体" w:hAnsi="宋体" w:eastAsia="宋体"/>
          <w:sz w:val="24"/>
          <w:szCs w:val="24"/>
        </w:rPr>
      </w:pPr>
      <w:r>
        <w:rPr>
          <w:rFonts w:ascii="宋体" w:hAnsi="宋体" w:eastAsia="宋体" w:cs="宋体"/>
          <w:b/>
          <w:bCs/>
          <w:sz w:val="24"/>
          <w:szCs w:val="24"/>
        </w:rPr>
        <w:t>三、竞争性磋商响应文件的编制</w:t>
      </w:r>
    </w:p>
    <w:p>
      <w:pPr>
        <w:spacing w:line="11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b/>
          <w:bCs/>
          <w:sz w:val="24"/>
          <w:szCs w:val="24"/>
        </w:rPr>
        <w:t>11.竞争性磋商响应文件（以下简称响应文件）的组成及要求</w:t>
      </w:r>
    </w:p>
    <w:p>
      <w:pPr>
        <w:spacing w:line="240" w:lineRule="exact"/>
        <w:rPr>
          <w:rFonts w:ascii="宋体" w:hAnsi="宋体" w:eastAsia="宋体"/>
          <w:sz w:val="24"/>
          <w:szCs w:val="24"/>
        </w:rPr>
      </w:pPr>
      <w:bookmarkStart w:id="45" w:name="page10"/>
      <w:bookmarkEnd w:id="45"/>
      <w:r>
        <w:rPr>
          <w:rFonts w:ascii="宋体" w:hAnsi="宋体" w:eastAsia="宋体" w:cs="宋体"/>
          <w:b/>
          <w:bCs/>
          <w:sz w:val="24"/>
          <w:szCs w:val="24"/>
        </w:rPr>
        <w:t>11.1 响应文件组成【格式见第六章“响应文件格式”】</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（1）响应函</w:t>
      </w:r>
      <w:r>
        <w:rPr>
          <w:rFonts w:ascii="宋体" w:hAnsi="宋体" w:eastAsia="宋体" w:cs="宋体"/>
          <w:b/>
          <w:bCs/>
          <w:sz w:val="24"/>
          <w:szCs w:val="24"/>
        </w:rPr>
        <w:t>（必须提供）；</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（2）供应商相应的法定代表人、负责人、自然人身份证正反两面复印件</w:t>
      </w:r>
      <w:r>
        <w:rPr>
          <w:rFonts w:ascii="宋体" w:hAnsi="宋体" w:eastAsia="宋体" w:cs="宋体"/>
          <w:b/>
          <w:bCs/>
          <w:sz w:val="24"/>
          <w:szCs w:val="24"/>
        </w:rPr>
        <w:t>（必须提供）；</w:t>
      </w:r>
    </w:p>
    <w:p>
      <w:pPr>
        <w:spacing w:line="152"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3）供应商的授权委托书原件、委托代理人身份证正反面复印件以及由县级以上（含县级）社保部门出具的供应商为委托代理人交纳的社保证明复印件【属自然人的应提供由县级以上（含县级）社保部门出具的自然人本人及委托代理人所交纳的社保证明复印件】</w:t>
      </w:r>
      <w:r>
        <w:rPr>
          <w:rFonts w:ascii="宋体" w:hAnsi="宋体" w:eastAsia="宋体" w:cs="宋体"/>
          <w:b/>
          <w:bCs/>
          <w:sz w:val="24"/>
          <w:szCs w:val="24"/>
        </w:rPr>
        <w:t>（委托代理时必须提供）；</w:t>
      </w:r>
    </w:p>
    <w:p>
      <w:pPr>
        <w:spacing w:line="155"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（4）供应商参加政府采购活动前 3 年内在经营活动中没有重大违法记录的书面声明及有关信用信息的书面声明</w:t>
      </w:r>
      <w:r>
        <w:rPr>
          <w:rFonts w:ascii="宋体" w:hAnsi="宋体" w:eastAsia="宋体" w:cs="宋体"/>
          <w:b/>
          <w:bCs/>
          <w:sz w:val="24"/>
          <w:szCs w:val="24"/>
        </w:rPr>
        <w:t>（必须提供）；</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（5）供应商的法人或者其他组织营业执照复印件等证明文件</w:t>
      </w:r>
      <w:r>
        <w:rPr>
          <w:rFonts w:ascii="宋体" w:hAnsi="宋体" w:eastAsia="宋体" w:cs="宋体"/>
          <w:b/>
          <w:bCs/>
          <w:sz w:val="24"/>
          <w:szCs w:val="24"/>
        </w:rPr>
        <w:t>（必须提供，自然人除外）；</w:t>
      </w:r>
    </w:p>
    <w:p>
      <w:pPr>
        <w:spacing w:line="152" w:lineRule="exact"/>
        <w:rPr>
          <w:rFonts w:ascii="宋体" w:hAnsi="宋体" w:eastAsia="宋体"/>
          <w:sz w:val="24"/>
          <w:szCs w:val="24"/>
        </w:rPr>
      </w:pPr>
    </w:p>
    <w:p>
      <w:pPr>
        <w:spacing w:line="330" w:lineRule="exact"/>
        <w:ind w:right="100" w:firstLine="422"/>
        <w:jc w:val="both"/>
        <w:rPr>
          <w:rFonts w:ascii="宋体" w:hAnsi="宋体" w:eastAsia="宋体"/>
          <w:sz w:val="24"/>
          <w:szCs w:val="24"/>
        </w:rPr>
      </w:pPr>
      <w:r>
        <w:rPr>
          <w:rFonts w:ascii="宋体" w:hAnsi="宋体" w:eastAsia="宋体" w:cs="宋体"/>
          <w:b/>
          <w:bCs/>
          <w:sz w:val="24"/>
          <w:szCs w:val="24"/>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121" w:lineRule="exact"/>
        <w:rPr>
          <w:rFonts w:ascii="宋体" w:hAnsi="宋体" w:eastAsia="宋体"/>
          <w:sz w:val="24"/>
          <w:szCs w:val="24"/>
        </w:rPr>
      </w:pPr>
    </w:p>
    <w:p>
      <w:pPr>
        <w:numPr>
          <w:ilvl w:val="0"/>
          <w:numId w:val="12"/>
        </w:numPr>
        <w:spacing w:line="240" w:lineRule="exact"/>
        <w:ind w:left="420"/>
        <w:rPr>
          <w:rFonts w:ascii="宋体" w:hAnsi="宋体" w:eastAsia="宋体" w:cs="宋体"/>
          <w:b/>
          <w:bCs/>
          <w:sz w:val="24"/>
          <w:szCs w:val="24"/>
        </w:rPr>
      </w:pPr>
      <w:r>
        <w:rPr>
          <w:rFonts w:ascii="宋体" w:hAnsi="宋体" w:eastAsia="宋体" w:cs="宋体"/>
          <w:sz w:val="24"/>
          <w:szCs w:val="24"/>
        </w:rPr>
        <w:t>磋商报价表（格式见附件）</w:t>
      </w:r>
      <w:r>
        <w:rPr>
          <w:rFonts w:ascii="宋体" w:hAnsi="宋体" w:eastAsia="宋体" w:cs="宋体"/>
          <w:b/>
          <w:bCs/>
          <w:sz w:val="24"/>
          <w:szCs w:val="24"/>
        </w:rPr>
        <w:t>（必须提供）；</w:t>
      </w:r>
    </w:p>
    <w:p>
      <w:pPr>
        <w:tabs>
          <w:tab w:val="left" w:pos="1305"/>
        </w:tabs>
        <w:spacing w:line="380" w:lineRule="exact"/>
        <w:ind w:left="898" w:leftChars="190" w:hanging="480" w:hangingChars="200"/>
        <w:rPr>
          <w:rFonts w:ascii="宋体" w:hAnsi="宋体" w:eastAsia="宋体" w:cs="宋体"/>
          <w:b/>
          <w:bCs/>
          <w:sz w:val="24"/>
          <w:szCs w:val="24"/>
        </w:rPr>
      </w:pPr>
      <w:r>
        <w:rPr>
          <w:rFonts w:hint="eastAsia" w:ascii="宋体" w:hAnsi="宋体" w:eastAsia="宋体" w:cs="宋体"/>
          <w:sz w:val="24"/>
          <w:szCs w:val="24"/>
        </w:rPr>
        <w:t>（7）项目实施人员一览表【提供由县级以上（含县级）社会养老保险经办机构出具的供应商为项目实施人员缴纳社保证明复印件，无缴费记录的，应提供由社保部门出具的《依法缴纳或依法免缴社保证明》社保证明复印件】</w:t>
      </w:r>
      <w:r>
        <w:rPr>
          <w:rFonts w:ascii="宋体" w:hAnsi="宋体" w:eastAsia="宋体" w:cs="宋体"/>
          <w:b/>
          <w:bCs/>
          <w:sz w:val="24"/>
          <w:szCs w:val="24"/>
        </w:rPr>
        <w:t>（如有，请提供）</w:t>
      </w:r>
    </w:p>
    <w:p>
      <w:pPr>
        <w:spacing w:line="120" w:lineRule="exact"/>
        <w:rPr>
          <w:rFonts w:ascii="宋体" w:hAnsi="宋体" w:eastAsia="宋体"/>
          <w:sz w:val="24"/>
          <w:szCs w:val="24"/>
        </w:rPr>
      </w:pPr>
    </w:p>
    <w:p>
      <w:pPr>
        <w:spacing w:line="240" w:lineRule="exact"/>
        <w:ind w:left="420"/>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rPr>
        <w:t>8</w:t>
      </w:r>
      <w:r>
        <w:rPr>
          <w:rFonts w:ascii="宋体" w:hAnsi="宋体" w:eastAsia="宋体" w:cs="宋体"/>
          <w:sz w:val="24"/>
          <w:szCs w:val="24"/>
        </w:rPr>
        <w:t>）</w:t>
      </w:r>
      <w:r>
        <w:rPr>
          <w:rFonts w:hint="eastAsia" w:ascii="宋体" w:hAnsi="宋体" w:eastAsia="宋体" w:cs="宋体"/>
          <w:sz w:val="24"/>
          <w:szCs w:val="24"/>
        </w:rPr>
        <w:t>技术方案（供应商根据服务需求自行编写）</w:t>
      </w:r>
      <w:r>
        <w:rPr>
          <w:rFonts w:ascii="宋体" w:hAnsi="宋体" w:eastAsia="宋体" w:cs="宋体"/>
          <w:b/>
          <w:bCs/>
          <w:sz w:val="24"/>
          <w:szCs w:val="24"/>
        </w:rPr>
        <w:t>（如有，请提供）</w:t>
      </w:r>
      <w:r>
        <w:rPr>
          <w:rFonts w:ascii="宋体" w:hAnsi="宋体" w:eastAsia="宋体" w:cs="宋体"/>
          <w:sz w:val="24"/>
          <w:szCs w:val="24"/>
        </w:rPr>
        <w:t>；</w:t>
      </w:r>
    </w:p>
    <w:p>
      <w:pPr>
        <w:spacing w:line="120" w:lineRule="exact"/>
        <w:rPr>
          <w:rFonts w:ascii="宋体" w:hAnsi="宋体" w:eastAsia="宋体"/>
          <w:sz w:val="24"/>
          <w:szCs w:val="24"/>
        </w:rPr>
      </w:pPr>
    </w:p>
    <w:p>
      <w:pPr>
        <w:spacing w:line="120" w:lineRule="exact"/>
        <w:rPr>
          <w:rFonts w:ascii="宋体" w:hAnsi="宋体" w:eastAsia="宋体"/>
          <w:sz w:val="24"/>
          <w:szCs w:val="24"/>
        </w:rPr>
      </w:pPr>
    </w:p>
    <w:p>
      <w:pPr>
        <w:spacing w:line="240" w:lineRule="exact"/>
        <w:ind w:left="420"/>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rPr>
        <w:t>9</w:t>
      </w:r>
      <w:r>
        <w:rPr>
          <w:rFonts w:ascii="宋体" w:hAnsi="宋体" w:eastAsia="宋体" w:cs="宋体"/>
          <w:sz w:val="24"/>
          <w:szCs w:val="24"/>
        </w:rPr>
        <w:t>）</w:t>
      </w:r>
      <w:r>
        <w:rPr>
          <w:rFonts w:hint="eastAsia" w:ascii="宋体" w:hAnsi="宋体" w:eastAsia="宋体" w:cs="宋体"/>
          <w:sz w:val="24"/>
          <w:szCs w:val="24"/>
        </w:rPr>
        <w:t>实施方案（供应商根据服务需求自行编写）</w:t>
      </w:r>
      <w:r>
        <w:rPr>
          <w:rFonts w:ascii="宋体" w:hAnsi="宋体" w:eastAsia="宋体" w:cs="宋体"/>
          <w:b/>
          <w:bCs/>
          <w:sz w:val="24"/>
          <w:szCs w:val="24"/>
        </w:rPr>
        <w:t>（如有，请提供）</w:t>
      </w:r>
      <w:r>
        <w:rPr>
          <w:rFonts w:ascii="宋体" w:hAnsi="宋体" w:eastAsia="宋体" w:cs="宋体"/>
          <w:sz w:val="24"/>
          <w:szCs w:val="24"/>
        </w:rPr>
        <w:t>；</w:t>
      </w:r>
    </w:p>
    <w:p>
      <w:pPr>
        <w:spacing w:line="240" w:lineRule="exact"/>
        <w:ind w:left="420"/>
        <w:rPr>
          <w:rFonts w:ascii="宋体" w:hAnsi="宋体" w:eastAsia="宋体" w:cs="宋体"/>
          <w:sz w:val="24"/>
          <w:szCs w:val="24"/>
        </w:rPr>
      </w:pPr>
    </w:p>
    <w:p>
      <w:pPr>
        <w:spacing w:line="240" w:lineRule="exact"/>
        <w:ind w:firstLine="480" w:firstLineChars="200"/>
        <w:rPr>
          <w:rFonts w:ascii="宋体" w:hAnsi="宋体" w:eastAsia="宋体" w:cs="宋体"/>
          <w:sz w:val="24"/>
          <w:szCs w:val="24"/>
        </w:rPr>
      </w:pPr>
      <w:r>
        <w:rPr>
          <w:rFonts w:hint="eastAsia" w:ascii="宋体" w:hAnsi="宋体" w:eastAsia="宋体" w:cs="宋体"/>
          <w:sz w:val="24"/>
          <w:szCs w:val="24"/>
        </w:rPr>
        <w:t>（10）第三方检验（测）机构出具的检验（测）报告</w:t>
      </w:r>
      <w:r>
        <w:rPr>
          <w:rFonts w:hint="eastAsia" w:ascii="宋体" w:hAnsi="宋体" w:eastAsia="宋体" w:cs="宋体"/>
          <w:b/>
          <w:bCs/>
          <w:color w:val="000000" w:themeColor="text1"/>
          <w:sz w:val="24"/>
          <w:szCs w:val="24"/>
        </w:rPr>
        <w:t>（</w:t>
      </w:r>
      <w:r>
        <w:rPr>
          <w:rFonts w:ascii="宋体" w:hAnsi="宋体" w:eastAsia="宋体" w:cs="宋体"/>
          <w:b/>
          <w:bCs/>
          <w:sz w:val="24"/>
          <w:szCs w:val="24"/>
        </w:rPr>
        <w:t>如有，请提供</w:t>
      </w:r>
      <w:r>
        <w:rPr>
          <w:rFonts w:hint="eastAsia" w:ascii="宋体" w:hAnsi="宋体" w:eastAsia="宋体" w:cs="宋体"/>
          <w:b/>
          <w:bCs/>
          <w:color w:val="000000" w:themeColor="text1"/>
          <w:sz w:val="24"/>
          <w:szCs w:val="24"/>
        </w:rPr>
        <w:t>）</w:t>
      </w:r>
      <w:r>
        <w:rPr>
          <w:rFonts w:ascii="宋体" w:hAnsi="宋体" w:eastAsia="宋体" w:cs="宋体"/>
          <w:sz w:val="24"/>
          <w:szCs w:val="24"/>
        </w:rPr>
        <w:t>；</w:t>
      </w:r>
    </w:p>
    <w:p>
      <w:pPr>
        <w:spacing w:line="240" w:lineRule="exact"/>
        <w:rPr>
          <w:rFonts w:ascii="宋体" w:hAnsi="宋体" w:eastAsia="宋体" w:cs="宋体"/>
          <w:sz w:val="24"/>
          <w:szCs w:val="24"/>
        </w:rPr>
      </w:pPr>
    </w:p>
    <w:p>
      <w:pPr>
        <w:spacing w:line="240" w:lineRule="exact"/>
        <w:ind w:firstLine="480" w:firstLineChars="200"/>
        <w:rPr>
          <w:rFonts w:ascii="宋体" w:hAnsi="宋体" w:eastAsia="宋体" w:cs="宋体"/>
          <w:sz w:val="24"/>
          <w:szCs w:val="24"/>
        </w:rPr>
      </w:pPr>
      <w:r>
        <w:rPr>
          <w:rFonts w:hint="eastAsia" w:ascii="宋体" w:hAnsi="宋体" w:eastAsia="宋体" w:cs="宋体"/>
          <w:sz w:val="24"/>
          <w:szCs w:val="24"/>
        </w:rPr>
        <w:t>（11）售后服务方案</w:t>
      </w:r>
      <w:r>
        <w:rPr>
          <w:rFonts w:hint="eastAsia" w:ascii="宋体" w:hAnsi="宋体" w:eastAsia="宋体" w:cs="宋体"/>
          <w:b/>
          <w:bCs/>
          <w:color w:val="000000" w:themeColor="text1"/>
          <w:sz w:val="24"/>
          <w:szCs w:val="24"/>
        </w:rPr>
        <w:t>（</w:t>
      </w:r>
      <w:r>
        <w:rPr>
          <w:rFonts w:ascii="宋体" w:hAnsi="宋体" w:eastAsia="宋体" w:cs="宋体"/>
          <w:b/>
          <w:bCs/>
          <w:sz w:val="24"/>
          <w:szCs w:val="24"/>
        </w:rPr>
        <w:t>如有，请提供</w:t>
      </w:r>
      <w:r>
        <w:rPr>
          <w:rFonts w:hint="eastAsia" w:ascii="宋体" w:hAnsi="宋体" w:eastAsia="宋体" w:cs="宋体"/>
          <w:b/>
          <w:bCs/>
          <w:color w:val="000000" w:themeColor="text1"/>
          <w:sz w:val="24"/>
          <w:szCs w:val="24"/>
        </w:rPr>
        <w:t>）</w:t>
      </w:r>
      <w:r>
        <w:rPr>
          <w:rFonts w:ascii="宋体" w:hAnsi="宋体" w:eastAsia="宋体" w:cs="宋体"/>
          <w:sz w:val="24"/>
          <w:szCs w:val="24"/>
        </w:rPr>
        <w:t>；</w:t>
      </w:r>
    </w:p>
    <w:p>
      <w:pPr>
        <w:spacing w:line="240" w:lineRule="exact"/>
        <w:rPr>
          <w:rFonts w:ascii="宋体" w:hAnsi="宋体" w:eastAsia="宋体" w:cs="宋体"/>
          <w:sz w:val="24"/>
          <w:szCs w:val="24"/>
        </w:rPr>
      </w:pPr>
    </w:p>
    <w:p>
      <w:pPr>
        <w:spacing w:line="240" w:lineRule="exact"/>
        <w:ind w:firstLine="480" w:firstLineChars="200"/>
        <w:rPr>
          <w:rFonts w:ascii="宋体" w:hAnsi="宋体" w:eastAsia="宋体" w:cs="宋体"/>
          <w:sz w:val="24"/>
          <w:szCs w:val="24"/>
        </w:rPr>
      </w:pPr>
      <w:r>
        <w:rPr>
          <w:rFonts w:hint="eastAsia" w:ascii="宋体" w:hAnsi="宋体" w:eastAsia="宋体" w:cs="宋体"/>
          <w:sz w:val="24"/>
          <w:szCs w:val="24"/>
        </w:rPr>
        <w:t>（12）应急保障方案（供应商根据服务需求自行编写）</w:t>
      </w:r>
      <w:r>
        <w:rPr>
          <w:rFonts w:ascii="宋体" w:hAnsi="宋体" w:eastAsia="宋体" w:cs="宋体"/>
          <w:b/>
          <w:bCs/>
          <w:sz w:val="24"/>
          <w:szCs w:val="24"/>
        </w:rPr>
        <w:t>（如有，请提供）</w:t>
      </w:r>
      <w:r>
        <w:rPr>
          <w:rFonts w:hint="eastAsia" w:ascii="宋体" w:hAnsi="宋体" w:eastAsia="宋体" w:cs="宋体"/>
          <w:b/>
          <w:bCs/>
          <w:sz w:val="24"/>
          <w:szCs w:val="24"/>
        </w:rPr>
        <w:t>；</w:t>
      </w:r>
    </w:p>
    <w:p>
      <w:pPr>
        <w:spacing w:line="240" w:lineRule="exact"/>
        <w:rPr>
          <w:rFonts w:ascii="宋体" w:hAnsi="宋体" w:eastAsia="宋体" w:cs="宋体"/>
          <w:sz w:val="24"/>
          <w:szCs w:val="24"/>
        </w:rPr>
      </w:pPr>
    </w:p>
    <w:p>
      <w:pPr>
        <w:spacing w:line="240" w:lineRule="exact"/>
        <w:ind w:firstLine="480" w:firstLineChars="200"/>
        <w:rPr>
          <w:rFonts w:ascii="宋体" w:hAnsi="宋体" w:eastAsia="宋体" w:cs="宋体"/>
          <w:sz w:val="24"/>
          <w:szCs w:val="24"/>
        </w:rPr>
      </w:pPr>
      <w:r>
        <w:rPr>
          <w:rFonts w:hint="eastAsia" w:ascii="宋体" w:hAnsi="宋体" w:eastAsia="宋体" w:cs="宋体"/>
          <w:sz w:val="24"/>
          <w:szCs w:val="24"/>
        </w:rPr>
        <w:t>（13）供应商业绩及企业信誉</w:t>
      </w:r>
      <w:r>
        <w:rPr>
          <w:rFonts w:ascii="宋体" w:hAnsi="宋体" w:eastAsia="宋体" w:cs="宋体"/>
          <w:b/>
          <w:bCs/>
          <w:sz w:val="24"/>
          <w:szCs w:val="24"/>
        </w:rPr>
        <w:t>（如有，请提供）</w:t>
      </w:r>
      <w:r>
        <w:rPr>
          <w:rFonts w:hint="eastAsia" w:ascii="宋体" w:hAnsi="宋体" w:eastAsia="宋体" w:cs="宋体"/>
          <w:b/>
          <w:bCs/>
          <w:sz w:val="24"/>
          <w:szCs w:val="24"/>
        </w:rPr>
        <w:t>；</w:t>
      </w:r>
    </w:p>
    <w:p>
      <w:pPr>
        <w:spacing w:line="240" w:lineRule="exact"/>
        <w:ind w:left="420"/>
        <w:rPr>
          <w:rFonts w:ascii="宋体" w:hAnsi="宋体" w:eastAsia="宋体" w:cs="宋体"/>
          <w:sz w:val="24"/>
          <w:szCs w:val="24"/>
        </w:rPr>
      </w:pPr>
    </w:p>
    <w:p>
      <w:pPr>
        <w:spacing w:line="240" w:lineRule="exact"/>
        <w:ind w:left="420"/>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rPr>
        <w:t>14</w:t>
      </w:r>
      <w:r>
        <w:rPr>
          <w:rFonts w:hint="eastAsia" w:ascii="宋体" w:hAnsi="宋体" w:eastAsia="宋体" w:cs="宋体"/>
          <w:sz w:val="24"/>
          <w:szCs w:val="24"/>
          <w:lang w:eastAsia="zh-CN"/>
        </w:rPr>
        <w:t>）</w:t>
      </w:r>
      <w:r>
        <w:rPr>
          <w:rFonts w:ascii="宋体" w:hAnsi="宋体" w:eastAsia="宋体" w:cs="宋体"/>
          <w:sz w:val="24"/>
          <w:szCs w:val="24"/>
        </w:rPr>
        <w:t>“采购需求”需提供的有效证明文件</w:t>
      </w:r>
      <w:r>
        <w:rPr>
          <w:rFonts w:ascii="宋体" w:hAnsi="宋体" w:eastAsia="宋体" w:cs="宋体"/>
          <w:b/>
          <w:bCs/>
          <w:sz w:val="24"/>
          <w:szCs w:val="24"/>
        </w:rPr>
        <w:t>（如有，请提供）</w:t>
      </w:r>
      <w:r>
        <w:rPr>
          <w:rFonts w:ascii="宋体" w:hAnsi="宋体" w:eastAsia="宋体" w:cs="宋体"/>
          <w:sz w:val="24"/>
          <w:szCs w:val="24"/>
        </w:rPr>
        <w:t>；</w:t>
      </w:r>
    </w:p>
    <w:p>
      <w:pPr>
        <w:spacing w:line="240" w:lineRule="exact"/>
        <w:ind w:left="420"/>
        <w:rPr>
          <w:rFonts w:ascii="宋体" w:hAnsi="宋体" w:eastAsia="宋体" w:cs="宋体"/>
          <w:sz w:val="24"/>
          <w:szCs w:val="24"/>
        </w:rPr>
      </w:pPr>
    </w:p>
    <w:p>
      <w:pPr>
        <w:spacing w:line="240" w:lineRule="exact"/>
        <w:ind w:left="420"/>
        <w:rPr>
          <w:rFonts w:ascii="宋体" w:hAnsi="宋体" w:eastAsia="宋体" w:cs="宋体"/>
          <w:sz w:val="24"/>
          <w:szCs w:val="24"/>
        </w:rPr>
      </w:pPr>
    </w:p>
    <w:p>
      <w:pPr>
        <w:spacing w:line="240" w:lineRule="exact"/>
        <w:ind w:left="420"/>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rPr>
        <w:t>15</w:t>
      </w:r>
      <w:r>
        <w:rPr>
          <w:rFonts w:ascii="宋体" w:hAnsi="宋体" w:eastAsia="宋体" w:cs="宋体"/>
          <w:sz w:val="24"/>
          <w:szCs w:val="24"/>
        </w:rPr>
        <w:t>）</w:t>
      </w:r>
      <w:r>
        <w:rPr>
          <w:rFonts w:hint="eastAsia" w:ascii="宋体" w:hAnsi="宋体" w:eastAsia="宋体" w:cs="宋体"/>
          <w:sz w:val="24"/>
          <w:szCs w:val="24"/>
        </w:rPr>
        <w:t>供应商2018年以来通过中介审计的有效完整的财务审计报告复印件</w:t>
      </w:r>
      <w:r>
        <w:rPr>
          <w:rFonts w:hint="eastAsia" w:ascii="宋体" w:hAnsi="宋体" w:eastAsia="宋体" w:cs="宋体"/>
          <w:b/>
          <w:bCs/>
          <w:sz w:val="24"/>
          <w:szCs w:val="24"/>
        </w:rPr>
        <w:t>（如有，请提供）</w:t>
      </w:r>
      <w:r>
        <w:rPr>
          <w:rFonts w:ascii="宋体" w:hAnsi="宋体" w:eastAsia="宋体" w:cs="宋体"/>
          <w:sz w:val="24"/>
          <w:szCs w:val="24"/>
        </w:rPr>
        <w:t>；</w:t>
      </w:r>
    </w:p>
    <w:p>
      <w:pPr>
        <w:spacing w:line="240" w:lineRule="exact"/>
        <w:ind w:left="420"/>
        <w:rPr>
          <w:rFonts w:ascii="宋体" w:hAnsi="宋体" w:eastAsia="宋体" w:cs="宋体"/>
          <w:sz w:val="24"/>
          <w:szCs w:val="24"/>
        </w:rPr>
      </w:pPr>
    </w:p>
    <w:p>
      <w:pPr>
        <w:spacing w:line="240" w:lineRule="exact"/>
        <w:ind w:left="420"/>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rPr>
        <w:t>16</w:t>
      </w:r>
      <w:r>
        <w:rPr>
          <w:rFonts w:ascii="宋体" w:hAnsi="宋体" w:eastAsia="宋体" w:cs="宋体"/>
          <w:sz w:val="24"/>
          <w:szCs w:val="24"/>
        </w:rPr>
        <w:t>）</w:t>
      </w:r>
      <w:r>
        <w:rPr>
          <w:rFonts w:hint="eastAsia" w:ascii="宋体" w:hAnsi="宋体" w:eastAsia="宋体" w:cs="宋体"/>
          <w:sz w:val="24"/>
          <w:szCs w:val="24"/>
        </w:rPr>
        <w:t>供应商相关获奖证书、认证证书等复印件</w:t>
      </w:r>
      <w:r>
        <w:rPr>
          <w:rFonts w:hint="eastAsia" w:ascii="宋体" w:hAnsi="宋体" w:eastAsia="宋体" w:cs="宋体"/>
          <w:b/>
          <w:bCs/>
          <w:sz w:val="24"/>
          <w:szCs w:val="24"/>
        </w:rPr>
        <w:t>（如有，请提供）</w:t>
      </w:r>
      <w:r>
        <w:rPr>
          <w:rFonts w:ascii="宋体" w:hAnsi="宋体" w:eastAsia="宋体" w:cs="宋体"/>
          <w:sz w:val="24"/>
          <w:szCs w:val="24"/>
        </w:rPr>
        <w:t>；</w:t>
      </w:r>
    </w:p>
    <w:p>
      <w:pPr>
        <w:spacing w:line="240" w:lineRule="exact"/>
        <w:ind w:left="420"/>
        <w:rPr>
          <w:rFonts w:ascii="宋体" w:hAnsi="宋体" w:eastAsia="宋体" w:cs="宋体"/>
          <w:sz w:val="24"/>
          <w:szCs w:val="24"/>
        </w:rPr>
      </w:pPr>
    </w:p>
    <w:p>
      <w:pPr>
        <w:spacing w:line="240" w:lineRule="exact"/>
        <w:ind w:left="420"/>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rPr>
        <w:t>17</w:t>
      </w:r>
      <w:r>
        <w:rPr>
          <w:rFonts w:ascii="宋体" w:hAnsi="宋体" w:eastAsia="宋体" w:cs="宋体"/>
          <w:sz w:val="24"/>
          <w:szCs w:val="24"/>
        </w:rPr>
        <w:t>）</w:t>
      </w:r>
      <w:r>
        <w:rPr>
          <w:rFonts w:hint="eastAsia" w:ascii="宋体" w:hAnsi="宋体" w:eastAsia="宋体" w:cs="宋体"/>
          <w:sz w:val="24"/>
          <w:szCs w:val="24"/>
        </w:rPr>
        <w:t>如产品属于小型、微型企业、监狱企业的，以提供工商注册地的工业和信息化部门等其他行政部门出具的相关证明材料为准</w:t>
      </w:r>
      <w:r>
        <w:rPr>
          <w:rFonts w:hint="eastAsia" w:ascii="宋体" w:hAnsi="宋体" w:eastAsia="宋体" w:cs="宋体"/>
          <w:b/>
          <w:bCs/>
          <w:sz w:val="24"/>
          <w:szCs w:val="24"/>
        </w:rPr>
        <w:t>（如有，请提供）</w:t>
      </w:r>
      <w:r>
        <w:rPr>
          <w:rFonts w:ascii="宋体" w:hAnsi="宋体" w:eastAsia="宋体" w:cs="宋体"/>
          <w:sz w:val="24"/>
          <w:szCs w:val="24"/>
        </w:rPr>
        <w:t>；</w:t>
      </w:r>
    </w:p>
    <w:p>
      <w:pPr>
        <w:spacing w:line="240" w:lineRule="exact"/>
        <w:ind w:left="420"/>
        <w:rPr>
          <w:rFonts w:ascii="宋体" w:hAnsi="宋体" w:eastAsia="宋体" w:cs="宋体"/>
          <w:sz w:val="24"/>
          <w:szCs w:val="24"/>
        </w:rPr>
      </w:pPr>
    </w:p>
    <w:p>
      <w:pPr>
        <w:spacing w:line="240" w:lineRule="exact"/>
        <w:ind w:left="420"/>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rPr>
        <w:t>18</w:t>
      </w:r>
      <w:r>
        <w:rPr>
          <w:rFonts w:ascii="宋体" w:hAnsi="宋体" w:eastAsia="宋体" w:cs="宋体"/>
          <w:sz w:val="24"/>
          <w:szCs w:val="24"/>
        </w:rPr>
        <w:t>）</w:t>
      </w:r>
      <w:r>
        <w:rPr>
          <w:rFonts w:hint="eastAsia" w:ascii="宋体" w:hAnsi="宋体" w:eastAsia="宋体" w:cs="宋体"/>
          <w:sz w:val="24"/>
          <w:szCs w:val="24"/>
        </w:rPr>
        <w:t>符合条件的残疾人福利性单位在参加政府采购活动时，应当提供《残疾人福利性单位声明函》（见附件），并对声明的真实性负责</w:t>
      </w:r>
      <w:r>
        <w:rPr>
          <w:rFonts w:hint="eastAsia" w:ascii="宋体" w:hAnsi="宋体" w:eastAsia="宋体" w:cs="宋体"/>
          <w:b/>
          <w:bCs/>
          <w:sz w:val="24"/>
          <w:szCs w:val="24"/>
        </w:rPr>
        <w:t>（如有，请提供）</w:t>
      </w:r>
      <w:r>
        <w:rPr>
          <w:rFonts w:ascii="宋体" w:hAnsi="宋体" w:eastAsia="宋体" w:cs="宋体"/>
          <w:sz w:val="24"/>
          <w:szCs w:val="24"/>
        </w:rPr>
        <w:t>；</w:t>
      </w:r>
    </w:p>
    <w:p>
      <w:pPr>
        <w:spacing w:line="240" w:lineRule="exact"/>
        <w:ind w:left="420"/>
        <w:rPr>
          <w:rFonts w:ascii="宋体" w:hAnsi="宋体" w:eastAsia="宋体" w:cs="宋体"/>
          <w:sz w:val="24"/>
          <w:szCs w:val="24"/>
        </w:rPr>
      </w:pPr>
    </w:p>
    <w:p>
      <w:pPr>
        <w:spacing w:line="121" w:lineRule="exact"/>
        <w:rPr>
          <w:rFonts w:ascii="宋体" w:hAnsi="宋体" w:eastAsia="宋体"/>
          <w:sz w:val="24"/>
          <w:szCs w:val="24"/>
        </w:rPr>
      </w:pPr>
    </w:p>
    <w:p>
      <w:pPr>
        <w:tabs>
          <w:tab w:val="left" w:pos="1060"/>
        </w:tabs>
        <w:spacing w:line="240" w:lineRule="exact"/>
        <w:ind w:left="532"/>
        <w:rPr>
          <w:rFonts w:ascii="宋体" w:hAnsi="宋体" w:eastAsia="宋体" w:cs="宋体"/>
          <w:sz w:val="24"/>
          <w:szCs w:val="24"/>
        </w:rPr>
      </w:pPr>
      <w:r>
        <w:rPr>
          <w:rFonts w:hint="eastAsia" w:ascii="宋体" w:hAnsi="宋体" w:eastAsia="宋体" w:cs="宋体"/>
          <w:sz w:val="24"/>
          <w:szCs w:val="24"/>
        </w:rPr>
        <w:t>（19）</w:t>
      </w:r>
      <w:r>
        <w:rPr>
          <w:rFonts w:ascii="宋体" w:hAnsi="宋体" w:eastAsia="宋体" w:cs="宋体"/>
          <w:sz w:val="24"/>
          <w:szCs w:val="24"/>
        </w:rPr>
        <w:t>供应商可结合本项目的评标办法视自身情况自行提交相关证明材料</w:t>
      </w:r>
      <w:r>
        <w:rPr>
          <w:rFonts w:ascii="宋体" w:hAnsi="宋体" w:eastAsia="宋体" w:cs="宋体"/>
          <w:b/>
          <w:bCs/>
          <w:sz w:val="24"/>
          <w:szCs w:val="24"/>
        </w:rPr>
        <w:t>（如有，请提供）。</w:t>
      </w:r>
    </w:p>
    <w:p>
      <w:pPr>
        <w:spacing w:line="120" w:lineRule="exact"/>
        <w:rPr>
          <w:rFonts w:ascii="宋体" w:hAnsi="宋体" w:eastAsia="宋体" w:cs="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供应商提供的相关材料应真实有效，属于“必须提供”的文件应加盖供应商公章（扫描公章无效，自然人除外），并于本项目磋商截止时间前与响应文件同时提交。</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11.2 供应商应按竞争性磋商文件第六章“响应文件格式”编制响应文件。</w:t>
      </w:r>
    </w:p>
    <w:p>
      <w:pPr>
        <w:spacing w:line="121" w:lineRule="exact"/>
        <w:rPr>
          <w:rFonts w:ascii="宋体" w:hAnsi="宋体" w:eastAsia="宋体"/>
          <w:sz w:val="24"/>
          <w:szCs w:val="24"/>
        </w:rPr>
      </w:pPr>
    </w:p>
    <w:p>
      <w:pPr>
        <w:numPr>
          <w:ilvl w:val="0"/>
          <w:numId w:val="13"/>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响应文件的语言及计量</w:t>
      </w:r>
    </w:p>
    <w:p>
      <w:pPr>
        <w:spacing w:line="152" w:lineRule="exact"/>
        <w:rPr>
          <w:rFonts w:ascii="宋体" w:hAnsi="宋体" w:eastAsia="宋体"/>
          <w:sz w:val="24"/>
          <w:szCs w:val="24"/>
        </w:rPr>
      </w:pPr>
    </w:p>
    <w:p>
      <w:pPr>
        <w:spacing w:line="309" w:lineRule="exact"/>
        <w:ind w:firstLine="420"/>
        <w:jc w:val="both"/>
        <w:rPr>
          <w:rFonts w:ascii="宋体" w:hAnsi="宋体" w:eastAsia="宋体"/>
          <w:sz w:val="24"/>
          <w:szCs w:val="24"/>
        </w:rPr>
      </w:pPr>
      <w:r>
        <w:rPr>
          <w:rFonts w:ascii="宋体" w:hAnsi="宋体" w:eastAsia="宋体" w:cs="宋体"/>
          <w:sz w:val="24"/>
          <w:szCs w:val="24"/>
        </w:rPr>
        <w:t>12.1 响应文件以及供应商与采购代理机构就有关磋商事宜的所有来往函电，均应以中文汉语书写。供应商提交的支持文件和印刷的文献可以使用别的语言，但其相应内容必须附有中文翻译文本，在解释响应文件时以中文翻译文本为主。</w:t>
      </w:r>
    </w:p>
    <w:p>
      <w:pPr>
        <w:spacing w:line="286" w:lineRule="exact"/>
        <w:rPr>
          <w:rFonts w:ascii="宋体" w:hAnsi="宋体" w:eastAsia="宋体"/>
          <w:sz w:val="24"/>
          <w:szCs w:val="24"/>
        </w:rPr>
      </w:pPr>
    </w:p>
    <w:p>
      <w:pPr>
        <w:spacing w:line="284" w:lineRule="exact"/>
        <w:ind w:right="100" w:firstLine="420"/>
        <w:rPr>
          <w:rFonts w:ascii="宋体" w:hAnsi="宋体" w:eastAsia="宋体" w:cs="宋体"/>
          <w:sz w:val="24"/>
          <w:szCs w:val="24"/>
        </w:rPr>
      </w:pPr>
      <w:bookmarkStart w:id="46" w:name="page11"/>
      <w:bookmarkEnd w:id="46"/>
      <w:r>
        <w:rPr>
          <w:rFonts w:ascii="宋体" w:hAnsi="宋体" w:eastAsia="宋体" w:cs="宋体"/>
          <w:sz w:val="24"/>
          <w:szCs w:val="24"/>
        </w:rPr>
        <w:t>12.2 磋商计量单位，磋商文件已有明确规定的，使用磋商文件规定的计量单位；磋商文件没有规定的，应采用中华人民共和国法定计量单位（货币单位：人民币元），否则视同未响应。</w:t>
      </w:r>
    </w:p>
    <w:p>
      <w:pPr>
        <w:spacing w:line="284" w:lineRule="exact"/>
        <w:ind w:right="100" w:firstLine="420"/>
        <w:rPr>
          <w:rFonts w:ascii="宋体" w:hAnsi="宋体" w:eastAsia="宋体" w:cs="宋体"/>
          <w:sz w:val="24"/>
          <w:szCs w:val="24"/>
        </w:rPr>
      </w:pPr>
    </w:p>
    <w:p>
      <w:pPr>
        <w:spacing w:line="121" w:lineRule="exact"/>
        <w:rPr>
          <w:rFonts w:ascii="宋体" w:hAnsi="宋体" w:eastAsia="宋体"/>
          <w:sz w:val="24"/>
          <w:szCs w:val="24"/>
        </w:rPr>
      </w:pPr>
    </w:p>
    <w:p>
      <w:pPr>
        <w:numPr>
          <w:ilvl w:val="0"/>
          <w:numId w:val="14"/>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磋商报价</w:t>
      </w:r>
    </w:p>
    <w:p>
      <w:pPr>
        <w:spacing w:line="152"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13.1 磋商报价应按磋商文件中相关附表格式填写，报价超过采购预算总金额的，响应文件按无效处理。</w:t>
      </w:r>
    </w:p>
    <w:p>
      <w:pPr>
        <w:spacing w:line="153"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13.2 供应商必须就“采购需求”中的所有服务内容作完整唯一报价，否则，其响应文件无效。响应文件只允许有一个报价，有选择的或有条件的报价将不予接受。</w:t>
      </w:r>
    </w:p>
    <w:p>
      <w:pPr>
        <w:spacing w:line="153"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13.3 磋商报价包括本次采购范围内货物价款、货物随配标准附件、包装、运输、装卸、保险、税金、货到位、检验、售后服务、培训、保修、其他等所涉及到的一切费用及在项目采购中产生的服务费的总和；供应商综合考虑在报价中，甲方将不再支付任何费用。</w:t>
      </w:r>
    </w:p>
    <w:p>
      <w:pPr>
        <w:spacing w:line="155"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13.4 未书面退出磋商的供应商在规定时间内密封提交最后报价，其最后报价超出采购预算导致已通过评审的响应文件无效的，按供应商在提交响应文件截止时间后撤回响应文件处理。</w:t>
      </w:r>
    </w:p>
    <w:p>
      <w:pPr>
        <w:spacing w:line="153"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13.5 响应文件中磋商报价的大写金额和小写金额不一致的，以大写金额为准；总价金额与按单价汇总金额不一致的，以单价金额计算结果为准；单价金额小数点明显错位的，应以总价为准，并修改单价；对不同文字文本响应文件的解释发生异议的，以中文文本为准。</w:t>
      </w:r>
    </w:p>
    <w:p>
      <w:pPr>
        <w:spacing w:line="123" w:lineRule="exact"/>
        <w:rPr>
          <w:rFonts w:ascii="宋体" w:hAnsi="宋体" w:eastAsia="宋体"/>
          <w:sz w:val="24"/>
          <w:szCs w:val="24"/>
        </w:rPr>
      </w:pPr>
    </w:p>
    <w:p>
      <w:pPr>
        <w:numPr>
          <w:ilvl w:val="0"/>
          <w:numId w:val="15"/>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响应文件有效期</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14.1 响应文件有效期：响应文件递交截止时间之日起</w:t>
      </w:r>
      <w:r>
        <w:rPr>
          <w:rFonts w:hint="eastAsia" w:ascii="宋体" w:hAnsi="宋体" w:eastAsia="宋体" w:cs="宋体"/>
          <w:sz w:val="24"/>
          <w:szCs w:val="24"/>
        </w:rPr>
        <w:t>60</w:t>
      </w:r>
      <w:r>
        <w:rPr>
          <w:rFonts w:ascii="宋体" w:hAnsi="宋体" w:eastAsia="宋体" w:cs="宋体"/>
          <w:sz w:val="24"/>
          <w:szCs w:val="24"/>
        </w:rPr>
        <w:t>天，有效期不足的响应文件将被拒绝。</w:t>
      </w:r>
    </w:p>
    <w:p>
      <w:pPr>
        <w:spacing w:line="152" w:lineRule="exact"/>
        <w:rPr>
          <w:rFonts w:ascii="宋体" w:hAnsi="宋体" w:eastAsia="宋体"/>
          <w:sz w:val="24"/>
          <w:szCs w:val="24"/>
        </w:rPr>
      </w:pPr>
    </w:p>
    <w:p>
      <w:pPr>
        <w:spacing w:line="284" w:lineRule="exact"/>
        <w:ind w:right="100" w:firstLine="420"/>
        <w:rPr>
          <w:rFonts w:ascii="宋体" w:hAnsi="宋体" w:eastAsia="宋体"/>
          <w:sz w:val="24"/>
          <w:szCs w:val="24"/>
        </w:rPr>
      </w:pPr>
      <w:r>
        <w:rPr>
          <w:rFonts w:ascii="宋体" w:hAnsi="宋体" w:eastAsia="宋体" w:cs="宋体"/>
          <w:sz w:val="24"/>
          <w:szCs w:val="24"/>
        </w:rPr>
        <w:t>14.2 出现特殊情况下，需要延长响应文件有效期的，采购代理机构以书面形式通知供应商延长响应文件有效期。供应商同意延长的，不能修改响应文件。供应商拒绝延长的，其响应文件无效。</w:t>
      </w:r>
    </w:p>
    <w:p>
      <w:pPr>
        <w:spacing w:line="121" w:lineRule="exact"/>
        <w:rPr>
          <w:rFonts w:ascii="宋体" w:hAnsi="宋体" w:eastAsia="宋体"/>
          <w:sz w:val="24"/>
          <w:szCs w:val="24"/>
        </w:rPr>
      </w:pPr>
    </w:p>
    <w:p>
      <w:pPr>
        <w:numPr>
          <w:ilvl w:val="0"/>
          <w:numId w:val="16"/>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响应文件的份数、装订、签署和包装、密封</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15.1 响应文件份数：正本壹册、副本叁册（A4 纸装订），须完整提交。</w:t>
      </w:r>
    </w:p>
    <w:p>
      <w:pPr>
        <w:spacing w:line="152" w:lineRule="exact"/>
        <w:rPr>
          <w:rFonts w:ascii="宋体" w:hAnsi="宋体" w:eastAsia="宋体"/>
          <w:sz w:val="24"/>
          <w:szCs w:val="24"/>
        </w:rPr>
      </w:pPr>
    </w:p>
    <w:p>
      <w:pPr>
        <w:spacing w:line="309" w:lineRule="exact"/>
        <w:ind w:firstLine="420"/>
        <w:jc w:val="both"/>
        <w:rPr>
          <w:rFonts w:ascii="宋体" w:hAnsi="宋体" w:eastAsia="宋体"/>
          <w:sz w:val="24"/>
          <w:szCs w:val="24"/>
        </w:rPr>
      </w:pPr>
      <w:r>
        <w:rPr>
          <w:rFonts w:ascii="宋体" w:hAnsi="宋体" w:eastAsia="宋体" w:cs="宋体"/>
          <w:sz w:val="24"/>
          <w:szCs w:val="24"/>
        </w:rPr>
        <w:t>15.2 响应文件装订要求：供应商应按供应商须知第 11.1 款“响应文件组成”规定的顺序自编目录及页码。响应文件的“正本”、“副本”应当单独装订成册并标注页码，装订应牢固，不易拆散和换页。封面应注明“正本”、“副本”字样，封面上写明项目名称、项目编号、采购代理机构、供应商单位名称。</w:t>
      </w:r>
    </w:p>
    <w:p>
      <w:pPr>
        <w:spacing w:line="153"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15.3 响应文件的正本需打印或用不褪色的墨水填写，响应文件正本除本磋商文件中规定的可提供复印件外均须提供原件。</w:t>
      </w:r>
    </w:p>
    <w:p>
      <w:pPr>
        <w:spacing w:line="153"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15.4 响应文件须由供应商在规定位置加盖供应商公章（扫描公章无效，自然人除外）并由法定代表人、负责人、自然人或相应的授权委托代理人签字，供应商应写全称，响应文件副本可以是加盖公章（自然人除外）的正本的复印件，当正本与副本不一致时，以正本为准。</w:t>
      </w:r>
    </w:p>
    <w:p>
      <w:pPr>
        <w:spacing w:line="155" w:lineRule="exact"/>
        <w:rPr>
          <w:rFonts w:ascii="宋体" w:hAnsi="宋体" w:eastAsia="宋体"/>
          <w:sz w:val="24"/>
          <w:szCs w:val="24"/>
        </w:rPr>
      </w:pPr>
    </w:p>
    <w:p>
      <w:pPr>
        <w:spacing w:line="309" w:lineRule="exact"/>
        <w:ind w:right="100" w:firstLine="420"/>
        <w:jc w:val="both"/>
        <w:rPr>
          <w:rFonts w:ascii="宋体" w:hAnsi="宋体" w:eastAsia="宋体" w:cs="宋体"/>
          <w:sz w:val="24"/>
          <w:szCs w:val="24"/>
        </w:rPr>
      </w:pPr>
      <w:r>
        <w:rPr>
          <w:rFonts w:ascii="宋体" w:hAnsi="宋体" w:eastAsia="宋体" w:cs="宋体"/>
          <w:sz w:val="24"/>
          <w:szCs w:val="24"/>
        </w:rPr>
        <w:t>15.5 响应文件不得涂改，若有修改错漏处，须加盖供应商公章（自然人除外）及法定代表人、负责人、自然人或相应的授权委托代理人签字。响应文件因字迹潦草或表达不清所引起的后果由供应商负责。</w:t>
      </w:r>
    </w:p>
    <w:p>
      <w:pPr>
        <w:spacing w:line="240" w:lineRule="exact"/>
        <w:rPr>
          <w:rFonts w:ascii="宋体" w:hAnsi="宋体" w:eastAsia="宋体" w:cs="宋体"/>
          <w:sz w:val="24"/>
          <w:szCs w:val="24"/>
        </w:rPr>
      </w:pPr>
    </w:p>
    <w:p>
      <w:pPr>
        <w:spacing w:line="240" w:lineRule="exact"/>
        <w:ind w:firstLine="480" w:firstLineChars="200"/>
        <w:rPr>
          <w:rFonts w:ascii="宋体" w:hAnsi="宋体" w:eastAsia="宋体"/>
          <w:sz w:val="24"/>
          <w:szCs w:val="24"/>
        </w:rPr>
      </w:pPr>
      <w:r>
        <w:rPr>
          <w:rFonts w:ascii="宋体" w:hAnsi="宋体" w:eastAsia="宋体" w:cs="宋体"/>
          <w:sz w:val="24"/>
          <w:szCs w:val="24"/>
        </w:rPr>
        <w:t>15.6 响应文件包装、密封、标记：</w:t>
      </w:r>
    </w:p>
    <w:p>
      <w:pPr>
        <w:spacing w:line="152"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15.6.1 响应文件包装、密封：供应商须将响应文件“正本”、“副本”一并装入一个响应文件袋（盒、箱）中密封，并在密封处密封签章【公章、密封章、法定代表人、负责人、自然人或相应的授权委托代理人签字均可】。</w:t>
      </w:r>
    </w:p>
    <w:p>
      <w:pPr>
        <w:spacing w:line="123"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15.6.2 响应文件袋（盒、箱）标记：</w:t>
      </w:r>
    </w:p>
    <w:p>
      <w:pPr>
        <w:spacing w:line="120" w:lineRule="exact"/>
        <w:rPr>
          <w:rFonts w:ascii="宋体" w:hAnsi="宋体" w:eastAsia="宋体"/>
          <w:sz w:val="24"/>
          <w:szCs w:val="24"/>
        </w:rPr>
      </w:pPr>
    </w:p>
    <w:p>
      <w:pPr>
        <w:spacing w:line="240" w:lineRule="exact"/>
        <w:ind w:left="1160"/>
        <w:rPr>
          <w:rFonts w:ascii="宋体" w:hAnsi="宋体" w:eastAsia="宋体"/>
          <w:sz w:val="24"/>
          <w:szCs w:val="24"/>
        </w:rPr>
      </w:pPr>
      <w:r>
        <w:rPr>
          <w:rFonts w:ascii="宋体" w:hAnsi="宋体" w:eastAsia="宋体" w:cs="宋体"/>
          <w:sz w:val="24"/>
          <w:szCs w:val="24"/>
        </w:rPr>
        <w:t>项目名称：</w:t>
      </w:r>
      <w:r>
        <w:rPr>
          <w:rFonts w:hint="eastAsia" w:ascii="宋体" w:hAnsi="宋体" w:eastAsia="宋体" w:cs="宋体"/>
          <w:sz w:val="24"/>
          <w:szCs w:val="24"/>
        </w:rPr>
        <w:t>灵川县潭下镇人民政府雪亮工程项目</w:t>
      </w:r>
    </w:p>
    <w:p>
      <w:pPr>
        <w:spacing w:line="120" w:lineRule="exact"/>
        <w:rPr>
          <w:rFonts w:ascii="宋体" w:hAnsi="宋体" w:eastAsia="宋体"/>
          <w:sz w:val="24"/>
          <w:szCs w:val="24"/>
        </w:rPr>
      </w:pPr>
    </w:p>
    <w:p>
      <w:pPr>
        <w:spacing w:line="240" w:lineRule="exact"/>
        <w:ind w:left="1160"/>
        <w:rPr>
          <w:rFonts w:ascii="宋体" w:hAnsi="宋体" w:eastAsia="宋体"/>
          <w:sz w:val="24"/>
          <w:szCs w:val="24"/>
        </w:rPr>
      </w:pPr>
      <w:r>
        <w:rPr>
          <w:rFonts w:ascii="宋体" w:hAnsi="宋体" w:eastAsia="宋体" w:cs="宋体"/>
          <w:sz w:val="24"/>
          <w:szCs w:val="24"/>
        </w:rPr>
        <w:t>项目编号：</w:t>
      </w:r>
      <w:r>
        <w:rPr>
          <w:rFonts w:hint="eastAsia" w:ascii="宋体" w:hAnsi="宋体" w:eastAsia="宋体" w:cs="宋体"/>
          <w:sz w:val="24"/>
          <w:szCs w:val="24"/>
        </w:rPr>
        <w:t>GLZC2020-C3-230051-GXBG</w:t>
      </w:r>
    </w:p>
    <w:p>
      <w:pPr>
        <w:spacing w:line="285" w:lineRule="exact"/>
        <w:rPr>
          <w:rFonts w:ascii="宋体" w:hAnsi="宋体" w:eastAsia="宋体"/>
          <w:sz w:val="24"/>
          <w:szCs w:val="24"/>
        </w:rPr>
      </w:pPr>
    </w:p>
    <w:p>
      <w:pPr>
        <w:spacing w:line="240" w:lineRule="exact"/>
        <w:ind w:left="1160"/>
        <w:rPr>
          <w:rFonts w:ascii="宋体" w:hAnsi="宋体" w:eastAsia="宋体"/>
          <w:sz w:val="24"/>
          <w:szCs w:val="24"/>
        </w:rPr>
      </w:pPr>
      <w:bookmarkStart w:id="47" w:name="page12"/>
      <w:bookmarkEnd w:id="47"/>
      <w:r>
        <w:rPr>
          <w:rFonts w:ascii="宋体" w:hAnsi="宋体" w:eastAsia="宋体" w:cs="宋体"/>
          <w:sz w:val="24"/>
          <w:szCs w:val="24"/>
        </w:rPr>
        <w:t>采购代理机构：</w:t>
      </w:r>
      <w:r>
        <w:rPr>
          <w:rFonts w:hint="eastAsia" w:ascii="宋体" w:hAnsi="宋体" w:eastAsia="宋体" w:cs="宋体"/>
          <w:sz w:val="24"/>
          <w:szCs w:val="24"/>
        </w:rPr>
        <w:t>广西八桂建设项目管理有限公司</w:t>
      </w:r>
    </w:p>
    <w:p>
      <w:pPr>
        <w:spacing w:line="120" w:lineRule="exact"/>
        <w:rPr>
          <w:rFonts w:ascii="宋体" w:hAnsi="宋体" w:eastAsia="宋体"/>
          <w:sz w:val="24"/>
          <w:szCs w:val="24"/>
        </w:rPr>
      </w:pPr>
    </w:p>
    <w:p>
      <w:pPr>
        <w:spacing w:line="240" w:lineRule="exact"/>
        <w:ind w:left="1160"/>
        <w:rPr>
          <w:rFonts w:ascii="宋体" w:hAnsi="宋体" w:eastAsia="宋体"/>
          <w:sz w:val="24"/>
          <w:szCs w:val="24"/>
        </w:rPr>
      </w:pPr>
      <w:r>
        <w:rPr>
          <w:rFonts w:ascii="宋体" w:hAnsi="宋体" w:eastAsia="宋体" w:cs="宋体"/>
          <w:sz w:val="24"/>
          <w:szCs w:val="24"/>
        </w:rPr>
        <w:t>供应商单位名称：</w:t>
      </w:r>
    </w:p>
    <w:p>
      <w:pPr>
        <w:spacing w:line="120" w:lineRule="exact"/>
        <w:rPr>
          <w:rFonts w:ascii="宋体" w:hAnsi="宋体" w:eastAsia="宋体"/>
          <w:sz w:val="24"/>
          <w:szCs w:val="24"/>
        </w:rPr>
      </w:pPr>
    </w:p>
    <w:p>
      <w:pPr>
        <w:spacing w:line="240" w:lineRule="exact"/>
        <w:ind w:left="1160"/>
        <w:rPr>
          <w:rFonts w:ascii="宋体" w:hAnsi="宋体" w:eastAsia="宋体"/>
          <w:sz w:val="24"/>
          <w:szCs w:val="24"/>
        </w:rPr>
      </w:pPr>
      <w:r>
        <w:rPr>
          <w:rFonts w:ascii="宋体" w:hAnsi="宋体" w:eastAsia="宋体" w:cs="宋体"/>
          <w:sz w:val="24"/>
          <w:szCs w:val="24"/>
        </w:rPr>
        <w:t xml:space="preserve">在 </w:t>
      </w:r>
      <w:r>
        <w:rPr>
          <w:rFonts w:hint="eastAsia" w:ascii="宋体" w:hAnsi="宋体" w:eastAsia="宋体" w:cs="宋体"/>
          <w:sz w:val="24"/>
          <w:szCs w:val="24"/>
        </w:rPr>
        <w:t>2020</w:t>
      </w:r>
      <w:r>
        <w:rPr>
          <w:rFonts w:ascii="宋体" w:hAnsi="宋体" w:eastAsia="宋体" w:cs="宋体"/>
          <w:sz w:val="24"/>
          <w:szCs w:val="24"/>
        </w:rPr>
        <w:t>年</w:t>
      </w:r>
      <w:r>
        <w:rPr>
          <w:rFonts w:hint="eastAsia" w:ascii="宋体" w:hAnsi="宋体" w:eastAsia="宋体" w:cs="宋体"/>
          <w:sz w:val="24"/>
          <w:szCs w:val="24"/>
          <w:lang w:val="en-US" w:eastAsia="zh-CN"/>
        </w:rPr>
        <w:t>11</w:t>
      </w:r>
      <w:r>
        <w:rPr>
          <w:rFonts w:ascii="宋体" w:hAnsi="宋体" w:eastAsia="宋体" w:cs="宋体"/>
          <w:sz w:val="24"/>
          <w:szCs w:val="24"/>
        </w:rPr>
        <w:t>月</w:t>
      </w:r>
      <w:r>
        <w:rPr>
          <w:rFonts w:hint="eastAsia" w:ascii="宋体" w:hAnsi="宋体" w:eastAsia="宋体" w:cs="宋体"/>
          <w:sz w:val="24"/>
          <w:szCs w:val="24"/>
          <w:lang w:val="en-US" w:eastAsia="zh-CN"/>
        </w:rPr>
        <w:t>20</w:t>
      </w:r>
      <w:r>
        <w:rPr>
          <w:rFonts w:ascii="宋体" w:hAnsi="宋体" w:eastAsia="宋体" w:cs="宋体"/>
          <w:sz w:val="24"/>
          <w:szCs w:val="24"/>
        </w:rPr>
        <w:t>日</w:t>
      </w:r>
      <w:r>
        <w:rPr>
          <w:rFonts w:hint="eastAsia" w:ascii="宋体" w:hAnsi="宋体" w:eastAsia="宋体" w:cs="宋体"/>
          <w:sz w:val="24"/>
          <w:szCs w:val="24"/>
        </w:rPr>
        <w:t>10</w:t>
      </w:r>
      <w:r>
        <w:rPr>
          <w:rFonts w:ascii="宋体" w:hAnsi="宋体" w:eastAsia="宋体" w:cs="宋体"/>
          <w:sz w:val="24"/>
          <w:szCs w:val="24"/>
        </w:rPr>
        <w:t>时</w:t>
      </w:r>
      <w:r>
        <w:rPr>
          <w:rFonts w:hint="eastAsia" w:ascii="宋体" w:hAnsi="宋体" w:eastAsia="宋体" w:cs="宋体"/>
          <w:sz w:val="24"/>
          <w:szCs w:val="24"/>
        </w:rPr>
        <w:t>30</w:t>
      </w:r>
      <w:r>
        <w:rPr>
          <w:rFonts w:ascii="宋体" w:hAnsi="宋体" w:eastAsia="宋体" w:cs="宋体"/>
          <w:sz w:val="24"/>
          <w:szCs w:val="24"/>
        </w:rPr>
        <w:t>分前不得开启(此处供应商填写响应文件递交截止时间)</w:t>
      </w:r>
    </w:p>
    <w:p>
      <w:pPr>
        <w:spacing w:line="152" w:lineRule="exact"/>
        <w:rPr>
          <w:rFonts w:ascii="宋体" w:hAnsi="宋体" w:eastAsia="宋体"/>
          <w:sz w:val="24"/>
          <w:szCs w:val="24"/>
        </w:rPr>
      </w:pPr>
    </w:p>
    <w:p>
      <w:pPr>
        <w:spacing w:line="322" w:lineRule="exact"/>
        <w:ind w:firstLine="420"/>
        <w:jc w:val="both"/>
        <w:rPr>
          <w:rFonts w:ascii="宋体" w:hAnsi="宋体" w:eastAsia="宋体"/>
          <w:sz w:val="24"/>
          <w:szCs w:val="24"/>
        </w:rPr>
      </w:pPr>
      <w:r>
        <w:rPr>
          <w:rFonts w:ascii="宋体" w:hAnsi="宋体" w:eastAsia="宋体" w:cs="宋体"/>
          <w:sz w:val="24"/>
          <w:szCs w:val="24"/>
        </w:rPr>
        <w:t>15.7 供应商公章：本竞争性磋商文件中描述供应商的“公章”是指根据我国对公章的管理规定，用供应商法定主体行为名称制作的印章，除本文件有特殊规定外，供应商的财务章、部门章、分公司章、工会章、合同章、磋商专用章、业务专用章及银行的转账章、现金收讫章、现金付讫章等其它形式印章均不能代替公章。</w:t>
      </w:r>
    </w:p>
    <w:p>
      <w:pPr>
        <w:spacing w:line="123" w:lineRule="exact"/>
        <w:rPr>
          <w:rFonts w:ascii="宋体" w:hAnsi="宋体" w:eastAsia="宋体"/>
          <w:sz w:val="24"/>
          <w:szCs w:val="24"/>
        </w:rPr>
      </w:pPr>
    </w:p>
    <w:p>
      <w:pPr>
        <w:numPr>
          <w:ilvl w:val="0"/>
          <w:numId w:val="17"/>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响应文件的修改和撤回</w:t>
      </w:r>
    </w:p>
    <w:p>
      <w:pPr>
        <w:spacing w:line="152" w:lineRule="exact"/>
        <w:rPr>
          <w:rFonts w:ascii="宋体" w:hAnsi="宋体" w:eastAsia="宋体"/>
          <w:sz w:val="24"/>
          <w:szCs w:val="24"/>
        </w:rPr>
      </w:pPr>
    </w:p>
    <w:p>
      <w:pPr>
        <w:spacing w:line="284" w:lineRule="exact"/>
        <w:ind w:firstLine="436"/>
        <w:rPr>
          <w:rFonts w:ascii="宋体" w:hAnsi="宋体" w:eastAsia="宋体"/>
          <w:sz w:val="24"/>
          <w:szCs w:val="24"/>
        </w:rPr>
      </w:pPr>
      <w:r>
        <w:rPr>
          <w:rFonts w:ascii="宋体" w:hAnsi="宋体" w:eastAsia="宋体" w:cs="宋体"/>
          <w:sz w:val="24"/>
          <w:szCs w:val="24"/>
        </w:rPr>
        <w:t>16.1 供应商在响应文件递交截止时间之前，可以对已递交的响应文件进行修改或撤回，并书面通知采购代理机构。</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16.2 在响应文件递交截止时间后的响应文件有效期内，供应商不得撤回其响应文件。</w:t>
      </w:r>
    </w:p>
    <w:p>
      <w:pPr>
        <w:spacing w:line="121" w:lineRule="exact"/>
        <w:rPr>
          <w:rFonts w:ascii="宋体" w:hAnsi="宋体" w:eastAsia="宋体"/>
          <w:sz w:val="24"/>
          <w:szCs w:val="24"/>
        </w:rPr>
      </w:pPr>
    </w:p>
    <w:p>
      <w:pPr>
        <w:numPr>
          <w:ilvl w:val="0"/>
          <w:numId w:val="18"/>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响应文件的递交</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17.1 响应文件递交起止时间</w:t>
      </w:r>
    </w:p>
    <w:p>
      <w:pPr>
        <w:spacing w:line="152" w:lineRule="exact"/>
        <w:rPr>
          <w:rFonts w:ascii="宋体" w:hAnsi="宋体" w:eastAsia="宋体"/>
          <w:sz w:val="24"/>
          <w:szCs w:val="24"/>
        </w:rPr>
      </w:pPr>
    </w:p>
    <w:p>
      <w:pPr>
        <w:spacing w:line="284" w:lineRule="exact"/>
        <w:ind w:firstLine="423"/>
        <w:rPr>
          <w:rFonts w:ascii="宋体" w:hAnsi="宋体" w:eastAsia="宋体"/>
          <w:sz w:val="24"/>
          <w:szCs w:val="24"/>
        </w:rPr>
      </w:pPr>
      <w:r>
        <w:rPr>
          <w:rFonts w:ascii="宋体" w:hAnsi="宋体" w:eastAsia="宋体" w:cs="宋体"/>
          <w:b/>
          <w:bCs/>
          <w:sz w:val="24"/>
          <w:szCs w:val="24"/>
        </w:rPr>
        <w:t>响应文件递交起止时间</w:t>
      </w:r>
      <w:r>
        <w:rPr>
          <w:rFonts w:ascii="宋体" w:hAnsi="宋体" w:eastAsia="宋体" w:cs="宋体"/>
          <w:sz w:val="24"/>
          <w:szCs w:val="24"/>
        </w:rPr>
        <w:t>：</w:t>
      </w:r>
      <w:r>
        <w:rPr>
          <w:rFonts w:hint="eastAsia" w:ascii="宋体" w:hAnsi="宋体" w:eastAsia="宋体" w:cs="宋体"/>
          <w:sz w:val="24"/>
          <w:szCs w:val="24"/>
        </w:rPr>
        <w:t>2020</w:t>
      </w:r>
      <w:r>
        <w:rPr>
          <w:rFonts w:ascii="宋体" w:hAnsi="宋体" w:eastAsia="宋体" w:cs="宋体"/>
          <w:sz w:val="24"/>
          <w:szCs w:val="24"/>
        </w:rPr>
        <w:t>年</w:t>
      </w:r>
      <w:r>
        <w:rPr>
          <w:rFonts w:hint="eastAsia" w:ascii="宋体" w:hAnsi="宋体" w:eastAsia="宋体" w:cs="宋体"/>
          <w:sz w:val="24"/>
          <w:szCs w:val="24"/>
          <w:lang w:val="en-US" w:eastAsia="zh-CN"/>
        </w:rPr>
        <w:t>11</w:t>
      </w:r>
      <w:r>
        <w:rPr>
          <w:rFonts w:ascii="宋体" w:hAnsi="宋体" w:eastAsia="宋体" w:cs="宋体"/>
          <w:sz w:val="24"/>
          <w:szCs w:val="24"/>
        </w:rPr>
        <w:t>月</w:t>
      </w:r>
      <w:r>
        <w:rPr>
          <w:rFonts w:hint="eastAsia" w:ascii="宋体" w:hAnsi="宋体" w:eastAsia="宋体" w:cs="宋体"/>
          <w:sz w:val="24"/>
          <w:szCs w:val="24"/>
          <w:lang w:val="en-US" w:eastAsia="zh-CN"/>
        </w:rPr>
        <w:t>20</w:t>
      </w:r>
      <w:r>
        <w:rPr>
          <w:rFonts w:ascii="宋体" w:hAnsi="宋体" w:eastAsia="宋体" w:cs="宋体"/>
          <w:sz w:val="24"/>
          <w:szCs w:val="24"/>
        </w:rPr>
        <w:t>日</w:t>
      </w:r>
      <w:r>
        <w:rPr>
          <w:rFonts w:hint="eastAsia" w:ascii="宋体" w:hAnsi="宋体" w:eastAsia="宋体" w:cs="宋体"/>
          <w:b/>
          <w:bCs/>
          <w:sz w:val="24"/>
          <w:szCs w:val="24"/>
        </w:rPr>
        <w:t>10</w:t>
      </w:r>
      <w:r>
        <w:rPr>
          <w:rFonts w:ascii="宋体" w:hAnsi="宋体" w:eastAsia="宋体" w:cs="宋体"/>
          <w:sz w:val="24"/>
          <w:szCs w:val="24"/>
        </w:rPr>
        <w:t>时至</w:t>
      </w:r>
      <w:r>
        <w:rPr>
          <w:rFonts w:hint="eastAsia" w:ascii="宋体" w:hAnsi="宋体" w:eastAsia="宋体" w:cs="宋体"/>
          <w:b/>
          <w:bCs/>
          <w:sz w:val="24"/>
          <w:szCs w:val="24"/>
        </w:rPr>
        <w:t>10</w:t>
      </w:r>
      <w:r>
        <w:rPr>
          <w:rFonts w:ascii="宋体" w:hAnsi="宋体" w:eastAsia="宋体" w:cs="宋体"/>
          <w:sz w:val="24"/>
          <w:szCs w:val="24"/>
        </w:rPr>
        <w:t>时</w:t>
      </w:r>
      <w:r>
        <w:rPr>
          <w:rFonts w:hint="eastAsia" w:ascii="宋体" w:hAnsi="宋体" w:eastAsia="宋体" w:cs="宋体"/>
          <w:b/>
          <w:bCs/>
          <w:sz w:val="24"/>
          <w:szCs w:val="24"/>
        </w:rPr>
        <w:t>30</w:t>
      </w:r>
      <w:r>
        <w:rPr>
          <w:rFonts w:ascii="宋体" w:hAnsi="宋体" w:eastAsia="宋体" w:cs="宋体"/>
          <w:sz w:val="24"/>
          <w:szCs w:val="24"/>
        </w:rPr>
        <w:t>分，供应商应按竞争性磋商文件规定的响应文件递交截止时间前递交响应文件。</w:t>
      </w:r>
    </w:p>
    <w:p>
      <w:pPr>
        <w:spacing w:line="153" w:lineRule="exact"/>
        <w:rPr>
          <w:rFonts w:ascii="宋体" w:hAnsi="宋体" w:eastAsia="宋体"/>
          <w:sz w:val="24"/>
          <w:szCs w:val="24"/>
        </w:rPr>
      </w:pPr>
    </w:p>
    <w:p>
      <w:pPr>
        <w:spacing w:line="284" w:lineRule="exact"/>
        <w:ind w:firstLine="420"/>
        <w:rPr>
          <w:rFonts w:ascii="宋体" w:hAnsi="宋体" w:eastAsia="宋体"/>
          <w:sz w:val="24"/>
          <w:szCs w:val="24"/>
        </w:rPr>
      </w:pPr>
      <w:r>
        <w:rPr>
          <w:rFonts w:ascii="宋体" w:hAnsi="宋体" w:eastAsia="宋体" w:cs="宋体"/>
          <w:sz w:val="24"/>
          <w:szCs w:val="24"/>
        </w:rPr>
        <w:t>17.2 响应文件递交地点：桂林市公共资源交易中心号</w:t>
      </w:r>
      <w:r>
        <w:rPr>
          <w:rFonts w:hint="eastAsia" w:ascii="宋体" w:hAnsi="宋体" w:eastAsia="宋体" w:cs="宋体"/>
          <w:sz w:val="24"/>
          <w:szCs w:val="24"/>
          <w:lang w:val="en-US" w:eastAsia="zh-CN"/>
        </w:rPr>
        <w:t>2</w:t>
      </w:r>
      <w:r>
        <w:rPr>
          <w:rFonts w:ascii="宋体" w:hAnsi="宋体" w:eastAsia="宋体" w:cs="宋体"/>
          <w:sz w:val="24"/>
          <w:szCs w:val="24"/>
        </w:rPr>
        <w:t>开标室（广西桂林市临桂区西城中路 69 号西辅楼 4 楼）。</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17.3 除竞争性磋商文件另有规定外，供应商所递交的响应文件不予退还。</w:t>
      </w:r>
    </w:p>
    <w:p>
      <w:pPr>
        <w:spacing w:line="120" w:lineRule="exact"/>
        <w:rPr>
          <w:rFonts w:ascii="宋体" w:hAnsi="宋体" w:eastAsia="宋体"/>
          <w:sz w:val="24"/>
          <w:szCs w:val="24"/>
        </w:rPr>
      </w:pPr>
    </w:p>
    <w:p>
      <w:pPr>
        <w:spacing w:line="240" w:lineRule="exact"/>
        <w:ind w:left="420"/>
        <w:rPr>
          <w:rFonts w:ascii="宋体" w:hAnsi="宋体" w:eastAsia="宋体" w:cs="宋体"/>
          <w:sz w:val="24"/>
          <w:szCs w:val="24"/>
        </w:rPr>
      </w:pPr>
      <w:r>
        <w:rPr>
          <w:rFonts w:ascii="宋体" w:hAnsi="宋体" w:eastAsia="宋体" w:cs="宋体"/>
          <w:sz w:val="24"/>
          <w:szCs w:val="24"/>
        </w:rPr>
        <w:t>17.4 逾期送达的或者未送达指定地点的响应文件，采购代理机构不予受理。</w:t>
      </w:r>
    </w:p>
    <w:p>
      <w:pPr>
        <w:pStyle w:val="4"/>
      </w:pPr>
    </w:p>
    <w:p/>
    <w:p/>
    <w:p>
      <w:pPr>
        <w:spacing w:line="211" w:lineRule="exact"/>
        <w:rPr>
          <w:rFonts w:ascii="宋体" w:hAnsi="宋体" w:eastAsia="宋体"/>
          <w:sz w:val="24"/>
          <w:szCs w:val="24"/>
        </w:rPr>
      </w:pPr>
    </w:p>
    <w:p>
      <w:pPr>
        <w:spacing w:line="320" w:lineRule="exact"/>
        <w:ind w:left="2740"/>
        <w:rPr>
          <w:rFonts w:ascii="宋体" w:hAnsi="宋体" w:eastAsia="宋体"/>
          <w:sz w:val="24"/>
          <w:szCs w:val="24"/>
        </w:rPr>
      </w:pPr>
      <w:r>
        <w:rPr>
          <w:rFonts w:ascii="宋体" w:hAnsi="宋体" w:eastAsia="宋体" w:cs="宋体"/>
          <w:b/>
          <w:bCs/>
          <w:sz w:val="24"/>
          <w:szCs w:val="24"/>
        </w:rPr>
        <w:t>四、竞争性磋商（简称磋商）与评审</w:t>
      </w:r>
    </w:p>
    <w:p>
      <w:pPr>
        <w:spacing w:line="110" w:lineRule="exact"/>
        <w:rPr>
          <w:rFonts w:ascii="宋体" w:hAnsi="宋体" w:eastAsia="宋体"/>
          <w:sz w:val="24"/>
          <w:szCs w:val="24"/>
        </w:rPr>
      </w:pPr>
    </w:p>
    <w:p>
      <w:pPr>
        <w:numPr>
          <w:ilvl w:val="0"/>
          <w:numId w:val="19"/>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磋商小组组成及磋商时间、地点、人员</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b/>
          <w:bCs/>
          <w:sz w:val="24"/>
          <w:szCs w:val="24"/>
        </w:rPr>
        <w:t>18.1 磋商小组组成：</w:t>
      </w:r>
    </w:p>
    <w:p>
      <w:pPr>
        <w:spacing w:line="152" w:lineRule="exact"/>
        <w:rPr>
          <w:rFonts w:ascii="宋体" w:hAnsi="宋体" w:eastAsia="宋体"/>
          <w:sz w:val="24"/>
          <w:szCs w:val="24"/>
        </w:rPr>
      </w:pPr>
    </w:p>
    <w:p>
      <w:pPr>
        <w:spacing w:line="284" w:lineRule="exact"/>
        <w:ind w:firstLine="436"/>
        <w:rPr>
          <w:rFonts w:ascii="宋体" w:hAnsi="宋体" w:eastAsia="宋体"/>
          <w:sz w:val="24"/>
          <w:szCs w:val="24"/>
        </w:rPr>
      </w:pPr>
      <w:r>
        <w:rPr>
          <w:rFonts w:ascii="宋体" w:hAnsi="宋体" w:eastAsia="宋体" w:cs="宋体"/>
          <w:sz w:val="24"/>
          <w:szCs w:val="24"/>
        </w:rPr>
        <w:t>磋商及评审工作由采购代理机构负责组织，具体磋商、评审工作由依法组建的磋商小组负责，磋商小组由采购人代表和有关方面的专家组成。磋商小组的构成：3 人，其中采购人代表 1 人，专家 2 人。</w:t>
      </w:r>
    </w:p>
    <w:p>
      <w:pPr>
        <w:spacing w:line="121" w:lineRule="exact"/>
        <w:rPr>
          <w:rFonts w:ascii="宋体" w:hAnsi="宋体" w:eastAsia="宋体"/>
          <w:sz w:val="24"/>
          <w:szCs w:val="24"/>
        </w:rPr>
      </w:pPr>
    </w:p>
    <w:p>
      <w:pPr>
        <w:spacing w:line="240" w:lineRule="exact"/>
        <w:ind w:left="360"/>
        <w:rPr>
          <w:rFonts w:ascii="宋体" w:hAnsi="宋体" w:eastAsia="宋体"/>
          <w:sz w:val="24"/>
          <w:szCs w:val="24"/>
        </w:rPr>
      </w:pPr>
      <w:r>
        <w:rPr>
          <w:rFonts w:ascii="宋体" w:hAnsi="宋体" w:eastAsia="宋体" w:cs="宋体"/>
          <w:b/>
          <w:bCs/>
          <w:sz w:val="24"/>
          <w:szCs w:val="24"/>
        </w:rPr>
        <w:t>18.2 磋商时间、地点、人员：</w:t>
      </w:r>
    </w:p>
    <w:p>
      <w:pPr>
        <w:spacing w:line="14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18.2.1 磋商时间：响应文件递交截止时间后。</w:t>
      </w:r>
    </w:p>
    <w:p>
      <w:pPr>
        <w:spacing w:line="132" w:lineRule="exact"/>
        <w:rPr>
          <w:rFonts w:ascii="宋体" w:hAnsi="宋体" w:eastAsia="宋体"/>
          <w:sz w:val="24"/>
          <w:szCs w:val="24"/>
        </w:rPr>
      </w:pPr>
    </w:p>
    <w:p>
      <w:pPr>
        <w:spacing w:line="284" w:lineRule="exact"/>
        <w:ind w:firstLine="420"/>
        <w:rPr>
          <w:rFonts w:ascii="宋体" w:hAnsi="宋体" w:eastAsia="宋体"/>
          <w:sz w:val="24"/>
          <w:szCs w:val="24"/>
        </w:rPr>
      </w:pPr>
      <w:r>
        <w:rPr>
          <w:rFonts w:ascii="宋体" w:hAnsi="宋体" w:eastAsia="宋体" w:cs="宋体"/>
          <w:sz w:val="24"/>
          <w:szCs w:val="24"/>
        </w:rPr>
        <w:t>18.2.2 磋商地点：桂林市公共资源交易中心评标室（广西桂林市临桂区西城中路 69 号西辅楼 4 楼，具体事项评标室另行通知）</w:t>
      </w:r>
    </w:p>
    <w:p>
      <w:pPr>
        <w:spacing w:line="153" w:lineRule="exact"/>
        <w:rPr>
          <w:rFonts w:ascii="宋体" w:hAnsi="宋体" w:eastAsia="宋体"/>
          <w:sz w:val="24"/>
          <w:szCs w:val="24"/>
        </w:rPr>
      </w:pPr>
    </w:p>
    <w:p>
      <w:pPr>
        <w:spacing w:line="284" w:lineRule="exact"/>
        <w:ind w:left="420"/>
        <w:rPr>
          <w:rFonts w:ascii="宋体" w:hAnsi="宋体" w:eastAsia="宋体"/>
          <w:sz w:val="24"/>
          <w:szCs w:val="24"/>
        </w:rPr>
      </w:pPr>
      <w:r>
        <w:rPr>
          <w:rFonts w:ascii="宋体" w:hAnsi="宋体" w:eastAsia="宋体" w:cs="宋体"/>
          <w:sz w:val="24"/>
          <w:szCs w:val="24"/>
        </w:rPr>
        <w:t>18.2.3 磋商参加人员：供应商法定代表人、负责人、自然人或相应的委托代理人持有效身份证原件参加磋商。请供应商按时到达指定地点等候当面磋商。</w:t>
      </w:r>
    </w:p>
    <w:p>
      <w:pPr>
        <w:spacing w:line="141" w:lineRule="exact"/>
        <w:rPr>
          <w:rFonts w:ascii="宋体" w:hAnsi="宋体" w:eastAsia="宋体"/>
          <w:sz w:val="24"/>
          <w:szCs w:val="24"/>
        </w:rPr>
      </w:pPr>
    </w:p>
    <w:p>
      <w:pPr>
        <w:spacing w:line="240" w:lineRule="exact"/>
        <w:ind w:left="420"/>
        <w:rPr>
          <w:rFonts w:ascii="宋体" w:hAnsi="宋体" w:eastAsia="宋体" w:cs="宋体"/>
          <w:sz w:val="24"/>
          <w:szCs w:val="24"/>
        </w:rPr>
      </w:pPr>
      <w:r>
        <w:rPr>
          <w:rFonts w:ascii="宋体" w:hAnsi="宋体" w:eastAsia="宋体" w:cs="宋体"/>
          <w:sz w:val="24"/>
          <w:szCs w:val="24"/>
        </w:rPr>
        <w:t>18.2.4 响应文件递交截止时间后，由磋商小组在评标室内开启响应文件。</w:t>
      </w:r>
    </w:p>
    <w:p>
      <w:pPr>
        <w:spacing w:line="240" w:lineRule="exact"/>
        <w:ind w:left="420"/>
        <w:rPr>
          <w:rFonts w:ascii="宋体" w:hAnsi="宋体" w:eastAsia="宋体" w:cs="宋体"/>
          <w:sz w:val="24"/>
          <w:szCs w:val="24"/>
        </w:rPr>
      </w:pPr>
    </w:p>
    <w:p>
      <w:pPr>
        <w:spacing w:line="240" w:lineRule="exact"/>
        <w:ind w:left="420"/>
        <w:rPr>
          <w:rFonts w:ascii="宋体" w:hAnsi="宋体" w:eastAsia="宋体" w:cs="宋体"/>
          <w:sz w:val="24"/>
          <w:szCs w:val="24"/>
        </w:rPr>
      </w:pPr>
    </w:p>
    <w:p>
      <w:pPr>
        <w:spacing w:line="240" w:lineRule="exact"/>
        <w:ind w:left="420"/>
        <w:rPr>
          <w:rFonts w:ascii="宋体" w:hAnsi="宋体" w:eastAsia="宋体" w:cs="宋体"/>
          <w:sz w:val="24"/>
          <w:szCs w:val="24"/>
        </w:rPr>
      </w:pPr>
    </w:p>
    <w:p>
      <w:pPr>
        <w:spacing w:line="100" w:lineRule="exact"/>
        <w:rPr>
          <w:rFonts w:ascii="宋体" w:hAnsi="宋体" w:eastAsia="宋体"/>
          <w:sz w:val="24"/>
          <w:szCs w:val="24"/>
        </w:rPr>
      </w:pPr>
    </w:p>
    <w:p>
      <w:pPr>
        <w:numPr>
          <w:ilvl w:val="0"/>
          <w:numId w:val="20"/>
        </w:numPr>
        <w:tabs>
          <w:tab w:val="left" w:pos="800"/>
        </w:tabs>
        <w:spacing w:line="240" w:lineRule="exact"/>
        <w:ind w:left="800" w:hanging="432"/>
        <w:rPr>
          <w:rFonts w:ascii="宋体" w:hAnsi="宋体" w:eastAsia="宋体" w:cs="宋体"/>
          <w:b/>
          <w:bCs/>
          <w:sz w:val="24"/>
          <w:szCs w:val="24"/>
        </w:rPr>
      </w:pPr>
      <w:r>
        <w:rPr>
          <w:rFonts w:ascii="宋体" w:hAnsi="宋体" w:eastAsia="宋体" w:cs="宋体"/>
          <w:b/>
          <w:bCs/>
          <w:sz w:val="24"/>
          <w:szCs w:val="24"/>
        </w:rPr>
        <w:t>评审原则和评审办法</w:t>
      </w:r>
    </w:p>
    <w:p>
      <w:pPr>
        <w:spacing w:line="120" w:lineRule="exact"/>
        <w:rPr>
          <w:rFonts w:ascii="宋体" w:hAnsi="宋体" w:eastAsia="宋体"/>
          <w:sz w:val="24"/>
          <w:szCs w:val="24"/>
        </w:rPr>
      </w:pPr>
    </w:p>
    <w:p>
      <w:pPr>
        <w:spacing w:line="240" w:lineRule="exact"/>
        <w:ind w:left="360"/>
        <w:rPr>
          <w:rFonts w:ascii="宋体" w:hAnsi="宋体" w:eastAsia="宋体"/>
          <w:sz w:val="24"/>
          <w:szCs w:val="24"/>
        </w:rPr>
      </w:pPr>
      <w:r>
        <w:rPr>
          <w:rFonts w:ascii="宋体" w:hAnsi="宋体" w:eastAsia="宋体" w:cs="宋体"/>
          <w:sz w:val="24"/>
          <w:szCs w:val="24"/>
        </w:rPr>
        <w:t>19.1 磋商小组必须坚持公平、公正、科学和择优的原则。</w:t>
      </w:r>
    </w:p>
    <w:p>
      <w:pPr>
        <w:spacing w:line="120" w:lineRule="exact"/>
        <w:rPr>
          <w:rFonts w:ascii="宋体" w:hAnsi="宋体" w:eastAsia="宋体"/>
          <w:sz w:val="24"/>
          <w:szCs w:val="24"/>
        </w:rPr>
      </w:pPr>
    </w:p>
    <w:p>
      <w:pPr>
        <w:spacing w:line="240" w:lineRule="exact"/>
        <w:ind w:left="360"/>
        <w:rPr>
          <w:rFonts w:ascii="宋体" w:hAnsi="宋体" w:eastAsia="宋体"/>
          <w:sz w:val="24"/>
          <w:szCs w:val="24"/>
        </w:rPr>
      </w:pPr>
      <w:r>
        <w:rPr>
          <w:rFonts w:ascii="宋体" w:hAnsi="宋体" w:eastAsia="宋体" w:cs="宋体"/>
          <w:sz w:val="24"/>
          <w:szCs w:val="24"/>
        </w:rPr>
        <w:t>19.2 评审办法：具体详见第四章评审办法。</w:t>
      </w:r>
    </w:p>
    <w:p>
      <w:pPr>
        <w:spacing w:line="120" w:lineRule="exact"/>
        <w:rPr>
          <w:rFonts w:ascii="宋体" w:hAnsi="宋体" w:eastAsia="宋体"/>
          <w:sz w:val="24"/>
          <w:szCs w:val="24"/>
        </w:rPr>
      </w:pPr>
    </w:p>
    <w:p>
      <w:pPr>
        <w:spacing w:line="240" w:lineRule="exact"/>
        <w:ind w:left="360"/>
        <w:rPr>
          <w:rFonts w:ascii="宋体" w:hAnsi="宋体" w:eastAsia="宋体"/>
          <w:sz w:val="24"/>
          <w:szCs w:val="24"/>
        </w:rPr>
      </w:pPr>
      <w:r>
        <w:rPr>
          <w:rFonts w:ascii="宋体" w:hAnsi="宋体" w:eastAsia="宋体" w:cs="宋体"/>
          <w:sz w:val="24"/>
          <w:szCs w:val="24"/>
        </w:rPr>
        <w:t>19.3 磋商小组应按磋商文件进行评审，不得擅自更改评审办法。</w:t>
      </w:r>
    </w:p>
    <w:p>
      <w:pPr>
        <w:spacing w:line="152" w:lineRule="exact"/>
        <w:rPr>
          <w:rFonts w:ascii="宋体" w:hAnsi="宋体" w:eastAsia="宋体"/>
          <w:sz w:val="24"/>
          <w:szCs w:val="24"/>
        </w:rPr>
      </w:pPr>
    </w:p>
    <w:p>
      <w:pPr>
        <w:spacing w:line="284" w:lineRule="exact"/>
        <w:ind w:firstLine="359"/>
        <w:rPr>
          <w:rFonts w:ascii="宋体" w:hAnsi="宋体" w:eastAsia="宋体"/>
          <w:sz w:val="24"/>
          <w:szCs w:val="24"/>
        </w:rPr>
      </w:pPr>
      <w:r>
        <w:rPr>
          <w:rFonts w:ascii="宋体" w:hAnsi="宋体" w:eastAsia="宋体" w:cs="宋体"/>
          <w:sz w:val="24"/>
          <w:szCs w:val="24"/>
        </w:rPr>
        <w:t>19.4 在评审过程中，磋商小组任何人不得对某个供应商发表任何倾向性意见，不得向其他磋商小组成员明示或者暗示自己的评审意见。</w:t>
      </w:r>
    </w:p>
    <w:p>
      <w:pPr>
        <w:spacing w:line="133" w:lineRule="exact"/>
        <w:rPr>
          <w:rFonts w:ascii="宋体" w:hAnsi="宋体" w:eastAsia="宋体"/>
          <w:sz w:val="24"/>
          <w:szCs w:val="24"/>
        </w:rPr>
      </w:pPr>
    </w:p>
    <w:p>
      <w:pPr>
        <w:spacing w:line="229" w:lineRule="exact"/>
        <w:ind w:right="-359"/>
        <w:jc w:val="center"/>
        <w:rPr>
          <w:rFonts w:ascii="宋体" w:hAnsi="宋体" w:eastAsia="宋体"/>
          <w:sz w:val="24"/>
          <w:szCs w:val="24"/>
        </w:rPr>
      </w:pPr>
      <w:r>
        <w:rPr>
          <w:rFonts w:ascii="宋体" w:hAnsi="宋体" w:eastAsia="宋体" w:cs="宋体"/>
          <w:sz w:val="24"/>
          <w:szCs w:val="24"/>
        </w:rPr>
        <w:t>19.5 磋商小组成员对需要共同认定的事项存在争议的，按照少数服从多数的原则作出结论。持不同</w:t>
      </w:r>
    </w:p>
    <w:p>
      <w:pPr>
        <w:spacing w:line="240" w:lineRule="exact"/>
        <w:rPr>
          <w:rFonts w:ascii="宋体" w:hAnsi="宋体" w:eastAsia="宋体"/>
          <w:sz w:val="24"/>
          <w:szCs w:val="24"/>
        </w:rPr>
      </w:pPr>
      <w:bookmarkStart w:id="48" w:name="page13"/>
      <w:bookmarkEnd w:id="48"/>
      <w:r>
        <w:rPr>
          <w:rFonts w:ascii="宋体" w:hAnsi="宋体" w:eastAsia="宋体" w:cs="宋体"/>
          <w:sz w:val="24"/>
          <w:szCs w:val="24"/>
        </w:rPr>
        <w:t>意见的磋商小组成员应当在评审报告上签署不同意见并说明理由，否则视为同意。</w:t>
      </w:r>
    </w:p>
    <w:p>
      <w:pPr>
        <w:spacing w:line="120" w:lineRule="exact"/>
        <w:rPr>
          <w:rFonts w:ascii="宋体" w:hAnsi="宋体" w:eastAsia="宋体"/>
          <w:sz w:val="24"/>
          <w:szCs w:val="24"/>
        </w:rPr>
      </w:pPr>
    </w:p>
    <w:p>
      <w:pPr>
        <w:numPr>
          <w:ilvl w:val="0"/>
          <w:numId w:val="21"/>
        </w:numPr>
        <w:tabs>
          <w:tab w:val="left" w:pos="800"/>
        </w:tabs>
        <w:spacing w:line="240" w:lineRule="exact"/>
        <w:ind w:left="800" w:hanging="432"/>
        <w:rPr>
          <w:rFonts w:ascii="宋体" w:hAnsi="宋体" w:eastAsia="宋体" w:cs="宋体"/>
          <w:b/>
          <w:bCs/>
          <w:sz w:val="24"/>
          <w:szCs w:val="24"/>
        </w:rPr>
      </w:pPr>
      <w:r>
        <w:rPr>
          <w:rFonts w:ascii="宋体" w:hAnsi="宋体" w:eastAsia="宋体" w:cs="宋体"/>
          <w:b/>
          <w:bCs/>
          <w:sz w:val="24"/>
          <w:szCs w:val="24"/>
        </w:rPr>
        <w:t>评审程序及磋商要求</w:t>
      </w:r>
    </w:p>
    <w:p>
      <w:pPr>
        <w:spacing w:line="152"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20.1 交易中心工作人员核实磋商小组成员身份，磋商小组确认回避要求、评审工作纪律和程序，统一保管通讯工具或相关电子设备，推选磋商小组组长。</w:t>
      </w:r>
    </w:p>
    <w:p>
      <w:pPr>
        <w:spacing w:line="153"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20.2 磋商小组应当对发布公告的竞争性磋商文件（简称磋商文件）进行确认，审查供应商的响应文件并作出评价；要求供应商解释或者澄清其响应文件；编写评审报告；告知采购人、采购代理机构在评审过程中发现的供应商的违法违规行为。</w:t>
      </w:r>
    </w:p>
    <w:p>
      <w:pPr>
        <w:spacing w:line="155"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20.3 磋商小组依据法律法规和竞争性磋商文件的规定，首先对响应文件中的资格证明等进行资格性审查，以确定供应商是否具备本项目供应商资格；</w:t>
      </w:r>
    </w:p>
    <w:p>
      <w:pPr>
        <w:spacing w:line="153"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在进行资格性审查时，磋商小组将进入《国家企业信用信息公示系统》对企业股东及出资等信息进行查询，对存在《中华人民共和国政府采购法实施条例》第十八条第一款情形的，其响应文件将被视为无效文件。</w:t>
      </w:r>
    </w:p>
    <w:p>
      <w:pPr>
        <w:spacing w:line="123"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审查流程：</w:t>
      </w:r>
    </w:p>
    <w:p>
      <w:pPr>
        <w:spacing w:line="152"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（1）进入《国家企业信用信息公示系统》（网址：http://www.gsxt.gov.cn/index.html），输入企业名称，进入企业信息主页面。</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（2）查看主页 “股东及出资信息”栏，或年报中的“股东及出资信息”栏信息。</w:t>
      </w:r>
    </w:p>
    <w:p>
      <w:pPr>
        <w:spacing w:line="152"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（3）将各供应商的股东及出资信息进行比对，如发现存在单位负责人为同一人或者存在直接控股、管理关系的不同供应商参加同一合同项下的政府采购活动，按无效处理。</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（4）将相关资料打印存档。</w:t>
      </w:r>
    </w:p>
    <w:p>
      <w:pPr>
        <w:spacing w:line="152"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磋商小组依据竞争性磋商文件的规定对通过资格性审查的供应商响应文件的有效性、完整性和对磋商文件的响应程度进行符合性审查，以确定是否对磋商文件的实质性要求做出响应。</w:t>
      </w:r>
    </w:p>
    <w:p>
      <w:pPr>
        <w:spacing w:line="153"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20.4 磋商小组如发现供应商提供的证明文件不齐全或不符合规定格式的，应一次性告知供应商，供应商应在规定的时间内当场补正或更正。</w:t>
      </w:r>
    </w:p>
    <w:p>
      <w:pPr>
        <w:spacing w:line="153" w:lineRule="exact"/>
        <w:rPr>
          <w:rFonts w:ascii="宋体" w:hAnsi="宋体" w:eastAsia="宋体"/>
          <w:sz w:val="24"/>
          <w:szCs w:val="24"/>
        </w:rPr>
      </w:pPr>
    </w:p>
    <w:p>
      <w:pPr>
        <w:spacing w:line="335" w:lineRule="exact"/>
        <w:ind w:right="100" w:firstLine="420"/>
        <w:jc w:val="both"/>
        <w:rPr>
          <w:rFonts w:ascii="宋体" w:hAnsi="宋体" w:eastAsia="宋体"/>
          <w:sz w:val="24"/>
          <w:szCs w:val="24"/>
        </w:rPr>
      </w:pPr>
      <w:r>
        <w:rPr>
          <w:rFonts w:ascii="宋体" w:hAnsi="宋体" w:eastAsia="宋体" w:cs="宋体"/>
          <w:sz w:val="24"/>
          <w:szCs w:val="24"/>
        </w:rPr>
        <w:t>20.5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负责人、自然人或相应的授权委托代表签字或者加盖供应商公章（自然人除外）。由授权委托代表签字的，应当附授权委托书。供应商为自然人的，应当由本人签字并附身份证明。</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根据磋商文件规定的程序、评审办法等事项与实质性响应竞争性磋商文件要求的供应商进行磋商。</w:t>
      </w:r>
    </w:p>
    <w:p>
      <w:pPr>
        <w:spacing w:line="120" w:lineRule="exact"/>
        <w:rPr>
          <w:rFonts w:ascii="宋体" w:hAnsi="宋体" w:eastAsia="宋体"/>
          <w:sz w:val="24"/>
          <w:szCs w:val="24"/>
        </w:rPr>
      </w:pPr>
    </w:p>
    <w:p>
      <w:pPr>
        <w:spacing w:line="240" w:lineRule="exact"/>
        <w:rPr>
          <w:rFonts w:ascii="宋体" w:hAnsi="宋体" w:eastAsia="宋体"/>
          <w:sz w:val="24"/>
          <w:szCs w:val="24"/>
        </w:rPr>
      </w:pPr>
      <w:r>
        <w:rPr>
          <w:rFonts w:ascii="宋体" w:hAnsi="宋体" w:eastAsia="宋体" w:cs="宋体"/>
          <w:sz w:val="24"/>
          <w:szCs w:val="24"/>
        </w:rPr>
        <w:t>未实质性响应磋商文件的响应文件按无效处理，磋商小组应当告知有关供应商。</w:t>
      </w:r>
    </w:p>
    <w:p>
      <w:pPr>
        <w:spacing w:line="152" w:lineRule="exact"/>
        <w:rPr>
          <w:rFonts w:ascii="宋体" w:hAnsi="宋体" w:eastAsia="宋体"/>
          <w:sz w:val="24"/>
          <w:szCs w:val="24"/>
        </w:rPr>
      </w:pPr>
    </w:p>
    <w:p>
      <w:pPr>
        <w:spacing w:line="284" w:lineRule="exact"/>
        <w:ind w:right="100" w:firstLine="420"/>
        <w:rPr>
          <w:rFonts w:ascii="宋体" w:hAnsi="宋体" w:eastAsia="宋体"/>
          <w:sz w:val="24"/>
          <w:szCs w:val="24"/>
        </w:rPr>
      </w:pPr>
      <w:r>
        <w:rPr>
          <w:rFonts w:ascii="宋体" w:hAnsi="宋体" w:eastAsia="宋体" w:cs="宋体"/>
          <w:sz w:val="24"/>
          <w:szCs w:val="24"/>
        </w:rPr>
        <w:t>磋商小组所有成员应当按已确定的磋商顺序集中与单一供应商分别进行磋商，并给予所有实质性响应竞争性磋商文件要求的供应商平等的磋商机会。</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磋商中，磋商小组不得透露与磋商有关的其他供应商的技术资料、价格和其他信息。</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磋商小组应对磋商过程和重要磋商内容进行记录，磋商双方在记录上签字确认。</w:t>
      </w:r>
    </w:p>
    <w:p>
      <w:pPr>
        <w:spacing w:line="152" w:lineRule="exact"/>
        <w:rPr>
          <w:rFonts w:ascii="宋体" w:hAnsi="宋体" w:eastAsia="宋体"/>
          <w:sz w:val="24"/>
          <w:szCs w:val="24"/>
        </w:rPr>
      </w:pPr>
    </w:p>
    <w:p>
      <w:pPr>
        <w:spacing w:line="284" w:lineRule="exact"/>
        <w:ind w:right="100" w:firstLine="420"/>
        <w:rPr>
          <w:rFonts w:ascii="宋体" w:hAnsi="宋体" w:eastAsia="宋体"/>
          <w:sz w:val="24"/>
          <w:szCs w:val="24"/>
        </w:rPr>
      </w:pPr>
      <w:r>
        <w:rPr>
          <w:rFonts w:ascii="宋体" w:hAnsi="宋体" w:eastAsia="宋体" w:cs="宋体"/>
          <w:sz w:val="24"/>
          <w:szCs w:val="24"/>
        </w:rPr>
        <w:t>20.6 在磋商过程中，磋商小组可以根据磋商文件和磋商情况实质性变动采购需求中的技术、服务要求以及合同草案条款，但不得变动磋商文件中的其他内容。实质性变动的内容，须经采购人代表确认。</w:t>
      </w:r>
    </w:p>
    <w:p>
      <w:pPr>
        <w:spacing w:line="153" w:lineRule="exact"/>
        <w:rPr>
          <w:rFonts w:ascii="宋体" w:hAnsi="宋体" w:eastAsia="宋体"/>
          <w:sz w:val="24"/>
          <w:szCs w:val="24"/>
        </w:rPr>
      </w:pPr>
    </w:p>
    <w:p>
      <w:pPr>
        <w:spacing w:line="284" w:lineRule="exact"/>
        <w:ind w:right="100" w:firstLine="420"/>
        <w:rPr>
          <w:rFonts w:ascii="宋体" w:hAnsi="宋体" w:eastAsia="宋体"/>
          <w:sz w:val="24"/>
          <w:szCs w:val="24"/>
        </w:rPr>
      </w:pPr>
      <w:r>
        <w:rPr>
          <w:rFonts w:ascii="宋体" w:hAnsi="宋体" w:eastAsia="宋体" w:cs="宋体"/>
          <w:sz w:val="24"/>
          <w:szCs w:val="24"/>
        </w:rPr>
        <w:t>对磋商文件作出的实质性变动是磋商文件的有效组成部分，磋商小组应当及时以书面形式同时通知所有参加磋商的供应商。</w:t>
      </w:r>
    </w:p>
    <w:p>
      <w:pPr>
        <w:spacing w:line="309" w:lineRule="exact"/>
        <w:ind w:right="100" w:firstLine="480" w:firstLineChars="200"/>
        <w:jc w:val="both"/>
        <w:rPr>
          <w:rFonts w:ascii="宋体" w:hAnsi="宋体" w:eastAsia="宋体"/>
          <w:sz w:val="24"/>
          <w:szCs w:val="24"/>
        </w:rPr>
      </w:pPr>
      <w:bookmarkStart w:id="49" w:name="page14"/>
      <w:bookmarkEnd w:id="49"/>
      <w:r>
        <w:rPr>
          <w:rFonts w:ascii="宋体" w:hAnsi="宋体" w:eastAsia="宋体" w:cs="宋体"/>
          <w:sz w:val="24"/>
          <w:szCs w:val="24"/>
        </w:rPr>
        <w:t>供应商应当按照磋商文件的变动情况和磋商小组的要求重新提交响应文件，并由其法定代表人、负责人、自然人或相应的授权委托代表签字或者加盖供应商公章（自然人除外）。逾时不交的，视同放弃磋商。</w:t>
      </w:r>
    </w:p>
    <w:p>
      <w:pPr>
        <w:spacing w:line="123"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20.7 最后报价</w:t>
      </w:r>
    </w:p>
    <w:p>
      <w:pPr>
        <w:spacing w:line="152" w:lineRule="exact"/>
        <w:rPr>
          <w:rFonts w:ascii="宋体" w:hAnsi="宋体" w:eastAsia="宋体"/>
          <w:sz w:val="24"/>
          <w:szCs w:val="24"/>
        </w:rPr>
      </w:pPr>
    </w:p>
    <w:p>
      <w:pPr>
        <w:spacing w:line="330" w:lineRule="exact"/>
        <w:ind w:right="100" w:firstLine="420"/>
        <w:jc w:val="both"/>
        <w:rPr>
          <w:rFonts w:ascii="宋体" w:hAnsi="宋体" w:eastAsia="宋体"/>
          <w:sz w:val="24"/>
          <w:szCs w:val="24"/>
        </w:rPr>
      </w:pPr>
      <w:r>
        <w:rPr>
          <w:rFonts w:ascii="宋体" w:hAnsi="宋体" w:eastAsia="宋体" w:cs="宋体"/>
          <w:sz w:val="24"/>
          <w:szCs w:val="24"/>
        </w:rPr>
        <w:t>20.7.1 根据财库【2015】124 号《财政部关于政府采购竞争性磋商采购方式有关问题的通知》的规定，如采购项目为政府购买服务项目（含政府和社会资本合作项目），在采购过程中符合要求的供应商（社会资本）只有 2 家的，竞争性磋商采购活动可以继续进行；采购过程中符合要求的供应商（社会资本）只有 1 家的，采购人或者采购代理机构应当终止竞争性磋商采购活动，发布项目终止公告并说明原因，重新开展采购活动。</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20.7.2 已提交响应文件的供应商，在提交最后报价之前，可以根据磋商情况书面退出磋商。</w:t>
      </w:r>
    </w:p>
    <w:p>
      <w:pPr>
        <w:spacing w:line="152"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20.7.3 最后报价是供应商响应文件的有效组成部分。未书面退出磋商的供应商在规定时间内密封提交最后报价，其最后报价超出采购预算导致已通过评审的响应文件无效的，按供应商在提交响应文件截止时间后撤回响应文件处理。</w:t>
      </w:r>
    </w:p>
    <w:p>
      <w:pPr>
        <w:spacing w:line="123"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20.8 综合比较与评价</w:t>
      </w:r>
    </w:p>
    <w:p>
      <w:pPr>
        <w:spacing w:line="152" w:lineRule="exact"/>
        <w:rPr>
          <w:rFonts w:ascii="宋体" w:hAnsi="宋体" w:eastAsia="宋体"/>
          <w:sz w:val="24"/>
          <w:szCs w:val="24"/>
        </w:rPr>
      </w:pPr>
    </w:p>
    <w:p>
      <w:pPr>
        <w:spacing w:line="284" w:lineRule="exact"/>
        <w:ind w:right="160" w:firstLine="420"/>
        <w:rPr>
          <w:rFonts w:ascii="宋体" w:hAnsi="宋体" w:eastAsia="宋体"/>
          <w:sz w:val="24"/>
          <w:szCs w:val="24"/>
        </w:rPr>
      </w:pPr>
      <w:r>
        <w:rPr>
          <w:rFonts w:ascii="宋体" w:hAnsi="宋体" w:eastAsia="宋体" w:cs="宋体"/>
          <w:sz w:val="24"/>
          <w:szCs w:val="24"/>
        </w:rPr>
        <w:t>20.8.1 磋商小组按竞争性磋商文件中规定的评审办法，对资格性审查和符合性审查合格的响应文件进行商务和技术评估，综合比较与评价。</w:t>
      </w:r>
    </w:p>
    <w:p>
      <w:pPr>
        <w:spacing w:line="153" w:lineRule="exact"/>
        <w:rPr>
          <w:rFonts w:ascii="宋体" w:hAnsi="宋体" w:eastAsia="宋体"/>
          <w:sz w:val="24"/>
          <w:szCs w:val="24"/>
        </w:rPr>
      </w:pPr>
    </w:p>
    <w:p>
      <w:pPr>
        <w:spacing w:line="284" w:lineRule="exact"/>
        <w:ind w:right="160" w:firstLine="420"/>
        <w:rPr>
          <w:rFonts w:ascii="宋体" w:hAnsi="宋体" w:eastAsia="宋体"/>
          <w:sz w:val="24"/>
          <w:szCs w:val="24"/>
        </w:rPr>
      </w:pPr>
      <w:r>
        <w:rPr>
          <w:rFonts w:ascii="宋体" w:hAnsi="宋体" w:eastAsia="宋体" w:cs="宋体"/>
          <w:sz w:val="24"/>
          <w:szCs w:val="24"/>
        </w:rPr>
        <w:t>20.8.2 采购代理机构对评审数据进行校对、核对，对畸高、畸低的重大差异评分提示磋商小组复核或书面说明理由。</w:t>
      </w:r>
    </w:p>
    <w:p>
      <w:pPr>
        <w:spacing w:line="153" w:lineRule="exact"/>
        <w:rPr>
          <w:rFonts w:ascii="宋体" w:hAnsi="宋体" w:eastAsia="宋体"/>
          <w:sz w:val="24"/>
          <w:szCs w:val="24"/>
        </w:rPr>
      </w:pPr>
    </w:p>
    <w:p>
      <w:pPr>
        <w:spacing w:line="338" w:lineRule="exact"/>
        <w:ind w:right="100" w:firstLine="420"/>
        <w:jc w:val="both"/>
        <w:rPr>
          <w:rFonts w:ascii="宋体" w:hAnsi="宋体" w:eastAsia="宋体"/>
          <w:sz w:val="24"/>
          <w:szCs w:val="24"/>
        </w:rPr>
      </w:pPr>
      <w:r>
        <w:rPr>
          <w:rFonts w:ascii="宋体" w:hAnsi="宋体" w:eastAsia="宋体" w:cs="宋体"/>
          <w:sz w:val="24"/>
          <w:szCs w:val="24"/>
        </w:rPr>
        <w:t>20.8.3 磋商小组应当根据综合评分情况，按照评审得分由高到低顺序推荐 3 名以上（含 3 名）成交候选供应商，并编写评审报告；如采购项目为政府购买服务项目（含政府和社会资本合作项目），在采购过程中符合要求的供应商（社会资本）只有 2 家的，竞争性磋商采购活动可以继续进行，磋商小组应当根据综合评分情况，按照评审得分由高到低顺序推荐 2 名以上（含 2 名）成交候选供应商，并编写评审报告。磋商小组根据综合得分由高到低排列次序，若得分相同时，以评标报价由低到高顺序排列；若得分相同且评标报价相同的，以磋商报价由低到高顺序排列；若仍相同时，按服务方案得分由高到低的顺序排列并推荐成交供应商。若仍相同时，则由磋商小组集体讨论确定。</w:t>
      </w:r>
    </w:p>
    <w:p>
      <w:pPr>
        <w:spacing w:line="158" w:lineRule="exact"/>
        <w:rPr>
          <w:rFonts w:ascii="宋体" w:hAnsi="宋体" w:eastAsia="宋体"/>
          <w:sz w:val="24"/>
          <w:szCs w:val="24"/>
        </w:rPr>
      </w:pPr>
    </w:p>
    <w:p>
      <w:pPr>
        <w:spacing w:line="284" w:lineRule="exact"/>
        <w:ind w:firstLine="420"/>
        <w:rPr>
          <w:rFonts w:ascii="宋体" w:hAnsi="宋体" w:eastAsia="宋体"/>
          <w:sz w:val="24"/>
          <w:szCs w:val="24"/>
        </w:rPr>
      </w:pPr>
      <w:r>
        <w:rPr>
          <w:rFonts w:ascii="宋体" w:hAnsi="宋体" w:eastAsia="宋体" w:cs="宋体"/>
          <w:sz w:val="24"/>
          <w:szCs w:val="24"/>
        </w:rPr>
        <w:t>20.9、在评审过程中出现法律法规和磋商文件均没有明确规定的情形时，由磋商小组现场协商解决，协商不一致的，由全体磋商小组投票表决，以得票率二分之一以上专家的意见为准。</w:t>
      </w:r>
    </w:p>
    <w:p>
      <w:pPr>
        <w:spacing w:line="153" w:lineRule="exact"/>
        <w:rPr>
          <w:rFonts w:ascii="宋体" w:hAnsi="宋体" w:eastAsia="宋体"/>
          <w:sz w:val="24"/>
          <w:szCs w:val="24"/>
        </w:rPr>
      </w:pPr>
    </w:p>
    <w:p>
      <w:pPr>
        <w:spacing w:line="284" w:lineRule="exact"/>
        <w:ind w:right="160" w:firstLine="420"/>
        <w:rPr>
          <w:rFonts w:ascii="宋体" w:hAnsi="宋体" w:eastAsia="宋体"/>
          <w:sz w:val="24"/>
          <w:szCs w:val="24"/>
        </w:rPr>
      </w:pPr>
      <w:r>
        <w:rPr>
          <w:rFonts w:ascii="宋体" w:hAnsi="宋体" w:eastAsia="宋体" w:cs="宋体"/>
          <w:sz w:val="24"/>
          <w:szCs w:val="24"/>
        </w:rPr>
        <w:t>20.10、采购代理机构发现磋商小组有明显的违规倾向或歧视现象，或不按评审办法进行，或其他不正常行为的，应当及时制止。如制止无效，应及时向灵川县政府采购监督管理机构报告。</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20.11、磋商小组判断响应文件的响应性仅基于响应文件本身而不靠外部证据。</w:t>
      </w:r>
    </w:p>
    <w:p>
      <w:pPr>
        <w:spacing w:line="152"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21、本磋商项目是以采购预算总金额为最高限价，超出采购预算总金额的最后报价，磋商小组可以不予以评审。当全部最后报价均超出采购预算总金额时，磋商小组有权决定全部废标或以书面形式要求所有供应商在规定时间内以书面密封形式重新报价。</w:t>
      </w:r>
    </w:p>
    <w:p>
      <w:pPr>
        <w:spacing w:line="124" w:lineRule="exact"/>
        <w:rPr>
          <w:rFonts w:ascii="宋体" w:hAnsi="宋体" w:eastAsia="宋体"/>
          <w:sz w:val="24"/>
          <w:szCs w:val="24"/>
        </w:rPr>
      </w:pPr>
    </w:p>
    <w:p>
      <w:pPr>
        <w:numPr>
          <w:ilvl w:val="0"/>
          <w:numId w:val="22"/>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确定成交供应商</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22.1 采购单位应当确定磋商小组推荐排名第一的成交候选人为成交供应商。</w:t>
      </w:r>
    </w:p>
    <w:p>
      <w:pPr>
        <w:spacing w:line="152" w:lineRule="exact"/>
        <w:rPr>
          <w:rFonts w:ascii="宋体" w:hAnsi="宋体" w:eastAsia="宋体"/>
          <w:sz w:val="24"/>
          <w:szCs w:val="24"/>
        </w:rPr>
      </w:pPr>
    </w:p>
    <w:p>
      <w:pPr>
        <w:spacing w:line="284" w:lineRule="exact"/>
        <w:ind w:firstLine="448"/>
        <w:rPr>
          <w:rFonts w:ascii="宋体" w:hAnsi="宋体" w:eastAsia="宋体"/>
          <w:sz w:val="24"/>
          <w:szCs w:val="24"/>
        </w:rPr>
      </w:pPr>
      <w:r>
        <w:rPr>
          <w:rFonts w:ascii="宋体" w:hAnsi="宋体" w:eastAsia="宋体" w:cs="宋体"/>
          <w:sz w:val="24"/>
          <w:szCs w:val="24"/>
        </w:rPr>
        <w:t>22.2 排名第一的成交候选人放弃成交、因不可抗力提出不能履行合同，或者磋商文件规定应当提交履约保证金而在规定的期限内未能提交的，采购单位可以确定排名第二的成交候选人为成交供应商。</w:t>
      </w:r>
    </w:p>
    <w:p>
      <w:pPr>
        <w:spacing w:line="153" w:lineRule="exact"/>
        <w:rPr>
          <w:rFonts w:ascii="宋体" w:hAnsi="宋体" w:eastAsia="宋体"/>
          <w:sz w:val="24"/>
          <w:szCs w:val="24"/>
        </w:rPr>
      </w:pPr>
    </w:p>
    <w:p>
      <w:pPr>
        <w:spacing w:line="284" w:lineRule="exact"/>
        <w:ind w:right="100" w:firstLine="420"/>
        <w:rPr>
          <w:rFonts w:ascii="宋体" w:hAnsi="宋体" w:eastAsia="宋体"/>
          <w:sz w:val="24"/>
          <w:szCs w:val="24"/>
        </w:rPr>
      </w:pPr>
      <w:r>
        <w:rPr>
          <w:rFonts w:ascii="宋体" w:hAnsi="宋体" w:eastAsia="宋体" w:cs="宋体"/>
          <w:sz w:val="24"/>
          <w:szCs w:val="24"/>
        </w:rPr>
        <w:t>22.3 排名第二的成交候选人因前款规定的同样原因不能签订合同的，采购单位可以确定排名第三的成交候选人为成交供应商。</w:t>
      </w:r>
    </w:p>
    <w:p>
      <w:pPr>
        <w:spacing w:line="240" w:lineRule="exact"/>
        <w:rPr>
          <w:rFonts w:ascii="宋体" w:hAnsi="宋体" w:eastAsia="宋体" w:cs="宋体"/>
          <w:sz w:val="24"/>
          <w:szCs w:val="24"/>
        </w:rPr>
      </w:pPr>
      <w:bookmarkStart w:id="50" w:name="page15"/>
      <w:bookmarkEnd w:id="50"/>
    </w:p>
    <w:p>
      <w:pPr>
        <w:spacing w:line="240" w:lineRule="exact"/>
        <w:ind w:firstLine="480" w:firstLineChars="200"/>
        <w:rPr>
          <w:rFonts w:ascii="宋体" w:hAnsi="宋体" w:eastAsia="宋体"/>
          <w:sz w:val="24"/>
          <w:szCs w:val="24"/>
        </w:rPr>
      </w:pPr>
      <w:r>
        <w:rPr>
          <w:rFonts w:ascii="宋体" w:hAnsi="宋体" w:eastAsia="宋体" w:cs="宋体"/>
          <w:sz w:val="24"/>
          <w:szCs w:val="24"/>
        </w:rPr>
        <w:t>22.4 成交人信用信息查询：</w:t>
      </w:r>
    </w:p>
    <w:p>
      <w:pPr>
        <w:spacing w:line="152" w:lineRule="exact"/>
        <w:rPr>
          <w:rFonts w:ascii="宋体" w:hAnsi="宋体" w:eastAsia="宋体"/>
          <w:sz w:val="24"/>
          <w:szCs w:val="24"/>
        </w:rPr>
      </w:pPr>
    </w:p>
    <w:p>
      <w:pPr>
        <w:spacing w:line="284" w:lineRule="exact"/>
        <w:ind w:firstLine="420"/>
        <w:jc w:val="both"/>
        <w:rPr>
          <w:rFonts w:ascii="宋体" w:hAnsi="宋体" w:eastAsia="宋体"/>
          <w:sz w:val="24"/>
          <w:szCs w:val="24"/>
        </w:rPr>
      </w:pPr>
      <w:r>
        <w:rPr>
          <w:rFonts w:ascii="宋体" w:hAnsi="宋体" w:eastAsia="宋体" w:cs="宋体"/>
          <w:sz w:val="24"/>
          <w:szCs w:val="24"/>
        </w:rPr>
        <w:t>根据《关于做好政府采购有关信用主体标识码登记及在政府采购活动中查询使用信用记录有关问题的通知》（桂财采〔2016〕37），由采购代理机构对第一成交候选人进行信用查询：</w:t>
      </w:r>
    </w:p>
    <w:p>
      <w:pPr>
        <w:spacing w:line="153" w:lineRule="exact"/>
        <w:rPr>
          <w:rFonts w:ascii="宋体" w:hAnsi="宋体" w:eastAsia="宋体"/>
          <w:sz w:val="24"/>
          <w:szCs w:val="24"/>
        </w:rPr>
      </w:pPr>
    </w:p>
    <w:p>
      <w:pPr>
        <w:spacing w:line="284" w:lineRule="exact"/>
        <w:ind w:firstLine="420"/>
        <w:jc w:val="both"/>
        <w:rPr>
          <w:rFonts w:ascii="宋体" w:hAnsi="宋体" w:eastAsia="宋体"/>
          <w:sz w:val="24"/>
          <w:szCs w:val="24"/>
        </w:rPr>
      </w:pPr>
      <w:r>
        <w:rPr>
          <w:rFonts w:ascii="宋体" w:hAnsi="宋体" w:eastAsia="宋体" w:cs="宋体"/>
          <w:sz w:val="24"/>
          <w:szCs w:val="24"/>
        </w:rPr>
        <w:t>（1）查询渠道：“信用中国”网站(www.creditchina.gov.cn)、中国政府采购网(www.ccgp.gov.cn)等；</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（2）查询截止时点：成交通知书发出前；</w:t>
      </w:r>
    </w:p>
    <w:p>
      <w:pPr>
        <w:spacing w:line="152" w:lineRule="exact"/>
        <w:rPr>
          <w:rFonts w:ascii="宋体" w:hAnsi="宋体" w:eastAsia="宋体"/>
          <w:sz w:val="24"/>
          <w:szCs w:val="24"/>
        </w:rPr>
      </w:pPr>
    </w:p>
    <w:p>
      <w:pPr>
        <w:spacing w:line="284" w:lineRule="exact"/>
        <w:ind w:firstLine="420"/>
        <w:jc w:val="both"/>
        <w:rPr>
          <w:rFonts w:ascii="宋体" w:hAnsi="宋体" w:eastAsia="宋体"/>
          <w:sz w:val="24"/>
          <w:szCs w:val="24"/>
        </w:rPr>
      </w:pPr>
      <w:r>
        <w:rPr>
          <w:rFonts w:ascii="宋体" w:hAnsi="宋体" w:eastAsia="宋体" w:cs="宋体"/>
          <w:sz w:val="24"/>
          <w:szCs w:val="24"/>
        </w:rPr>
        <w:t>（3）信用信息查询记录和证据留存方式：在查询网站中直接打印查询记录，打印材料作为采购活动资料保存。</w:t>
      </w:r>
    </w:p>
    <w:p>
      <w:pPr>
        <w:spacing w:line="153" w:lineRule="exact"/>
        <w:rPr>
          <w:rFonts w:ascii="宋体" w:hAnsi="宋体" w:eastAsia="宋体"/>
          <w:sz w:val="24"/>
          <w:szCs w:val="24"/>
        </w:rPr>
      </w:pPr>
    </w:p>
    <w:p>
      <w:pPr>
        <w:spacing w:line="322" w:lineRule="exact"/>
        <w:ind w:firstLine="420"/>
        <w:jc w:val="both"/>
        <w:rPr>
          <w:rFonts w:ascii="宋体" w:hAnsi="宋体" w:eastAsia="宋体" w:cs="宋体"/>
          <w:sz w:val="24"/>
          <w:szCs w:val="24"/>
        </w:rPr>
      </w:pPr>
      <w:r>
        <w:rPr>
          <w:rFonts w:ascii="宋体" w:hAnsi="宋体" w:eastAsia="宋体" w:cs="宋体"/>
          <w:sz w:val="24"/>
          <w:szCs w:val="24"/>
        </w:rPr>
        <w:t>（4）信用信息使用规则：对在“信用中国”网站（</w:t>
      </w:r>
      <w:r>
        <w:fldChar w:fldCharType="begin"/>
      </w:r>
      <w:r>
        <w:instrText xml:space="preserve"> HYPERLINK "http://www.creditchina.gov.cn/" \h </w:instrText>
      </w:r>
      <w:r>
        <w:fldChar w:fldCharType="separate"/>
      </w:r>
      <w:r>
        <w:rPr>
          <w:rFonts w:ascii="宋体" w:hAnsi="宋体" w:eastAsia="宋体" w:cs="宋体"/>
          <w:sz w:val="24"/>
          <w:szCs w:val="24"/>
        </w:rPr>
        <w:t>www.creditchina.gov.cn</w:t>
      </w:r>
      <w:r>
        <w:rPr>
          <w:rFonts w:ascii="宋体" w:hAnsi="宋体" w:eastAsia="宋体" w:cs="宋体"/>
          <w:sz w:val="24"/>
          <w:szCs w:val="24"/>
        </w:rPr>
        <w:fldChar w:fldCharType="end"/>
      </w:r>
      <w:r>
        <w:rPr>
          <w:rFonts w:ascii="宋体" w:hAnsi="宋体" w:eastAsia="宋体" w:cs="宋体"/>
          <w:sz w:val="24"/>
          <w:szCs w:val="24"/>
        </w:rPr>
        <w:t>）、中国政府采购网（</w:t>
      </w:r>
      <w:r>
        <w:fldChar w:fldCharType="begin"/>
      </w:r>
      <w:r>
        <w:instrText xml:space="preserve"> HYPERLINK "http://www.ccgp.gov.cn/" \h </w:instrText>
      </w:r>
      <w:r>
        <w:fldChar w:fldCharType="separate"/>
      </w:r>
      <w:r>
        <w:rPr>
          <w:rFonts w:ascii="宋体" w:hAnsi="宋体" w:eastAsia="宋体" w:cs="宋体"/>
          <w:sz w:val="24"/>
          <w:szCs w:val="24"/>
        </w:rPr>
        <w:t>www.ccgp.gov.cn</w:t>
      </w:r>
      <w:r>
        <w:rPr>
          <w:rFonts w:ascii="宋体" w:hAnsi="宋体" w:eastAsia="宋体" w:cs="宋体"/>
          <w:sz w:val="24"/>
          <w:szCs w:val="24"/>
        </w:rPr>
        <w:fldChar w:fldCharType="end"/>
      </w:r>
      <w:r>
        <w:rPr>
          <w:rFonts w:ascii="宋体" w:hAnsi="宋体" w:eastAsia="宋体" w:cs="宋体"/>
          <w:sz w:val="24"/>
          <w:szCs w:val="24"/>
        </w:rPr>
        <w:t>）等渠道列入失信被执行人、重大税收违法案件当事人名单、政府采购严重违法失信行为记录名单及其他不符合《中华人民共和国政府采购法》第二十二条规定条件的供应商，取消其成交候选人资格。</w:t>
      </w:r>
    </w:p>
    <w:p>
      <w:pPr>
        <w:spacing w:line="123" w:lineRule="exact"/>
        <w:rPr>
          <w:rFonts w:ascii="宋体" w:hAnsi="宋体" w:eastAsia="宋体"/>
          <w:sz w:val="24"/>
          <w:szCs w:val="24"/>
        </w:rPr>
      </w:pPr>
    </w:p>
    <w:p>
      <w:pPr>
        <w:numPr>
          <w:ilvl w:val="0"/>
          <w:numId w:val="23"/>
        </w:numPr>
        <w:tabs>
          <w:tab w:val="left" w:pos="920"/>
        </w:tabs>
        <w:spacing w:line="240" w:lineRule="exact"/>
        <w:ind w:left="920" w:hanging="433"/>
        <w:rPr>
          <w:rFonts w:ascii="宋体" w:hAnsi="宋体" w:eastAsia="宋体" w:cs="宋体"/>
          <w:b/>
          <w:bCs/>
          <w:sz w:val="24"/>
          <w:szCs w:val="24"/>
        </w:rPr>
      </w:pPr>
      <w:r>
        <w:rPr>
          <w:rFonts w:ascii="宋体" w:hAnsi="宋体" w:eastAsia="宋体" w:cs="宋体"/>
          <w:b/>
          <w:bCs/>
          <w:sz w:val="24"/>
          <w:szCs w:val="24"/>
        </w:rPr>
        <w:t>属于下列情况之一者，响应文件无效：</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（1）未按磋商文件规定完整提交响应文件或未按规定要求密封、签字、盖章的；</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（2）超越了行政审批的经营范围的；</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（3）不具备磋商文件规定的资格要求的；</w:t>
      </w:r>
    </w:p>
    <w:p>
      <w:pPr>
        <w:spacing w:line="152" w:lineRule="exact"/>
        <w:rPr>
          <w:rFonts w:ascii="宋体" w:hAnsi="宋体" w:eastAsia="宋体"/>
          <w:sz w:val="24"/>
          <w:szCs w:val="24"/>
        </w:rPr>
      </w:pPr>
    </w:p>
    <w:p>
      <w:pPr>
        <w:spacing w:line="309" w:lineRule="exact"/>
        <w:ind w:left="420" w:right="2600"/>
        <w:rPr>
          <w:rFonts w:ascii="宋体" w:hAnsi="宋体" w:eastAsia="宋体"/>
          <w:sz w:val="24"/>
          <w:szCs w:val="24"/>
        </w:rPr>
      </w:pPr>
      <w:r>
        <w:rPr>
          <w:rFonts w:ascii="宋体" w:hAnsi="宋体" w:eastAsia="宋体" w:cs="宋体"/>
          <w:sz w:val="24"/>
          <w:szCs w:val="24"/>
        </w:rPr>
        <w:t>（4）响应文件未按磋商文件的内容和要求编制，或提供虚假材料的；（5）属于“必须提供”的响应文件未能按时提供或补正、更正的；（6）响应文件有效期、交付时间、服务期不能满足磋商文件要求的；</w:t>
      </w:r>
    </w:p>
    <w:p>
      <w:pPr>
        <w:spacing w:line="153" w:lineRule="exact"/>
        <w:rPr>
          <w:rFonts w:ascii="宋体" w:hAnsi="宋体" w:eastAsia="宋体"/>
          <w:sz w:val="24"/>
          <w:szCs w:val="24"/>
        </w:rPr>
      </w:pPr>
    </w:p>
    <w:p>
      <w:pPr>
        <w:spacing w:line="284" w:lineRule="exact"/>
        <w:ind w:left="420" w:right="80" w:hanging="7"/>
        <w:rPr>
          <w:rFonts w:ascii="宋体" w:hAnsi="宋体" w:eastAsia="宋体"/>
          <w:sz w:val="24"/>
          <w:szCs w:val="24"/>
        </w:rPr>
      </w:pPr>
      <w:r>
        <w:rPr>
          <w:rFonts w:ascii="宋体" w:hAnsi="宋体" w:eastAsia="宋体" w:cs="宋体"/>
          <w:sz w:val="24"/>
          <w:szCs w:val="24"/>
        </w:rPr>
        <w:t>（7）供应商未就“采购需求”中的所有内容作完整唯一报价的，或报价超出采购预算总金额的；（8）未在磋商小组规定的时间内重新提交响应文件的；</w:t>
      </w:r>
    </w:p>
    <w:p>
      <w:pPr>
        <w:spacing w:line="153" w:lineRule="exact"/>
        <w:rPr>
          <w:rFonts w:ascii="宋体" w:hAnsi="宋体" w:eastAsia="宋体"/>
          <w:sz w:val="24"/>
          <w:szCs w:val="24"/>
        </w:rPr>
      </w:pPr>
    </w:p>
    <w:p>
      <w:pPr>
        <w:spacing w:line="284" w:lineRule="exact"/>
        <w:ind w:firstLine="420"/>
        <w:rPr>
          <w:rFonts w:ascii="宋体" w:hAnsi="宋体" w:eastAsia="宋体"/>
          <w:sz w:val="24"/>
          <w:szCs w:val="24"/>
        </w:rPr>
      </w:pPr>
      <w:r>
        <w:rPr>
          <w:rFonts w:ascii="宋体" w:hAnsi="宋体" w:eastAsia="宋体" w:cs="宋体"/>
          <w:sz w:val="24"/>
          <w:szCs w:val="24"/>
        </w:rPr>
        <w:t>（9）单位负责人为同一人或者存在直接控股、管理关系的不同供应商参加同一合同项下的政府采购活动的；</w:t>
      </w:r>
    </w:p>
    <w:p>
      <w:pPr>
        <w:spacing w:line="153" w:lineRule="exact"/>
        <w:rPr>
          <w:rFonts w:ascii="宋体" w:hAnsi="宋体" w:eastAsia="宋体"/>
          <w:sz w:val="24"/>
          <w:szCs w:val="24"/>
        </w:rPr>
      </w:pPr>
    </w:p>
    <w:p>
      <w:pPr>
        <w:spacing w:line="284" w:lineRule="exact"/>
        <w:ind w:left="420" w:right="800" w:firstLine="8"/>
        <w:rPr>
          <w:rFonts w:ascii="宋体" w:hAnsi="宋体" w:eastAsia="宋体"/>
          <w:sz w:val="24"/>
          <w:szCs w:val="24"/>
        </w:rPr>
      </w:pPr>
      <w:r>
        <w:rPr>
          <w:rFonts w:ascii="宋体" w:hAnsi="宋体" w:eastAsia="宋体" w:cs="宋体"/>
          <w:sz w:val="24"/>
          <w:szCs w:val="24"/>
        </w:rPr>
        <w:t>（10）未完全响应磋商文件实质性要求的或者响应文件有采购人不能接受的附加条件的；（11）不符合法律、法规和磋商文件规定的其他实质性要求和条件的。</w:t>
      </w:r>
    </w:p>
    <w:p>
      <w:pPr>
        <w:spacing w:line="122" w:lineRule="exact"/>
        <w:rPr>
          <w:rFonts w:ascii="宋体" w:hAnsi="宋体" w:eastAsia="宋体"/>
          <w:sz w:val="24"/>
          <w:szCs w:val="24"/>
        </w:rPr>
      </w:pPr>
    </w:p>
    <w:p>
      <w:pPr>
        <w:spacing w:line="240" w:lineRule="exact"/>
        <w:ind w:left="460"/>
        <w:rPr>
          <w:rFonts w:ascii="宋体" w:hAnsi="宋体" w:eastAsia="宋体"/>
          <w:sz w:val="24"/>
          <w:szCs w:val="24"/>
        </w:rPr>
      </w:pPr>
      <w:r>
        <w:rPr>
          <w:rFonts w:ascii="宋体" w:hAnsi="宋体" w:eastAsia="宋体" w:cs="宋体"/>
          <w:b/>
          <w:bCs/>
          <w:sz w:val="24"/>
          <w:szCs w:val="24"/>
        </w:rPr>
        <w:t>磋商供应商有下列情形之一的，视为串通磋商，响应文件将被视为无效：</w:t>
      </w:r>
    </w:p>
    <w:p>
      <w:pPr>
        <w:spacing w:line="152" w:lineRule="exact"/>
        <w:rPr>
          <w:rFonts w:ascii="宋体" w:hAnsi="宋体" w:eastAsia="宋体"/>
          <w:sz w:val="24"/>
          <w:szCs w:val="24"/>
        </w:rPr>
      </w:pPr>
    </w:p>
    <w:p>
      <w:pPr>
        <w:spacing w:line="284" w:lineRule="exact"/>
        <w:ind w:left="360" w:firstLine="103"/>
        <w:rPr>
          <w:rFonts w:ascii="宋体" w:hAnsi="宋体" w:eastAsia="宋体"/>
          <w:sz w:val="24"/>
          <w:szCs w:val="24"/>
        </w:rPr>
      </w:pPr>
      <w:r>
        <w:rPr>
          <w:rFonts w:ascii="宋体" w:hAnsi="宋体" w:eastAsia="宋体" w:cs="宋体"/>
          <w:sz w:val="24"/>
          <w:szCs w:val="24"/>
        </w:rPr>
        <w:t>（1）不同磋商供应商的响应文件由同一单位或者个人编制；或不同磋商供应商报名的 IP 地址一致的；</w:t>
      </w:r>
    </w:p>
    <w:p>
      <w:pPr>
        <w:spacing w:line="121" w:lineRule="exact"/>
        <w:rPr>
          <w:rFonts w:ascii="宋体" w:hAnsi="宋体" w:eastAsia="宋体"/>
          <w:sz w:val="24"/>
          <w:szCs w:val="24"/>
        </w:rPr>
      </w:pPr>
    </w:p>
    <w:p>
      <w:pPr>
        <w:spacing w:line="240" w:lineRule="exact"/>
        <w:ind w:left="460"/>
        <w:rPr>
          <w:rFonts w:ascii="宋体" w:hAnsi="宋体" w:eastAsia="宋体"/>
          <w:sz w:val="24"/>
          <w:szCs w:val="24"/>
        </w:rPr>
      </w:pPr>
      <w:r>
        <w:rPr>
          <w:rFonts w:ascii="宋体" w:hAnsi="宋体" w:eastAsia="宋体" w:cs="宋体"/>
          <w:sz w:val="24"/>
          <w:szCs w:val="24"/>
        </w:rPr>
        <w:t>（2）不同磋商供应商委托同一单位或者个人办理磋商事宜；</w:t>
      </w:r>
    </w:p>
    <w:p>
      <w:pPr>
        <w:spacing w:line="152" w:lineRule="exact"/>
        <w:rPr>
          <w:rFonts w:ascii="宋体" w:hAnsi="宋体" w:eastAsia="宋体"/>
          <w:sz w:val="24"/>
          <w:szCs w:val="24"/>
        </w:rPr>
      </w:pPr>
    </w:p>
    <w:p>
      <w:pPr>
        <w:spacing w:line="309" w:lineRule="exact"/>
        <w:ind w:left="460" w:right="2560"/>
        <w:jc w:val="both"/>
        <w:rPr>
          <w:rFonts w:ascii="宋体" w:hAnsi="宋体" w:eastAsia="宋体"/>
          <w:sz w:val="24"/>
          <w:szCs w:val="24"/>
        </w:rPr>
      </w:pPr>
      <w:r>
        <w:rPr>
          <w:rFonts w:ascii="宋体" w:hAnsi="宋体" w:eastAsia="宋体" w:cs="宋体"/>
          <w:sz w:val="24"/>
          <w:szCs w:val="24"/>
        </w:rPr>
        <w:t>（3）不同的磋商供应商的响应文件载明的项目管理员为同一个人；（4）不同磋商供应商的响应文件异常一致或磋商报价呈规律性差异；（5）不同磋商供应商的响应文件相互混装；</w:t>
      </w:r>
    </w:p>
    <w:p>
      <w:pPr>
        <w:spacing w:line="123"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（6）响应文件实质性要求未做变动，磋商供应商最后报价高于第一次报价的。</w:t>
      </w:r>
    </w:p>
    <w:p>
      <w:pPr>
        <w:spacing w:line="153" w:lineRule="exact"/>
        <w:rPr>
          <w:rFonts w:ascii="宋体" w:hAnsi="宋体" w:eastAsia="宋体"/>
          <w:sz w:val="24"/>
          <w:szCs w:val="24"/>
        </w:rPr>
      </w:pPr>
    </w:p>
    <w:p>
      <w:pPr>
        <w:numPr>
          <w:ilvl w:val="0"/>
          <w:numId w:val="24"/>
        </w:numPr>
        <w:tabs>
          <w:tab w:val="left" w:pos="836"/>
        </w:tabs>
        <w:spacing w:line="284" w:lineRule="exact"/>
        <w:ind w:firstLine="420"/>
        <w:rPr>
          <w:rFonts w:ascii="宋体" w:hAnsi="宋体" w:eastAsia="宋体" w:cs="宋体"/>
          <w:b/>
          <w:bCs/>
          <w:sz w:val="24"/>
          <w:szCs w:val="24"/>
        </w:rPr>
      </w:pPr>
      <w:r>
        <w:rPr>
          <w:rFonts w:ascii="宋体" w:hAnsi="宋体" w:eastAsia="宋体" w:cs="宋体"/>
          <w:b/>
          <w:bCs/>
          <w:sz w:val="24"/>
          <w:szCs w:val="24"/>
        </w:rPr>
        <w:t>出现下列情形之一的，采购人或者采购代理机构应当终止竞争性磋商采购活动，发布项目终止公告并说明原因，重新开展采购活动：</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（1）因情况变化，不再符合规定的竞争性磋商采购方式适用情形的；</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（2）出现影响采购公正的违法、违规行为的；</w:t>
      </w:r>
    </w:p>
    <w:p>
      <w:pPr>
        <w:spacing w:line="152" w:lineRule="exact"/>
        <w:rPr>
          <w:rFonts w:ascii="宋体" w:hAnsi="宋体" w:eastAsia="宋体"/>
          <w:sz w:val="24"/>
          <w:szCs w:val="24"/>
        </w:rPr>
      </w:pPr>
    </w:p>
    <w:p>
      <w:pPr>
        <w:spacing w:line="284" w:lineRule="exact"/>
        <w:ind w:firstLine="412"/>
        <w:rPr>
          <w:rFonts w:ascii="宋体" w:hAnsi="宋体" w:eastAsia="宋体"/>
          <w:sz w:val="24"/>
          <w:szCs w:val="24"/>
        </w:rPr>
      </w:pPr>
      <w:r>
        <w:rPr>
          <w:rFonts w:ascii="宋体" w:hAnsi="宋体" w:eastAsia="宋体" w:cs="宋体"/>
          <w:sz w:val="24"/>
          <w:szCs w:val="24"/>
        </w:rPr>
        <w:t>（3）采购项目为政府购买服务项目（含政府和社会资本合作项目），在采购过程中符合要求的供应商（社会资本）只有 1 家的。</w:t>
      </w:r>
    </w:p>
    <w:p>
      <w:pPr>
        <w:spacing w:line="285" w:lineRule="exact"/>
        <w:rPr>
          <w:rFonts w:ascii="宋体" w:hAnsi="宋体" w:eastAsia="宋体"/>
          <w:sz w:val="24"/>
          <w:szCs w:val="24"/>
        </w:rPr>
      </w:pPr>
    </w:p>
    <w:p>
      <w:pPr>
        <w:numPr>
          <w:ilvl w:val="0"/>
          <w:numId w:val="25"/>
        </w:numPr>
        <w:tabs>
          <w:tab w:val="left" w:pos="860"/>
        </w:tabs>
        <w:spacing w:line="240" w:lineRule="exact"/>
        <w:ind w:left="860" w:hanging="431"/>
        <w:rPr>
          <w:rFonts w:ascii="宋体" w:hAnsi="宋体" w:eastAsia="宋体" w:cs="宋体"/>
          <w:b/>
          <w:bCs/>
          <w:sz w:val="24"/>
          <w:szCs w:val="24"/>
        </w:rPr>
      </w:pPr>
      <w:bookmarkStart w:id="51" w:name="page16"/>
      <w:bookmarkEnd w:id="51"/>
      <w:r>
        <w:rPr>
          <w:rFonts w:ascii="宋体" w:hAnsi="宋体" w:eastAsia="宋体" w:cs="宋体"/>
          <w:b/>
          <w:bCs/>
          <w:sz w:val="24"/>
          <w:szCs w:val="24"/>
        </w:rPr>
        <w:t>磋商过程的监控</w:t>
      </w:r>
    </w:p>
    <w:p>
      <w:pPr>
        <w:spacing w:line="152" w:lineRule="exact"/>
        <w:rPr>
          <w:rFonts w:ascii="宋体" w:hAnsi="宋体" w:eastAsia="宋体"/>
          <w:sz w:val="24"/>
          <w:szCs w:val="24"/>
        </w:rPr>
      </w:pPr>
    </w:p>
    <w:p>
      <w:pPr>
        <w:spacing w:line="284" w:lineRule="exact"/>
        <w:ind w:right="100" w:firstLine="412"/>
        <w:rPr>
          <w:rFonts w:ascii="宋体" w:hAnsi="宋体" w:eastAsia="宋体"/>
          <w:sz w:val="24"/>
          <w:szCs w:val="24"/>
        </w:rPr>
      </w:pPr>
      <w:r>
        <w:rPr>
          <w:rFonts w:ascii="宋体" w:hAnsi="宋体" w:eastAsia="宋体" w:cs="宋体"/>
          <w:sz w:val="24"/>
          <w:szCs w:val="24"/>
        </w:rPr>
        <w:t>本项目磋商过程实行全程录音、录像监控，供应商在磋商过程中所进行的试图影响磋商结果的不公正活动，可能导致其磋商被拒绝。</w:t>
      </w:r>
    </w:p>
    <w:p>
      <w:pPr>
        <w:spacing w:line="121" w:lineRule="exact"/>
        <w:rPr>
          <w:rFonts w:ascii="宋体" w:hAnsi="宋体" w:eastAsia="宋体"/>
          <w:sz w:val="24"/>
          <w:szCs w:val="24"/>
        </w:rPr>
      </w:pPr>
    </w:p>
    <w:p>
      <w:pPr>
        <w:numPr>
          <w:ilvl w:val="0"/>
          <w:numId w:val="26"/>
        </w:numPr>
        <w:tabs>
          <w:tab w:val="left" w:pos="840"/>
        </w:tabs>
        <w:spacing w:line="240" w:lineRule="exact"/>
        <w:ind w:left="840" w:hanging="420"/>
        <w:rPr>
          <w:rFonts w:ascii="宋体" w:hAnsi="宋体" w:eastAsia="宋体" w:cs="宋体"/>
          <w:b/>
          <w:bCs/>
          <w:sz w:val="24"/>
          <w:szCs w:val="24"/>
        </w:rPr>
      </w:pPr>
      <w:r>
        <w:rPr>
          <w:rFonts w:ascii="宋体" w:hAnsi="宋体" w:eastAsia="宋体" w:cs="宋体"/>
          <w:b/>
          <w:bCs/>
          <w:sz w:val="24"/>
          <w:szCs w:val="24"/>
        </w:rPr>
        <w:t>成交公告及成交通知书</w:t>
      </w:r>
    </w:p>
    <w:p>
      <w:pPr>
        <w:spacing w:line="152"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26.1 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155" w:lineRule="exact"/>
        <w:rPr>
          <w:rFonts w:ascii="宋体" w:hAnsi="宋体" w:eastAsia="宋体"/>
          <w:sz w:val="24"/>
          <w:szCs w:val="24"/>
        </w:rPr>
      </w:pPr>
    </w:p>
    <w:p>
      <w:pPr>
        <w:spacing w:line="284" w:lineRule="exact"/>
        <w:ind w:right="100" w:firstLine="412"/>
        <w:jc w:val="both"/>
        <w:rPr>
          <w:rFonts w:ascii="宋体" w:hAnsi="宋体" w:eastAsia="宋体"/>
          <w:sz w:val="24"/>
          <w:szCs w:val="24"/>
        </w:rPr>
      </w:pPr>
      <w:r>
        <w:rPr>
          <w:rFonts w:ascii="宋体" w:hAnsi="宋体" w:eastAsia="宋体" w:cs="宋体"/>
          <w:sz w:val="24"/>
          <w:szCs w:val="24"/>
        </w:rPr>
        <w:t>26.2 在发布成交公告的同时，采购代理机构向成交供应商发出成交通知书。成交供应商应自接到通知之日起七个工作日内，办理成交通知书领取手续。</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26.3 采购代理机构无义务向未成交的供应商解释未成交原因和退还响应文件。</w:t>
      </w:r>
    </w:p>
    <w:p>
      <w:pPr>
        <w:spacing w:line="200" w:lineRule="exact"/>
        <w:rPr>
          <w:rFonts w:ascii="宋体" w:hAnsi="宋体" w:eastAsia="宋体"/>
          <w:sz w:val="24"/>
          <w:szCs w:val="24"/>
        </w:rPr>
      </w:pPr>
    </w:p>
    <w:p>
      <w:pPr>
        <w:spacing w:line="211" w:lineRule="exact"/>
        <w:rPr>
          <w:rFonts w:ascii="宋体" w:hAnsi="宋体" w:eastAsia="宋体"/>
          <w:sz w:val="24"/>
          <w:szCs w:val="24"/>
        </w:rPr>
      </w:pPr>
    </w:p>
    <w:p>
      <w:pPr>
        <w:spacing w:line="320" w:lineRule="exact"/>
        <w:ind w:right="100"/>
        <w:jc w:val="center"/>
        <w:rPr>
          <w:rFonts w:ascii="宋体" w:hAnsi="宋体" w:eastAsia="宋体"/>
          <w:sz w:val="24"/>
          <w:szCs w:val="24"/>
        </w:rPr>
      </w:pPr>
      <w:r>
        <w:rPr>
          <w:rFonts w:ascii="宋体" w:hAnsi="宋体" w:eastAsia="宋体" w:cs="宋体"/>
          <w:b/>
          <w:bCs/>
          <w:sz w:val="24"/>
          <w:szCs w:val="24"/>
        </w:rPr>
        <w:t>五、签订合同</w:t>
      </w:r>
    </w:p>
    <w:p>
      <w:pPr>
        <w:spacing w:line="110" w:lineRule="exact"/>
        <w:rPr>
          <w:rFonts w:ascii="宋体" w:hAnsi="宋体" w:eastAsia="宋体"/>
          <w:sz w:val="24"/>
          <w:szCs w:val="24"/>
        </w:rPr>
      </w:pPr>
    </w:p>
    <w:p>
      <w:pPr>
        <w:numPr>
          <w:ilvl w:val="0"/>
          <w:numId w:val="27"/>
        </w:numPr>
        <w:tabs>
          <w:tab w:val="left" w:pos="840"/>
        </w:tabs>
        <w:spacing w:line="240" w:lineRule="exact"/>
        <w:ind w:left="840" w:hanging="420"/>
        <w:rPr>
          <w:rFonts w:ascii="宋体" w:hAnsi="宋体" w:eastAsia="宋体" w:cs="宋体"/>
          <w:b/>
          <w:bCs/>
          <w:sz w:val="24"/>
          <w:szCs w:val="24"/>
        </w:rPr>
      </w:pPr>
      <w:r>
        <w:rPr>
          <w:rFonts w:ascii="宋体" w:hAnsi="宋体" w:eastAsia="宋体" w:cs="宋体"/>
          <w:b/>
          <w:bCs/>
          <w:sz w:val="24"/>
          <w:szCs w:val="24"/>
        </w:rPr>
        <w:t>履约保证金</w:t>
      </w:r>
    </w:p>
    <w:p>
      <w:pPr>
        <w:spacing w:line="152" w:lineRule="exact"/>
        <w:rPr>
          <w:rFonts w:ascii="宋体" w:hAnsi="宋体" w:eastAsia="宋体"/>
          <w:sz w:val="24"/>
          <w:szCs w:val="24"/>
        </w:rPr>
      </w:pPr>
    </w:p>
    <w:p>
      <w:pPr>
        <w:spacing w:line="309" w:lineRule="exact"/>
        <w:ind w:left="20" w:right="100" w:firstLine="420"/>
        <w:jc w:val="both"/>
        <w:rPr>
          <w:rFonts w:ascii="宋体" w:hAnsi="宋体" w:eastAsia="宋体"/>
          <w:sz w:val="24"/>
          <w:szCs w:val="24"/>
        </w:rPr>
      </w:pPr>
      <w:r>
        <w:rPr>
          <w:rFonts w:ascii="宋体" w:hAnsi="宋体" w:eastAsia="宋体" w:cs="宋体"/>
          <w:sz w:val="24"/>
          <w:szCs w:val="24"/>
        </w:rPr>
        <w:t>27.1 履约保证金金额为政府采购合同金额的 5%（人民币，四舍五入到元），由成交供应商在签订合同时将履约保证金以非现金形式直接转入采购人的单位往来账户。供应商在提交履约保证金时，须在转款凭证上注明采购人及采购项目名称，到账后再由采购人开具往来款收据给转款供应商。</w:t>
      </w:r>
    </w:p>
    <w:p>
      <w:pPr>
        <w:spacing w:line="155" w:lineRule="exact"/>
        <w:rPr>
          <w:rFonts w:ascii="宋体" w:hAnsi="宋体" w:eastAsia="宋体"/>
          <w:sz w:val="24"/>
          <w:szCs w:val="24"/>
        </w:rPr>
      </w:pPr>
    </w:p>
    <w:p>
      <w:pPr>
        <w:spacing w:line="309" w:lineRule="exact"/>
        <w:ind w:left="20" w:right="100" w:firstLine="420"/>
        <w:jc w:val="both"/>
        <w:rPr>
          <w:rFonts w:ascii="宋体" w:hAnsi="宋体" w:eastAsia="宋体"/>
          <w:sz w:val="24"/>
          <w:szCs w:val="24"/>
        </w:rPr>
      </w:pPr>
      <w:r>
        <w:rPr>
          <w:rFonts w:ascii="宋体" w:hAnsi="宋体" w:eastAsia="宋体" w:cs="宋体"/>
          <w:sz w:val="24"/>
          <w:szCs w:val="24"/>
        </w:rPr>
        <w:t>27.2 如果成交供应商没能按上述第 27.1 款规定执行，采购代理机构将上报灵川县政府采购监督管理机构，取消该成交资格，其保证金不予退还，并有权授予第二成交候选人为成交供应商资格或重新组织采购。</w:t>
      </w:r>
    </w:p>
    <w:p>
      <w:pPr>
        <w:spacing w:line="155" w:lineRule="exact"/>
        <w:rPr>
          <w:rFonts w:ascii="宋体" w:hAnsi="宋体" w:eastAsia="宋体"/>
          <w:sz w:val="24"/>
          <w:szCs w:val="24"/>
        </w:rPr>
      </w:pPr>
    </w:p>
    <w:p>
      <w:pPr>
        <w:spacing w:line="322" w:lineRule="exact"/>
        <w:ind w:right="100" w:firstLine="420"/>
        <w:jc w:val="both"/>
        <w:rPr>
          <w:rFonts w:ascii="宋体" w:hAnsi="宋体" w:eastAsia="宋体"/>
          <w:sz w:val="24"/>
          <w:szCs w:val="24"/>
        </w:rPr>
      </w:pPr>
      <w:r>
        <w:rPr>
          <w:rFonts w:ascii="宋体" w:hAnsi="宋体" w:eastAsia="宋体" w:cs="宋体"/>
          <w:sz w:val="24"/>
          <w:szCs w:val="24"/>
        </w:rPr>
        <w:t>27.3 成交供应商履行完合同约定权利义务事项后，凭《政府采购项目履约验收单》、履约保证金转款凭证及往来款收据向采购人申请办理退还手续，采购人不得额外要求供应商提交其他证明材料，并应当自收到退还资料之日起 5 个工作日内退还其履约保证金（无息）。如成交供应商不按双方签订的合同规定履约，则没收其全部履约保证金，履约保证金不足以赔偿损失的，按实际损失赔偿。</w:t>
      </w:r>
    </w:p>
    <w:p>
      <w:pPr>
        <w:spacing w:line="154" w:lineRule="exact"/>
        <w:rPr>
          <w:rFonts w:ascii="宋体" w:hAnsi="宋体" w:eastAsia="宋体"/>
          <w:sz w:val="24"/>
          <w:szCs w:val="24"/>
        </w:rPr>
      </w:pPr>
    </w:p>
    <w:p>
      <w:pPr>
        <w:spacing w:line="284" w:lineRule="exact"/>
        <w:ind w:left="20" w:right="100" w:firstLine="420"/>
        <w:jc w:val="both"/>
        <w:rPr>
          <w:rFonts w:ascii="宋体" w:hAnsi="宋体" w:eastAsia="宋体"/>
          <w:sz w:val="24"/>
          <w:szCs w:val="24"/>
        </w:rPr>
      </w:pPr>
      <w:r>
        <w:rPr>
          <w:rFonts w:ascii="宋体" w:hAnsi="宋体" w:eastAsia="宋体" w:cs="宋体"/>
          <w:sz w:val="24"/>
          <w:szCs w:val="24"/>
        </w:rPr>
        <w:t>27.4 在履约保证金到期退还前，若成交供应商的开户名称、开户银行、账号有变动的，以书面形式通知采购人，否则由此产生的后果由成交供应商自负。</w:t>
      </w:r>
    </w:p>
    <w:p>
      <w:pPr>
        <w:spacing w:line="122" w:lineRule="exact"/>
        <w:rPr>
          <w:rFonts w:ascii="宋体" w:hAnsi="宋体" w:eastAsia="宋体"/>
          <w:sz w:val="24"/>
          <w:szCs w:val="24"/>
        </w:rPr>
      </w:pPr>
    </w:p>
    <w:p>
      <w:pPr>
        <w:numPr>
          <w:ilvl w:val="0"/>
          <w:numId w:val="28"/>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签订合同</w:t>
      </w:r>
    </w:p>
    <w:p>
      <w:pPr>
        <w:spacing w:line="152" w:lineRule="exact"/>
        <w:rPr>
          <w:rFonts w:ascii="宋体" w:hAnsi="宋体" w:eastAsia="宋体"/>
          <w:sz w:val="24"/>
          <w:szCs w:val="24"/>
        </w:rPr>
      </w:pPr>
    </w:p>
    <w:p>
      <w:pPr>
        <w:spacing w:line="284" w:lineRule="exact"/>
        <w:ind w:right="100" w:firstLine="420"/>
        <w:rPr>
          <w:rFonts w:ascii="宋体" w:hAnsi="宋体" w:eastAsia="宋体"/>
          <w:sz w:val="24"/>
          <w:szCs w:val="24"/>
        </w:rPr>
      </w:pPr>
      <w:r>
        <w:rPr>
          <w:rFonts w:ascii="宋体" w:hAnsi="宋体" w:eastAsia="宋体" w:cs="宋体"/>
          <w:sz w:val="24"/>
          <w:szCs w:val="24"/>
        </w:rPr>
        <w:t>28.1 签订合同时间：成交通知书发出之日起三十日内。成交供应商领取成交通知书后，应按规定与采购人签订合同。</w:t>
      </w:r>
    </w:p>
    <w:p>
      <w:pPr>
        <w:spacing w:line="153" w:lineRule="exact"/>
        <w:rPr>
          <w:rFonts w:ascii="宋体" w:hAnsi="宋体" w:eastAsia="宋体"/>
          <w:sz w:val="24"/>
          <w:szCs w:val="24"/>
        </w:rPr>
      </w:pPr>
    </w:p>
    <w:p>
      <w:pPr>
        <w:spacing w:line="322" w:lineRule="exact"/>
        <w:ind w:firstLine="420"/>
        <w:jc w:val="both"/>
        <w:rPr>
          <w:rFonts w:ascii="宋体" w:hAnsi="宋体" w:eastAsia="宋体"/>
          <w:sz w:val="24"/>
          <w:szCs w:val="24"/>
        </w:rPr>
      </w:pPr>
      <w:r>
        <w:rPr>
          <w:rFonts w:ascii="宋体" w:hAnsi="宋体" w:eastAsia="宋体" w:cs="宋体"/>
          <w:sz w:val="24"/>
          <w:szCs w:val="24"/>
        </w:rPr>
        <w:t>28.2 如成交供应商有下列情形之一的，成交供应商的全部保证金不予退还，并上缴同级财政国库，情节严重的，由财政部门将其列入不良行为记录名单，在一至三年内禁止参加政府采购活动，并予以通报。采购代理机构可从磋商小组推荐的成交候选人中按顺序重新确定成交供应商或重新组织采购。拒绝签订政府采购合同的成交供应商不得参加对该项目重新开展的采购活动。</w:t>
      </w:r>
    </w:p>
    <w:p>
      <w:pPr>
        <w:spacing w:line="122"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（1）成交后不与采购人签订合同的（不可抗力除外）；</w:t>
      </w:r>
    </w:p>
    <w:p>
      <w:pPr>
        <w:spacing w:line="152" w:lineRule="exact"/>
        <w:rPr>
          <w:rFonts w:ascii="宋体" w:hAnsi="宋体" w:eastAsia="宋体"/>
          <w:sz w:val="24"/>
          <w:szCs w:val="24"/>
        </w:rPr>
      </w:pPr>
    </w:p>
    <w:p>
      <w:pPr>
        <w:spacing w:line="284" w:lineRule="exact"/>
        <w:ind w:right="160" w:firstLine="421"/>
        <w:rPr>
          <w:rFonts w:ascii="宋体" w:hAnsi="宋体" w:eastAsia="宋体"/>
          <w:sz w:val="24"/>
          <w:szCs w:val="24"/>
        </w:rPr>
      </w:pPr>
      <w:r>
        <w:rPr>
          <w:rFonts w:ascii="宋体" w:hAnsi="宋体" w:eastAsia="宋体" w:cs="宋体"/>
          <w:sz w:val="24"/>
          <w:szCs w:val="24"/>
        </w:rPr>
        <w:t>（2）将成交项目转让给他人，或者在响应文件中未说明，且未经采购人同意，将成交项目分包给他人的；</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（3）拒绝履行合同义务的。</w:t>
      </w:r>
    </w:p>
    <w:p>
      <w:pPr>
        <w:spacing w:line="152"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28.3 合同备案存档：政府采购合同双方自签订之日起 1 个工作日内将合同原件一份交采购代理机构、7 个工作日内将一份合同原件送灵川县政府采购管理办公室备案。采购代理机构将政府采购合同在省级以上人民政府财政部门指定媒体上公告并存档。</w:t>
      </w:r>
    </w:p>
    <w:p>
      <w:pPr>
        <w:pStyle w:val="4"/>
      </w:pPr>
      <w:bookmarkStart w:id="52" w:name="page17"/>
      <w:bookmarkEnd w:id="52"/>
    </w:p>
    <w:p/>
    <w:p>
      <w:pPr>
        <w:pStyle w:val="2"/>
      </w:pPr>
    </w:p>
    <w:p>
      <w:pPr>
        <w:pStyle w:val="2"/>
      </w:pPr>
    </w:p>
    <w:p>
      <w:pPr>
        <w:pStyle w:val="2"/>
      </w:pPr>
    </w:p>
    <w:p>
      <w:pPr>
        <w:pStyle w:val="2"/>
      </w:pPr>
    </w:p>
    <w:p>
      <w:pPr>
        <w:pStyle w:val="2"/>
      </w:pPr>
    </w:p>
    <w:p/>
    <w:p>
      <w:pPr>
        <w:spacing w:line="320" w:lineRule="exact"/>
        <w:jc w:val="center"/>
        <w:rPr>
          <w:rFonts w:ascii="宋体" w:hAnsi="宋体" w:eastAsia="宋体"/>
          <w:sz w:val="24"/>
          <w:szCs w:val="24"/>
        </w:rPr>
      </w:pPr>
      <w:r>
        <w:rPr>
          <w:rFonts w:ascii="宋体" w:hAnsi="宋体" w:eastAsia="宋体" w:cs="宋体"/>
          <w:b/>
          <w:bCs/>
          <w:sz w:val="24"/>
          <w:szCs w:val="24"/>
        </w:rPr>
        <w:t>六、其他事项</w:t>
      </w:r>
    </w:p>
    <w:p>
      <w:pPr>
        <w:spacing w:line="110" w:lineRule="exact"/>
        <w:rPr>
          <w:rFonts w:ascii="宋体" w:hAnsi="宋体" w:eastAsia="宋体"/>
          <w:sz w:val="24"/>
          <w:szCs w:val="24"/>
        </w:rPr>
      </w:pPr>
    </w:p>
    <w:p>
      <w:pPr>
        <w:numPr>
          <w:ilvl w:val="0"/>
          <w:numId w:val="29"/>
        </w:numPr>
        <w:tabs>
          <w:tab w:val="left" w:pos="940"/>
        </w:tabs>
        <w:spacing w:line="240" w:lineRule="exact"/>
        <w:ind w:left="940" w:hanging="416"/>
        <w:rPr>
          <w:rFonts w:ascii="宋体" w:hAnsi="宋体" w:eastAsia="宋体" w:cs="宋体"/>
          <w:b/>
          <w:bCs/>
          <w:sz w:val="24"/>
          <w:szCs w:val="24"/>
        </w:rPr>
      </w:pPr>
      <w:r>
        <w:rPr>
          <w:rFonts w:ascii="宋体" w:hAnsi="宋体" w:eastAsia="宋体" w:cs="宋体"/>
          <w:b/>
          <w:bCs/>
          <w:sz w:val="24"/>
          <w:szCs w:val="24"/>
        </w:rPr>
        <w:t>采购代理服务费</w:t>
      </w:r>
    </w:p>
    <w:p>
      <w:pPr>
        <w:spacing w:line="152" w:lineRule="exact"/>
        <w:rPr>
          <w:rFonts w:ascii="宋体" w:hAnsi="宋体" w:eastAsia="宋体"/>
          <w:sz w:val="24"/>
          <w:szCs w:val="24"/>
        </w:rPr>
      </w:pPr>
    </w:p>
    <w:p>
      <w:pPr>
        <w:spacing w:line="284" w:lineRule="exact"/>
        <w:ind w:firstLine="421"/>
        <w:rPr>
          <w:rFonts w:ascii="宋体" w:hAnsi="宋体" w:eastAsia="宋体"/>
          <w:sz w:val="24"/>
          <w:szCs w:val="24"/>
        </w:rPr>
      </w:pPr>
      <w:r>
        <w:rPr>
          <w:rFonts w:ascii="宋体" w:hAnsi="宋体" w:eastAsia="宋体" w:cs="宋体"/>
          <w:sz w:val="24"/>
          <w:szCs w:val="24"/>
        </w:rPr>
        <w:t>成交供应商领取成交通知书前，参照计价格[2002]1980 号《招标代理服务收费管理暂行办法》服务类收费标准向采购代理机构一次性付清代理服务费。</w:t>
      </w:r>
    </w:p>
    <w:p>
      <w:pPr>
        <w:spacing w:line="121" w:lineRule="exact"/>
        <w:rPr>
          <w:rFonts w:ascii="宋体" w:hAnsi="宋体" w:eastAsia="宋体"/>
          <w:sz w:val="24"/>
          <w:szCs w:val="24"/>
        </w:rPr>
      </w:pPr>
    </w:p>
    <w:p>
      <w:pPr>
        <w:spacing w:line="240" w:lineRule="exact"/>
        <w:jc w:val="center"/>
        <w:rPr>
          <w:rFonts w:ascii="宋体" w:hAnsi="宋体" w:eastAsia="宋体" w:cs="宋体"/>
          <w:sz w:val="24"/>
          <w:szCs w:val="24"/>
        </w:rPr>
      </w:pPr>
      <w:r>
        <w:rPr>
          <w:rFonts w:ascii="宋体" w:hAnsi="宋体" w:eastAsia="宋体" w:cs="宋体"/>
          <w:sz w:val="24"/>
          <w:szCs w:val="24"/>
        </w:rPr>
        <w:t>采购代理服务收费标准</w:t>
      </w:r>
    </w:p>
    <w:tbl>
      <w:tblPr>
        <w:tblStyle w:val="9"/>
        <w:tblpPr w:leftFromText="180" w:rightFromText="180" w:vertAnchor="text" w:horzAnchor="margin" w:tblpY="3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0"/>
        <w:gridCol w:w="2005"/>
        <w:gridCol w:w="2005"/>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3340" w:type="dxa"/>
            <w:noWrap w:val="0"/>
            <w:vAlign w:val="top"/>
          </w:tcPr>
          <w:p>
            <w:pPr>
              <w:spacing w:line="400" w:lineRule="exact"/>
              <w:ind w:firstLine="1402" w:firstLineChars="635"/>
              <w:rPr>
                <w:rFonts w:hint="eastAsia" w:ascii="宋体" w:hAnsi="宋体"/>
                <w:b/>
                <w:color w:val="auto"/>
                <w:szCs w:val="24"/>
              </w:rPr>
            </w:pPr>
            <w:r>
              <w:rPr>
                <w:rFonts w:ascii="宋体" w:hAnsi="宋体"/>
                <w:b/>
                <w:color w:val="auto"/>
                <w:szCs w:val="24"/>
              </w:rPr>
              <w:pict>
                <v:line id="_x0000_s1045" o:spid="_x0000_s1045" o:spt="20" style="position:absolute;left:0pt;flip:x y;margin-left:22.9pt;margin-top:-0.7pt;height:101.4pt;width:136.5pt;z-index:251670528;mso-width-relative:page;mso-height-relative:page;" filled="f" coordsize="21600,21600">
                  <v:path arrowok="t"/>
                  <v:fill on="f" focussize="0,0"/>
                  <v:stroke/>
                  <v:imagedata o:title=""/>
                  <o:lock v:ext="edit" grouping="f" rotation="f" text="f" aspectratio="f"/>
                </v:line>
              </w:pict>
            </w:r>
            <w:r>
              <w:rPr>
                <w:rFonts w:hint="eastAsia" w:ascii="宋体" w:hAnsi="宋体"/>
                <w:b/>
                <w:color w:val="auto"/>
                <w:szCs w:val="24"/>
              </w:rPr>
              <w:t>服务类型</w:t>
            </w:r>
            <w:r>
              <w:rPr>
                <w:rFonts w:ascii="宋体" w:hAnsi="宋体"/>
                <w:b/>
                <w:color w:val="auto"/>
                <w:szCs w:val="24"/>
              </w:rPr>
              <w:pict>
                <v:line id="_x0000_s1046" o:spid="_x0000_s1046" o:spt="20" style="position:absolute;left:0pt;margin-left:-9pt;margin-top:15.8pt;height:0.05pt;width:0.05pt;z-index:251668480;mso-width-relative:page;mso-height-relative:page;" filled="f" coordsize="21600,21600" o:allowincell="f">
                  <v:path arrowok="t"/>
                  <v:fill on="f" focussize="0,0"/>
                  <v:stroke/>
                  <v:imagedata o:title=""/>
                  <o:lock v:ext="edit" grouping="f" rotation="f" text="f" aspectratio="f"/>
                </v:line>
              </w:pict>
            </w:r>
          </w:p>
          <w:p>
            <w:pPr>
              <w:spacing w:line="400" w:lineRule="exact"/>
              <w:ind w:firstLine="541" w:firstLineChars="245"/>
              <w:rPr>
                <w:rFonts w:hint="eastAsia" w:ascii="宋体" w:hAnsi="宋体"/>
                <w:b/>
                <w:color w:val="auto"/>
                <w:szCs w:val="24"/>
              </w:rPr>
            </w:pPr>
            <w:r>
              <w:rPr>
                <w:rFonts w:ascii="宋体" w:hAnsi="宋体"/>
                <w:b/>
                <w:color w:val="auto"/>
                <w:szCs w:val="24"/>
              </w:rPr>
              <w:pict>
                <v:line id="_x0000_s1047" o:spid="_x0000_s1047" o:spt="20" style="position:absolute;left:0pt;flip:x y;margin-left:-4.1pt;margin-top:18.3pt;height:62.4pt;width:164.05pt;z-index:251669504;mso-width-relative:page;mso-height-relative:page;" filled="f" coordsize="21600,21600">
                  <v:path arrowok="t"/>
                  <v:fill on="f" focussize="0,0"/>
                  <v:stroke/>
                  <v:imagedata o:title=""/>
                  <o:lock v:ext="edit" grouping="f" rotation="f" text="f" aspectratio="f"/>
                </v:line>
              </w:pict>
            </w:r>
            <w:r>
              <w:rPr>
                <w:rFonts w:hint="eastAsia" w:ascii="宋体" w:hAnsi="宋体"/>
                <w:b/>
                <w:color w:val="auto"/>
                <w:szCs w:val="24"/>
              </w:rPr>
              <w:t>费率</w:t>
            </w:r>
          </w:p>
          <w:p>
            <w:pPr>
              <w:spacing w:line="400" w:lineRule="exact"/>
              <w:rPr>
                <w:rFonts w:hint="eastAsia" w:ascii="宋体" w:hAnsi="宋体"/>
                <w:b/>
                <w:color w:val="auto"/>
                <w:szCs w:val="24"/>
              </w:rPr>
            </w:pPr>
          </w:p>
          <w:p>
            <w:pPr>
              <w:spacing w:line="400" w:lineRule="exact"/>
              <w:rPr>
                <w:rFonts w:hint="eastAsia" w:ascii="宋体" w:hAnsi="宋体"/>
                <w:b/>
                <w:color w:val="auto"/>
                <w:szCs w:val="24"/>
              </w:rPr>
            </w:pPr>
            <w:r>
              <w:rPr>
                <w:rFonts w:hint="eastAsia" w:ascii="宋体" w:hAnsi="宋体"/>
                <w:b/>
                <w:color w:val="auto"/>
                <w:szCs w:val="24"/>
              </w:rPr>
              <w:t>中标金额（万元）</w:t>
            </w:r>
          </w:p>
        </w:tc>
        <w:tc>
          <w:tcPr>
            <w:tcW w:w="2005" w:type="dxa"/>
            <w:noWrap w:val="0"/>
            <w:vAlign w:val="center"/>
          </w:tcPr>
          <w:p>
            <w:pPr>
              <w:spacing w:line="400" w:lineRule="exact"/>
              <w:ind w:firstLine="433" w:firstLineChars="196"/>
              <w:rPr>
                <w:rFonts w:hint="eastAsia" w:ascii="宋体" w:hAnsi="宋体"/>
                <w:b/>
                <w:color w:val="auto"/>
                <w:szCs w:val="24"/>
              </w:rPr>
            </w:pPr>
            <w:r>
              <w:rPr>
                <w:rFonts w:hint="eastAsia" w:ascii="宋体" w:hAnsi="宋体"/>
                <w:b/>
                <w:color w:val="auto"/>
                <w:szCs w:val="24"/>
              </w:rPr>
              <w:t>货物招标</w:t>
            </w:r>
          </w:p>
        </w:tc>
        <w:tc>
          <w:tcPr>
            <w:tcW w:w="2005" w:type="dxa"/>
            <w:noWrap w:val="0"/>
            <w:vAlign w:val="center"/>
          </w:tcPr>
          <w:p>
            <w:pPr>
              <w:spacing w:line="400" w:lineRule="exact"/>
              <w:ind w:firstLine="433" w:firstLineChars="196"/>
              <w:rPr>
                <w:rFonts w:hint="eastAsia" w:ascii="宋体" w:hAnsi="宋体"/>
                <w:b/>
                <w:color w:val="auto"/>
                <w:szCs w:val="24"/>
              </w:rPr>
            </w:pPr>
            <w:r>
              <w:rPr>
                <w:rFonts w:hint="eastAsia" w:ascii="宋体" w:hAnsi="宋体"/>
                <w:b/>
                <w:color w:val="auto"/>
                <w:szCs w:val="24"/>
              </w:rPr>
              <w:t>服务招标</w:t>
            </w:r>
          </w:p>
        </w:tc>
        <w:tc>
          <w:tcPr>
            <w:tcW w:w="2006" w:type="dxa"/>
            <w:noWrap w:val="0"/>
            <w:vAlign w:val="center"/>
          </w:tcPr>
          <w:p>
            <w:pPr>
              <w:spacing w:line="400" w:lineRule="exact"/>
              <w:ind w:firstLine="433" w:firstLineChars="196"/>
              <w:rPr>
                <w:rFonts w:hint="eastAsia" w:ascii="宋体" w:hAnsi="宋体"/>
                <w:b/>
                <w:color w:val="auto"/>
                <w:szCs w:val="24"/>
              </w:rPr>
            </w:pPr>
            <w:r>
              <w:rPr>
                <w:rFonts w:hint="eastAsia" w:ascii="宋体" w:hAnsi="宋体"/>
                <w:b/>
                <w:color w:val="auto"/>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340" w:type="dxa"/>
            <w:noWrap w:val="0"/>
            <w:vAlign w:val="top"/>
          </w:tcPr>
          <w:p>
            <w:pPr>
              <w:snapToGrid w:val="0"/>
              <w:spacing w:line="360" w:lineRule="auto"/>
              <w:ind w:firstLine="431" w:firstLineChars="196"/>
              <w:rPr>
                <w:rFonts w:hint="eastAsia" w:ascii="宋体" w:hAnsi="宋体"/>
                <w:color w:val="auto"/>
                <w:szCs w:val="24"/>
              </w:rPr>
            </w:pPr>
            <w:r>
              <w:rPr>
                <w:rFonts w:hint="eastAsia" w:ascii="宋体" w:hAnsi="宋体"/>
                <w:color w:val="auto"/>
                <w:szCs w:val="24"/>
              </w:rPr>
              <w:t>100以下</w:t>
            </w:r>
          </w:p>
        </w:tc>
        <w:tc>
          <w:tcPr>
            <w:tcW w:w="2005" w:type="dxa"/>
            <w:noWrap w:val="0"/>
            <w:vAlign w:val="top"/>
          </w:tcPr>
          <w:p>
            <w:pPr>
              <w:snapToGrid w:val="0"/>
              <w:spacing w:line="360" w:lineRule="auto"/>
              <w:ind w:firstLine="431" w:firstLineChars="196"/>
              <w:rPr>
                <w:rFonts w:hint="eastAsia" w:ascii="宋体" w:hAnsi="宋体"/>
                <w:color w:val="auto"/>
                <w:szCs w:val="24"/>
              </w:rPr>
            </w:pPr>
            <w:r>
              <w:rPr>
                <w:rFonts w:hint="eastAsia" w:ascii="宋体" w:hAnsi="宋体"/>
                <w:color w:val="auto"/>
                <w:szCs w:val="24"/>
              </w:rPr>
              <w:t>1.5%</w:t>
            </w:r>
          </w:p>
        </w:tc>
        <w:tc>
          <w:tcPr>
            <w:tcW w:w="2005" w:type="dxa"/>
            <w:noWrap w:val="0"/>
            <w:vAlign w:val="top"/>
          </w:tcPr>
          <w:p>
            <w:pPr>
              <w:snapToGrid w:val="0"/>
              <w:spacing w:line="360" w:lineRule="auto"/>
              <w:ind w:firstLine="431" w:firstLineChars="196"/>
              <w:rPr>
                <w:rFonts w:hint="eastAsia" w:ascii="宋体" w:hAnsi="宋体"/>
                <w:color w:val="auto"/>
                <w:szCs w:val="24"/>
              </w:rPr>
            </w:pPr>
            <w:r>
              <w:rPr>
                <w:rFonts w:hint="eastAsia" w:ascii="宋体" w:hAnsi="宋体"/>
                <w:color w:val="auto"/>
                <w:szCs w:val="24"/>
              </w:rPr>
              <w:t>1.5%</w:t>
            </w:r>
          </w:p>
        </w:tc>
        <w:tc>
          <w:tcPr>
            <w:tcW w:w="2006" w:type="dxa"/>
            <w:noWrap w:val="0"/>
            <w:vAlign w:val="top"/>
          </w:tcPr>
          <w:p>
            <w:pPr>
              <w:snapToGrid w:val="0"/>
              <w:spacing w:line="360" w:lineRule="auto"/>
              <w:ind w:firstLine="431" w:firstLineChars="196"/>
              <w:rPr>
                <w:rFonts w:hint="eastAsia" w:ascii="宋体" w:hAnsi="宋体"/>
                <w:color w:val="auto"/>
                <w:szCs w:val="24"/>
              </w:rPr>
            </w:pPr>
            <w:r>
              <w:rPr>
                <w:rFonts w:hint="eastAsia" w:ascii="宋体" w:hAnsi="宋体"/>
                <w:color w:val="auto"/>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3340" w:type="dxa"/>
            <w:noWrap w:val="0"/>
            <w:vAlign w:val="top"/>
          </w:tcPr>
          <w:p>
            <w:pPr>
              <w:snapToGrid w:val="0"/>
              <w:spacing w:line="360" w:lineRule="auto"/>
              <w:ind w:firstLine="431" w:firstLineChars="196"/>
              <w:rPr>
                <w:rFonts w:hint="eastAsia" w:ascii="宋体" w:hAnsi="宋体"/>
                <w:color w:val="auto"/>
                <w:szCs w:val="24"/>
              </w:rPr>
            </w:pPr>
            <w:r>
              <w:rPr>
                <w:rFonts w:hint="eastAsia" w:ascii="宋体" w:hAnsi="宋体"/>
                <w:color w:val="auto"/>
                <w:szCs w:val="24"/>
              </w:rPr>
              <w:t>100-500</w:t>
            </w:r>
          </w:p>
        </w:tc>
        <w:tc>
          <w:tcPr>
            <w:tcW w:w="2005" w:type="dxa"/>
            <w:noWrap w:val="0"/>
            <w:vAlign w:val="top"/>
          </w:tcPr>
          <w:p>
            <w:pPr>
              <w:snapToGrid w:val="0"/>
              <w:spacing w:line="360" w:lineRule="auto"/>
              <w:ind w:firstLine="431" w:firstLineChars="196"/>
              <w:rPr>
                <w:rFonts w:hint="eastAsia" w:ascii="宋体" w:hAnsi="宋体"/>
                <w:color w:val="auto"/>
                <w:szCs w:val="24"/>
              </w:rPr>
            </w:pPr>
            <w:r>
              <w:rPr>
                <w:rFonts w:hint="eastAsia" w:ascii="宋体" w:hAnsi="宋体"/>
                <w:color w:val="auto"/>
                <w:szCs w:val="24"/>
              </w:rPr>
              <w:t>1.1%</w:t>
            </w:r>
          </w:p>
        </w:tc>
        <w:tc>
          <w:tcPr>
            <w:tcW w:w="2005" w:type="dxa"/>
            <w:noWrap w:val="0"/>
            <w:vAlign w:val="top"/>
          </w:tcPr>
          <w:p>
            <w:pPr>
              <w:snapToGrid w:val="0"/>
              <w:spacing w:line="360" w:lineRule="auto"/>
              <w:ind w:firstLine="431" w:firstLineChars="196"/>
              <w:rPr>
                <w:rFonts w:hint="eastAsia" w:ascii="宋体" w:hAnsi="宋体"/>
                <w:color w:val="auto"/>
                <w:szCs w:val="24"/>
              </w:rPr>
            </w:pPr>
            <w:r>
              <w:rPr>
                <w:rFonts w:hint="eastAsia" w:ascii="宋体" w:hAnsi="宋体"/>
                <w:color w:val="auto"/>
                <w:szCs w:val="24"/>
              </w:rPr>
              <w:t>0.8%</w:t>
            </w:r>
          </w:p>
        </w:tc>
        <w:tc>
          <w:tcPr>
            <w:tcW w:w="2006" w:type="dxa"/>
            <w:noWrap w:val="0"/>
            <w:vAlign w:val="top"/>
          </w:tcPr>
          <w:p>
            <w:pPr>
              <w:snapToGrid w:val="0"/>
              <w:spacing w:line="360" w:lineRule="auto"/>
              <w:ind w:firstLine="431" w:firstLineChars="196"/>
              <w:rPr>
                <w:rFonts w:hint="eastAsia" w:ascii="宋体" w:hAnsi="宋体"/>
                <w:color w:val="auto"/>
                <w:szCs w:val="24"/>
              </w:rPr>
            </w:pPr>
            <w:r>
              <w:rPr>
                <w:rFonts w:hint="eastAsia" w:ascii="宋体" w:hAnsi="宋体"/>
                <w:color w:val="auto"/>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340" w:type="dxa"/>
            <w:noWrap w:val="0"/>
            <w:vAlign w:val="top"/>
          </w:tcPr>
          <w:p>
            <w:pPr>
              <w:snapToGrid w:val="0"/>
              <w:spacing w:line="360" w:lineRule="auto"/>
              <w:ind w:firstLine="431" w:firstLineChars="196"/>
              <w:rPr>
                <w:rFonts w:hint="eastAsia" w:ascii="宋体" w:hAnsi="宋体"/>
                <w:color w:val="auto"/>
                <w:szCs w:val="24"/>
              </w:rPr>
            </w:pPr>
            <w:r>
              <w:rPr>
                <w:rFonts w:hint="eastAsia" w:ascii="宋体" w:hAnsi="宋体"/>
                <w:color w:val="auto"/>
                <w:szCs w:val="24"/>
              </w:rPr>
              <w:t>500-1000</w:t>
            </w:r>
          </w:p>
        </w:tc>
        <w:tc>
          <w:tcPr>
            <w:tcW w:w="2005" w:type="dxa"/>
            <w:noWrap w:val="0"/>
            <w:vAlign w:val="top"/>
          </w:tcPr>
          <w:p>
            <w:pPr>
              <w:snapToGrid w:val="0"/>
              <w:spacing w:line="360" w:lineRule="auto"/>
              <w:ind w:firstLine="431" w:firstLineChars="196"/>
              <w:rPr>
                <w:rFonts w:hint="eastAsia" w:ascii="宋体" w:hAnsi="宋体"/>
                <w:color w:val="auto"/>
                <w:szCs w:val="24"/>
              </w:rPr>
            </w:pPr>
            <w:r>
              <w:rPr>
                <w:rFonts w:hint="eastAsia" w:ascii="宋体" w:hAnsi="宋体"/>
                <w:color w:val="auto"/>
                <w:szCs w:val="24"/>
              </w:rPr>
              <w:t>0.8%</w:t>
            </w:r>
          </w:p>
        </w:tc>
        <w:tc>
          <w:tcPr>
            <w:tcW w:w="2005" w:type="dxa"/>
            <w:noWrap w:val="0"/>
            <w:vAlign w:val="top"/>
          </w:tcPr>
          <w:p>
            <w:pPr>
              <w:snapToGrid w:val="0"/>
              <w:spacing w:line="360" w:lineRule="auto"/>
              <w:ind w:firstLine="431" w:firstLineChars="196"/>
              <w:rPr>
                <w:rFonts w:hint="eastAsia" w:ascii="宋体" w:hAnsi="宋体"/>
                <w:color w:val="auto"/>
                <w:szCs w:val="24"/>
              </w:rPr>
            </w:pPr>
            <w:r>
              <w:rPr>
                <w:rFonts w:hint="eastAsia" w:ascii="宋体" w:hAnsi="宋体"/>
                <w:color w:val="auto"/>
                <w:szCs w:val="24"/>
              </w:rPr>
              <w:t>0.45%</w:t>
            </w:r>
          </w:p>
        </w:tc>
        <w:tc>
          <w:tcPr>
            <w:tcW w:w="2006" w:type="dxa"/>
            <w:noWrap w:val="0"/>
            <w:vAlign w:val="top"/>
          </w:tcPr>
          <w:p>
            <w:pPr>
              <w:snapToGrid w:val="0"/>
              <w:spacing w:line="360" w:lineRule="auto"/>
              <w:ind w:firstLine="431" w:firstLineChars="196"/>
              <w:rPr>
                <w:rFonts w:hint="eastAsia" w:ascii="宋体" w:hAnsi="宋体"/>
                <w:color w:val="auto"/>
                <w:szCs w:val="24"/>
              </w:rPr>
            </w:pPr>
            <w:r>
              <w:rPr>
                <w:rFonts w:hint="eastAsia" w:ascii="宋体" w:hAnsi="宋体"/>
                <w:color w:val="auto"/>
                <w:szCs w:val="24"/>
              </w:rPr>
              <w:t>0.55%</w:t>
            </w:r>
          </w:p>
        </w:tc>
      </w:tr>
    </w:tbl>
    <w:p>
      <w:pPr>
        <w:pStyle w:val="2"/>
      </w:pPr>
    </w:p>
    <w:p>
      <w:pPr>
        <w:spacing w:line="24" w:lineRule="exact"/>
        <w:rPr>
          <w:rFonts w:ascii="宋体" w:hAnsi="宋体" w:eastAsia="宋体"/>
          <w:sz w:val="24"/>
          <w:szCs w:val="24"/>
        </w:rPr>
      </w:pPr>
    </w:p>
    <w:p>
      <w:pPr>
        <w:spacing w:line="20" w:lineRule="exact"/>
        <w:rPr>
          <w:rFonts w:ascii="宋体" w:hAnsi="宋体" w:eastAsia="宋体"/>
          <w:sz w:val="24"/>
          <w:szCs w:val="24"/>
        </w:rPr>
      </w:pPr>
      <w:bookmarkStart w:id="68" w:name="_GoBack"/>
      <w:bookmarkEnd w:id="68"/>
    </w:p>
    <w:p>
      <w:pPr>
        <w:spacing w:line="56" w:lineRule="exact"/>
        <w:rPr>
          <w:rFonts w:ascii="宋体" w:hAnsi="宋体" w:eastAsia="宋体"/>
          <w:sz w:val="24"/>
          <w:szCs w:val="24"/>
        </w:rPr>
      </w:pPr>
    </w:p>
    <w:p>
      <w:pPr>
        <w:spacing w:line="240" w:lineRule="exact"/>
        <w:ind w:left="40"/>
        <w:rPr>
          <w:rFonts w:ascii="宋体" w:hAnsi="宋体" w:eastAsia="宋体"/>
          <w:sz w:val="24"/>
          <w:szCs w:val="24"/>
        </w:rPr>
      </w:pPr>
      <w:r>
        <w:rPr>
          <w:rFonts w:ascii="宋体" w:hAnsi="宋体" w:eastAsia="宋体" w:cs="宋体"/>
          <w:sz w:val="24"/>
          <w:szCs w:val="24"/>
        </w:rPr>
        <w:t>注：采购代理服务收费按差额定率累进法计算。</w:t>
      </w:r>
    </w:p>
    <w:p>
      <w:pPr>
        <w:spacing w:line="120" w:lineRule="exact"/>
        <w:rPr>
          <w:rFonts w:ascii="宋体" w:hAnsi="宋体" w:eastAsia="宋体"/>
          <w:sz w:val="24"/>
          <w:szCs w:val="24"/>
        </w:rPr>
      </w:pPr>
    </w:p>
    <w:p>
      <w:pPr>
        <w:numPr>
          <w:ilvl w:val="0"/>
          <w:numId w:val="30"/>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采购代理机构银行账户</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开户名称：</w:t>
      </w:r>
      <w:r>
        <w:rPr>
          <w:rFonts w:hint="eastAsia" w:ascii="宋体" w:hAnsi="宋体" w:eastAsia="宋体" w:cs="宋体"/>
          <w:bCs/>
          <w:sz w:val="24"/>
          <w:szCs w:val="24"/>
          <w:u w:val="single"/>
        </w:rPr>
        <w:t>广西八桂建设项目管理有限公司桂林分公司</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开户银行：</w:t>
      </w:r>
      <w:r>
        <w:rPr>
          <w:rFonts w:hint="eastAsia" w:ascii="宋体" w:hAnsi="宋体" w:eastAsia="宋体" w:cs="宋体"/>
          <w:bCs/>
          <w:sz w:val="24"/>
          <w:szCs w:val="24"/>
          <w:u w:val="single"/>
        </w:rPr>
        <w:t>桂林银行南溪支行</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银行帐号：</w:t>
      </w:r>
      <w:r>
        <w:rPr>
          <w:rFonts w:hint="eastAsia" w:ascii="宋体" w:hAnsi="宋体" w:eastAsia="宋体" w:cs="宋体"/>
          <w:bCs/>
          <w:sz w:val="24"/>
          <w:szCs w:val="24"/>
          <w:u w:val="single"/>
        </w:rPr>
        <w:t xml:space="preserve">660011115698900010 </w:t>
      </w:r>
    </w:p>
    <w:p>
      <w:pPr>
        <w:spacing w:line="120" w:lineRule="exact"/>
        <w:rPr>
          <w:rFonts w:ascii="宋体" w:hAnsi="宋体" w:eastAsia="宋体"/>
          <w:sz w:val="24"/>
          <w:szCs w:val="24"/>
        </w:rPr>
      </w:pPr>
    </w:p>
    <w:p>
      <w:pPr>
        <w:spacing w:line="153" w:lineRule="exact"/>
        <w:rPr>
          <w:rFonts w:ascii="宋体" w:hAnsi="宋体" w:eastAsia="宋体"/>
          <w:sz w:val="24"/>
          <w:szCs w:val="24"/>
        </w:rPr>
      </w:pPr>
    </w:p>
    <w:p>
      <w:pPr>
        <w:numPr>
          <w:ilvl w:val="0"/>
          <w:numId w:val="31"/>
        </w:numPr>
        <w:tabs>
          <w:tab w:val="left" w:pos="846"/>
        </w:tabs>
        <w:spacing w:line="309" w:lineRule="exact"/>
        <w:ind w:firstLine="429"/>
        <w:jc w:val="both"/>
        <w:rPr>
          <w:rFonts w:ascii="宋体" w:hAnsi="宋体" w:eastAsia="宋体" w:cs="宋体"/>
          <w:b/>
          <w:bCs/>
          <w:sz w:val="24"/>
          <w:szCs w:val="24"/>
        </w:rPr>
      </w:pPr>
      <w:r>
        <w:rPr>
          <w:rFonts w:ascii="宋体" w:hAnsi="宋体" w:eastAsia="宋体" w:cs="宋体"/>
          <w:b/>
          <w:bCs/>
          <w:sz w:val="24"/>
          <w:szCs w:val="24"/>
        </w:rPr>
        <w:t>解释权：</w:t>
      </w:r>
      <w:r>
        <w:rPr>
          <w:rFonts w:ascii="宋体" w:hAnsi="宋体" w:eastAsia="宋体" w:cs="宋体"/>
          <w:sz w:val="24"/>
          <w:szCs w:val="24"/>
        </w:rPr>
        <w:t>本竞争性磋商文件是根据《中华人民共和国政府采购法》、《中华人民共和国政府采购法实施条例》、《政府采购非招标采购方式管理办法》和政府采购管理有关规定编制，本竞争性磋商文件的解释权属于采购代理机构。</w:t>
      </w:r>
    </w:p>
    <w:p>
      <w:pPr>
        <w:spacing w:line="122" w:lineRule="exact"/>
        <w:rPr>
          <w:rFonts w:ascii="宋体" w:hAnsi="宋体" w:eastAsia="宋体" w:cs="宋体"/>
          <w:b/>
          <w:bCs/>
          <w:sz w:val="24"/>
          <w:szCs w:val="24"/>
        </w:rPr>
      </w:pPr>
    </w:p>
    <w:p>
      <w:pPr>
        <w:numPr>
          <w:ilvl w:val="0"/>
          <w:numId w:val="31"/>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监督管理机构：</w:t>
      </w:r>
      <w:r>
        <w:rPr>
          <w:rFonts w:ascii="宋体" w:hAnsi="宋体" w:eastAsia="宋体" w:cs="宋体"/>
          <w:sz w:val="24"/>
          <w:szCs w:val="24"/>
        </w:rPr>
        <w:t>灵川县政府采购管理办公室   电话：0773-6812818</w:t>
      </w: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
      <w:pPr>
        <w:pStyle w:val="4"/>
      </w:pPr>
    </w:p>
    <w:p/>
    <w:p>
      <w:pPr>
        <w:pStyle w:val="4"/>
      </w:pPr>
    </w:p>
    <w:p/>
    <w:p>
      <w:pPr>
        <w:pStyle w:val="4"/>
        <w:numPr>
          <w:ilvl w:val="0"/>
          <w:numId w:val="0"/>
        </w:numPr>
        <w:jc w:val="center"/>
        <w:rPr>
          <w:rFonts w:hint="eastAsia" w:eastAsia="黑体"/>
          <w:lang w:eastAsia="zh-CN"/>
        </w:rPr>
      </w:pPr>
      <w:r>
        <w:rPr>
          <w:rFonts w:hint="eastAsia"/>
          <w:lang w:eastAsia="zh-CN"/>
        </w:rPr>
        <w:t>第三章</w:t>
      </w:r>
      <w:r>
        <w:rPr>
          <w:rFonts w:hint="eastAsia"/>
          <w:lang w:val="en-US" w:eastAsia="zh-CN"/>
        </w:rPr>
        <w:t xml:space="preserve">  </w:t>
      </w:r>
      <w:r>
        <w:rPr>
          <w:rFonts w:hint="eastAsia"/>
          <w:lang w:eastAsia="zh-CN"/>
        </w:rPr>
        <w:t>服务采购需求</w:t>
      </w:r>
    </w:p>
    <w:tbl>
      <w:tblPr>
        <w:tblStyle w:val="9"/>
        <w:tblW w:w="10196" w:type="dxa"/>
        <w:tblInd w:w="0" w:type="dxa"/>
        <w:tblLayout w:type="autofit"/>
        <w:tblCellMar>
          <w:top w:w="0" w:type="dxa"/>
          <w:left w:w="0" w:type="dxa"/>
          <w:bottom w:w="0" w:type="dxa"/>
          <w:right w:w="0" w:type="dxa"/>
        </w:tblCellMar>
      </w:tblPr>
      <w:tblGrid>
        <w:gridCol w:w="618"/>
        <w:gridCol w:w="619"/>
        <w:gridCol w:w="619"/>
        <w:gridCol w:w="619"/>
        <w:gridCol w:w="6086"/>
        <w:gridCol w:w="858"/>
        <w:gridCol w:w="777"/>
      </w:tblGrid>
      <w:tr>
        <w:tblPrEx>
          <w:tblCellMar>
            <w:top w:w="0" w:type="dxa"/>
            <w:left w:w="0" w:type="dxa"/>
            <w:bottom w:w="0" w:type="dxa"/>
            <w:right w:w="0" w:type="dxa"/>
          </w:tblCellMar>
        </w:tblPrEx>
        <w:trPr>
          <w:trHeight w:val="564"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项号</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服务名称</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数量</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单位</w:t>
            </w:r>
          </w:p>
        </w:tc>
        <w:tc>
          <w:tcPr>
            <w:tcW w:w="6086"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项目要求及技术需求</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小计（元）</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备注</w:t>
            </w:r>
          </w:p>
        </w:tc>
      </w:tr>
      <w:tr>
        <w:tblPrEx>
          <w:tblCellMar>
            <w:top w:w="0" w:type="dxa"/>
            <w:left w:w="0" w:type="dxa"/>
            <w:bottom w:w="0" w:type="dxa"/>
            <w:right w:w="0" w:type="dxa"/>
          </w:tblCellMar>
        </w:tblPrEx>
        <w:trPr>
          <w:trHeight w:val="3096" w:hRule="atLeast"/>
        </w:trPr>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定向视频采集服务</w:t>
            </w:r>
          </w:p>
        </w:tc>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项</w:t>
            </w:r>
          </w:p>
        </w:tc>
        <w:tc>
          <w:tcPr>
            <w:tcW w:w="6086" w:type="dxa"/>
            <w:vMerge w:val="restart"/>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spacing w:after="240"/>
              <w:rPr>
                <w:rFonts w:ascii="宋体" w:hAnsi="宋体" w:cs="宋体"/>
                <w:sz w:val="18"/>
                <w:szCs w:val="18"/>
              </w:rPr>
            </w:pPr>
            <w:r>
              <w:rPr>
                <w:rFonts w:hint="eastAsia" w:ascii="宋体" w:hAnsi="宋体" w:cs="宋体"/>
                <w:sz w:val="18"/>
                <w:szCs w:val="18"/>
              </w:rPr>
              <w:t>一、服务要求：</w:t>
            </w:r>
            <w:r>
              <w:rPr>
                <w:rFonts w:hint="eastAsia" w:ascii="宋体" w:hAnsi="宋体" w:cs="宋体"/>
                <w:sz w:val="18"/>
                <w:szCs w:val="18"/>
              </w:rPr>
              <w:br w:type="textWrapping"/>
            </w:r>
            <w:r>
              <w:rPr>
                <w:rFonts w:hint="eastAsia" w:ascii="宋体" w:hAnsi="宋体" w:cs="宋体"/>
                <w:sz w:val="18"/>
                <w:szCs w:val="18"/>
              </w:rPr>
              <w:t>1、按照采购人需求，提供对指定区域的81套前端定向视频采集服务，进行24小时不间断录像存储，存储分辨率要求达到≥1080P高清画面。</w:t>
            </w:r>
          </w:p>
          <w:p>
            <w:pPr>
              <w:spacing w:after="240"/>
              <w:rPr>
                <w:rFonts w:ascii="宋体" w:hAnsi="宋体" w:cs="宋体"/>
                <w:sz w:val="18"/>
                <w:szCs w:val="18"/>
              </w:rPr>
            </w:pPr>
            <w:r>
              <w:rPr>
                <w:rFonts w:hint="eastAsia" w:ascii="宋体" w:hAnsi="宋体" w:cs="宋体"/>
                <w:sz w:val="18"/>
                <w:szCs w:val="18"/>
              </w:rPr>
              <w:t>2、提供81 套室外枪机的堪点服务，针对采购人需求配合采购人实地</w:t>
            </w:r>
            <w:r>
              <w:rPr>
                <w:rFonts w:hint="eastAsia" w:ascii="宋体" w:hAnsi="宋体" w:cs="宋体"/>
                <w:sz w:val="18"/>
                <w:szCs w:val="18"/>
              </w:rPr>
              <w:br w:type="textWrapping"/>
            </w:r>
            <w:r>
              <w:rPr>
                <w:rFonts w:hint="eastAsia" w:ascii="宋体" w:hAnsi="宋体" w:cs="宋体"/>
                <w:sz w:val="18"/>
                <w:szCs w:val="18"/>
              </w:rPr>
              <w:t>勘察，选点，保证点位的监控效果及可行性。</w:t>
            </w:r>
          </w:p>
          <w:p>
            <w:pPr>
              <w:spacing w:after="240"/>
              <w:rPr>
                <w:rFonts w:ascii="宋体" w:hAnsi="宋体" w:cs="宋体"/>
                <w:sz w:val="18"/>
                <w:szCs w:val="18"/>
              </w:rPr>
            </w:pPr>
            <w:r>
              <w:rPr>
                <w:rFonts w:hint="eastAsia" w:ascii="宋体" w:hAnsi="宋体" w:cs="宋体"/>
                <w:sz w:val="18"/>
                <w:szCs w:val="18"/>
              </w:rPr>
              <w:t>3、提供 81 套室外枪机的建设、安装、调试服务，在选定位置进行设备安装调试，使视频图像达到采购人需求。并提供配套的安装支架、电源(包含：电源线等主材及辅材、与接电配套的施工)、户外防水箱。</w:t>
            </w:r>
          </w:p>
          <w:p>
            <w:pPr>
              <w:spacing w:after="240"/>
              <w:rPr>
                <w:rFonts w:ascii="宋体" w:hAnsi="宋体" w:cs="宋体"/>
                <w:sz w:val="18"/>
                <w:szCs w:val="18"/>
              </w:rPr>
            </w:pPr>
            <w:r>
              <w:rPr>
                <w:rFonts w:hint="eastAsia" w:ascii="宋体" w:hAnsi="宋体" w:cs="宋体"/>
                <w:sz w:val="18"/>
                <w:szCs w:val="18"/>
              </w:rPr>
              <w:t>4、提供 81 套室外枪机的市电接入服务，配合供电勘察，接入稳定的市电电源，使前端设备能稳定工作。</w:t>
            </w:r>
          </w:p>
          <w:p>
            <w:pPr>
              <w:spacing w:after="240"/>
              <w:rPr>
                <w:rFonts w:ascii="宋体" w:hAnsi="宋体" w:cs="宋体"/>
                <w:sz w:val="18"/>
                <w:szCs w:val="18"/>
              </w:rPr>
            </w:pPr>
            <w:r>
              <w:rPr>
                <w:rFonts w:hint="eastAsia" w:ascii="宋体" w:hAnsi="宋体" w:cs="宋体"/>
                <w:sz w:val="18"/>
                <w:szCs w:val="18"/>
              </w:rPr>
              <w:t>5、提供 81 个前端视频采集点维护服务，定期对前端视频采集点的设</w:t>
            </w:r>
            <w:r>
              <w:rPr>
                <w:rFonts w:hint="eastAsia" w:ascii="宋体" w:hAnsi="宋体" w:cs="宋体"/>
                <w:sz w:val="18"/>
                <w:szCs w:val="18"/>
              </w:rPr>
              <w:br w:type="textWrapping"/>
            </w:r>
            <w:r>
              <w:rPr>
                <w:rFonts w:hint="eastAsia" w:ascii="宋体" w:hAnsi="宋体" w:cs="宋体"/>
                <w:sz w:val="18"/>
                <w:szCs w:val="18"/>
              </w:rPr>
              <w:t>备、辅材、弱电箱、市电进行巡检、维修、调整画面、清洁镜头等服</w:t>
            </w:r>
            <w:r>
              <w:rPr>
                <w:rFonts w:hint="eastAsia" w:ascii="宋体" w:hAnsi="宋体" w:cs="宋体"/>
                <w:sz w:val="18"/>
                <w:szCs w:val="18"/>
              </w:rPr>
              <w:br w:type="textWrapping"/>
            </w:r>
            <w:r>
              <w:rPr>
                <w:rFonts w:hint="eastAsia" w:ascii="宋体" w:hAnsi="宋体" w:cs="宋体"/>
                <w:sz w:val="18"/>
                <w:szCs w:val="18"/>
              </w:rPr>
              <w:t>务，保持视频图像长期稳定在线、清晰。服务期限三年。</w:t>
            </w:r>
          </w:p>
          <w:p>
            <w:pPr>
              <w:spacing w:after="240"/>
              <w:rPr>
                <w:rFonts w:ascii="宋体" w:hAnsi="宋体" w:cs="宋体"/>
                <w:sz w:val="18"/>
                <w:szCs w:val="18"/>
              </w:rPr>
            </w:pPr>
            <w:r>
              <w:rPr>
                <w:rFonts w:hint="eastAsia" w:ascii="宋体" w:hAnsi="宋体" w:cs="宋体"/>
                <w:sz w:val="18"/>
                <w:szCs w:val="18"/>
              </w:rPr>
              <w:t>二、定向视频采集服务配套监控设备技术参数要求　</w:t>
            </w:r>
          </w:p>
          <w:p>
            <w:pPr>
              <w:spacing w:after="240"/>
              <w:rPr>
                <w:rFonts w:ascii="宋体" w:hAnsi="宋体" w:cs="宋体"/>
                <w:sz w:val="18"/>
                <w:szCs w:val="18"/>
              </w:rPr>
            </w:pPr>
            <w:r>
              <w:rPr>
                <w:rFonts w:hint="eastAsia" w:ascii="宋体" w:hAnsi="宋体" w:cs="宋体"/>
                <w:sz w:val="18"/>
                <w:szCs w:val="18"/>
              </w:rPr>
              <w:t>前端监控设备参数要求：</w:t>
            </w:r>
          </w:p>
          <w:p>
            <w:pPr>
              <w:spacing w:after="240"/>
              <w:rPr>
                <w:rFonts w:ascii="宋体" w:hAnsi="宋体" w:eastAsia="宋体" w:cs="宋体"/>
                <w:color w:val="000000"/>
                <w:sz w:val="18"/>
                <w:szCs w:val="18"/>
              </w:rPr>
            </w:pPr>
            <w:r>
              <w:rPr>
                <w:rFonts w:hint="eastAsia" w:ascii="宋体" w:hAnsi="宋体" w:cs="宋体"/>
                <w:sz w:val="18"/>
                <w:szCs w:val="18"/>
              </w:rPr>
              <w:t>1、</w:t>
            </w:r>
            <w:r>
              <w:rPr>
                <w:rFonts w:hint="eastAsia" w:ascii="宋体" w:hAnsi="宋体" w:eastAsia="宋体" w:cs="宋体"/>
                <w:color w:val="000000"/>
                <w:sz w:val="18"/>
                <w:szCs w:val="18"/>
              </w:rPr>
              <w:t>摄像机采用≥1/3英寸CMOS传感器，像素≥400万；</w:t>
            </w:r>
          </w:p>
          <w:p>
            <w:pPr>
              <w:spacing w:after="240"/>
              <w:rPr>
                <w:rFonts w:ascii="宋体" w:hAnsi="宋体" w:eastAsia="宋体" w:cs="宋体"/>
                <w:color w:val="000000"/>
                <w:sz w:val="18"/>
                <w:szCs w:val="18"/>
              </w:rPr>
            </w:pPr>
            <w:r>
              <w:rPr>
                <w:rFonts w:hint="eastAsia" w:ascii="宋体" w:hAnsi="宋体" w:cs="宋体"/>
                <w:sz w:val="18"/>
                <w:szCs w:val="18"/>
              </w:rPr>
              <w:t>2、</w:t>
            </w:r>
            <w:r>
              <w:rPr>
                <w:rFonts w:hint="eastAsia" w:ascii="宋体" w:hAnsi="宋体" w:eastAsia="宋体" w:cs="宋体"/>
                <w:color w:val="000000"/>
                <w:sz w:val="18"/>
                <w:szCs w:val="18"/>
              </w:rPr>
              <w:t>分辨率支持≥2688×1520；</w:t>
            </w:r>
          </w:p>
          <w:p>
            <w:pPr>
              <w:spacing w:after="240"/>
              <w:rPr>
                <w:rFonts w:ascii="宋体" w:hAnsi="宋体" w:eastAsia="宋体" w:cs="宋体"/>
                <w:color w:val="000000"/>
                <w:sz w:val="18"/>
                <w:szCs w:val="18"/>
              </w:rPr>
            </w:pPr>
            <w:r>
              <w:rPr>
                <w:rFonts w:hint="eastAsia" w:ascii="宋体" w:hAnsi="宋体" w:cs="宋体"/>
                <w:sz w:val="18"/>
                <w:szCs w:val="18"/>
              </w:rPr>
              <w:t>3、</w:t>
            </w:r>
            <w:r>
              <w:rPr>
                <w:rFonts w:hint="eastAsia" w:ascii="宋体" w:hAnsi="宋体" w:eastAsia="宋体" w:cs="宋体"/>
                <w:color w:val="000000"/>
                <w:sz w:val="18"/>
                <w:szCs w:val="18"/>
              </w:rPr>
              <w:t>扫描方式支持逐行扫描；</w:t>
            </w:r>
          </w:p>
          <w:p>
            <w:pPr>
              <w:spacing w:after="240"/>
              <w:rPr>
                <w:rFonts w:ascii="宋体" w:hAnsi="宋体" w:eastAsia="宋体" w:cs="宋体"/>
                <w:color w:val="000000"/>
                <w:sz w:val="18"/>
                <w:szCs w:val="18"/>
              </w:rPr>
            </w:pPr>
            <w:r>
              <w:rPr>
                <w:rFonts w:hint="eastAsia" w:ascii="宋体" w:hAnsi="宋体" w:cs="宋体"/>
                <w:sz w:val="18"/>
                <w:szCs w:val="18"/>
              </w:rPr>
              <w:t>4、</w:t>
            </w:r>
            <w:r>
              <w:rPr>
                <w:rFonts w:hint="eastAsia" w:ascii="宋体" w:hAnsi="宋体" w:eastAsia="宋体" w:cs="宋体"/>
                <w:color w:val="000000"/>
                <w:sz w:val="18"/>
                <w:szCs w:val="18"/>
              </w:rPr>
              <w:t>信噪比＞56dB；</w:t>
            </w:r>
          </w:p>
          <w:p>
            <w:pPr>
              <w:spacing w:after="240"/>
              <w:rPr>
                <w:rFonts w:ascii="宋体" w:hAnsi="宋体" w:eastAsia="宋体" w:cs="宋体"/>
                <w:color w:val="000000"/>
                <w:sz w:val="18"/>
                <w:szCs w:val="18"/>
              </w:rPr>
            </w:pPr>
            <w:r>
              <w:rPr>
                <w:rFonts w:hint="eastAsia" w:ascii="宋体" w:hAnsi="宋体" w:cs="宋体"/>
                <w:sz w:val="18"/>
                <w:szCs w:val="18"/>
              </w:rPr>
              <w:t>5、</w:t>
            </w:r>
            <w:r>
              <w:rPr>
                <w:rFonts w:hint="eastAsia" w:ascii="宋体" w:hAnsi="宋体" w:eastAsia="宋体" w:cs="宋体"/>
                <w:color w:val="000000"/>
                <w:sz w:val="18"/>
                <w:szCs w:val="18"/>
              </w:rPr>
              <w:t>支持暖光补光灯；</w:t>
            </w:r>
          </w:p>
          <w:p>
            <w:pPr>
              <w:spacing w:after="240"/>
              <w:rPr>
                <w:rFonts w:ascii="宋体" w:hAnsi="宋体" w:eastAsia="宋体" w:cs="宋体"/>
                <w:color w:val="000000"/>
                <w:sz w:val="18"/>
                <w:szCs w:val="18"/>
              </w:rPr>
            </w:pPr>
            <w:r>
              <w:rPr>
                <w:rFonts w:hint="eastAsia" w:ascii="宋体" w:hAnsi="宋体" w:cs="宋体"/>
                <w:sz w:val="18"/>
                <w:szCs w:val="18"/>
              </w:rPr>
              <w:t>6、</w:t>
            </w:r>
            <w:r>
              <w:rPr>
                <w:rFonts w:hint="eastAsia" w:ascii="宋体" w:hAnsi="宋体" w:eastAsia="宋体" w:cs="宋体"/>
                <w:color w:val="000000"/>
                <w:sz w:val="18"/>
                <w:szCs w:val="18"/>
              </w:rPr>
              <w:t>暖光补光距离≥30m；</w:t>
            </w:r>
          </w:p>
          <w:p>
            <w:pPr>
              <w:spacing w:after="240"/>
              <w:rPr>
                <w:rFonts w:ascii="宋体" w:hAnsi="宋体" w:eastAsia="宋体" w:cs="宋体"/>
                <w:color w:val="000000"/>
                <w:sz w:val="18"/>
                <w:szCs w:val="18"/>
              </w:rPr>
            </w:pPr>
            <w:r>
              <w:rPr>
                <w:rFonts w:hint="eastAsia" w:ascii="宋体" w:hAnsi="宋体" w:cs="宋体"/>
                <w:sz w:val="18"/>
                <w:szCs w:val="18"/>
              </w:rPr>
              <w:t>7、</w:t>
            </w:r>
            <w:r>
              <w:rPr>
                <w:rFonts w:hint="eastAsia" w:ascii="宋体" w:hAnsi="宋体" w:eastAsia="宋体" w:cs="宋体"/>
                <w:color w:val="000000"/>
                <w:sz w:val="18"/>
                <w:szCs w:val="18"/>
              </w:rPr>
              <w:t>采用6mm定焦焦距镜头；</w:t>
            </w:r>
          </w:p>
          <w:p>
            <w:pPr>
              <w:spacing w:after="240"/>
              <w:rPr>
                <w:rFonts w:ascii="宋体" w:hAnsi="宋体" w:eastAsia="宋体" w:cs="宋体"/>
                <w:color w:val="000000"/>
                <w:sz w:val="18"/>
                <w:szCs w:val="18"/>
              </w:rPr>
            </w:pPr>
            <w:r>
              <w:rPr>
                <w:rFonts w:hint="eastAsia" w:ascii="宋体" w:hAnsi="宋体" w:cs="宋体"/>
                <w:sz w:val="18"/>
                <w:szCs w:val="18"/>
              </w:rPr>
              <w:t>8、</w:t>
            </w:r>
            <w:r>
              <w:rPr>
                <w:rFonts w:hint="eastAsia" w:ascii="宋体" w:hAnsi="宋体" w:eastAsia="宋体" w:cs="宋体"/>
                <w:color w:val="000000"/>
                <w:sz w:val="18"/>
                <w:szCs w:val="18"/>
              </w:rPr>
              <w:t>视场角应支持水平53°×垂直30°×对角61°；</w:t>
            </w:r>
          </w:p>
          <w:p>
            <w:pPr>
              <w:spacing w:after="240"/>
              <w:rPr>
                <w:rFonts w:ascii="宋体" w:hAnsi="宋体" w:eastAsia="宋体" w:cs="宋体"/>
                <w:color w:val="000000"/>
                <w:sz w:val="18"/>
                <w:szCs w:val="18"/>
              </w:rPr>
            </w:pPr>
            <w:r>
              <w:rPr>
                <w:rFonts w:hint="eastAsia" w:ascii="宋体" w:hAnsi="宋体" w:cs="宋体"/>
                <w:sz w:val="18"/>
                <w:szCs w:val="18"/>
              </w:rPr>
              <w:t>9、</w:t>
            </w:r>
            <w:r>
              <w:rPr>
                <w:rFonts w:hint="eastAsia" w:ascii="宋体" w:hAnsi="宋体" w:eastAsia="宋体" w:cs="宋体"/>
                <w:color w:val="000000"/>
                <w:sz w:val="18"/>
                <w:szCs w:val="18"/>
              </w:rPr>
              <w:t>支持通用行为分析，支持区域入侵、拌线入侵；</w:t>
            </w:r>
          </w:p>
          <w:p>
            <w:pPr>
              <w:spacing w:after="240"/>
              <w:rPr>
                <w:rFonts w:ascii="宋体" w:hAnsi="宋体" w:eastAsia="宋体" w:cs="宋体"/>
                <w:color w:val="000000"/>
                <w:sz w:val="18"/>
                <w:szCs w:val="18"/>
              </w:rPr>
            </w:pPr>
            <w:r>
              <w:rPr>
                <w:rFonts w:hint="eastAsia" w:ascii="宋体" w:hAnsi="宋体" w:cs="宋体"/>
                <w:sz w:val="18"/>
                <w:szCs w:val="18"/>
              </w:rPr>
              <w:t>10、</w:t>
            </w:r>
            <w:r>
              <w:rPr>
                <w:rFonts w:hint="eastAsia" w:ascii="宋体" w:hAnsi="宋体" w:eastAsia="宋体" w:cs="宋体"/>
                <w:color w:val="000000"/>
                <w:sz w:val="18"/>
                <w:szCs w:val="18"/>
              </w:rPr>
              <w:t>视频压缩标准支持H.265；H.264；H.264B；MJPEG；</w:t>
            </w:r>
          </w:p>
          <w:p>
            <w:pPr>
              <w:spacing w:after="240"/>
              <w:rPr>
                <w:rFonts w:ascii="宋体" w:hAnsi="宋体" w:eastAsia="宋体" w:cs="宋体"/>
                <w:color w:val="000000"/>
                <w:sz w:val="18"/>
                <w:szCs w:val="18"/>
              </w:rPr>
            </w:pPr>
            <w:r>
              <w:rPr>
                <w:rFonts w:hint="eastAsia" w:ascii="宋体" w:hAnsi="宋体" w:cs="宋体"/>
                <w:sz w:val="18"/>
                <w:szCs w:val="18"/>
              </w:rPr>
              <w:t>11、</w:t>
            </w:r>
            <w:r>
              <w:rPr>
                <w:rFonts w:hint="eastAsia" w:ascii="宋体" w:hAnsi="宋体" w:eastAsia="宋体" w:cs="宋体"/>
                <w:color w:val="000000"/>
                <w:sz w:val="18"/>
                <w:szCs w:val="18"/>
              </w:rPr>
              <w:t>日夜转换应支持电子彩转黑；</w:t>
            </w:r>
          </w:p>
          <w:p>
            <w:pPr>
              <w:spacing w:after="240"/>
              <w:rPr>
                <w:rFonts w:ascii="宋体" w:hAnsi="宋体" w:eastAsia="宋体" w:cs="宋体"/>
                <w:color w:val="000000"/>
                <w:sz w:val="18"/>
                <w:szCs w:val="18"/>
              </w:rPr>
            </w:pPr>
            <w:r>
              <w:rPr>
                <w:rFonts w:hint="eastAsia" w:ascii="宋体" w:hAnsi="宋体" w:cs="宋体"/>
                <w:sz w:val="18"/>
                <w:szCs w:val="18"/>
              </w:rPr>
              <w:t>12、</w:t>
            </w:r>
            <w:r>
              <w:rPr>
                <w:rFonts w:hint="eastAsia" w:ascii="宋体" w:hAnsi="宋体" w:eastAsia="宋体" w:cs="宋体"/>
                <w:color w:val="000000"/>
                <w:sz w:val="18"/>
                <w:szCs w:val="18"/>
              </w:rPr>
              <w:t>支持背光补偿，支持强光抑制；</w:t>
            </w:r>
          </w:p>
          <w:p>
            <w:pPr>
              <w:spacing w:after="240"/>
              <w:rPr>
                <w:rFonts w:ascii="宋体" w:hAnsi="宋体" w:eastAsia="宋体" w:cs="宋体"/>
                <w:color w:val="000000"/>
                <w:sz w:val="18"/>
                <w:szCs w:val="18"/>
              </w:rPr>
            </w:pPr>
            <w:r>
              <w:rPr>
                <w:rFonts w:hint="eastAsia" w:ascii="宋体" w:hAnsi="宋体" w:cs="宋体"/>
                <w:sz w:val="18"/>
                <w:szCs w:val="18"/>
              </w:rPr>
              <w:t>13、</w:t>
            </w:r>
            <w:r>
              <w:rPr>
                <w:rFonts w:hint="eastAsia" w:ascii="宋体" w:hAnsi="宋体" w:eastAsia="宋体" w:cs="宋体"/>
                <w:color w:val="000000"/>
                <w:sz w:val="18"/>
                <w:szCs w:val="18"/>
              </w:rPr>
              <w:t>支持音频异常侦测设置功能,在IE浏览器下，支持设置输入异常、环境噪声过滤、声强突变时间提醒功能；</w:t>
            </w:r>
          </w:p>
          <w:p>
            <w:pPr>
              <w:spacing w:after="240"/>
              <w:rPr>
                <w:rFonts w:ascii="宋体" w:hAnsi="宋体" w:eastAsia="宋体" w:cs="宋体"/>
                <w:color w:val="000000"/>
                <w:sz w:val="18"/>
                <w:szCs w:val="18"/>
              </w:rPr>
            </w:pPr>
            <w:r>
              <w:rPr>
                <w:rFonts w:hint="eastAsia" w:ascii="宋体" w:hAnsi="宋体" w:cs="宋体"/>
                <w:sz w:val="18"/>
                <w:szCs w:val="18"/>
              </w:rPr>
              <w:t>14、</w:t>
            </w:r>
            <w:r>
              <w:rPr>
                <w:rFonts w:hint="eastAsia" w:ascii="宋体" w:hAnsi="宋体" w:eastAsia="宋体" w:cs="宋体"/>
                <w:color w:val="000000"/>
                <w:sz w:val="18"/>
                <w:szCs w:val="18"/>
              </w:rPr>
              <w:t>支持匿名访问功能,开启匿名登录功能，不输入用户名和密码可预览视频图像；</w:t>
            </w:r>
          </w:p>
          <w:p>
            <w:pPr>
              <w:spacing w:after="240"/>
              <w:rPr>
                <w:rFonts w:ascii="宋体" w:hAnsi="宋体" w:eastAsia="宋体" w:cs="宋体"/>
                <w:color w:val="000000"/>
                <w:sz w:val="18"/>
                <w:szCs w:val="18"/>
              </w:rPr>
            </w:pPr>
            <w:r>
              <w:rPr>
                <w:rFonts w:hint="eastAsia" w:ascii="宋体" w:hAnsi="宋体" w:cs="宋体"/>
                <w:sz w:val="18"/>
                <w:szCs w:val="18"/>
              </w:rPr>
              <w:t>15、</w:t>
            </w:r>
            <w:r>
              <w:rPr>
                <w:rFonts w:hint="eastAsia" w:ascii="宋体" w:hAnsi="宋体" w:eastAsia="宋体" w:cs="宋体"/>
                <w:color w:val="000000"/>
                <w:sz w:val="18"/>
                <w:szCs w:val="18"/>
              </w:rPr>
              <w:t>应支持全时彩色录像功能,白天和夜晚均可输出彩色视频录像；</w:t>
            </w:r>
          </w:p>
          <w:p>
            <w:pPr>
              <w:spacing w:after="240"/>
              <w:rPr>
                <w:rFonts w:ascii="宋体" w:hAnsi="宋体" w:eastAsia="宋体" w:cs="宋体"/>
                <w:color w:val="000000"/>
                <w:sz w:val="18"/>
                <w:szCs w:val="18"/>
              </w:rPr>
            </w:pPr>
            <w:r>
              <w:rPr>
                <w:rFonts w:hint="eastAsia" w:ascii="宋体" w:hAnsi="宋体" w:cs="宋体"/>
                <w:sz w:val="18"/>
                <w:szCs w:val="18"/>
              </w:rPr>
              <w:t>16、</w:t>
            </w:r>
            <w:r>
              <w:rPr>
                <w:rFonts w:hint="eastAsia" w:ascii="宋体" w:hAnsi="宋体" w:eastAsia="宋体" w:cs="宋体"/>
                <w:color w:val="000000"/>
                <w:sz w:val="18"/>
                <w:szCs w:val="18"/>
              </w:rPr>
              <w:t>支持遮挡检测功能。当监控场景被遮挡时，可通过客户端软件或IE浏览器给出报警提示并上传FTP、发送邮件及联动录像；</w:t>
            </w:r>
          </w:p>
          <w:p>
            <w:pPr>
              <w:spacing w:after="240"/>
              <w:rPr>
                <w:rFonts w:ascii="宋体" w:hAnsi="宋体" w:eastAsia="宋体" w:cs="宋体"/>
                <w:color w:val="000000"/>
                <w:sz w:val="18"/>
                <w:szCs w:val="18"/>
              </w:rPr>
            </w:pPr>
            <w:r>
              <w:rPr>
                <w:rFonts w:hint="eastAsia" w:ascii="宋体" w:hAnsi="宋体" w:cs="宋体"/>
                <w:sz w:val="18"/>
                <w:szCs w:val="18"/>
              </w:rPr>
              <w:t>17、</w:t>
            </w:r>
            <w:r>
              <w:rPr>
                <w:rFonts w:hint="eastAsia" w:ascii="宋体" w:hAnsi="宋体" w:eastAsia="宋体" w:cs="宋体"/>
                <w:color w:val="000000"/>
                <w:sz w:val="18"/>
                <w:szCs w:val="18"/>
              </w:rPr>
              <w:t>视频帧率应支持50Hz主码流（2560×1440@25fps），辅码流（704×576@25fps）主码流（2688×1520@20fps），辅码流（704×576@20fps）60Hz主码流（2560×1440@30fps），辅码流（704×480@30fps）主码流（2688×1520@20fps），辅码流（704×480@20fps）；</w:t>
            </w:r>
          </w:p>
          <w:p>
            <w:pPr>
              <w:spacing w:after="240"/>
              <w:rPr>
                <w:rFonts w:ascii="宋体" w:hAnsi="宋体" w:eastAsia="宋体" w:cs="宋体"/>
                <w:color w:val="000000"/>
                <w:sz w:val="18"/>
                <w:szCs w:val="18"/>
              </w:rPr>
            </w:pPr>
            <w:r>
              <w:rPr>
                <w:rFonts w:hint="eastAsia" w:ascii="宋体" w:hAnsi="宋体" w:cs="宋体"/>
                <w:sz w:val="18"/>
                <w:szCs w:val="18"/>
              </w:rPr>
              <w:t>18、</w:t>
            </w:r>
            <w:r>
              <w:rPr>
                <w:rFonts w:hint="eastAsia" w:ascii="宋体" w:hAnsi="宋体" w:eastAsia="宋体" w:cs="宋体"/>
                <w:color w:val="000000"/>
                <w:sz w:val="18"/>
                <w:szCs w:val="18"/>
              </w:rPr>
              <w:t>满足宽动态120dB；</w:t>
            </w:r>
          </w:p>
          <w:p>
            <w:pPr>
              <w:spacing w:after="240"/>
              <w:rPr>
                <w:rFonts w:ascii="宋体" w:hAnsi="宋体" w:eastAsia="宋体" w:cs="宋体"/>
                <w:color w:val="000000"/>
                <w:sz w:val="18"/>
                <w:szCs w:val="18"/>
              </w:rPr>
            </w:pPr>
            <w:r>
              <w:rPr>
                <w:rFonts w:hint="eastAsia" w:ascii="宋体" w:hAnsi="宋体" w:cs="宋体"/>
                <w:sz w:val="18"/>
                <w:szCs w:val="18"/>
              </w:rPr>
              <w:t>19、</w:t>
            </w:r>
            <w:r>
              <w:rPr>
                <w:rFonts w:hint="eastAsia" w:ascii="宋体" w:hAnsi="宋体" w:eastAsia="宋体" w:cs="宋体"/>
                <w:color w:val="000000"/>
                <w:sz w:val="18"/>
                <w:szCs w:val="18"/>
              </w:rPr>
              <w:t>白平衡应支持自动/自然光/路灯/室外/手动/区域自定义；</w:t>
            </w:r>
          </w:p>
          <w:p>
            <w:pPr>
              <w:spacing w:after="240"/>
              <w:rPr>
                <w:rFonts w:ascii="宋体" w:hAnsi="宋体" w:eastAsia="宋体" w:cs="宋体"/>
                <w:color w:val="000000"/>
                <w:sz w:val="18"/>
                <w:szCs w:val="18"/>
              </w:rPr>
            </w:pPr>
            <w:r>
              <w:rPr>
                <w:rFonts w:hint="eastAsia" w:ascii="宋体" w:hAnsi="宋体" w:cs="宋体"/>
                <w:sz w:val="18"/>
                <w:szCs w:val="18"/>
              </w:rPr>
              <w:t>20、</w:t>
            </w:r>
            <w:r>
              <w:rPr>
                <w:rFonts w:hint="eastAsia" w:ascii="宋体" w:hAnsi="宋体" w:eastAsia="宋体" w:cs="宋体"/>
                <w:color w:val="000000"/>
                <w:sz w:val="18"/>
                <w:szCs w:val="18"/>
              </w:rPr>
              <w:t>支持网络协议IPv4；IPv6；HTTP；HTTPS；TCP；UDP；ARP；RTP ；RTSP；RTCP； RTMP；SMTP；FTP；SFTP；DHCP；DNS；DDNS； QoS；UPnP；NTP；Multicast；ICMP；IGMP；NFS；PPPoE；802.1x；Bonjour；</w:t>
            </w:r>
          </w:p>
          <w:p>
            <w:pPr>
              <w:textAlignment w:val="center"/>
              <w:rPr>
                <w:rFonts w:ascii="宋体" w:hAnsi="宋体" w:eastAsia="宋体" w:cs="宋体"/>
                <w:color w:val="000000"/>
                <w:sz w:val="18"/>
                <w:szCs w:val="18"/>
              </w:rPr>
            </w:pPr>
            <w:r>
              <w:rPr>
                <w:rFonts w:hint="eastAsia" w:ascii="宋体" w:hAnsi="宋体" w:cs="宋体"/>
                <w:sz w:val="18"/>
                <w:szCs w:val="18"/>
              </w:rPr>
              <w:t>21、</w:t>
            </w:r>
            <w:r>
              <w:rPr>
                <w:rFonts w:hint="eastAsia" w:ascii="宋体" w:hAnsi="宋体" w:eastAsia="宋体" w:cs="宋体"/>
                <w:color w:val="000000"/>
                <w:sz w:val="18"/>
                <w:szCs w:val="18"/>
              </w:rPr>
              <w:t>支持安全模式。支持授权的用户名和密码；MAC地址绑定；HTTPS加密；IEEE 802.1x；网络访问控制；</w:t>
            </w:r>
            <w:r>
              <w:rPr>
                <w:rFonts w:ascii="宋体" w:hAnsi="宋体" w:eastAsia="宋体" w:cs="宋体"/>
                <w:color w:val="000000"/>
                <w:sz w:val="18"/>
                <w:szCs w:val="18"/>
              </w:rPr>
              <w:t xml:space="preserve"> </w:t>
            </w: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862800</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tcPr>
          <w:p>
            <w:pPr>
              <w:spacing w:after="180"/>
              <w:jc w:val="center"/>
              <w:textAlignment w:val="top"/>
              <w:rPr>
                <w:rFonts w:ascii="宋体" w:hAnsi="宋体" w:eastAsia="宋体" w:cs="宋体"/>
                <w:color w:val="000000"/>
                <w:sz w:val="18"/>
                <w:szCs w:val="18"/>
              </w:rPr>
            </w:pPr>
            <w:r>
              <w:rPr>
                <w:rFonts w:hint="eastAsia" w:ascii="宋体" w:hAnsi="宋体" w:eastAsia="宋体" w:cs="宋体"/>
                <w:color w:val="000000"/>
                <w:sz w:val="18"/>
                <w:szCs w:val="18"/>
              </w:rPr>
              <w:t>1、包含3年前端监控点摄像头+光纤线路+30天云平台存储费用。</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2、包含乡镇级综治中心、乡镇派出所专线联网使用查看。</w:t>
            </w:r>
            <w:r>
              <w:rPr>
                <w:rFonts w:hint="eastAsia" w:ascii="宋体" w:hAnsi="宋体" w:eastAsia="宋体" w:cs="宋体"/>
                <w:color w:val="000000"/>
                <w:sz w:val="18"/>
                <w:szCs w:val="18"/>
              </w:rPr>
              <w:br w:type="textWrapping"/>
            </w:r>
          </w:p>
        </w:tc>
      </w:tr>
      <w:tr>
        <w:tblPrEx>
          <w:tblCellMar>
            <w:top w:w="0" w:type="dxa"/>
            <w:left w:w="0" w:type="dxa"/>
            <w:bottom w:w="0" w:type="dxa"/>
            <w:right w:w="0" w:type="dxa"/>
          </w:tblCellMar>
        </w:tblPrEx>
        <w:trPr>
          <w:trHeight w:val="4165" w:hRule="atLeast"/>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rPr>
                <w:rFonts w:ascii="宋体" w:hAnsi="宋体" w:eastAsia="宋体" w:cs="宋体"/>
                <w:color w:val="000000"/>
                <w:sz w:val="18"/>
                <w:szCs w:val="18"/>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rPr>
                <w:rFonts w:ascii="宋体" w:hAnsi="宋体" w:eastAsia="宋体" w:cs="宋体"/>
                <w:color w:val="000000"/>
                <w:sz w:val="18"/>
                <w:szCs w:val="18"/>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rPr>
                <w:rFonts w:ascii="宋体" w:hAnsi="宋体" w:eastAsia="宋体" w:cs="宋体"/>
                <w:color w:val="000000"/>
                <w:sz w:val="18"/>
                <w:szCs w:val="18"/>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rPr>
                <w:rFonts w:ascii="宋体" w:hAnsi="宋体" w:eastAsia="宋体" w:cs="宋体"/>
                <w:color w:val="000000"/>
                <w:sz w:val="18"/>
                <w:szCs w:val="18"/>
              </w:rPr>
            </w:pPr>
          </w:p>
        </w:tc>
        <w:tc>
          <w:tcPr>
            <w:tcW w:w="60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rPr>
                <w:rFonts w:ascii="宋体" w:hAnsi="宋体" w:eastAsia="宋体" w:cs="宋体"/>
                <w:color w:val="000000"/>
                <w:sz w:val="18"/>
                <w:szCs w:val="18"/>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rPr>
                <w:rFonts w:ascii="宋体" w:hAnsi="宋体" w:eastAsia="宋体" w:cs="宋体"/>
                <w:color w:val="000000"/>
                <w:sz w:val="18"/>
                <w:szCs w:val="18"/>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36" w:hRule="atLeast"/>
        </w:trPr>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视频监控管理平台服务</w:t>
            </w:r>
          </w:p>
        </w:tc>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项</w:t>
            </w:r>
          </w:p>
        </w:tc>
        <w:tc>
          <w:tcPr>
            <w:tcW w:w="6086" w:type="dxa"/>
            <w:vMerge w:val="restart"/>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spacing w:line="400" w:lineRule="exact"/>
              <w:rPr>
                <w:rFonts w:ascii="宋体" w:hAnsi="宋体"/>
                <w:sz w:val="18"/>
                <w:szCs w:val="18"/>
              </w:rPr>
            </w:pPr>
            <w:r>
              <w:rPr>
                <w:rFonts w:hint="eastAsia" w:ascii="宋体" w:hAnsi="宋体" w:eastAsia="宋体" w:cs="宋体"/>
                <w:color w:val="000000"/>
                <w:sz w:val="18"/>
                <w:szCs w:val="18"/>
              </w:rPr>
              <w:t>一、服务要求：</w:t>
            </w:r>
            <w:r>
              <w:rPr>
                <w:rFonts w:hint="eastAsia" w:ascii="宋体" w:hAnsi="宋体" w:eastAsia="宋体" w:cs="宋体"/>
                <w:color w:val="000000"/>
                <w:sz w:val="18"/>
                <w:szCs w:val="18"/>
              </w:rPr>
              <w:br w:type="textWrapping"/>
            </w:r>
            <w:r>
              <w:rPr>
                <w:rFonts w:hint="eastAsia" w:ascii="宋体" w:hAnsi="宋体"/>
                <w:sz w:val="18"/>
                <w:szCs w:val="18"/>
              </w:rPr>
              <w:t>1、基本功能：</w:t>
            </w:r>
          </w:p>
          <w:p>
            <w:pPr>
              <w:spacing w:line="400" w:lineRule="exact"/>
              <w:rPr>
                <w:rFonts w:ascii="宋体" w:hAnsi="宋体"/>
                <w:sz w:val="18"/>
                <w:szCs w:val="18"/>
              </w:rPr>
            </w:pPr>
            <w:r>
              <w:rPr>
                <w:rFonts w:hint="eastAsia" w:ascii="宋体" w:hAnsi="宋体"/>
                <w:sz w:val="18"/>
                <w:szCs w:val="18"/>
              </w:rPr>
              <w:t>（1）支持基本的视频能力、录像回放能力、视频实时上墙和任务上墙；</w:t>
            </w:r>
          </w:p>
          <w:p>
            <w:pPr>
              <w:spacing w:line="400" w:lineRule="exact"/>
              <w:rPr>
                <w:rFonts w:ascii="宋体" w:hAnsi="宋体"/>
                <w:sz w:val="18"/>
                <w:szCs w:val="18"/>
              </w:rPr>
            </w:pPr>
            <w:r>
              <w:rPr>
                <w:rFonts w:hint="eastAsia" w:ascii="宋体" w:hAnsi="宋体"/>
                <w:sz w:val="18"/>
                <w:szCs w:val="18"/>
              </w:rPr>
              <w:t>（2）支持不同选型的中心管理平台（1万\3万\10万路）来管理设备做集群汇聚；</w:t>
            </w:r>
          </w:p>
          <w:p>
            <w:pPr>
              <w:spacing w:line="400" w:lineRule="exact"/>
              <w:rPr>
                <w:rFonts w:ascii="宋体" w:hAnsi="宋体"/>
                <w:sz w:val="18"/>
                <w:szCs w:val="18"/>
              </w:rPr>
            </w:pPr>
            <w:r>
              <w:rPr>
                <w:rFonts w:hint="eastAsia" w:ascii="宋体" w:hAnsi="宋体"/>
                <w:sz w:val="18"/>
                <w:szCs w:val="18"/>
              </w:rPr>
              <w:t>（3）支持管理云存储；</w:t>
            </w:r>
          </w:p>
          <w:p>
            <w:pPr>
              <w:spacing w:line="400" w:lineRule="exact"/>
              <w:rPr>
                <w:rFonts w:ascii="宋体" w:hAnsi="宋体"/>
                <w:sz w:val="18"/>
                <w:szCs w:val="18"/>
              </w:rPr>
            </w:pPr>
            <w:r>
              <w:rPr>
                <w:rFonts w:hint="eastAsia" w:ascii="宋体" w:hAnsi="宋体"/>
                <w:sz w:val="18"/>
                <w:szCs w:val="18"/>
              </w:rPr>
              <w:t>（4）支持对接智能云存储的管理节点双机热备，数据节点集群实现动态负载扩展，满足不同路数的接入、转发、存储；</w:t>
            </w:r>
          </w:p>
          <w:p>
            <w:pPr>
              <w:spacing w:line="400" w:lineRule="exact"/>
              <w:rPr>
                <w:rFonts w:ascii="宋体" w:hAnsi="宋体"/>
                <w:sz w:val="18"/>
                <w:szCs w:val="18"/>
              </w:rPr>
            </w:pPr>
            <w:r>
              <w:rPr>
                <w:rFonts w:hint="eastAsia" w:ascii="宋体" w:hAnsi="宋体"/>
                <w:sz w:val="18"/>
                <w:szCs w:val="18"/>
              </w:rPr>
              <w:t>（5）支持管理节点；</w:t>
            </w:r>
          </w:p>
          <w:p>
            <w:pPr>
              <w:spacing w:line="400" w:lineRule="exact"/>
              <w:rPr>
                <w:rFonts w:ascii="宋体" w:hAnsi="宋体"/>
                <w:sz w:val="18"/>
                <w:szCs w:val="18"/>
              </w:rPr>
            </w:pPr>
            <w:r>
              <w:rPr>
                <w:rFonts w:hint="eastAsia" w:ascii="宋体" w:hAnsi="宋体"/>
                <w:sz w:val="18"/>
                <w:szCs w:val="18"/>
              </w:rPr>
              <w:t>（6）支持一个中型管理平台配套的节点做集群满足不同路数的接入、转发、存储；</w:t>
            </w:r>
          </w:p>
          <w:p>
            <w:pPr>
              <w:spacing w:line="400" w:lineRule="exact"/>
              <w:rPr>
                <w:rFonts w:ascii="宋体" w:hAnsi="宋体"/>
                <w:sz w:val="18"/>
                <w:szCs w:val="18"/>
              </w:rPr>
            </w:pPr>
            <w:r>
              <w:rPr>
                <w:rFonts w:hint="eastAsia" w:ascii="宋体" w:hAnsi="宋体"/>
                <w:sz w:val="18"/>
                <w:szCs w:val="18"/>
              </w:rPr>
              <w:t>（7）采用分布式非对称式架构，元数据处理与数据存储的松耦合分析架构。</w:t>
            </w:r>
          </w:p>
          <w:p>
            <w:pPr>
              <w:spacing w:line="400" w:lineRule="exact"/>
              <w:rPr>
                <w:rFonts w:ascii="宋体" w:hAnsi="宋体"/>
                <w:sz w:val="18"/>
                <w:szCs w:val="18"/>
              </w:rPr>
            </w:pPr>
            <w:r>
              <w:rPr>
                <w:rFonts w:hint="eastAsia" w:ascii="宋体" w:hAnsi="宋体"/>
                <w:sz w:val="18"/>
                <w:szCs w:val="18"/>
              </w:rPr>
              <w:t>2、数据搜索服务：</w:t>
            </w:r>
          </w:p>
          <w:p>
            <w:pPr>
              <w:spacing w:line="400" w:lineRule="exact"/>
              <w:rPr>
                <w:rFonts w:ascii="宋体" w:hAnsi="宋体"/>
                <w:sz w:val="18"/>
                <w:szCs w:val="18"/>
              </w:rPr>
            </w:pPr>
            <w:r>
              <w:rPr>
                <w:rFonts w:hint="eastAsia" w:ascii="宋体" w:hAnsi="宋体"/>
                <w:sz w:val="18"/>
                <w:szCs w:val="18"/>
              </w:rPr>
              <w:t>（1）提供结构化数据存储和管理服务，包含：数据存储模块，数据生命周期管理模块，数据接入模块，数据备份模块，数据流量统计模块；</w:t>
            </w:r>
          </w:p>
          <w:p>
            <w:pPr>
              <w:spacing w:line="400" w:lineRule="exact"/>
              <w:rPr>
                <w:rFonts w:ascii="宋体" w:hAnsi="宋体"/>
                <w:sz w:val="18"/>
                <w:szCs w:val="18"/>
              </w:rPr>
            </w:pPr>
            <w:r>
              <w:rPr>
                <w:rFonts w:hint="eastAsia" w:ascii="宋体" w:hAnsi="宋体"/>
                <w:sz w:val="18"/>
                <w:szCs w:val="18"/>
              </w:rPr>
              <w:t>（2）提供数据基础PaaS服务软件，包含：数据实时接入模块，数据查询模块；</w:t>
            </w:r>
          </w:p>
          <w:p>
            <w:pPr>
              <w:spacing w:line="400" w:lineRule="exact"/>
              <w:rPr>
                <w:rFonts w:ascii="宋体" w:hAnsi="宋体"/>
                <w:sz w:val="18"/>
                <w:szCs w:val="18"/>
              </w:rPr>
            </w:pPr>
            <w:r>
              <w:rPr>
                <w:rFonts w:hint="eastAsia" w:ascii="宋体" w:hAnsi="宋体"/>
                <w:sz w:val="18"/>
                <w:szCs w:val="18"/>
              </w:rPr>
              <w:t>（3）系统存储容量≥25亿条数据量存储和分析，集群可支持PB级数据量的存储；</w:t>
            </w:r>
          </w:p>
          <w:p>
            <w:pPr>
              <w:spacing w:line="400" w:lineRule="exact"/>
              <w:rPr>
                <w:rFonts w:ascii="宋体" w:hAnsi="宋体"/>
                <w:sz w:val="18"/>
                <w:szCs w:val="18"/>
              </w:rPr>
            </w:pPr>
            <w:r>
              <w:rPr>
                <w:rFonts w:hint="eastAsia" w:ascii="宋体" w:hAnsi="宋体"/>
                <w:sz w:val="18"/>
                <w:szCs w:val="18"/>
              </w:rPr>
              <w:t>3、视频云统一运维服务：</w:t>
            </w:r>
          </w:p>
          <w:p>
            <w:pPr>
              <w:spacing w:line="400" w:lineRule="exact"/>
              <w:rPr>
                <w:rFonts w:ascii="宋体" w:hAnsi="宋体"/>
                <w:sz w:val="18"/>
                <w:szCs w:val="18"/>
              </w:rPr>
            </w:pPr>
            <w:r>
              <w:rPr>
                <w:rFonts w:hint="eastAsia" w:ascii="宋体" w:hAnsi="宋体"/>
                <w:sz w:val="18"/>
                <w:szCs w:val="18"/>
              </w:rPr>
              <w:t>（1）提供用户鉴权配套对接VSL鉴权模块；</w:t>
            </w:r>
          </w:p>
          <w:p>
            <w:pPr>
              <w:spacing w:line="400" w:lineRule="exact"/>
              <w:rPr>
                <w:rFonts w:ascii="宋体" w:hAnsi="宋体"/>
                <w:sz w:val="18"/>
                <w:szCs w:val="18"/>
              </w:rPr>
            </w:pPr>
            <w:r>
              <w:rPr>
                <w:rFonts w:hint="eastAsia" w:ascii="宋体" w:hAnsi="宋体"/>
                <w:sz w:val="18"/>
                <w:szCs w:val="18"/>
              </w:rPr>
              <w:t>（2）实现角色、权限分配可对不同使用人员，配置不同的业务角色和权限；分功能菜单权限和操作权限；</w:t>
            </w:r>
          </w:p>
          <w:p>
            <w:pPr>
              <w:spacing w:line="400" w:lineRule="exact"/>
              <w:rPr>
                <w:rFonts w:ascii="宋体" w:hAnsi="宋体"/>
                <w:sz w:val="18"/>
                <w:szCs w:val="18"/>
              </w:rPr>
            </w:pPr>
            <w:r>
              <w:rPr>
                <w:rFonts w:hint="eastAsia" w:ascii="宋体" w:hAnsi="宋体"/>
                <w:sz w:val="18"/>
                <w:szCs w:val="18"/>
              </w:rPr>
              <w:t>（3）支撑管理智能设备：智能诊断设备的增删查改管理，支持集群堆叠管理；</w:t>
            </w:r>
          </w:p>
          <w:p>
            <w:pPr>
              <w:spacing w:line="400" w:lineRule="exact"/>
              <w:rPr>
                <w:rFonts w:ascii="宋体" w:hAnsi="宋体"/>
                <w:sz w:val="18"/>
                <w:szCs w:val="18"/>
              </w:rPr>
            </w:pPr>
            <w:r>
              <w:rPr>
                <w:rFonts w:hint="eastAsia" w:ascii="宋体" w:hAnsi="宋体"/>
                <w:sz w:val="18"/>
                <w:szCs w:val="18"/>
              </w:rPr>
              <w:t>（4）提供诊断方案：诊断方案包括方案名称，诊断设备，描述，诊断检测项及诊断参数；检测项：分为全局、抖动、遮挡、冻结、视频丢失、条纹、亮度、对比度、清晰度、偏色、噪声、场景变化、彩色/黑白图像、视频剧变、图像凝固、PTZ，提供默认的诊断参数值，支持修改。</w:t>
            </w:r>
          </w:p>
          <w:p>
            <w:pPr>
              <w:spacing w:line="400" w:lineRule="exact"/>
              <w:rPr>
                <w:rFonts w:ascii="宋体" w:hAnsi="宋体"/>
                <w:sz w:val="18"/>
                <w:szCs w:val="18"/>
              </w:rPr>
            </w:pPr>
            <w:r>
              <w:rPr>
                <w:rFonts w:hint="eastAsia" w:ascii="宋体" w:hAnsi="宋体"/>
                <w:sz w:val="18"/>
                <w:szCs w:val="18"/>
              </w:rPr>
              <w:t>4、行业视频直播发布服务：</w:t>
            </w:r>
          </w:p>
          <w:p>
            <w:pPr>
              <w:spacing w:line="400" w:lineRule="exact"/>
              <w:rPr>
                <w:rFonts w:ascii="宋体" w:hAnsi="宋体"/>
                <w:sz w:val="18"/>
                <w:szCs w:val="18"/>
              </w:rPr>
            </w:pPr>
            <w:r>
              <w:rPr>
                <w:rFonts w:hint="eastAsia" w:ascii="宋体" w:hAnsi="宋体"/>
                <w:sz w:val="18"/>
                <w:szCs w:val="18"/>
              </w:rPr>
              <w:t>（1）支持设备接入；</w:t>
            </w:r>
          </w:p>
          <w:p>
            <w:pPr>
              <w:spacing w:line="400" w:lineRule="exact"/>
              <w:rPr>
                <w:rFonts w:ascii="宋体" w:hAnsi="宋体"/>
                <w:sz w:val="18"/>
                <w:szCs w:val="18"/>
              </w:rPr>
            </w:pPr>
            <w:r>
              <w:rPr>
                <w:rFonts w:hint="eastAsia" w:ascii="宋体" w:hAnsi="宋体"/>
                <w:sz w:val="18"/>
                <w:szCs w:val="18"/>
              </w:rPr>
              <w:t>（2）支持应急关断、恢复、视频举报下架功能，支持自定义组织；</w:t>
            </w:r>
          </w:p>
          <w:p>
            <w:pPr>
              <w:spacing w:line="400" w:lineRule="exact"/>
              <w:rPr>
                <w:rFonts w:ascii="宋体" w:hAnsi="宋体"/>
                <w:sz w:val="18"/>
                <w:szCs w:val="18"/>
              </w:rPr>
            </w:pPr>
            <w:r>
              <w:rPr>
                <w:rFonts w:hint="eastAsia" w:ascii="宋体" w:hAnsi="宋体"/>
                <w:sz w:val="18"/>
                <w:szCs w:val="18"/>
              </w:rPr>
              <w:t>（3）支持H5嵌入web、第三方App和微信公众号；</w:t>
            </w:r>
          </w:p>
          <w:p>
            <w:pPr>
              <w:spacing w:line="400" w:lineRule="exact"/>
              <w:rPr>
                <w:rFonts w:ascii="宋体" w:hAnsi="宋体"/>
                <w:sz w:val="18"/>
                <w:szCs w:val="18"/>
              </w:rPr>
            </w:pPr>
            <w:r>
              <w:rPr>
                <w:rFonts w:hint="eastAsia" w:ascii="宋体" w:hAnsi="宋体"/>
                <w:sz w:val="18"/>
                <w:szCs w:val="18"/>
              </w:rPr>
              <w:t xml:space="preserve">（4）支持≥600M流媒体转发； </w:t>
            </w:r>
          </w:p>
          <w:p>
            <w:pPr>
              <w:spacing w:line="400" w:lineRule="exact"/>
              <w:rPr>
                <w:rFonts w:ascii="宋体" w:hAnsi="宋体"/>
                <w:sz w:val="18"/>
                <w:szCs w:val="18"/>
              </w:rPr>
            </w:pPr>
            <w:r>
              <w:rPr>
                <w:rFonts w:hint="eastAsia" w:ascii="宋体" w:hAnsi="宋体"/>
                <w:sz w:val="18"/>
                <w:szCs w:val="18"/>
              </w:rPr>
              <w:t>（5）支持视频观看≥1000路并发能力 ；</w:t>
            </w:r>
          </w:p>
          <w:p>
            <w:pPr>
              <w:spacing w:line="400" w:lineRule="exact"/>
              <w:rPr>
                <w:rFonts w:ascii="宋体" w:hAnsi="宋体"/>
                <w:sz w:val="18"/>
                <w:szCs w:val="18"/>
              </w:rPr>
            </w:pPr>
            <w:r>
              <w:rPr>
                <w:rFonts w:hint="eastAsia" w:ascii="宋体" w:hAnsi="宋体"/>
                <w:sz w:val="18"/>
                <w:szCs w:val="18"/>
              </w:rPr>
              <w:t>（6）支持≥1万用户在线 ；</w:t>
            </w:r>
          </w:p>
          <w:p>
            <w:pPr>
              <w:spacing w:line="400" w:lineRule="exact"/>
              <w:rPr>
                <w:rFonts w:ascii="宋体" w:hAnsi="宋体"/>
                <w:sz w:val="18"/>
                <w:szCs w:val="18"/>
              </w:rPr>
            </w:pPr>
            <w:r>
              <w:rPr>
                <w:rFonts w:hint="eastAsia" w:ascii="宋体" w:hAnsi="宋体"/>
                <w:sz w:val="18"/>
                <w:szCs w:val="18"/>
              </w:rPr>
              <w:t>（7）支持集群部署；</w:t>
            </w:r>
          </w:p>
          <w:p>
            <w:pPr>
              <w:spacing w:line="400" w:lineRule="exact"/>
              <w:rPr>
                <w:rFonts w:ascii="宋体" w:hAnsi="宋体"/>
                <w:sz w:val="18"/>
                <w:szCs w:val="18"/>
              </w:rPr>
            </w:pPr>
            <w:r>
              <w:rPr>
                <w:rFonts w:hint="eastAsia" w:ascii="宋体" w:hAnsi="宋体"/>
                <w:sz w:val="18"/>
                <w:szCs w:val="18"/>
              </w:rPr>
              <w:t xml:space="preserve">（8）支持Linux操作系统； </w:t>
            </w:r>
          </w:p>
          <w:p>
            <w:pPr>
              <w:spacing w:line="400" w:lineRule="exact"/>
              <w:rPr>
                <w:rFonts w:ascii="宋体" w:hAnsi="宋体"/>
                <w:sz w:val="18"/>
                <w:szCs w:val="18"/>
              </w:rPr>
            </w:pPr>
            <w:r>
              <w:rPr>
                <w:rFonts w:hint="eastAsia" w:ascii="宋体" w:hAnsi="宋体"/>
                <w:sz w:val="18"/>
                <w:szCs w:val="18"/>
              </w:rPr>
              <w:t>5、设备接入网服务：</w:t>
            </w:r>
          </w:p>
          <w:p>
            <w:pPr>
              <w:spacing w:line="400" w:lineRule="exact"/>
              <w:rPr>
                <w:rFonts w:ascii="宋体" w:hAnsi="宋体"/>
                <w:sz w:val="18"/>
                <w:szCs w:val="18"/>
              </w:rPr>
            </w:pPr>
            <w:r>
              <w:rPr>
                <w:rFonts w:hint="eastAsia" w:ascii="宋体" w:hAnsi="宋体"/>
                <w:sz w:val="18"/>
                <w:szCs w:val="18"/>
              </w:rPr>
              <w:t>(1)标准协议支持标准协议GB28181/ONVIF/PSIA/RTSP/HTTP接入；</w:t>
            </w:r>
          </w:p>
          <w:p>
            <w:pPr>
              <w:spacing w:line="400" w:lineRule="exact"/>
              <w:rPr>
                <w:rFonts w:ascii="宋体" w:hAnsi="宋体"/>
                <w:sz w:val="18"/>
                <w:szCs w:val="18"/>
              </w:rPr>
            </w:pPr>
            <w:r>
              <w:rPr>
                <w:rFonts w:hint="eastAsia" w:ascii="宋体" w:hAnsi="宋体"/>
                <w:sz w:val="18"/>
                <w:szCs w:val="18"/>
              </w:rPr>
              <w:t>（2）私有协议支持第三方SDK私有协议接入，具备快速接入能力；</w:t>
            </w:r>
          </w:p>
          <w:p>
            <w:pPr>
              <w:spacing w:line="400" w:lineRule="exact"/>
              <w:rPr>
                <w:rFonts w:ascii="宋体" w:hAnsi="宋体"/>
                <w:sz w:val="18"/>
                <w:szCs w:val="18"/>
              </w:rPr>
            </w:pPr>
            <w:r>
              <w:rPr>
                <w:rFonts w:hint="eastAsia" w:ascii="宋体" w:hAnsi="宋体"/>
                <w:sz w:val="18"/>
                <w:szCs w:val="18"/>
              </w:rPr>
              <w:t>（3）支持≥500个设备接入，≥2000路通道接入，支持≥600M码流转发，400条并发报警处理时延≤1.5S；</w:t>
            </w:r>
          </w:p>
          <w:p>
            <w:pPr>
              <w:spacing w:line="400" w:lineRule="exact"/>
              <w:rPr>
                <w:rFonts w:ascii="宋体" w:hAnsi="宋体"/>
                <w:sz w:val="18"/>
                <w:szCs w:val="18"/>
              </w:rPr>
            </w:pPr>
            <w:r>
              <w:rPr>
                <w:rFonts w:hint="eastAsia" w:ascii="宋体" w:hAnsi="宋体"/>
                <w:sz w:val="18"/>
                <w:szCs w:val="18"/>
              </w:rPr>
              <w:t>（4）支持GB28181/Onvif/PSIA/RTSP/HTTP接入，支持众多主流厂商设备接入。</w:t>
            </w:r>
          </w:p>
          <w:p>
            <w:pPr>
              <w:spacing w:line="400" w:lineRule="exact"/>
              <w:rPr>
                <w:rFonts w:ascii="宋体" w:hAnsi="宋体"/>
                <w:sz w:val="18"/>
                <w:szCs w:val="18"/>
              </w:rPr>
            </w:pPr>
            <w:r>
              <w:rPr>
                <w:rFonts w:hint="eastAsia" w:ascii="宋体" w:hAnsi="宋体"/>
                <w:sz w:val="18"/>
                <w:szCs w:val="18"/>
              </w:rPr>
              <w:t>6、平台接入网关服务：</w:t>
            </w:r>
          </w:p>
          <w:p>
            <w:pPr>
              <w:spacing w:line="400" w:lineRule="exact"/>
              <w:rPr>
                <w:rFonts w:ascii="宋体" w:hAnsi="宋体"/>
                <w:sz w:val="18"/>
                <w:szCs w:val="18"/>
              </w:rPr>
            </w:pPr>
            <w:r>
              <w:rPr>
                <w:rFonts w:hint="eastAsia" w:ascii="宋体" w:hAnsi="宋体"/>
                <w:sz w:val="18"/>
                <w:szCs w:val="18"/>
              </w:rPr>
              <w:t>（1）可基于GB/T28181等联网标准实现视频监控平台间的级联、互联功能，支持多平台多层次级联，实现平台之间的跨域互联互通与资源共享，具备高度的开放性与灵活性；</w:t>
            </w:r>
          </w:p>
          <w:p>
            <w:pPr>
              <w:spacing w:line="400" w:lineRule="exact"/>
              <w:rPr>
                <w:rFonts w:ascii="宋体" w:hAnsi="宋体"/>
                <w:sz w:val="18"/>
                <w:szCs w:val="18"/>
              </w:rPr>
            </w:pPr>
            <w:r>
              <w:rPr>
                <w:rFonts w:hint="eastAsia" w:ascii="宋体" w:hAnsi="宋体"/>
                <w:sz w:val="18"/>
                <w:szCs w:val="18"/>
              </w:rPr>
              <w:t>（2）支持加密狗授权机制；</w:t>
            </w:r>
          </w:p>
          <w:p>
            <w:pPr>
              <w:spacing w:line="400" w:lineRule="exact"/>
              <w:rPr>
                <w:rFonts w:ascii="宋体" w:hAnsi="宋体"/>
                <w:sz w:val="18"/>
                <w:szCs w:val="18"/>
              </w:rPr>
            </w:pPr>
            <w:r>
              <w:rPr>
                <w:rFonts w:hint="eastAsia" w:ascii="宋体" w:hAnsi="宋体"/>
                <w:sz w:val="18"/>
                <w:szCs w:val="18"/>
              </w:rPr>
              <w:t>（3）支持Web方式访问、配置、管理网关设备；</w:t>
            </w:r>
          </w:p>
          <w:p>
            <w:pPr>
              <w:spacing w:line="400" w:lineRule="exact"/>
              <w:rPr>
                <w:rFonts w:ascii="宋体" w:hAnsi="宋体"/>
                <w:sz w:val="18"/>
                <w:szCs w:val="18"/>
              </w:rPr>
            </w:pPr>
            <w:r>
              <w:rPr>
                <w:rFonts w:hint="eastAsia" w:ascii="宋体" w:hAnsi="宋体"/>
                <w:sz w:val="18"/>
                <w:szCs w:val="18"/>
              </w:rPr>
              <w:t>（4）支持多平台多层次级联，跨域互联互通与资源共享；</w:t>
            </w:r>
          </w:p>
          <w:p>
            <w:pPr>
              <w:spacing w:line="400" w:lineRule="exact"/>
              <w:rPr>
                <w:rFonts w:ascii="宋体" w:hAnsi="宋体"/>
                <w:sz w:val="18"/>
                <w:szCs w:val="18"/>
              </w:rPr>
            </w:pPr>
            <w:r>
              <w:rPr>
                <w:rFonts w:hint="eastAsia" w:ascii="宋体" w:hAnsi="宋体"/>
                <w:sz w:val="18"/>
                <w:szCs w:val="18"/>
              </w:rPr>
              <w:t>（5）支持联网标准协议GB/T 28181，具备符合上述协议的快速接入能力；</w:t>
            </w:r>
          </w:p>
          <w:p>
            <w:pPr>
              <w:spacing w:line="400" w:lineRule="exact"/>
              <w:rPr>
                <w:rFonts w:ascii="宋体" w:hAnsi="宋体"/>
                <w:sz w:val="18"/>
                <w:szCs w:val="18"/>
              </w:rPr>
            </w:pPr>
            <w:r>
              <w:rPr>
                <w:rFonts w:hint="eastAsia" w:ascii="宋体" w:hAnsi="宋体"/>
                <w:sz w:val="18"/>
                <w:szCs w:val="18"/>
              </w:rPr>
              <w:t>（6）符合GB/T 28181-2011/GB/T 28181-2016、公安机关视频监控系统联网标准符合性检测要求；</w:t>
            </w:r>
          </w:p>
          <w:p>
            <w:pPr>
              <w:spacing w:line="400" w:lineRule="exact"/>
              <w:rPr>
                <w:rFonts w:ascii="宋体" w:hAnsi="宋体"/>
                <w:sz w:val="18"/>
                <w:szCs w:val="18"/>
              </w:rPr>
            </w:pPr>
            <w:r>
              <w:rPr>
                <w:rFonts w:hint="eastAsia" w:ascii="宋体" w:hAnsi="宋体"/>
                <w:sz w:val="18"/>
                <w:szCs w:val="18"/>
              </w:rPr>
              <w:t>（7）支持平台联网管理基本功能，资源共享与同步、实时预览、云台控制、录像检索/回放/下载、设备控制、报警处理等；</w:t>
            </w:r>
          </w:p>
          <w:p>
            <w:pPr>
              <w:spacing w:line="400" w:lineRule="exact"/>
              <w:rPr>
                <w:rFonts w:ascii="宋体" w:hAnsi="宋体"/>
                <w:sz w:val="18"/>
                <w:szCs w:val="18"/>
              </w:rPr>
            </w:pPr>
            <w:r>
              <w:rPr>
                <w:rFonts w:hint="eastAsia" w:ascii="宋体" w:hAnsi="宋体"/>
                <w:sz w:val="18"/>
                <w:szCs w:val="18"/>
              </w:rPr>
              <w:t>（8）支持3级或以上级联部署，支持16个或以上外域的接入；</w:t>
            </w:r>
          </w:p>
          <w:p>
            <w:pPr>
              <w:spacing w:line="400" w:lineRule="exact"/>
              <w:rPr>
                <w:rFonts w:ascii="宋体" w:hAnsi="宋体"/>
                <w:sz w:val="18"/>
                <w:szCs w:val="18"/>
              </w:rPr>
            </w:pPr>
            <w:r>
              <w:rPr>
                <w:rFonts w:hint="eastAsia" w:ascii="宋体" w:hAnsi="宋体"/>
                <w:sz w:val="18"/>
                <w:szCs w:val="18"/>
              </w:rPr>
              <w:t>（9）支持国内主流厂商视频监控系统的接入。</w:t>
            </w:r>
          </w:p>
          <w:p>
            <w:pPr>
              <w:spacing w:line="400" w:lineRule="exact"/>
              <w:rPr>
                <w:rFonts w:ascii="宋体" w:hAnsi="宋体"/>
                <w:sz w:val="18"/>
                <w:szCs w:val="18"/>
              </w:rPr>
            </w:pPr>
            <w:r>
              <w:rPr>
                <w:rFonts w:hint="eastAsia" w:ascii="宋体" w:hAnsi="宋体"/>
                <w:sz w:val="18"/>
                <w:szCs w:val="18"/>
              </w:rPr>
              <w:t>7、卡口接入网关服务：</w:t>
            </w:r>
          </w:p>
          <w:p>
            <w:pPr>
              <w:spacing w:line="400" w:lineRule="exact"/>
              <w:rPr>
                <w:rFonts w:ascii="宋体" w:hAnsi="宋体"/>
                <w:sz w:val="18"/>
                <w:szCs w:val="18"/>
              </w:rPr>
            </w:pPr>
            <w:r>
              <w:rPr>
                <w:rFonts w:hint="eastAsia" w:ascii="宋体" w:hAnsi="宋体"/>
                <w:sz w:val="18"/>
                <w:szCs w:val="18"/>
              </w:rPr>
              <w:t>（1）支持独立WEB客户端访问配置参数；</w:t>
            </w:r>
          </w:p>
          <w:p>
            <w:pPr>
              <w:spacing w:line="400" w:lineRule="exact"/>
              <w:rPr>
                <w:rFonts w:ascii="宋体" w:hAnsi="宋体"/>
                <w:sz w:val="18"/>
                <w:szCs w:val="18"/>
              </w:rPr>
            </w:pPr>
            <w:r>
              <w:rPr>
                <w:rFonts w:hint="eastAsia" w:ascii="宋体" w:hAnsi="宋体"/>
                <w:sz w:val="18"/>
                <w:szCs w:val="18"/>
              </w:rPr>
              <w:t>（2）支持卡口数据/图片对接；</w:t>
            </w:r>
          </w:p>
          <w:p>
            <w:pPr>
              <w:spacing w:line="400" w:lineRule="exact"/>
              <w:rPr>
                <w:rFonts w:ascii="宋体" w:hAnsi="宋体"/>
                <w:sz w:val="18"/>
                <w:szCs w:val="18"/>
              </w:rPr>
            </w:pPr>
            <w:r>
              <w:rPr>
                <w:rFonts w:hint="eastAsia" w:ascii="宋体" w:hAnsi="宋体"/>
                <w:sz w:val="18"/>
                <w:szCs w:val="18"/>
              </w:rPr>
              <w:t>（3）支持各大厂商的标准/私有协议定制对接；</w:t>
            </w:r>
          </w:p>
          <w:p>
            <w:pPr>
              <w:spacing w:line="400" w:lineRule="exact"/>
              <w:rPr>
                <w:rFonts w:ascii="宋体" w:hAnsi="宋体"/>
                <w:sz w:val="18"/>
                <w:szCs w:val="18"/>
              </w:rPr>
            </w:pPr>
            <w:r>
              <w:rPr>
                <w:rFonts w:hint="eastAsia" w:ascii="宋体" w:hAnsi="宋体"/>
                <w:sz w:val="18"/>
                <w:szCs w:val="18"/>
              </w:rPr>
              <w:t>（4）支持≥4个平台、厂商数据对接；</w:t>
            </w:r>
          </w:p>
          <w:p>
            <w:pPr>
              <w:spacing w:line="400" w:lineRule="exact"/>
              <w:rPr>
                <w:rFonts w:ascii="宋体" w:hAnsi="宋体"/>
                <w:sz w:val="18"/>
                <w:szCs w:val="18"/>
              </w:rPr>
            </w:pPr>
            <w:r>
              <w:rPr>
                <w:rFonts w:hint="eastAsia" w:ascii="宋体" w:hAnsi="宋体"/>
                <w:sz w:val="18"/>
                <w:szCs w:val="18"/>
              </w:rPr>
              <w:t>（5）支持各厂商数据标准转换；</w:t>
            </w:r>
          </w:p>
          <w:p>
            <w:pPr>
              <w:spacing w:line="400" w:lineRule="exact"/>
              <w:rPr>
                <w:rFonts w:ascii="宋体" w:hAnsi="宋体"/>
                <w:sz w:val="18"/>
                <w:szCs w:val="18"/>
              </w:rPr>
            </w:pPr>
            <w:r>
              <w:rPr>
                <w:rFonts w:hint="eastAsia" w:ascii="宋体" w:hAnsi="宋体"/>
                <w:sz w:val="18"/>
                <w:szCs w:val="18"/>
              </w:rPr>
              <w:t>（6）支持每日数据推送≥1000w条；</w:t>
            </w:r>
          </w:p>
          <w:p>
            <w:pPr>
              <w:spacing w:line="400" w:lineRule="exact"/>
              <w:rPr>
                <w:rFonts w:ascii="宋体" w:hAnsi="宋体"/>
                <w:sz w:val="18"/>
                <w:szCs w:val="18"/>
              </w:rPr>
            </w:pPr>
            <w:r>
              <w:rPr>
                <w:rFonts w:hint="eastAsia" w:ascii="宋体" w:hAnsi="宋体"/>
                <w:sz w:val="18"/>
                <w:szCs w:val="18"/>
              </w:rPr>
              <w:t>（7）支持每日图片推送≥500w张；</w:t>
            </w:r>
          </w:p>
          <w:p>
            <w:pPr>
              <w:spacing w:line="400" w:lineRule="exact"/>
              <w:rPr>
                <w:rFonts w:ascii="宋体" w:hAnsi="宋体"/>
                <w:sz w:val="18"/>
                <w:szCs w:val="18"/>
              </w:rPr>
            </w:pPr>
            <w:r>
              <w:rPr>
                <w:rFonts w:hint="eastAsia" w:ascii="宋体" w:hAnsi="宋体"/>
                <w:sz w:val="18"/>
                <w:szCs w:val="18"/>
              </w:rPr>
              <w:t>（8）支持对接公安信息库、六合一、稽查布控等系统；</w:t>
            </w:r>
          </w:p>
          <w:p>
            <w:pPr>
              <w:spacing w:line="400" w:lineRule="exact"/>
              <w:rPr>
                <w:rFonts w:ascii="宋体" w:hAnsi="宋体"/>
                <w:sz w:val="18"/>
                <w:szCs w:val="18"/>
              </w:rPr>
            </w:pPr>
            <w:r>
              <w:rPr>
                <w:rFonts w:hint="eastAsia" w:ascii="宋体" w:hAnsi="宋体"/>
                <w:sz w:val="18"/>
                <w:szCs w:val="18"/>
              </w:rPr>
              <w:t>（9）支持网闸的图片代理访问、边界的图片数据摆渡。</w:t>
            </w:r>
          </w:p>
          <w:p>
            <w:pPr>
              <w:spacing w:line="400" w:lineRule="exact"/>
              <w:rPr>
                <w:rFonts w:ascii="宋体" w:hAnsi="宋体"/>
                <w:sz w:val="18"/>
                <w:szCs w:val="18"/>
              </w:rPr>
            </w:pPr>
            <w:r>
              <w:rPr>
                <w:rFonts w:hint="eastAsia" w:ascii="宋体" w:hAnsi="宋体"/>
                <w:sz w:val="18"/>
                <w:szCs w:val="18"/>
              </w:rPr>
              <w:t>8、视频云存储软件：</w:t>
            </w:r>
          </w:p>
          <w:p>
            <w:pPr>
              <w:spacing w:line="400" w:lineRule="exact"/>
              <w:rPr>
                <w:rFonts w:ascii="宋体" w:hAnsi="宋体"/>
                <w:sz w:val="18"/>
                <w:szCs w:val="18"/>
              </w:rPr>
            </w:pPr>
            <w:r>
              <w:rPr>
                <w:rFonts w:hint="eastAsia" w:ascii="宋体" w:hAnsi="宋体"/>
                <w:sz w:val="18"/>
                <w:szCs w:val="18"/>
              </w:rPr>
              <w:t>▲（1）管理节点集群模式支持≥32个管理节点；管理节点和存储节点采用对等工作模式对外服务，可支持管理节点的元数据≥64份副本备份；</w:t>
            </w:r>
          </w:p>
          <w:p>
            <w:pPr>
              <w:spacing w:line="400" w:lineRule="exact"/>
              <w:rPr>
                <w:rFonts w:ascii="宋体" w:hAnsi="宋体"/>
                <w:sz w:val="18"/>
                <w:szCs w:val="18"/>
              </w:rPr>
            </w:pPr>
            <w:r>
              <w:rPr>
                <w:rFonts w:hint="eastAsia" w:ascii="宋体" w:hAnsi="宋体"/>
                <w:sz w:val="18"/>
                <w:szCs w:val="18"/>
              </w:rPr>
              <w:t>▲（2）支持配置存储池功能，存储空间虚拟化管理，多存储设备容量整合，形成录像池，支持自动配置存储池；支持异构存储节点隔离，分别划分到不同存储池；支持精简存储池配置，实现自动化存储池扩容；支持存储池级冗余，支持存储池级多副本及N+M数据冗余；支持存储池级别负载均衡；支持用户空间物理隔离，同一朵云内，为不同用户创建不同的存储池，使用不同的存储节点服务器；支持用户绑定使用特定存储池，根据用户业务分配通用、文件、视频、图片、语音、智能特征、结构化数据备份等类型存储空间，支持用户共享存储池；支持多用户、通道、权限和容量控制，在线弹性伸缩存储池的容量空间，不影响业务继续读写；</w:t>
            </w:r>
          </w:p>
          <w:p>
            <w:pPr>
              <w:spacing w:line="400" w:lineRule="exact"/>
              <w:rPr>
                <w:rFonts w:ascii="宋体" w:hAnsi="宋体"/>
                <w:sz w:val="18"/>
                <w:szCs w:val="18"/>
              </w:rPr>
            </w:pPr>
            <w:r>
              <w:rPr>
                <w:rFonts w:hint="eastAsia" w:ascii="宋体" w:hAnsi="宋体"/>
                <w:sz w:val="18"/>
                <w:szCs w:val="18"/>
              </w:rPr>
              <w:t>（3）支持对象存储，采用分布式文件系统，支持文件存储，采用纠删码或者多副本技术，读写过程不产生索引数据，不存在单独索引盘；</w:t>
            </w:r>
          </w:p>
          <w:p>
            <w:pPr>
              <w:spacing w:line="400" w:lineRule="exact"/>
              <w:rPr>
                <w:rFonts w:ascii="宋体" w:hAnsi="宋体"/>
                <w:sz w:val="18"/>
                <w:szCs w:val="18"/>
              </w:rPr>
            </w:pPr>
            <w:r>
              <w:rPr>
                <w:rFonts w:hint="eastAsia" w:ascii="宋体" w:hAnsi="宋体"/>
                <w:sz w:val="18"/>
                <w:szCs w:val="18"/>
              </w:rPr>
              <w:t>（4）支持视频流、图片流直存和转存在同一套云存储环境混合部署；</w:t>
            </w:r>
          </w:p>
          <w:p>
            <w:pPr>
              <w:spacing w:line="400" w:lineRule="exact"/>
              <w:rPr>
                <w:rFonts w:ascii="宋体" w:hAnsi="宋体"/>
                <w:sz w:val="18"/>
                <w:szCs w:val="18"/>
              </w:rPr>
            </w:pPr>
            <w:r>
              <w:rPr>
                <w:rFonts w:hint="eastAsia" w:ascii="宋体" w:hAnsi="宋体"/>
                <w:sz w:val="18"/>
                <w:szCs w:val="18"/>
              </w:rPr>
              <w:t>（5）支持集群容灾保障功能；</w:t>
            </w:r>
          </w:p>
          <w:p>
            <w:pPr>
              <w:spacing w:line="400" w:lineRule="exact"/>
              <w:rPr>
                <w:rFonts w:ascii="宋体" w:hAnsi="宋体"/>
                <w:sz w:val="18"/>
                <w:szCs w:val="18"/>
              </w:rPr>
            </w:pPr>
            <w:r>
              <w:rPr>
                <w:rFonts w:hint="eastAsia" w:ascii="宋体" w:hAnsi="宋体"/>
                <w:sz w:val="18"/>
                <w:szCs w:val="18"/>
              </w:rPr>
              <w:t>（6）具备节点间容错能力下，容忍≥16台节点同时故障后，只要有1台以上节点正常，即可保证录像可写入，写入录像依然具备磁盘间容错能力；</w:t>
            </w:r>
          </w:p>
          <w:p>
            <w:pPr>
              <w:spacing w:line="400" w:lineRule="exact"/>
              <w:rPr>
                <w:rFonts w:ascii="宋体" w:hAnsi="宋体"/>
                <w:sz w:val="18"/>
                <w:szCs w:val="18"/>
              </w:rPr>
            </w:pPr>
            <w:r>
              <w:rPr>
                <w:rFonts w:hint="eastAsia" w:ascii="宋体" w:hAnsi="宋体"/>
                <w:sz w:val="18"/>
                <w:szCs w:val="18"/>
              </w:rPr>
              <w:t>▲（7）内置分布式实时图片处理集群，支持自动负载均衡容错，不大于4秒可感知异常节点自动剔除，异常节点恢复后，不大于3秒可自动加入集群；支持多种图片类型，jpg、png等格式实时处理缩略和裁剪，实时处理性能每台节点不小于1000张/s，并支持线性扩展；提供图片格式转换；</w:t>
            </w:r>
          </w:p>
          <w:p>
            <w:pPr>
              <w:spacing w:line="400" w:lineRule="exact"/>
              <w:rPr>
                <w:rFonts w:ascii="宋体" w:hAnsi="宋体"/>
                <w:sz w:val="18"/>
                <w:szCs w:val="18"/>
              </w:rPr>
            </w:pPr>
            <w:r>
              <w:rPr>
                <w:rFonts w:hint="eastAsia" w:ascii="宋体" w:hAnsi="宋体"/>
                <w:sz w:val="18"/>
                <w:szCs w:val="18"/>
              </w:rPr>
              <w:t>（8）支持在不需要任何平台情况下，支持直接在云存储系统上进行前端添加、删除，配置录像存储路径、录像配额，录像计划下发，支持视频录像检索、回放转发、直播等集成视频功能；支持手动控制开启录像；</w:t>
            </w:r>
          </w:p>
          <w:p>
            <w:pPr>
              <w:spacing w:line="400" w:lineRule="exact"/>
              <w:rPr>
                <w:rFonts w:ascii="宋体" w:hAnsi="宋体"/>
                <w:sz w:val="18"/>
                <w:szCs w:val="18"/>
              </w:rPr>
            </w:pPr>
            <w:r>
              <w:rPr>
                <w:rFonts w:hint="eastAsia" w:ascii="宋体" w:hAnsi="宋体"/>
                <w:sz w:val="18"/>
                <w:szCs w:val="18"/>
              </w:rPr>
              <w:t>▲（9）云存储设备支持系统盘关键数据备份到数据盘中，并可生成≥16份副本，系统盘更换或重装后，软件可自动从数据盘检索最新数据，恢复数据库、配置文件及路线索引文件，可将系统盘恢复到故障前状态；</w:t>
            </w:r>
          </w:p>
          <w:p>
            <w:pPr>
              <w:spacing w:line="400" w:lineRule="exact"/>
              <w:rPr>
                <w:rFonts w:ascii="宋体" w:hAnsi="宋体"/>
                <w:sz w:val="18"/>
                <w:szCs w:val="18"/>
              </w:rPr>
            </w:pPr>
            <w:r>
              <w:rPr>
                <w:rFonts w:hint="eastAsia" w:ascii="宋体" w:hAnsi="宋体"/>
                <w:sz w:val="18"/>
                <w:szCs w:val="18"/>
              </w:rPr>
              <w:t>（10）云安全系统，可通过HTTPS协议实现认证与会话控制、支持统一授权管理、角色权限管理、在线用户信息查看及用户在线签退等功能；</w:t>
            </w:r>
          </w:p>
          <w:p>
            <w:pPr>
              <w:spacing w:line="400" w:lineRule="exact"/>
              <w:rPr>
                <w:rFonts w:ascii="宋体" w:hAnsi="宋体"/>
                <w:sz w:val="18"/>
                <w:szCs w:val="18"/>
              </w:rPr>
            </w:pPr>
            <w:r>
              <w:rPr>
                <w:rFonts w:hint="eastAsia" w:ascii="宋体" w:hAnsi="宋体"/>
                <w:sz w:val="18"/>
                <w:szCs w:val="18"/>
              </w:rPr>
              <w:t>（11）支持可视对讲、人像设备、MAC、RFID、出入口、热成像、人证一体机、闸机等物联网设备接入，及结构化数据实时接入；其中结构化数据接入性能≥25000条/s；支持时间轴展示智能目标密度，支持随着时间轴缩放动态展示目标密度；支持智能目标连续跳跃播放，支持智能目标逐帧正放，逐帧倒放，倍速播放，倒放；</w:t>
            </w:r>
          </w:p>
          <w:p>
            <w:pPr>
              <w:spacing w:line="400" w:lineRule="exact"/>
              <w:rPr>
                <w:rFonts w:ascii="宋体" w:hAnsi="宋体"/>
                <w:sz w:val="18"/>
                <w:szCs w:val="18"/>
              </w:rPr>
            </w:pPr>
            <w:r>
              <w:rPr>
                <w:rFonts w:hint="eastAsia" w:ascii="宋体" w:hAnsi="宋体"/>
                <w:sz w:val="18"/>
                <w:szCs w:val="18"/>
              </w:rPr>
              <w:t>▲（12）支持网络故障自动发现和隔离，可在1秒内感知到故障节点，1秒内进行隔离，提升系统可靠性；支持回收站功能，防止数据误删，支持回收时间配置；</w:t>
            </w:r>
          </w:p>
          <w:p>
            <w:pPr>
              <w:textAlignment w:val="center"/>
              <w:rPr>
                <w:rFonts w:ascii="宋体" w:hAnsi="宋体" w:eastAsia="宋体" w:cs="宋体"/>
                <w:color w:val="000000"/>
                <w:sz w:val="18"/>
                <w:szCs w:val="18"/>
              </w:rPr>
            </w:pPr>
            <w:r>
              <w:rPr>
                <w:rFonts w:hint="eastAsia" w:ascii="宋体" w:hAnsi="宋体"/>
                <w:sz w:val="18"/>
                <w:szCs w:val="18"/>
              </w:rPr>
              <w:t>（13）支持文件多种容错机制，能自适应调整，系统根据当前节点情况自动配置使用哪种容错算法以达到最可靠的容错，以实现最大化节点容错能力。</w:t>
            </w: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148300</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1598" w:hRule="atLeast"/>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rPr>
                <w:rFonts w:ascii="宋体" w:hAnsi="宋体" w:eastAsia="宋体" w:cs="宋体"/>
                <w:color w:val="000000"/>
                <w:sz w:val="18"/>
                <w:szCs w:val="18"/>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rPr>
                <w:rFonts w:ascii="宋体" w:hAnsi="宋体" w:eastAsia="宋体" w:cs="宋体"/>
                <w:color w:val="000000"/>
                <w:sz w:val="18"/>
                <w:szCs w:val="18"/>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rPr>
                <w:rFonts w:ascii="宋体" w:hAnsi="宋体" w:eastAsia="宋体" w:cs="宋体"/>
                <w:color w:val="000000"/>
                <w:sz w:val="18"/>
                <w:szCs w:val="18"/>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rPr>
                <w:rFonts w:ascii="宋体" w:hAnsi="宋体" w:eastAsia="宋体" w:cs="宋体"/>
                <w:color w:val="000000"/>
                <w:sz w:val="18"/>
                <w:szCs w:val="18"/>
              </w:rPr>
            </w:pPr>
          </w:p>
        </w:tc>
        <w:tc>
          <w:tcPr>
            <w:tcW w:w="60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rPr>
                <w:rFonts w:ascii="宋体" w:hAnsi="宋体" w:eastAsia="宋体" w:cs="宋体"/>
                <w:color w:val="000000"/>
                <w:sz w:val="18"/>
                <w:szCs w:val="18"/>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rPr>
                <w:rFonts w:ascii="宋体" w:hAnsi="宋体" w:eastAsia="宋体" w:cs="宋体"/>
                <w:color w:val="000000"/>
                <w:sz w:val="18"/>
                <w:szCs w:val="18"/>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588"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前端监控联网服务</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项</w:t>
            </w:r>
          </w:p>
        </w:tc>
        <w:tc>
          <w:tcPr>
            <w:tcW w:w="6086"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textAlignment w:val="center"/>
              <w:rPr>
                <w:rFonts w:ascii="宋体" w:hAnsi="宋体" w:eastAsia="宋体" w:cs="宋体"/>
                <w:color w:val="000000"/>
                <w:sz w:val="18"/>
                <w:szCs w:val="18"/>
              </w:rPr>
            </w:pPr>
            <w:r>
              <w:rPr>
                <w:rFonts w:hint="eastAsia" w:ascii="宋体" w:hAnsi="宋体" w:eastAsia="宋体" w:cs="宋体"/>
                <w:color w:val="000000"/>
                <w:sz w:val="18"/>
                <w:szCs w:val="18"/>
              </w:rPr>
              <w:t>提供81条20Mbps带宽的光纤专线</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技术要求：</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1、网络时延上限值为400ms；</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2、时延抖动上限50ms，网络倒换时间小于50ms；</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3、要求视频流畅，无马赛克现象，网络丢包率不超过1％，</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4、传输网络需支持采用各类型的机制保证网络传输的安全性。</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5、网络Qos能力的shaping粒度精细至8192Kbps，CAR粒度精细至1024Kbps；</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6、具备网管监控平台；</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548100</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56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乡镇综治中心及派出所监控联网服务</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项</w:t>
            </w:r>
          </w:p>
        </w:tc>
        <w:tc>
          <w:tcPr>
            <w:tcW w:w="6086"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textAlignment w:val="center"/>
              <w:rPr>
                <w:rFonts w:ascii="宋体" w:hAnsi="宋体" w:eastAsia="宋体" w:cs="宋体"/>
                <w:color w:val="000000"/>
                <w:sz w:val="18"/>
                <w:szCs w:val="18"/>
              </w:rPr>
            </w:pPr>
            <w:r>
              <w:rPr>
                <w:rFonts w:hint="eastAsia" w:ascii="宋体" w:hAnsi="宋体" w:eastAsia="宋体" w:cs="宋体"/>
                <w:color w:val="000000"/>
                <w:sz w:val="18"/>
                <w:szCs w:val="18"/>
              </w:rPr>
              <w:t>提供2条100Mbps带宽的光纤专线</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技术要求：</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1、网络时延上限值为400ms；</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2、时延抖动上限50ms，网络倒换时间小于50ms；</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3、要求视频流畅，无马赛克现象，网络丢包率不超过1％，</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4、传输网络需支持采用各类型的机制保证网络传输的安全性。</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5、网络Qos能力的shaping粒度精细至8192Kbps，CAR粒度精细至1024Kbps；</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6、具备网管监控平台；</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72000</w:t>
            </w: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3" w:type="dxa"/>
              <w:left w:w="13" w:type="dxa"/>
              <w:right w:w="13" w:type="dxa"/>
            </w:tcMar>
          </w:tcPr>
          <w:p>
            <w:pPr>
              <w:jc w:val="center"/>
              <w:rPr>
                <w:rFonts w:ascii="宋体" w:hAnsi="宋体" w:eastAsia="宋体" w:cs="宋体"/>
                <w:color w:val="000000"/>
                <w:sz w:val="18"/>
                <w:szCs w:val="18"/>
              </w:rPr>
            </w:pPr>
          </w:p>
        </w:tc>
      </w:tr>
    </w:tbl>
    <w:p>
      <w:pPr>
        <w:spacing w:line="200" w:lineRule="exact"/>
        <w:rPr>
          <w:rFonts w:ascii="宋体" w:hAnsi="宋体" w:eastAsia="宋体"/>
          <w:sz w:val="24"/>
          <w:szCs w:val="24"/>
        </w:rPr>
      </w:pPr>
    </w:p>
    <w:p>
      <w:pPr>
        <w:spacing w:line="204" w:lineRule="exact"/>
        <w:rPr>
          <w:rFonts w:ascii="宋体" w:hAnsi="宋体" w:eastAsia="宋体"/>
          <w:sz w:val="24"/>
          <w:szCs w:val="24"/>
        </w:rPr>
      </w:pPr>
    </w:p>
    <w:tbl>
      <w:tblPr>
        <w:tblStyle w:val="9"/>
        <w:tblW w:w="10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7"/>
        <w:gridCol w:w="6321"/>
        <w:gridCol w:w="1014"/>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8" w:type="dxa"/>
            <w:gridSpan w:val="2"/>
            <w:vAlign w:val="center"/>
          </w:tcPr>
          <w:p>
            <w:pPr>
              <w:jc w:val="center"/>
              <w:rPr>
                <w:rFonts w:ascii="宋体" w:hAnsi="宋体" w:eastAsia="宋体" w:cs="宋体"/>
                <w:b/>
                <w:bCs/>
                <w:sz w:val="24"/>
                <w:szCs w:val="24"/>
              </w:rPr>
            </w:pPr>
          </w:p>
          <w:p>
            <w:pPr>
              <w:jc w:val="center"/>
              <w:rPr>
                <w:rFonts w:ascii="宋体" w:hAnsi="宋体" w:eastAsia="宋体" w:cs="宋体"/>
                <w:sz w:val="24"/>
                <w:szCs w:val="24"/>
              </w:rPr>
            </w:pPr>
            <w:r>
              <w:rPr>
                <w:rFonts w:hint="eastAsia" w:ascii="宋体" w:hAnsi="宋体" w:eastAsia="宋体" w:cs="宋体"/>
                <w:b/>
                <w:bCs/>
                <w:sz w:val="24"/>
                <w:szCs w:val="24"/>
              </w:rPr>
              <w:t>商务要求</w:t>
            </w:r>
          </w:p>
        </w:tc>
        <w:tc>
          <w:tcPr>
            <w:tcW w:w="1014" w:type="dxa"/>
            <w:vAlign w:val="center"/>
          </w:tcPr>
          <w:p>
            <w:pPr>
              <w:jc w:val="center"/>
              <w:rPr>
                <w:rFonts w:ascii="宋体" w:hAnsi="宋体" w:eastAsia="宋体" w:cs="宋体"/>
                <w:b/>
                <w:bCs/>
                <w:sz w:val="24"/>
                <w:szCs w:val="24"/>
              </w:rPr>
            </w:pPr>
          </w:p>
        </w:tc>
        <w:tc>
          <w:tcPr>
            <w:tcW w:w="864" w:type="dxa"/>
            <w:vAlign w:val="center"/>
          </w:tcPr>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047" w:type="dxa"/>
            <w:vAlign w:val="center"/>
          </w:tcPr>
          <w:p>
            <w:pPr>
              <w:spacing w:line="340" w:lineRule="exact"/>
              <w:jc w:val="center"/>
              <w:rPr>
                <w:rFonts w:ascii="宋体" w:hAnsi="宋体" w:eastAsia="宋体" w:cs="宋体"/>
                <w:sz w:val="24"/>
                <w:szCs w:val="24"/>
              </w:rPr>
            </w:pPr>
            <w:r>
              <w:rPr>
                <w:rFonts w:hint="eastAsia" w:ascii="宋体" w:hAnsi="宋体" w:eastAsia="宋体" w:cs="宋体"/>
                <w:sz w:val="24"/>
                <w:szCs w:val="24"/>
              </w:rPr>
              <w:t>免费保修期</w:t>
            </w:r>
          </w:p>
        </w:tc>
        <w:tc>
          <w:tcPr>
            <w:tcW w:w="6321" w:type="dxa"/>
            <w:vAlign w:val="center"/>
          </w:tcPr>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按国家有关产品</w:t>
            </w:r>
            <w:r>
              <w:rPr>
                <w:rFonts w:ascii="宋体" w:hAnsi="宋体" w:eastAsia="宋体" w:cs="宋体"/>
                <w:sz w:val="24"/>
                <w:szCs w:val="24"/>
              </w:rPr>
              <w:t>“</w:t>
            </w:r>
            <w:r>
              <w:rPr>
                <w:rFonts w:hint="eastAsia" w:ascii="宋体" w:hAnsi="宋体" w:eastAsia="宋体" w:cs="宋体"/>
                <w:sz w:val="24"/>
                <w:szCs w:val="24"/>
              </w:rPr>
              <w:t>三包</w:t>
            </w:r>
            <w:r>
              <w:rPr>
                <w:rFonts w:ascii="宋体" w:hAnsi="宋体" w:eastAsia="宋体" w:cs="宋体"/>
                <w:sz w:val="24"/>
                <w:szCs w:val="24"/>
              </w:rPr>
              <w:t>”</w:t>
            </w:r>
            <w:r>
              <w:rPr>
                <w:rFonts w:hint="eastAsia" w:ascii="宋体" w:hAnsi="宋体" w:eastAsia="宋体" w:cs="宋体"/>
                <w:sz w:val="24"/>
                <w:szCs w:val="24"/>
              </w:rPr>
              <w:t>规定执行</w:t>
            </w:r>
            <w:r>
              <w:rPr>
                <w:rFonts w:ascii="宋体" w:hAnsi="宋体" w:eastAsia="宋体" w:cs="宋体"/>
                <w:sz w:val="24"/>
                <w:szCs w:val="24"/>
              </w:rPr>
              <w:t>“</w:t>
            </w:r>
            <w:r>
              <w:rPr>
                <w:rFonts w:hint="eastAsia" w:ascii="宋体" w:hAnsi="宋体" w:eastAsia="宋体" w:cs="宋体"/>
                <w:sz w:val="24"/>
                <w:szCs w:val="24"/>
              </w:rPr>
              <w:t>三包</w:t>
            </w:r>
            <w:r>
              <w:rPr>
                <w:rFonts w:ascii="宋体" w:hAnsi="宋体" w:eastAsia="宋体" w:cs="宋体"/>
                <w:sz w:val="24"/>
                <w:szCs w:val="24"/>
              </w:rPr>
              <w:t>”</w:t>
            </w:r>
            <w:r>
              <w:rPr>
                <w:rFonts w:hint="eastAsia" w:ascii="宋体" w:hAnsi="宋体" w:eastAsia="宋体" w:cs="宋体"/>
                <w:sz w:val="24"/>
                <w:szCs w:val="24"/>
              </w:rPr>
              <w:t>，3年提供免费保修。</w:t>
            </w:r>
          </w:p>
        </w:tc>
        <w:tc>
          <w:tcPr>
            <w:tcW w:w="1014" w:type="dxa"/>
            <w:vAlign w:val="center"/>
          </w:tcPr>
          <w:p>
            <w:pPr>
              <w:autoSpaceDE w:val="0"/>
              <w:autoSpaceDN w:val="0"/>
              <w:adjustRightInd w:val="0"/>
              <w:spacing w:line="360" w:lineRule="auto"/>
              <w:rPr>
                <w:rFonts w:ascii="宋体" w:hAnsi="宋体" w:eastAsia="宋体" w:cs="宋体"/>
                <w:sz w:val="24"/>
                <w:szCs w:val="24"/>
              </w:rPr>
            </w:pPr>
          </w:p>
        </w:tc>
        <w:tc>
          <w:tcPr>
            <w:tcW w:w="864" w:type="dxa"/>
            <w:vAlign w:val="center"/>
          </w:tcPr>
          <w:p>
            <w:pPr>
              <w:autoSpaceDE w:val="0"/>
              <w:autoSpaceDN w:val="0"/>
              <w:adjustRightInd w:val="0"/>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047" w:type="dxa"/>
            <w:vAlign w:val="center"/>
          </w:tcPr>
          <w:p>
            <w:pPr>
              <w:spacing w:line="340" w:lineRule="exact"/>
              <w:jc w:val="center"/>
              <w:rPr>
                <w:rFonts w:ascii="宋体" w:hAnsi="宋体" w:eastAsia="宋体" w:cs="宋体"/>
                <w:sz w:val="24"/>
                <w:szCs w:val="24"/>
              </w:rPr>
            </w:pPr>
            <w:r>
              <w:rPr>
                <w:rFonts w:hint="eastAsia" w:ascii="宋体" w:hAnsi="宋体" w:eastAsia="宋体" w:cs="宋体"/>
                <w:sz w:val="24"/>
                <w:szCs w:val="24"/>
              </w:rPr>
              <w:t>服务期</w:t>
            </w:r>
          </w:p>
        </w:tc>
        <w:tc>
          <w:tcPr>
            <w:tcW w:w="6321" w:type="dxa"/>
            <w:vAlign w:val="center"/>
          </w:tcPr>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3年（中标人签订合同服务期限为3年）</w:t>
            </w:r>
          </w:p>
        </w:tc>
        <w:tc>
          <w:tcPr>
            <w:tcW w:w="1014" w:type="dxa"/>
            <w:vAlign w:val="center"/>
          </w:tcPr>
          <w:p>
            <w:pPr>
              <w:autoSpaceDE w:val="0"/>
              <w:autoSpaceDN w:val="0"/>
              <w:adjustRightInd w:val="0"/>
              <w:spacing w:line="360" w:lineRule="auto"/>
              <w:rPr>
                <w:rFonts w:ascii="宋体" w:hAnsi="宋体" w:eastAsia="宋体" w:cs="宋体"/>
                <w:sz w:val="24"/>
                <w:szCs w:val="24"/>
              </w:rPr>
            </w:pPr>
          </w:p>
        </w:tc>
        <w:tc>
          <w:tcPr>
            <w:tcW w:w="864" w:type="dxa"/>
            <w:vAlign w:val="center"/>
          </w:tcPr>
          <w:p>
            <w:pPr>
              <w:autoSpaceDE w:val="0"/>
              <w:autoSpaceDN w:val="0"/>
              <w:adjustRightInd w:val="0"/>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2047" w:type="dxa"/>
            <w:vAlign w:val="center"/>
          </w:tcPr>
          <w:p>
            <w:pPr>
              <w:spacing w:line="340" w:lineRule="exact"/>
              <w:jc w:val="center"/>
              <w:rPr>
                <w:rFonts w:ascii="宋体" w:hAnsi="宋体" w:eastAsia="宋体" w:cs="宋体"/>
                <w:sz w:val="24"/>
                <w:szCs w:val="24"/>
              </w:rPr>
            </w:pPr>
            <w:r>
              <w:rPr>
                <w:rFonts w:hint="eastAsia" w:ascii="宋体" w:hAnsi="宋体" w:eastAsia="宋体" w:cs="宋体"/>
                <w:sz w:val="24"/>
                <w:szCs w:val="24"/>
              </w:rPr>
              <w:t>交付时间及地点</w:t>
            </w:r>
          </w:p>
        </w:tc>
        <w:tc>
          <w:tcPr>
            <w:tcW w:w="6321" w:type="dxa"/>
            <w:vAlign w:val="center"/>
          </w:tcPr>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1、交付使用期：安装点位具备施工条件后，自签订合同之日起</w:t>
            </w:r>
            <w:r>
              <w:rPr>
                <w:rFonts w:hint="eastAsia" w:ascii="宋体" w:hAnsi="宋体" w:eastAsia="宋体" w:cs="SimSun,Bold"/>
                <w:b/>
                <w:bCs/>
                <w:sz w:val="24"/>
                <w:szCs w:val="24"/>
              </w:rPr>
              <w:t>60个工作日</w:t>
            </w:r>
            <w:r>
              <w:rPr>
                <w:rFonts w:hint="eastAsia" w:ascii="宋体" w:hAnsi="宋体" w:eastAsia="宋体" w:cs="宋体"/>
                <w:sz w:val="24"/>
                <w:szCs w:val="24"/>
              </w:rPr>
              <w:t>内完成验收合格并交付正常使用。</w:t>
            </w:r>
          </w:p>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2、交货地点：广西桂林市灵川县采购人指定地点。</w:t>
            </w:r>
          </w:p>
        </w:tc>
        <w:tc>
          <w:tcPr>
            <w:tcW w:w="1014" w:type="dxa"/>
            <w:vAlign w:val="center"/>
          </w:tcPr>
          <w:p>
            <w:pPr>
              <w:autoSpaceDE w:val="0"/>
              <w:autoSpaceDN w:val="0"/>
              <w:adjustRightInd w:val="0"/>
              <w:spacing w:line="360" w:lineRule="auto"/>
              <w:rPr>
                <w:rFonts w:ascii="宋体" w:hAnsi="宋体" w:eastAsia="宋体" w:cs="宋体"/>
                <w:sz w:val="24"/>
                <w:szCs w:val="24"/>
              </w:rPr>
            </w:pPr>
          </w:p>
        </w:tc>
        <w:tc>
          <w:tcPr>
            <w:tcW w:w="864" w:type="dxa"/>
            <w:vAlign w:val="center"/>
          </w:tcPr>
          <w:p>
            <w:pPr>
              <w:autoSpaceDE w:val="0"/>
              <w:autoSpaceDN w:val="0"/>
              <w:adjustRightInd w:val="0"/>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047" w:type="dxa"/>
            <w:vAlign w:val="center"/>
          </w:tcPr>
          <w:p>
            <w:pPr>
              <w:spacing w:line="340" w:lineRule="exact"/>
              <w:jc w:val="center"/>
              <w:rPr>
                <w:rFonts w:ascii="宋体" w:hAnsi="宋体" w:eastAsia="宋体" w:cs="宋体"/>
                <w:sz w:val="24"/>
                <w:szCs w:val="24"/>
              </w:rPr>
            </w:pPr>
            <w:r>
              <w:rPr>
                <w:rFonts w:hint="eastAsia" w:ascii="宋体" w:hAnsi="宋体" w:eastAsia="宋体" w:cs="宋体"/>
                <w:sz w:val="24"/>
                <w:szCs w:val="24"/>
              </w:rPr>
              <w:t>服务要求</w:t>
            </w:r>
          </w:p>
        </w:tc>
        <w:tc>
          <w:tcPr>
            <w:tcW w:w="6321" w:type="dxa"/>
            <w:vAlign w:val="center"/>
          </w:tcPr>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1、技术支持及培训：</w:t>
            </w:r>
          </w:p>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）采购范围内免费技术培训</w:t>
            </w:r>
          </w:p>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）中标人须派技术人员到采购单位现场对用户使用操作人员进行切实有效的培训，直到采购单位使用人员可以熟练操作所有设备为止，所有培训费用由中标供应商承担。</w:t>
            </w:r>
          </w:p>
          <w:p>
            <w:pPr>
              <w:autoSpaceDE w:val="0"/>
              <w:autoSpaceDN w:val="0"/>
              <w:adjustRightInd w:val="0"/>
              <w:spacing w:line="360" w:lineRule="auto"/>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、服务的内容和措施：</w:t>
            </w:r>
          </w:p>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）为保证本项目的正常运行及服务质量，供应商须在磋商文件中承诺合同签订后</w:t>
            </w:r>
            <w:r>
              <w:rPr>
                <w:rFonts w:ascii="宋体" w:hAnsi="宋体" w:eastAsia="宋体" w:cs="宋体"/>
                <w:sz w:val="24"/>
                <w:szCs w:val="24"/>
              </w:rPr>
              <w:t xml:space="preserve">3 </w:t>
            </w:r>
            <w:r>
              <w:rPr>
                <w:rFonts w:hint="eastAsia" w:ascii="宋体" w:hAnsi="宋体" w:eastAsia="宋体" w:cs="宋体"/>
                <w:sz w:val="24"/>
                <w:szCs w:val="24"/>
              </w:rPr>
              <w:t>个工作日内在项目所在地设立常驻服务部门或已有常驻服务部门。</w:t>
            </w:r>
          </w:p>
          <w:p>
            <w:pPr>
              <w:autoSpaceDE w:val="0"/>
              <w:autoSpaceDN w:val="0"/>
              <w:adjustRightInd w:val="0"/>
              <w:spacing w:line="360" w:lineRule="auto"/>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）维修响应：在接到采购人故障通知后</w:t>
            </w:r>
            <w:r>
              <w:rPr>
                <w:rFonts w:ascii="宋体" w:hAnsi="宋体" w:eastAsia="宋体" w:cs="宋体"/>
                <w:sz w:val="24"/>
                <w:szCs w:val="24"/>
              </w:rPr>
              <w:t>24</w:t>
            </w:r>
            <w:r>
              <w:rPr>
                <w:rFonts w:hint="eastAsia" w:ascii="宋体" w:hAnsi="宋体" w:eastAsia="宋体" w:cs="宋体"/>
                <w:sz w:val="24"/>
                <w:szCs w:val="24"/>
              </w:rPr>
              <w:t>小时内到达现场，紧急事故</w:t>
            </w:r>
            <w:r>
              <w:rPr>
                <w:rFonts w:ascii="宋体" w:hAnsi="宋体" w:eastAsia="宋体" w:cs="宋体"/>
                <w:sz w:val="24"/>
                <w:szCs w:val="24"/>
              </w:rPr>
              <w:t xml:space="preserve">12 </w:t>
            </w:r>
            <w:r>
              <w:rPr>
                <w:rFonts w:hint="eastAsia" w:ascii="宋体" w:hAnsi="宋体" w:eastAsia="宋体" w:cs="宋体"/>
                <w:sz w:val="24"/>
                <w:szCs w:val="24"/>
              </w:rPr>
              <w:t>小时内到达现场，并免费维修或更换缺陷零部件，若因摄像机故障需返厂维修在</w:t>
            </w:r>
            <w:r>
              <w:rPr>
                <w:rFonts w:ascii="宋体" w:hAnsi="宋体" w:eastAsia="宋体" w:cs="宋体"/>
                <w:sz w:val="24"/>
                <w:szCs w:val="24"/>
              </w:rPr>
              <w:t xml:space="preserve">24 </w:t>
            </w:r>
            <w:r>
              <w:rPr>
                <w:rFonts w:hint="eastAsia" w:ascii="宋体" w:hAnsi="宋体" w:eastAsia="宋体" w:cs="宋体"/>
                <w:sz w:val="24"/>
                <w:szCs w:val="24"/>
              </w:rPr>
              <w:t>小时内不能解决问题的，必须提供同类工作效果的设备作为备用机。</w:t>
            </w:r>
          </w:p>
        </w:tc>
        <w:tc>
          <w:tcPr>
            <w:tcW w:w="1014" w:type="dxa"/>
            <w:vAlign w:val="center"/>
          </w:tcPr>
          <w:p>
            <w:pPr>
              <w:autoSpaceDE w:val="0"/>
              <w:autoSpaceDN w:val="0"/>
              <w:adjustRightInd w:val="0"/>
              <w:spacing w:line="360" w:lineRule="auto"/>
              <w:rPr>
                <w:rFonts w:ascii="宋体" w:hAnsi="宋体" w:eastAsia="宋体" w:cs="宋体"/>
                <w:sz w:val="24"/>
                <w:szCs w:val="24"/>
              </w:rPr>
            </w:pPr>
          </w:p>
        </w:tc>
        <w:tc>
          <w:tcPr>
            <w:tcW w:w="864" w:type="dxa"/>
            <w:vAlign w:val="center"/>
          </w:tcPr>
          <w:p>
            <w:pPr>
              <w:autoSpaceDE w:val="0"/>
              <w:autoSpaceDN w:val="0"/>
              <w:adjustRightInd w:val="0"/>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047" w:type="dxa"/>
            <w:vAlign w:val="center"/>
          </w:tcPr>
          <w:p>
            <w:pPr>
              <w:spacing w:line="340" w:lineRule="exact"/>
              <w:jc w:val="center"/>
              <w:rPr>
                <w:rFonts w:ascii="宋体" w:hAnsi="宋体" w:eastAsia="宋体" w:cs="宋体"/>
                <w:sz w:val="24"/>
                <w:szCs w:val="24"/>
              </w:rPr>
            </w:pPr>
            <w:r>
              <w:rPr>
                <w:rFonts w:hint="eastAsia" w:ascii="宋体" w:hAnsi="宋体" w:eastAsia="宋体" w:cs="宋体"/>
                <w:sz w:val="24"/>
                <w:szCs w:val="24"/>
              </w:rPr>
              <w:t>验收标准</w:t>
            </w:r>
          </w:p>
        </w:tc>
        <w:tc>
          <w:tcPr>
            <w:tcW w:w="6321" w:type="dxa"/>
            <w:vAlign w:val="center"/>
          </w:tcPr>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1、配套设备需全新、完好、无破损，按照技术要求的各项指标进行验收。</w:t>
            </w:r>
          </w:p>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2、配套设备开机试运行，测试设备的技术性能指标，确认各项功能正常运行，同时检查随机文件应齐整。</w:t>
            </w:r>
          </w:p>
        </w:tc>
        <w:tc>
          <w:tcPr>
            <w:tcW w:w="1014" w:type="dxa"/>
            <w:vAlign w:val="center"/>
          </w:tcPr>
          <w:p>
            <w:pPr>
              <w:autoSpaceDE w:val="0"/>
              <w:autoSpaceDN w:val="0"/>
              <w:adjustRightInd w:val="0"/>
              <w:spacing w:line="360" w:lineRule="auto"/>
              <w:rPr>
                <w:rFonts w:ascii="宋体" w:hAnsi="宋体" w:eastAsia="宋体" w:cs="宋体"/>
                <w:sz w:val="24"/>
                <w:szCs w:val="24"/>
              </w:rPr>
            </w:pPr>
          </w:p>
        </w:tc>
        <w:tc>
          <w:tcPr>
            <w:tcW w:w="864" w:type="dxa"/>
            <w:vAlign w:val="center"/>
          </w:tcPr>
          <w:p>
            <w:pPr>
              <w:autoSpaceDE w:val="0"/>
              <w:autoSpaceDN w:val="0"/>
              <w:adjustRightInd w:val="0"/>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2047" w:type="dxa"/>
            <w:vAlign w:val="center"/>
          </w:tcPr>
          <w:p>
            <w:pPr>
              <w:spacing w:line="340" w:lineRule="exact"/>
              <w:jc w:val="center"/>
              <w:rPr>
                <w:rFonts w:ascii="宋体" w:hAnsi="宋体" w:eastAsia="宋体" w:cs="宋体"/>
                <w:sz w:val="24"/>
                <w:szCs w:val="24"/>
              </w:rPr>
            </w:pPr>
            <w:r>
              <w:rPr>
                <w:rFonts w:hint="eastAsia" w:ascii="宋体" w:hAnsi="宋体" w:eastAsia="宋体" w:cs="宋体"/>
                <w:sz w:val="24"/>
                <w:szCs w:val="24"/>
              </w:rPr>
              <w:t>付款方式</w:t>
            </w:r>
          </w:p>
        </w:tc>
        <w:tc>
          <w:tcPr>
            <w:tcW w:w="6321" w:type="dxa"/>
            <w:vAlign w:val="center"/>
          </w:tcPr>
          <w:p>
            <w:pPr>
              <w:autoSpaceDE w:val="0"/>
              <w:autoSpaceDN w:val="0"/>
              <w:adjustRightInd w:val="0"/>
              <w:spacing w:line="360" w:lineRule="auto"/>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、项目验收合格后</w:t>
            </w:r>
            <w:r>
              <w:rPr>
                <w:rFonts w:ascii="宋体" w:hAnsi="宋体" w:eastAsia="宋体" w:cs="宋体"/>
                <w:sz w:val="24"/>
                <w:szCs w:val="24"/>
              </w:rPr>
              <w:t xml:space="preserve">7 </w:t>
            </w:r>
            <w:r>
              <w:rPr>
                <w:rFonts w:hint="eastAsia" w:ascii="宋体" w:hAnsi="宋体" w:eastAsia="宋体" w:cs="宋体"/>
                <w:sz w:val="24"/>
                <w:szCs w:val="24"/>
              </w:rPr>
              <w:t>日内支付合同金额的</w:t>
            </w:r>
            <w:r>
              <w:rPr>
                <w:rFonts w:ascii="宋体" w:hAnsi="宋体" w:eastAsia="宋体" w:cs="宋体"/>
                <w:sz w:val="24"/>
                <w:szCs w:val="24"/>
              </w:rPr>
              <w:t>2</w:t>
            </w:r>
            <w:r>
              <w:rPr>
                <w:rFonts w:hint="eastAsia" w:ascii="宋体" w:hAnsi="宋体" w:eastAsia="宋体" w:cs="宋体"/>
                <w:sz w:val="24"/>
                <w:szCs w:val="24"/>
              </w:rPr>
              <w:t>5</w:t>
            </w:r>
            <w:r>
              <w:rPr>
                <w:rFonts w:ascii="宋体" w:hAnsi="宋体" w:eastAsia="宋体" w:cs="宋体"/>
                <w:sz w:val="24"/>
                <w:szCs w:val="24"/>
              </w:rPr>
              <w:t>%</w:t>
            </w:r>
            <w:r>
              <w:rPr>
                <w:rFonts w:hint="eastAsia" w:ascii="宋体" w:hAnsi="宋体" w:eastAsia="宋体" w:cs="宋体"/>
                <w:sz w:val="24"/>
                <w:szCs w:val="24"/>
              </w:rPr>
              <w:t>；</w:t>
            </w:r>
          </w:p>
          <w:p>
            <w:pPr>
              <w:autoSpaceDE w:val="0"/>
              <w:autoSpaceDN w:val="0"/>
              <w:adjustRightInd w:val="0"/>
              <w:spacing w:line="360" w:lineRule="auto"/>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、验收合格满</w:t>
            </w:r>
            <w:r>
              <w:rPr>
                <w:rFonts w:ascii="宋体" w:hAnsi="宋体" w:eastAsia="宋体" w:cs="宋体"/>
                <w:sz w:val="24"/>
                <w:szCs w:val="24"/>
              </w:rPr>
              <w:t xml:space="preserve">1 </w:t>
            </w:r>
            <w:r>
              <w:rPr>
                <w:rFonts w:hint="eastAsia" w:ascii="宋体" w:hAnsi="宋体" w:eastAsia="宋体" w:cs="宋体"/>
                <w:sz w:val="24"/>
                <w:szCs w:val="24"/>
              </w:rPr>
              <w:t>年支付合同金额的</w:t>
            </w:r>
            <w:r>
              <w:rPr>
                <w:rFonts w:ascii="宋体" w:hAnsi="宋体" w:eastAsia="宋体" w:cs="宋体"/>
                <w:sz w:val="24"/>
                <w:szCs w:val="24"/>
              </w:rPr>
              <w:t>2</w:t>
            </w:r>
            <w:r>
              <w:rPr>
                <w:rFonts w:hint="eastAsia" w:ascii="宋体" w:hAnsi="宋体" w:eastAsia="宋体" w:cs="宋体"/>
                <w:sz w:val="24"/>
                <w:szCs w:val="24"/>
              </w:rPr>
              <w:t>5</w:t>
            </w:r>
            <w:r>
              <w:rPr>
                <w:rFonts w:ascii="宋体" w:hAnsi="宋体" w:eastAsia="宋体" w:cs="宋体"/>
                <w:sz w:val="24"/>
                <w:szCs w:val="24"/>
              </w:rPr>
              <w:t>%</w:t>
            </w:r>
            <w:r>
              <w:rPr>
                <w:rFonts w:hint="eastAsia" w:ascii="宋体" w:hAnsi="宋体" w:eastAsia="宋体" w:cs="宋体"/>
                <w:sz w:val="24"/>
                <w:szCs w:val="24"/>
              </w:rPr>
              <w:t>；</w:t>
            </w:r>
          </w:p>
          <w:p>
            <w:pPr>
              <w:autoSpaceDE w:val="0"/>
              <w:autoSpaceDN w:val="0"/>
              <w:adjustRightInd w:val="0"/>
              <w:spacing w:line="360" w:lineRule="auto"/>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、验收合格满</w:t>
            </w:r>
            <w:r>
              <w:rPr>
                <w:rFonts w:ascii="宋体" w:hAnsi="宋体" w:eastAsia="宋体" w:cs="宋体"/>
                <w:sz w:val="24"/>
                <w:szCs w:val="24"/>
              </w:rPr>
              <w:t xml:space="preserve">2 </w:t>
            </w:r>
            <w:r>
              <w:rPr>
                <w:rFonts w:hint="eastAsia" w:ascii="宋体" w:hAnsi="宋体" w:eastAsia="宋体" w:cs="宋体"/>
                <w:sz w:val="24"/>
                <w:szCs w:val="24"/>
              </w:rPr>
              <w:t>年支付合同金额的</w:t>
            </w:r>
            <w:r>
              <w:rPr>
                <w:rFonts w:ascii="宋体" w:hAnsi="宋体" w:eastAsia="宋体" w:cs="宋体"/>
                <w:sz w:val="24"/>
                <w:szCs w:val="24"/>
              </w:rPr>
              <w:t>2</w:t>
            </w:r>
            <w:r>
              <w:rPr>
                <w:rFonts w:hint="eastAsia" w:ascii="宋体" w:hAnsi="宋体" w:eastAsia="宋体" w:cs="宋体"/>
                <w:sz w:val="24"/>
                <w:szCs w:val="24"/>
              </w:rPr>
              <w:t>5</w:t>
            </w:r>
            <w:r>
              <w:rPr>
                <w:rFonts w:ascii="宋体" w:hAnsi="宋体" w:eastAsia="宋体" w:cs="宋体"/>
                <w:sz w:val="24"/>
                <w:szCs w:val="24"/>
              </w:rPr>
              <w:t>%</w:t>
            </w:r>
            <w:r>
              <w:rPr>
                <w:rFonts w:hint="eastAsia" w:ascii="宋体" w:hAnsi="宋体" w:eastAsia="宋体" w:cs="宋体"/>
                <w:sz w:val="24"/>
                <w:szCs w:val="24"/>
              </w:rPr>
              <w:t>；</w:t>
            </w:r>
          </w:p>
          <w:p>
            <w:pPr>
              <w:autoSpaceDE w:val="0"/>
              <w:autoSpaceDN w:val="0"/>
              <w:adjustRightInd w:val="0"/>
              <w:spacing w:line="360" w:lineRule="auto"/>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、验收合格满</w:t>
            </w:r>
            <w:r>
              <w:rPr>
                <w:rFonts w:ascii="宋体" w:hAnsi="宋体" w:eastAsia="宋体" w:cs="宋体"/>
                <w:sz w:val="24"/>
                <w:szCs w:val="24"/>
              </w:rPr>
              <w:t xml:space="preserve">3 </w:t>
            </w:r>
            <w:r>
              <w:rPr>
                <w:rFonts w:hint="eastAsia" w:ascii="宋体" w:hAnsi="宋体" w:eastAsia="宋体" w:cs="宋体"/>
                <w:sz w:val="24"/>
                <w:szCs w:val="24"/>
              </w:rPr>
              <w:t>年支付合同金额的</w:t>
            </w:r>
            <w:r>
              <w:rPr>
                <w:rFonts w:ascii="宋体" w:hAnsi="宋体" w:eastAsia="宋体" w:cs="宋体"/>
                <w:sz w:val="24"/>
                <w:szCs w:val="24"/>
              </w:rPr>
              <w:t>2</w:t>
            </w:r>
            <w:r>
              <w:rPr>
                <w:rFonts w:hint="eastAsia" w:ascii="宋体" w:hAnsi="宋体" w:eastAsia="宋体" w:cs="宋体"/>
                <w:sz w:val="24"/>
                <w:szCs w:val="24"/>
              </w:rPr>
              <w:t>5</w:t>
            </w:r>
            <w:r>
              <w:rPr>
                <w:rFonts w:ascii="宋体" w:hAnsi="宋体" w:eastAsia="宋体" w:cs="宋体"/>
                <w:sz w:val="24"/>
                <w:szCs w:val="24"/>
              </w:rPr>
              <w:t>%</w:t>
            </w:r>
            <w:r>
              <w:rPr>
                <w:rFonts w:hint="eastAsia" w:ascii="宋体" w:hAnsi="宋体" w:eastAsia="宋体" w:cs="宋体"/>
                <w:sz w:val="24"/>
                <w:szCs w:val="24"/>
              </w:rPr>
              <w:t>；</w:t>
            </w:r>
          </w:p>
        </w:tc>
        <w:tc>
          <w:tcPr>
            <w:tcW w:w="1014" w:type="dxa"/>
            <w:vAlign w:val="center"/>
          </w:tcPr>
          <w:p>
            <w:pPr>
              <w:autoSpaceDE w:val="0"/>
              <w:autoSpaceDN w:val="0"/>
              <w:adjustRightInd w:val="0"/>
              <w:spacing w:line="360" w:lineRule="auto"/>
              <w:rPr>
                <w:rFonts w:ascii="宋体" w:hAnsi="宋体" w:eastAsia="宋体" w:cs="宋体"/>
                <w:sz w:val="24"/>
                <w:szCs w:val="24"/>
              </w:rPr>
            </w:pPr>
          </w:p>
        </w:tc>
        <w:tc>
          <w:tcPr>
            <w:tcW w:w="864" w:type="dxa"/>
            <w:vAlign w:val="center"/>
          </w:tcPr>
          <w:p>
            <w:pPr>
              <w:autoSpaceDE w:val="0"/>
              <w:autoSpaceDN w:val="0"/>
              <w:adjustRightInd w:val="0"/>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2047" w:type="dxa"/>
            <w:vAlign w:val="center"/>
          </w:tcPr>
          <w:p>
            <w:pPr>
              <w:spacing w:line="340" w:lineRule="exact"/>
              <w:jc w:val="center"/>
              <w:rPr>
                <w:rFonts w:ascii="宋体" w:hAnsi="宋体" w:eastAsia="宋体" w:cs="宋体"/>
                <w:sz w:val="24"/>
                <w:szCs w:val="24"/>
              </w:rPr>
            </w:pPr>
            <w:r>
              <w:rPr>
                <w:rFonts w:hint="eastAsia" w:ascii="宋体" w:hAnsi="宋体" w:eastAsia="宋体"/>
                <w:sz w:val="24"/>
                <w:szCs w:val="24"/>
              </w:rPr>
              <w:t>其他要求</w:t>
            </w:r>
          </w:p>
        </w:tc>
        <w:tc>
          <w:tcPr>
            <w:tcW w:w="6321" w:type="dxa"/>
            <w:vAlign w:val="center"/>
          </w:tcPr>
          <w:p>
            <w:pPr>
              <w:autoSpaceDE w:val="0"/>
              <w:autoSpaceDN w:val="0"/>
              <w:adjustRightInd w:val="0"/>
              <w:spacing w:line="360" w:lineRule="auto"/>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、本项目政府采购预算为：</w:t>
            </w:r>
            <w:r>
              <w:rPr>
                <w:rFonts w:hint="eastAsia" w:ascii="宋体" w:hAnsi="宋体" w:eastAsia="宋体" w:cs="宋体"/>
                <w:b/>
                <w:color w:val="000000" w:themeColor="text1"/>
                <w:sz w:val="24"/>
                <w:szCs w:val="24"/>
              </w:rPr>
              <w:t>壹佰陆拾叁万壹仟贰佰元整</w:t>
            </w:r>
            <w:r>
              <w:rPr>
                <w:rFonts w:hint="eastAsia" w:ascii="宋体" w:hAnsi="宋体" w:eastAsia="宋体" w:cs="宋体"/>
                <w:b/>
                <w:sz w:val="24"/>
                <w:szCs w:val="24"/>
              </w:rPr>
              <w:t>（</w:t>
            </w:r>
            <w:r>
              <w:rPr>
                <w:rFonts w:hint="eastAsia" w:ascii="宋体" w:hAnsi="宋体" w:eastAsia="宋体" w:cs="宋体"/>
                <w:b/>
                <w:color w:val="000000" w:themeColor="text1"/>
                <w:sz w:val="24"/>
                <w:szCs w:val="24"/>
              </w:rPr>
              <w:t>1631200.00</w:t>
            </w:r>
            <w:r>
              <w:rPr>
                <w:rFonts w:hint="eastAsia" w:ascii="宋体" w:hAnsi="宋体" w:eastAsia="宋体" w:cs="宋体"/>
                <w:b/>
                <w:sz w:val="24"/>
                <w:szCs w:val="24"/>
              </w:rPr>
              <w:t>元）</w:t>
            </w:r>
            <w:r>
              <w:rPr>
                <w:rFonts w:hint="eastAsia" w:ascii="宋体" w:hAnsi="宋体" w:eastAsia="宋体" w:cs="宋体"/>
                <w:sz w:val="24"/>
                <w:szCs w:val="24"/>
              </w:rPr>
              <w:t>，超过采购预算金额的，响应文件按无效处理。</w:t>
            </w:r>
          </w:p>
          <w:p>
            <w:pPr>
              <w:rPr>
                <w:rFonts w:ascii="宋体" w:hAnsi="宋体" w:eastAsia="宋体"/>
                <w:sz w:val="24"/>
                <w:szCs w:val="24"/>
              </w:rPr>
            </w:pPr>
            <w:r>
              <w:rPr>
                <w:rFonts w:hint="eastAsia" w:ascii="宋体" w:hAnsi="宋体" w:eastAsia="宋体"/>
                <w:sz w:val="24"/>
                <w:szCs w:val="24"/>
              </w:rPr>
              <w:t>2、</w:t>
            </w:r>
            <w:r>
              <w:rPr>
                <w:rFonts w:hint="eastAsia" w:ascii="宋体" w:hAnsi="宋体" w:cs="宋体"/>
                <w:szCs w:val="21"/>
              </w:rPr>
              <w:t>标注“▲”号条款为重要功能服务条款，将作为技术参数的评分内容</w:t>
            </w:r>
            <w:r>
              <w:rPr>
                <w:rFonts w:hint="eastAsia" w:ascii="宋体" w:hAnsi="宋体" w:eastAsia="宋体"/>
                <w:sz w:val="24"/>
                <w:szCs w:val="24"/>
              </w:rPr>
              <w:t>。</w:t>
            </w:r>
          </w:p>
        </w:tc>
        <w:tc>
          <w:tcPr>
            <w:tcW w:w="1014" w:type="dxa"/>
            <w:vAlign w:val="center"/>
          </w:tcPr>
          <w:p>
            <w:pPr>
              <w:rPr>
                <w:rFonts w:ascii="宋体" w:hAnsi="宋体" w:eastAsia="宋体"/>
                <w:sz w:val="24"/>
                <w:szCs w:val="24"/>
              </w:rPr>
            </w:pPr>
          </w:p>
        </w:tc>
        <w:tc>
          <w:tcPr>
            <w:tcW w:w="864" w:type="dxa"/>
            <w:vAlign w:val="center"/>
          </w:tcPr>
          <w:p>
            <w:pPr>
              <w:rPr>
                <w:rFonts w:ascii="宋体" w:hAnsi="宋体" w:eastAsia="宋体"/>
                <w:sz w:val="24"/>
                <w:szCs w:val="24"/>
              </w:rPr>
            </w:pPr>
          </w:p>
        </w:tc>
      </w:tr>
    </w:tbl>
    <w:p>
      <w:pPr>
        <w:spacing w:line="200" w:lineRule="exact"/>
        <w:rPr>
          <w:rFonts w:ascii="宋体" w:hAnsi="宋体" w:eastAsia="宋体"/>
          <w:sz w:val="24"/>
          <w:szCs w:val="24"/>
        </w:rPr>
      </w:pPr>
      <w:r>
        <w:rPr>
          <w:rFonts w:hint="eastAsia" w:ascii="宋体" w:hAnsi="宋体" w:eastAsia="宋体"/>
          <w:sz w:val="24"/>
          <w:szCs w:val="24"/>
        </w:rPr>
        <w:br w:type="page"/>
      </w:r>
    </w:p>
    <w:p>
      <w:pPr>
        <w:spacing w:line="200" w:lineRule="exact"/>
        <w:rPr>
          <w:rFonts w:ascii="宋体" w:hAnsi="宋体" w:eastAsia="宋体"/>
          <w:sz w:val="24"/>
          <w:szCs w:val="24"/>
        </w:rPr>
      </w:pPr>
    </w:p>
    <w:p>
      <w:pPr>
        <w:pStyle w:val="3"/>
        <w:jc w:val="center"/>
        <w:rPr>
          <w:rFonts w:ascii="宋体" w:hAnsi="宋体" w:eastAsia="宋体"/>
          <w:sz w:val="24"/>
          <w:szCs w:val="24"/>
        </w:rPr>
      </w:pPr>
      <w:bookmarkStart w:id="53" w:name="page24"/>
      <w:bookmarkEnd w:id="53"/>
      <w:r>
        <w:rPr>
          <w:rFonts w:hint="eastAsia" w:ascii="宋体" w:hAnsi="宋体" w:eastAsia="宋体"/>
          <w:sz w:val="24"/>
          <w:szCs w:val="24"/>
        </w:rPr>
        <w:t>第四章 评标办法</w:t>
      </w:r>
    </w:p>
    <w:p>
      <w:pPr>
        <w:spacing w:line="360" w:lineRule="auto"/>
        <w:ind w:firstLine="482" w:firstLineChars="200"/>
        <w:rPr>
          <w:rFonts w:ascii="宋体" w:hAnsi="宋体" w:eastAsia="宋体" w:cs="宋体"/>
          <w:sz w:val="24"/>
          <w:szCs w:val="24"/>
        </w:rPr>
      </w:pPr>
      <w:r>
        <w:rPr>
          <w:rFonts w:hint="eastAsia" w:ascii="宋体" w:hAnsi="宋体" w:eastAsia="宋体"/>
          <w:b/>
          <w:bCs/>
          <w:sz w:val="24"/>
          <w:szCs w:val="24"/>
        </w:rPr>
        <w:t>一、评标依据及方式</w:t>
      </w:r>
    </w:p>
    <w:p>
      <w:pPr>
        <w:spacing w:line="360" w:lineRule="auto"/>
        <w:ind w:left="220" w:leftChars="100" w:firstLine="240" w:firstLineChars="100"/>
        <w:rPr>
          <w:rFonts w:ascii="宋体" w:hAnsi="宋体" w:eastAsia="宋体"/>
          <w:sz w:val="24"/>
          <w:szCs w:val="24"/>
        </w:rPr>
      </w:pPr>
      <w:r>
        <w:rPr>
          <w:rFonts w:hint="eastAsia" w:ascii="宋体" w:hAnsi="宋体" w:eastAsia="宋体"/>
          <w:sz w:val="24"/>
          <w:szCs w:val="24"/>
        </w:rPr>
        <w:t>1、评标依据：</w:t>
      </w:r>
      <w:r>
        <w:rPr>
          <w:rFonts w:ascii="宋体" w:hAnsi="宋体" w:eastAsia="宋体" w:cs="宋体"/>
          <w:sz w:val="24"/>
          <w:szCs w:val="24"/>
        </w:rPr>
        <w:t>磋商小组以磋商文件和响应文件为评审依据，对磋商供应商</w:t>
      </w:r>
      <w:r>
        <w:rPr>
          <w:rFonts w:hint="eastAsia" w:ascii="宋体" w:hAnsi="宋体" w:eastAsia="宋体"/>
          <w:sz w:val="24"/>
          <w:szCs w:val="24"/>
        </w:rPr>
        <w:t>的磋商报价、服务方案、实施方案、技术参数、信誉、服务保障方案、应急保障方案等七个方面内容按百分制打分。</w:t>
      </w:r>
    </w:p>
    <w:p>
      <w:pPr>
        <w:spacing w:line="360" w:lineRule="auto"/>
        <w:ind w:firstLine="470" w:firstLineChars="196"/>
        <w:rPr>
          <w:rFonts w:ascii="宋体" w:hAnsi="宋体" w:eastAsia="宋体"/>
          <w:sz w:val="24"/>
          <w:szCs w:val="24"/>
        </w:rPr>
      </w:pPr>
      <w:r>
        <w:rPr>
          <w:rFonts w:hint="eastAsia" w:ascii="宋体" w:hAnsi="宋体" w:eastAsia="宋体"/>
          <w:sz w:val="24"/>
          <w:szCs w:val="24"/>
        </w:rPr>
        <w:t>2、评标方式：以封闭方式进行评标。</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根据财库〔2012〕69 号文规定，采购人和采购代理机构、磋商小组成员要严格遵守政府采购相关法律制度，依法履行各自职责，公正、客观、审慎地组织和参与评审工作。</w:t>
      </w:r>
    </w:p>
    <w:p>
      <w:pPr>
        <w:spacing w:line="240" w:lineRule="exact"/>
        <w:ind w:left="420"/>
        <w:rPr>
          <w:rFonts w:ascii="宋体" w:hAnsi="宋体" w:eastAsia="宋体"/>
          <w:sz w:val="24"/>
          <w:szCs w:val="24"/>
        </w:rPr>
      </w:pPr>
      <w:r>
        <w:rPr>
          <w:rFonts w:ascii="宋体" w:hAnsi="宋体" w:eastAsia="宋体" w:cs="宋体"/>
          <w:b/>
          <w:bCs/>
          <w:sz w:val="24"/>
          <w:szCs w:val="24"/>
        </w:rPr>
        <w:t>二、评审办法</w:t>
      </w:r>
    </w:p>
    <w:p>
      <w:pPr>
        <w:spacing w:line="16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（一）对进入详评的，采用综合评分法。</w:t>
      </w:r>
    </w:p>
    <w:p>
      <w:pPr>
        <w:spacing w:line="16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（二）计分办法（按四舍五入取至小数点后二位）</w:t>
      </w:r>
    </w:p>
    <w:p>
      <w:pPr>
        <w:spacing w:line="360" w:lineRule="auto"/>
        <w:ind w:firstLine="420"/>
        <w:rPr>
          <w:rFonts w:ascii="宋体" w:hAnsi="宋体" w:eastAsia="宋体"/>
          <w:bCs/>
          <w:sz w:val="24"/>
          <w:szCs w:val="24"/>
        </w:rPr>
      </w:pPr>
      <w:r>
        <w:rPr>
          <w:rFonts w:ascii="宋体" w:hAnsi="宋体" w:eastAsia="宋体"/>
          <w:b/>
          <w:sz w:val="24"/>
          <w:szCs w:val="24"/>
        </w:rPr>
        <w:t>1、</w:t>
      </w:r>
      <w:r>
        <w:rPr>
          <w:rFonts w:hint="eastAsia" w:ascii="宋体" w:hAnsi="宋体" w:eastAsia="宋体"/>
          <w:b/>
          <w:bCs/>
          <w:sz w:val="24"/>
          <w:szCs w:val="24"/>
        </w:rPr>
        <w:t>价格分</w:t>
      </w:r>
      <w:r>
        <w:rPr>
          <w:rFonts w:ascii="宋体" w:hAnsi="宋体" w:eastAsia="宋体"/>
          <w:b/>
          <w:sz w:val="24"/>
          <w:szCs w:val="24"/>
        </w:rPr>
        <w:t>…………………………………………………………………………</w:t>
      </w:r>
      <w:r>
        <w:rPr>
          <w:rFonts w:hint="eastAsia" w:ascii="宋体" w:hAnsi="宋体" w:eastAsia="宋体"/>
          <w:b/>
          <w:bCs/>
          <w:sz w:val="24"/>
          <w:szCs w:val="24"/>
        </w:rPr>
        <w:t>30分</w:t>
      </w:r>
    </w:p>
    <w:p>
      <w:pPr>
        <w:spacing w:line="240" w:lineRule="exact"/>
        <w:ind w:left="420"/>
        <w:rPr>
          <w:rFonts w:ascii="宋体" w:hAnsi="宋体" w:eastAsia="宋体"/>
          <w:sz w:val="24"/>
          <w:szCs w:val="24"/>
        </w:rPr>
      </w:pPr>
      <w:r>
        <w:rPr>
          <w:rFonts w:ascii="宋体" w:hAnsi="宋体" w:eastAsia="宋体" w:cs="宋体"/>
          <w:sz w:val="24"/>
          <w:szCs w:val="24"/>
        </w:rPr>
        <w:t>（1）按照《政府采购促进中小企业发展暂行办法》（财库[2011]181 号）规定：</w:t>
      </w:r>
    </w:p>
    <w:p>
      <w:pPr>
        <w:spacing w:line="192" w:lineRule="exact"/>
        <w:rPr>
          <w:rFonts w:ascii="宋体" w:hAnsi="宋体" w:eastAsia="宋体"/>
          <w:sz w:val="24"/>
          <w:szCs w:val="24"/>
        </w:rPr>
      </w:pPr>
    </w:p>
    <w:p>
      <w:pPr>
        <w:spacing w:line="304" w:lineRule="exact"/>
        <w:ind w:firstLine="526"/>
        <w:jc w:val="both"/>
        <w:rPr>
          <w:rFonts w:ascii="宋体" w:hAnsi="宋体" w:eastAsia="宋体"/>
          <w:sz w:val="24"/>
          <w:szCs w:val="24"/>
        </w:rPr>
      </w:pPr>
      <w:r>
        <w:rPr>
          <w:rFonts w:ascii="宋体" w:hAnsi="宋体" w:eastAsia="宋体" w:cs="宋体"/>
          <w:sz w:val="24"/>
          <w:szCs w:val="24"/>
        </w:rPr>
        <w:t>①对磋商供应商认定为小型和微型企业的（以响应文件提供的符合规定的有关证明材料为准），磋商价给予</w:t>
      </w:r>
      <w:r>
        <w:rPr>
          <w:rFonts w:hint="eastAsia" w:ascii="宋体" w:hAnsi="宋体" w:eastAsia="宋体" w:cs="宋体"/>
          <w:sz w:val="24"/>
          <w:szCs w:val="24"/>
          <w:lang w:val="en-US" w:eastAsia="zh-CN"/>
        </w:rPr>
        <w:t>10</w:t>
      </w:r>
      <w:r>
        <w:rPr>
          <w:rFonts w:ascii="宋体" w:hAnsi="宋体" w:eastAsia="宋体" w:cs="宋体"/>
          <w:sz w:val="24"/>
          <w:szCs w:val="24"/>
        </w:rPr>
        <w:t>%的扣除，扣除后的价格为磋商报价，即评审报价=最后报价×（1-6%）；</w:t>
      </w:r>
    </w:p>
    <w:p>
      <w:pPr>
        <w:spacing w:line="162" w:lineRule="exact"/>
        <w:rPr>
          <w:rFonts w:ascii="宋体" w:hAnsi="宋体" w:eastAsia="宋体"/>
          <w:sz w:val="24"/>
          <w:szCs w:val="24"/>
        </w:rPr>
      </w:pPr>
    </w:p>
    <w:p>
      <w:pPr>
        <w:spacing w:line="240" w:lineRule="exact"/>
        <w:ind w:left="540"/>
        <w:rPr>
          <w:rFonts w:ascii="宋体" w:hAnsi="宋体" w:eastAsia="宋体"/>
          <w:sz w:val="24"/>
          <w:szCs w:val="24"/>
        </w:rPr>
      </w:pPr>
      <w:r>
        <w:rPr>
          <w:rFonts w:ascii="宋体" w:hAnsi="宋体" w:eastAsia="宋体" w:cs="宋体"/>
          <w:sz w:val="24"/>
          <w:szCs w:val="24"/>
        </w:rPr>
        <w:t>②除上述情况外，评审报价=最后报价。</w:t>
      </w:r>
    </w:p>
    <w:p>
      <w:pPr>
        <w:spacing w:line="192" w:lineRule="exact"/>
        <w:rPr>
          <w:rFonts w:ascii="宋体" w:hAnsi="宋体" w:eastAsia="宋体"/>
          <w:sz w:val="24"/>
          <w:szCs w:val="24"/>
        </w:rPr>
      </w:pPr>
    </w:p>
    <w:p>
      <w:pPr>
        <w:spacing w:line="336" w:lineRule="exact"/>
        <w:ind w:firstLine="420"/>
        <w:jc w:val="both"/>
        <w:rPr>
          <w:rFonts w:ascii="宋体" w:hAnsi="宋体" w:eastAsia="宋体"/>
          <w:sz w:val="24"/>
          <w:szCs w:val="24"/>
        </w:rPr>
      </w:pPr>
      <w:r>
        <w:rPr>
          <w:rFonts w:ascii="宋体" w:hAnsi="宋体" w:eastAsia="宋体" w:cs="宋体"/>
          <w:sz w:val="24"/>
          <w:szCs w:val="24"/>
        </w:rPr>
        <w:t>（2）根据《关于政府采购支持监狱企业发展有关问题的通知》（财库[2014]68 号）和《关于促进残疾人就业政府采购政策的通知》（财库[2017]141 号），监狱企业和符合条件的残疾人企业视同小型、微型企业，享受小型、微型企业评审中价格扣除的政府采购政策。</w:t>
      </w:r>
    </w:p>
    <w:p>
      <w:pPr>
        <w:spacing w:line="162"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（3）以进入详评的最低的评审报价为 30 分。</w:t>
      </w:r>
    </w:p>
    <w:p>
      <w:pPr>
        <w:spacing w:line="240" w:lineRule="exact"/>
        <w:ind w:left="3160"/>
        <w:rPr>
          <w:sz w:val="20"/>
          <w:szCs w:val="20"/>
        </w:rPr>
      </w:pPr>
      <w:r>
        <w:rPr>
          <w:rFonts w:ascii="宋体" w:hAnsi="宋体" w:eastAsia="宋体" w:cs="宋体"/>
          <w:sz w:val="21"/>
          <w:szCs w:val="21"/>
        </w:rPr>
        <w:t>最低磋商供应商评审报价金额</w:t>
      </w:r>
    </w:p>
    <w:p>
      <w:pPr>
        <w:spacing w:line="161" w:lineRule="exact"/>
        <w:rPr>
          <w:sz w:val="20"/>
          <w:szCs w:val="20"/>
        </w:rPr>
      </w:pPr>
    </w:p>
    <w:tbl>
      <w:tblPr>
        <w:tblStyle w:val="9"/>
        <w:tblW w:w="0" w:type="auto"/>
        <w:tblInd w:w="420" w:type="dxa"/>
        <w:tblLayout w:type="fixed"/>
        <w:tblCellMar>
          <w:top w:w="0" w:type="dxa"/>
          <w:left w:w="0" w:type="dxa"/>
          <w:bottom w:w="0" w:type="dxa"/>
          <w:right w:w="0" w:type="dxa"/>
        </w:tblCellMar>
      </w:tblPr>
      <w:tblGrid>
        <w:gridCol w:w="2460"/>
        <w:gridCol w:w="3480"/>
        <w:gridCol w:w="840"/>
        <w:gridCol w:w="20"/>
      </w:tblGrid>
      <w:tr>
        <w:tblPrEx>
          <w:tblCellMar>
            <w:top w:w="0" w:type="dxa"/>
            <w:left w:w="0" w:type="dxa"/>
            <w:bottom w:w="0" w:type="dxa"/>
            <w:right w:w="0" w:type="dxa"/>
          </w:tblCellMar>
        </w:tblPrEx>
        <w:trPr>
          <w:trHeight w:val="193" w:hRule="atLeast"/>
        </w:trPr>
        <w:tc>
          <w:tcPr>
            <w:tcW w:w="2460" w:type="dxa"/>
            <w:vMerge w:val="restart"/>
            <w:vAlign w:val="bottom"/>
          </w:tcPr>
          <w:p>
            <w:pPr>
              <w:spacing w:line="240" w:lineRule="exact"/>
              <w:rPr>
                <w:sz w:val="20"/>
                <w:szCs w:val="20"/>
              </w:rPr>
            </w:pPr>
            <w:r>
              <w:rPr>
                <w:rFonts w:ascii="宋体" w:hAnsi="宋体" w:eastAsia="宋体" w:cs="宋体"/>
                <w:sz w:val="21"/>
                <w:szCs w:val="21"/>
              </w:rPr>
              <w:t>（4）磋商供应商价格分 =</w:t>
            </w:r>
          </w:p>
        </w:tc>
        <w:tc>
          <w:tcPr>
            <w:tcW w:w="3480" w:type="dxa"/>
            <w:tcBorders>
              <w:bottom w:val="single" w:color="auto" w:sz="8" w:space="0"/>
            </w:tcBorders>
            <w:vAlign w:val="bottom"/>
          </w:tcPr>
          <w:p>
            <w:pPr>
              <w:rPr>
                <w:sz w:val="16"/>
                <w:szCs w:val="16"/>
              </w:rPr>
            </w:pPr>
          </w:p>
        </w:tc>
        <w:tc>
          <w:tcPr>
            <w:tcW w:w="840" w:type="dxa"/>
            <w:vMerge w:val="restart"/>
            <w:vAlign w:val="bottom"/>
          </w:tcPr>
          <w:p>
            <w:pPr>
              <w:spacing w:line="240" w:lineRule="exact"/>
              <w:ind w:left="160"/>
              <w:rPr>
                <w:sz w:val="20"/>
                <w:szCs w:val="20"/>
              </w:rPr>
            </w:pPr>
            <w:r>
              <w:rPr>
                <w:rFonts w:ascii="宋体" w:hAnsi="宋体" w:eastAsia="宋体" w:cs="宋体"/>
                <w:w w:val="89"/>
                <w:sz w:val="21"/>
                <w:szCs w:val="21"/>
              </w:rPr>
              <w:t>×30 分</w:t>
            </w:r>
          </w:p>
        </w:tc>
        <w:tc>
          <w:tcPr>
            <w:tcW w:w="0" w:type="dxa"/>
            <w:vAlign w:val="bottom"/>
          </w:tcPr>
          <w:p>
            <w:pPr>
              <w:rPr>
                <w:sz w:val="1"/>
                <w:szCs w:val="1"/>
              </w:rPr>
            </w:pPr>
          </w:p>
        </w:tc>
      </w:tr>
      <w:tr>
        <w:tblPrEx>
          <w:tblCellMar>
            <w:top w:w="0" w:type="dxa"/>
            <w:left w:w="0" w:type="dxa"/>
            <w:bottom w:w="0" w:type="dxa"/>
            <w:right w:w="0" w:type="dxa"/>
          </w:tblCellMar>
        </w:tblPrEx>
        <w:trPr>
          <w:trHeight w:val="26" w:hRule="atLeast"/>
        </w:trPr>
        <w:tc>
          <w:tcPr>
            <w:tcW w:w="2460" w:type="dxa"/>
            <w:vMerge w:val="continue"/>
            <w:vAlign w:val="bottom"/>
          </w:tcPr>
          <w:p>
            <w:pPr>
              <w:rPr>
                <w:sz w:val="2"/>
                <w:szCs w:val="2"/>
              </w:rPr>
            </w:pPr>
          </w:p>
        </w:tc>
        <w:tc>
          <w:tcPr>
            <w:tcW w:w="3480" w:type="dxa"/>
            <w:vAlign w:val="bottom"/>
          </w:tcPr>
          <w:p>
            <w:pPr>
              <w:rPr>
                <w:sz w:val="2"/>
                <w:szCs w:val="2"/>
              </w:rPr>
            </w:pPr>
          </w:p>
        </w:tc>
        <w:tc>
          <w:tcPr>
            <w:tcW w:w="840" w:type="dxa"/>
            <w:vMerge w:val="continue"/>
            <w:vAlign w:val="bottom"/>
          </w:tcPr>
          <w:p>
            <w:pPr>
              <w:rPr>
                <w:sz w:val="2"/>
                <w:szCs w:val="2"/>
              </w:rPr>
            </w:pPr>
          </w:p>
        </w:tc>
        <w:tc>
          <w:tcPr>
            <w:tcW w:w="0" w:type="dxa"/>
            <w:vAlign w:val="bottom"/>
          </w:tcPr>
          <w:p>
            <w:pPr>
              <w:spacing w:line="20" w:lineRule="exact"/>
              <w:rPr>
                <w:sz w:val="1"/>
                <w:szCs w:val="1"/>
              </w:rPr>
            </w:pPr>
          </w:p>
        </w:tc>
      </w:tr>
    </w:tbl>
    <w:p>
      <w:pPr>
        <w:spacing w:line="160" w:lineRule="exact"/>
        <w:rPr>
          <w:sz w:val="20"/>
          <w:szCs w:val="20"/>
        </w:rPr>
      </w:pPr>
    </w:p>
    <w:p>
      <w:pPr>
        <w:spacing w:line="240" w:lineRule="exact"/>
        <w:ind w:left="3260"/>
        <w:rPr>
          <w:sz w:val="20"/>
          <w:szCs w:val="20"/>
        </w:rPr>
      </w:pPr>
      <w:r>
        <w:rPr>
          <w:rFonts w:ascii="宋体" w:hAnsi="宋体" w:eastAsia="宋体" w:cs="宋体"/>
          <w:sz w:val="21"/>
          <w:szCs w:val="21"/>
        </w:rPr>
        <w:t>磋商供应商评审报价金额</w:t>
      </w:r>
    </w:p>
    <w:p>
      <w:pPr>
        <w:spacing w:line="192" w:lineRule="exact"/>
        <w:rPr>
          <w:rFonts w:ascii="宋体" w:hAnsi="宋体" w:eastAsia="宋体"/>
          <w:sz w:val="24"/>
          <w:szCs w:val="24"/>
        </w:rPr>
      </w:pPr>
    </w:p>
    <w:p>
      <w:pPr>
        <w:spacing w:line="373" w:lineRule="exact"/>
        <w:ind w:firstLine="420"/>
        <w:jc w:val="both"/>
      </w:pPr>
      <w:r>
        <w:rPr>
          <w:rFonts w:ascii="宋体" w:hAnsi="宋体" w:eastAsia="宋体" w:cs="宋体"/>
          <w:sz w:val="24"/>
          <w:szCs w:val="24"/>
        </w:rPr>
        <w:t>评审时，磋商小组认为供应商的报价明显低于其他通过符合性审查供应商的报价，有可能影响服务质量或者不能诚信履约的，应当要求其在评标现场合理的时间内提供书面说明，提供项目成本组成明细（成本价中必须包括各类税收、人员成本等），其中：人力成本必须根据供应商所在省（自治区、直辖市）政府部门或者人力资源社会保障部门公布的关于 2019 年 1 月份至 6 月份供应商所在地最低工资标准相关文件要求编制，项目成本组成明细需经第三方会计事务所或其它具备审计资质的机构出具的成本分析文件复印件（新设立公司按实际情况提供，原件备查）；供应商不能证明其报价合理性的，磋商小组应当将其响应文件作为无效处理。</w:t>
      </w:r>
    </w:p>
    <w:p>
      <w:pPr>
        <w:pStyle w:val="6"/>
        <w:spacing w:line="420" w:lineRule="exact"/>
        <w:ind w:firstLine="482" w:firstLineChars="200"/>
        <w:rPr>
          <w:rFonts w:hAnsi="宋体" w:eastAsia="宋体"/>
          <w:b/>
          <w:sz w:val="24"/>
          <w:szCs w:val="24"/>
        </w:rPr>
      </w:pPr>
      <w:r>
        <w:rPr>
          <w:rFonts w:hAnsi="宋体" w:eastAsia="宋体"/>
          <w:b/>
          <w:sz w:val="24"/>
          <w:szCs w:val="24"/>
        </w:rPr>
        <w:t xml:space="preserve">2、技术方案分……………………………………………………………………满分10分      </w:t>
      </w:r>
    </w:p>
    <w:p>
      <w:pPr>
        <w:spacing w:line="400" w:lineRule="exact"/>
        <w:ind w:firstLine="240" w:firstLineChars="100"/>
        <w:rPr>
          <w:rFonts w:ascii="宋体" w:hAnsi="宋体" w:eastAsia="宋体" w:cs="宋体"/>
          <w:bCs/>
          <w:sz w:val="24"/>
          <w:szCs w:val="24"/>
        </w:rPr>
      </w:pPr>
      <w:bookmarkStart w:id="54" w:name="_Toc474824768"/>
      <w:bookmarkStart w:id="55" w:name="_Toc474824663"/>
      <w:r>
        <w:rPr>
          <w:rFonts w:hint="eastAsia" w:ascii="宋体" w:hAnsi="宋体" w:eastAsia="宋体" w:cs="宋体"/>
          <w:bCs/>
          <w:sz w:val="24"/>
          <w:szCs w:val="24"/>
        </w:rPr>
        <w:t>一档：（3分）投标人提供的技术方案对本项目的背景、现状、需求描述较简单，仅提供基础的总体框架设计，方案仅基本符合项目需求的得3分；</w:t>
      </w:r>
    </w:p>
    <w:p>
      <w:pPr>
        <w:spacing w:line="400" w:lineRule="exact"/>
        <w:ind w:firstLine="240" w:firstLineChars="100"/>
        <w:rPr>
          <w:rFonts w:ascii="宋体" w:hAnsi="宋体" w:eastAsia="宋体" w:cs="宋体"/>
          <w:bCs/>
          <w:sz w:val="24"/>
          <w:szCs w:val="24"/>
        </w:rPr>
      </w:pPr>
      <w:r>
        <w:rPr>
          <w:rFonts w:hint="eastAsia" w:ascii="宋体" w:hAnsi="宋体" w:eastAsia="宋体" w:cs="宋体"/>
          <w:bCs/>
          <w:sz w:val="24"/>
          <w:szCs w:val="24"/>
        </w:rPr>
        <w:t>二档：（6分）投标人提供的技术方案对本项目的背景、现状、需求有较深的理解，方案包含总体框架设计、分项系统及网络具体设计，且内容较齐全，方案具有整体性的得6分；。</w:t>
      </w:r>
    </w:p>
    <w:p>
      <w:pPr>
        <w:spacing w:line="400" w:lineRule="exact"/>
        <w:ind w:firstLine="240" w:firstLineChars="100"/>
        <w:rPr>
          <w:rFonts w:ascii="宋体" w:hAnsi="宋体" w:eastAsia="宋体" w:cs="宋体"/>
          <w:bCs/>
          <w:sz w:val="24"/>
          <w:szCs w:val="24"/>
        </w:rPr>
      </w:pPr>
      <w:r>
        <w:rPr>
          <w:rFonts w:hint="eastAsia" w:ascii="宋体" w:hAnsi="宋体" w:eastAsia="宋体" w:cs="宋体"/>
          <w:bCs/>
          <w:sz w:val="24"/>
          <w:szCs w:val="24"/>
        </w:rPr>
        <w:t>三档：（10分）投标人提供的技术方案对本项目的背景、现状、需求有深刻的理解，方案对总体框架设计、分项系统具体设计及网络设计有详细完整的描述，方案设计科学、条理清晰、针对性强，方案整体性更优的得10分。</w:t>
      </w:r>
    </w:p>
    <w:p>
      <w:pPr>
        <w:pStyle w:val="6"/>
        <w:spacing w:line="420" w:lineRule="exact"/>
        <w:ind w:firstLine="482" w:firstLineChars="200"/>
        <w:rPr>
          <w:rFonts w:hAnsi="宋体" w:eastAsia="宋体"/>
          <w:b/>
          <w:sz w:val="24"/>
          <w:szCs w:val="24"/>
        </w:rPr>
      </w:pPr>
      <w:r>
        <w:rPr>
          <w:rFonts w:hAnsi="宋体" w:eastAsia="宋体"/>
          <w:b/>
          <w:sz w:val="24"/>
          <w:szCs w:val="24"/>
        </w:rPr>
        <w:t>3、实施方案分……………………………………………………………………满分12分</w:t>
      </w:r>
    </w:p>
    <w:p>
      <w:pPr>
        <w:spacing w:line="400" w:lineRule="exact"/>
        <w:ind w:firstLine="240" w:firstLineChars="100"/>
        <w:rPr>
          <w:rFonts w:ascii="宋体" w:hAnsi="宋体" w:eastAsia="宋体" w:cs="宋体"/>
          <w:bCs/>
          <w:sz w:val="24"/>
          <w:szCs w:val="24"/>
        </w:rPr>
      </w:pPr>
      <w:r>
        <w:rPr>
          <w:rFonts w:hint="eastAsia" w:ascii="宋体" w:hAnsi="宋体" w:eastAsia="宋体" w:cs="宋体"/>
          <w:bCs/>
          <w:sz w:val="24"/>
          <w:szCs w:val="24"/>
        </w:rPr>
        <w:t>由评委在打分前根据投标文件中的项目实施方案、施工组织管理方案、质量控制方案以及建议的安装、调试、验收方法或方案在各档次内独立打分。</w:t>
      </w:r>
    </w:p>
    <w:p>
      <w:pPr>
        <w:spacing w:line="400" w:lineRule="exact"/>
        <w:ind w:firstLine="240" w:firstLineChars="100"/>
        <w:rPr>
          <w:rFonts w:ascii="宋体" w:hAnsi="宋体" w:eastAsia="宋体" w:cs="宋体"/>
          <w:bCs/>
          <w:sz w:val="24"/>
          <w:szCs w:val="24"/>
        </w:rPr>
      </w:pPr>
      <w:r>
        <w:rPr>
          <w:rFonts w:hint="eastAsia" w:ascii="宋体" w:hAnsi="宋体" w:eastAsia="宋体" w:cs="宋体"/>
          <w:bCs/>
          <w:sz w:val="24"/>
          <w:szCs w:val="24"/>
        </w:rPr>
        <w:t>一档：（4分）项目实施方案描述较简单，项目实施的技术力量、质量控制方案仅基本满足项目要求，建议的安装、调试、验收方法或方案同比较差的，进入一档。</w:t>
      </w:r>
    </w:p>
    <w:p>
      <w:pPr>
        <w:spacing w:line="400" w:lineRule="exact"/>
        <w:ind w:firstLine="240" w:firstLineChars="100"/>
        <w:rPr>
          <w:rFonts w:ascii="宋体" w:hAnsi="宋体" w:eastAsia="宋体" w:cs="宋体"/>
          <w:bCs/>
          <w:sz w:val="24"/>
          <w:szCs w:val="24"/>
        </w:rPr>
      </w:pPr>
      <w:r>
        <w:rPr>
          <w:rFonts w:hint="eastAsia" w:ascii="宋体" w:hAnsi="宋体" w:eastAsia="宋体" w:cs="宋体"/>
          <w:bCs/>
          <w:sz w:val="24"/>
          <w:szCs w:val="24"/>
        </w:rPr>
        <w:t>二档：（8分）在满足一档基础上，项目实施方案较详细，保证项目实施的技术力量安排满足项目实施要求，</w:t>
      </w:r>
      <w:r>
        <w:rPr>
          <w:rFonts w:hint="eastAsia" w:ascii="宋体" w:hAnsi="宋体" w:eastAsia="宋体"/>
          <w:sz w:val="24"/>
          <w:szCs w:val="24"/>
        </w:rPr>
        <w:t>投标人提供项目施工方案符合项目实际情况</w:t>
      </w:r>
      <w:r>
        <w:rPr>
          <w:rFonts w:hint="eastAsia" w:ascii="宋体" w:hAnsi="宋体" w:eastAsia="宋体" w:cs="宋体"/>
          <w:bCs/>
          <w:sz w:val="24"/>
          <w:szCs w:val="24"/>
        </w:rPr>
        <w:t>，</w:t>
      </w:r>
      <w:r>
        <w:rPr>
          <w:rFonts w:hint="eastAsia" w:ascii="宋体" w:hAnsi="宋体" w:eastAsia="宋体"/>
          <w:sz w:val="24"/>
          <w:szCs w:val="24"/>
        </w:rPr>
        <w:t>对施工位置、施工所需材料表、施工进度表提供基本的建议，</w:t>
      </w:r>
      <w:r>
        <w:rPr>
          <w:rFonts w:hint="eastAsia" w:ascii="宋体" w:hAnsi="宋体" w:eastAsia="宋体" w:cs="宋体"/>
          <w:bCs/>
          <w:sz w:val="24"/>
          <w:szCs w:val="24"/>
        </w:rPr>
        <w:t>建议的安装、调试、验收方法或方案同比更具可行性，满足以上相关要求的，进入二档。</w:t>
      </w:r>
    </w:p>
    <w:p>
      <w:pPr>
        <w:pStyle w:val="24"/>
        <w:spacing w:line="400" w:lineRule="exact"/>
        <w:ind w:firstLine="240" w:firstLineChars="100"/>
        <w:rPr>
          <w:rFonts w:ascii="宋体" w:hAnsi="宋体" w:cs="Times New Roman"/>
          <w:b/>
          <w:sz w:val="24"/>
          <w:szCs w:val="24"/>
        </w:rPr>
      </w:pPr>
      <w:r>
        <w:rPr>
          <w:rFonts w:hint="eastAsia" w:ascii="宋体" w:hAnsi="宋体"/>
          <w:bCs/>
          <w:sz w:val="24"/>
          <w:szCs w:val="24"/>
        </w:rPr>
        <w:t>三档：（12分）在满足二档基础上，项目实施方案详实，方案能清楚的表明对本项目的熟悉程度，施工方案清晰可信，保证项目实施的技术力量安排充足，</w:t>
      </w:r>
      <w:r>
        <w:rPr>
          <w:rFonts w:hint="eastAsia" w:ascii="宋体" w:hAnsi="宋体"/>
          <w:sz w:val="24"/>
          <w:szCs w:val="24"/>
        </w:rPr>
        <w:t>对施工位置（至少包括点位名称、经纬度）、施工所需材料表、施工进度表提供详细的建议，提供的施工组织与质量控制方案具备详实性、科学性、可行性，</w:t>
      </w:r>
      <w:r>
        <w:rPr>
          <w:rFonts w:hint="eastAsia" w:ascii="宋体" w:hAnsi="宋体"/>
          <w:bCs/>
          <w:sz w:val="24"/>
          <w:szCs w:val="24"/>
        </w:rPr>
        <w:t>建议的安装、调试、验收方法或方案同比更完善有效、更优化、更切实可行，满足以上相关要求的，进入三档。</w:t>
      </w:r>
    </w:p>
    <w:p>
      <w:pPr>
        <w:pStyle w:val="6"/>
        <w:spacing w:line="420" w:lineRule="exact"/>
        <w:ind w:firstLine="482" w:firstLineChars="200"/>
        <w:rPr>
          <w:rFonts w:hAnsi="宋体" w:eastAsia="宋体"/>
          <w:b/>
          <w:sz w:val="24"/>
          <w:szCs w:val="24"/>
        </w:rPr>
      </w:pPr>
      <w:r>
        <w:rPr>
          <w:rFonts w:hAnsi="宋体" w:eastAsia="宋体"/>
          <w:b/>
          <w:sz w:val="24"/>
          <w:szCs w:val="24"/>
        </w:rPr>
        <w:t>4、技术参数分……………………………………………………………………满分15分</w:t>
      </w:r>
    </w:p>
    <w:p>
      <w:pPr>
        <w:pStyle w:val="6"/>
        <w:spacing w:line="420" w:lineRule="exact"/>
        <w:ind w:firstLine="480" w:firstLineChars="200"/>
        <w:rPr>
          <w:rFonts w:hAnsi="宋体" w:eastAsia="宋体" w:cs="宋体"/>
          <w:b/>
          <w:bCs/>
          <w:sz w:val="24"/>
          <w:szCs w:val="24"/>
        </w:rPr>
      </w:pPr>
      <w:r>
        <w:rPr>
          <w:rFonts w:hAnsi="宋体" w:eastAsia="宋体" w:cs="宋体"/>
          <w:sz w:val="24"/>
          <w:szCs w:val="24"/>
        </w:rPr>
        <w:t>投标人提供有采购需求“视频监控管理平台服务”中标注“▲”项的重要技术参数功能的符合有效的国家第三方检验（测）机构出具的检验（测）报告复印件并加盖投标人公章的，每提供一个得3分。满分15分</w:t>
      </w:r>
      <w:r>
        <w:rPr>
          <w:rFonts w:hAnsi="宋体" w:eastAsia="宋体" w:cs="宋体"/>
          <w:b/>
          <w:bCs/>
          <w:sz w:val="24"/>
          <w:szCs w:val="24"/>
        </w:rPr>
        <w:t>（报告须体现符合标注“▲”项的重要技术参数，否则不得分）</w:t>
      </w:r>
    </w:p>
    <w:p>
      <w:pPr>
        <w:pStyle w:val="6"/>
        <w:spacing w:line="420" w:lineRule="exact"/>
        <w:ind w:firstLine="482" w:firstLineChars="200"/>
        <w:rPr>
          <w:rFonts w:hAnsi="宋体" w:eastAsia="宋体"/>
          <w:b/>
          <w:bCs/>
          <w:sz w:val="24"/>
          <w:szCs w:val="24"/>
        </w:rPr>
      </w:pPr>
      <w:r>
        <w:rPr>
          <w:rFonts w:hAnsi="宋体" w:eastAsia="宋体" w:cs="宋体"/>
          <w:b/>
          <w:bCs/>
          <w:sz w:val="24"/>
          <w:szCs w:val="24"/>
        </w:rPr>
        <w:t>5、售后服务方案分………………………………………………………………</w:t>
      </w:r>
      <w:r>
        <w:rPr>
          <w:rFonts w:hAnsi="宋体" w:eastAsia="宋体"/>
          <w:b/>
          <w:bCs/>
          <w:sz w:val="24"/>
          <w:szCs w:val="24"/>
        </w:rPr>
        <w:t>满分18分</w:t>
      </w:r>
    </w:p>
    <w:bookmarkEnd w:id="54"/>
    <w:bookmarkEnd w:id="55"/>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（1）评标委员会根据投标人提供的售后服务方案内容，包括但不限于</w:t>
      </w:r>
      <w:r>
        <w:rPr>
          <w:rFonts w:hint="eastAsia" w:ascii="宋体" w:hAnsi="宋体" w:eastAsia="宋体"/>
          <w:sz w:val="24"/>
          <w:szCs w:val="24"/>
        </w:rPr>
        <w:t>售后服务机构设置、服务流程、保修期限、响应时间等，对相关</w:t>
      </w:r>
      <w:r>
        <w:rPr>
          <w:rFonts w:hint="eastAsia" w:ascii="宋体" w:hAnsi="宋体" w:eastAsia="宋体" w:cs="宋体"/>
          <w:sz w:val="24"/>
          <w:szCs w:val="24"/>
        </w:rPr>
        <w:t>内容的完整性，针对性，可行性进行评审：</w:t>
      </w:r>
    </w:p>
    <w:p>
      <w:pPr>
        <w:pStyle w:val="8"/>
        <w:widowControl w:val="0"/>
        <w:spacing w:before="0" w:beforeAutospacing="0" w:after="120" w:afterAutospacing="0" w:line="360" w:lineRule="auto"/>
        <w:ind w:firstLine="420"/>
        <w:jc w:val="both"/>
        <w:rPr>
          <w:rFonts w:eastAsia="宋体"/>
          <w:szCs w:val="24"/>
        </w:rPr>
      </w:pPr>
      <w:r>
        <w:rPr>
          <w:rFonts w:hint="eastAsia" w:eastAsia="宋体"/>
          <w:kern w:val="2"/>
          <w:szCs w:val="24"/>
        </w:rPr>
        <w:t>一档（4分）：投标人提供的方案描述包括售后服务支持，在项目所在地（市区县范围内）设有相关售后服务机构，服务流程、保修期限、响应时间等方案一般，投标人提供培训计划或方案简单；</w:t>
      </w:r>
    </w:p>
    <w:p>
      <w:pPr>
        <w:pStyle w:val="8"/>
        <w:widowControl w:val="0"/>
        <w:spacing w:before="0" w:beforeAutospacing="0" w:after="120" w:afterAutospacing="0" w:line="360" w:lineRule="auto"/>
        <w:ind w:firstLine="420"/>
        <w:jc w:val="both"/>
        <w:rPr>
          <w:rFonts w:eastAsia="宋体"/>
          <w:kern w:val="2"/>
          <w:szCs w:val="24"/>
        </w:rPr>
      </w:pPr>
      <w:r>
        <w:rPr>
          <w:rFonts w:hint="eastAsia" w:eastAsia="宋体"/>
          <w:kern w:val="2"/>
          <w:szCs w:val="24"/>
        </w:rPr>
        <w:t>二档（8分）：投标人提供的方案描述包括售后服务支持，在项目所在地（市区县范围内）设有售后服务机构，服务流程、保修期限、响应时间等方案较为详细，且投标人培训计划或方案能够结合当前先进技术；</w:t>
      </w:r>
    </w:p>
    <w:p>
      <w:pPr>
        <w:pStyle w:val="8"/>
        <w:widowControl w:val="0"/>
        <w:spacing w:before="0" w:beforeAutospacing="0" w:after="120" w:afterAutospacing="0" w:line="360" w:lineRule="auto"/>
        <w:ind w:firstLine="420"/>
        <w:jc w:val="both"/>
        <w:rPr>
          <w:rFonts w:eastAsia="宋体"/>
          <w:kern w:val="2"/>
          <w:szCs w:val="24"/>
        </w:rPr>
      </w:pPr>
      <w:r>
        <w:rPr>
          <w:rFonts w:hint="eastAsia" w:eastAsia="宋体"/>
          <w:kern w:val="2"/>
          <w:szCs w:val="24"/>
        </w:rPr>
        <w:t>三档（13分）：投标人提供的方案描述包括售后服务支持，在项目所在地（市区县范围内）设有售后服务机构，服务流程、保修期限、响应时间等各方面内容全面、方案可行。提供用户回访、保密承诺、故障解决等内容，表述清晰详细，方案可操作性、先进性、完整性强；投标人培训计划或方案能够结合当前先进技术，培训内容详实，培训安排合理。</w:t>
      </w:r>
    </w:p>
    <w:p>
      <w:pPr>
        <w:pStyle w:val="8"/>
        <w:widowControl w:val="0"/>
        <w:spacing w:before="0" w:beforeAutospacing="0" w:after="120" w:afterAutospacing="0" w:line="360" w:lineRule="auto"/>
        <w:ind w:firstLine="420"/>
        <w:jc w:val="both"/>
        <w:rPr>
          <w:rFonts w:eastAsia="宋体"/>
          <w:kern w:val="2"/>
          <w:szCs w:val="24"/>
        </w:rPr>
      </w:pPr>
      <w:r>
        <w:rPr>
          <w:rFonts w:hint="eastAsia" w:eastAsia="宋体"/>
          <w:kern w:val="2"/>
          <w:szCs w:val="24"/>
        </w:rPr>
        <w:t>（2）投标人在本项目三年售后保障服务的基础上，每延长一年售后保障服务期限加2.5分，满分5 分（</w:t>
      </w:r>
      <w:r>
        <w:rPr>
          <w:rFonts w:eastAsia="宋体"/>
          <w:kern w:val="2"/>
          <w:szCs w:val="24"/>
        </w:rPr>
        <w:t>按</w:t>
      </w:r>
      <w:r>
        <w:rPr>
          <w:rFonts w:hint="eastAsia" w:eastAsia="宋体"/>
          <w:kern w:val="2"/>
          <w:szCs w:val="24"/>
        </w:rPr>
        <w:t>前</w:t>
      </w:r>
      <w:r>
        <w:rPr>
          <w:rFonts w:eastAsia="宋体"/>
          <w:kern w:val="2"/>
          <w:szCs w:val="24"/>
        </w:rPr>
        <w:t>三年同等</w:t>
      </w:r>
      <w:r>
        <w:rPr>
          <w:rFonts w:hint="eastAsia" w:eastAsia="宋体"/>
          <w:kern w:val="2"/>
          <w:szCs w:val="24"/>
        </w:rPr>
        <w:t>服务履行，含网络</w:t>
      </w:r>
      <w:r>
        <w:rPr>
          <w:rFonts w:eastAsia="宋体"/>
          <w:kern w:val="2"/>
          <w:szCs w:val="24"/>
        </w:rPr>
        <w:t>运行</w:t>
      </w:r>
      <w:r>
        <w:rPr>
          <w:rFonts w:hint="eastAsia" w:eastAsia="宋体"/>
          <w:kern w:val="2"/>
          <w:szCs w:val="24"/>
        </w:rPr>
        <w:t>、</w:t>
      </w:r>
      <w:r>
        <w:rPr>
          <w:rFonts w:eastAsia="宋体"/>
          <w:kern w:val="2"/>
          <w:szCs w:val="24"/>
        </w:rPr>
        <w:t>维护及</w:t>
      </w:r>
      <w:r>
        <w:rPr>
          <w:rFonts w:hint="eastAsia" w:eastAsia="宋体"/>
          <w:kern w:val="2"/>
          <w:szCs w:val="24"/>
        </w:rPr>
        <w:t>平台</w:t>
      </w:r>
      <w:r>
        <w:rPr>
          <w:rFonts w:eastAsia="宋体"/>
          <w:kern w:val="2"/>
          <w:szCs w:val="24"/>
        </w:rPr>
        <w:t>运行、维护费用</w:t>
      </w:r>
      <w:r>
        <w:rPr>
          <w:rFonts w:hint="eastAsia" w:eastAsia="宋体"/>
          <w:kern w:val="2"/>
          <w:szCs w:val="24"/>
        </w:rPr>
        <w:t>）。</w:t>
      </w:r>
    </w:p>
    <w:p>
      <w:pPr>
        <w:pStyle w:val="8"/>
        <w:widowControl w:val="0"/>
        <w:spacing w:before="0" w:beforeAutospacing="0" w:after="120" w:afterAutospacing="0" w:line="360" w:lineRule="auto"/>
        <w:jc w:val="both"/>
        <w:rPr>
          <w:rFonts w:eastAsia="宋体"/>
          <w:b/>
          <w:bCs/>
          <w:kern w:val="2"/>
          <w:szCs w:val="24"/>
        </w:rPr>
      </w:pPr>
      <w:r>
        <w:rPr>
          <w:rFonts w:hint="eastAsia" w:eastAsia="宋体"/>
          <w:b/>
          <w:bCs/>
          <w:kern w:val="2"/>
          <w:szCs w:val="24"/>
        </w:rPr>
        <w:t>注：售后服务机构</w:t>
      </w:r>
      <w:r>
        <w:rPr>
          <w:rFonts w:hint="eastAsia" w:eastAsia="宋体"/>
          <w:b/>
          <w:bCs/>
          <w:szCs w:val="24"/>
        </w:rPr>
        <w:t>需提供营业执照或房屋租赁合同或不动产登记证等证明材料复印件并加盖投标人公章，否则不得分。</w:t>
      </w:r>
    </w:p>
    <w:p>
      <w:pPr>
        <w:pStyle w:val="6"/>
        <w:spacing w:line="420" w:lineRule="exact"/>
        <w:ind w:firstLine="482" w:firstLineChars="200"/>
        <w:rPr>
          <w:rFonts w:hAnsi="宋体" w:eastAsia="宋体"/>
          <w:b/>
          <w:sz w:val="24"/>
          <w:szCs w:val="24"/>
        </w:rPr>
      </w:pPr>
      <w:r>
        <w:rPr>
          <w:rFonts w:hAnsi="宋体" w:eastAsia="宋体"/>
          <w:b/>
          <w:sz w:val="24"/>
          <w:szCs w:val="24"/>
        </w:rPr>
        <w:t>6、应急保障方案分………………………………………………………………满分5分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（1）投标人提供详细应急保障方案，具备科学可信的应急保障流程及充足的应急物资储备，方案中应急人员配备、投入构成情况满足应急保障服务要求的得3分；内容不完整或描述简单的得1.</w:t>
      </w:r>
      <w:r>
        <w:rPr>
          <w:rFonts w:ascii="宋体" w:hAnsi="宋体" w:eastAsia="宋体"/>
          <w:sz w:val="24"/>
          <w:szCs w:val="24"/>
        </w:rPr>
        <w:t>5</w:t>
      </w:r>
      <w:r>
        <w:rPr>
          <w:rFonts w:hint="eastAsia" w:ascii="宋体" w:hAnsi="宋体" w:eastAsia="宋体"/>
          <w:sz w:val="24"/>
          <w:szCs w:val="24"/>
        </w:rPr>
        <w:t>分；差的不得分。满分3分。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（2）投标人在重大突发事件、重大节日提供应急车辆保障能派出14辆（含）以上的</w:t>
      </w:r>
      <w:r>
        <w:rPr>
          <w:rFonts w:hint="eastAsia" w:ascii="宋体" w:hAnsi="宋体" w:eastAsia="宋体" w:cs="宋体"/>
          <w:color w:val="000000"/>
          <w:sz w:val="24"/>
          <w:szCs w:val="24"/>
        </w:rPr>
        <w:t>非载货专项作业车</w:t>
      </w:r>
      <w:r>
        <w:rPr>
          <w:rFonts w:hint="eastAsia" w:ascii="宋体" w:hAnsi="宋体" w:eastAsia="宋体"/>
          <w:sz w:val="24"/>
          <w:szCs w:val="24"/>
        </w:rPr>
        <w:t>（要求是中型或中型以上非载货</w:t>
      </w:r>
      <w:r>
        <w:rPr>
          <w:rFonts w:hint="eastAsia" w:ascii="宋体" w:hAnsi="宋体" w:eastAsia="宋体" w:cs="宋体"/>
          <w:color w:val="000000"/>
          <w:sz w:val="24"/>
          <w:szCs w:val="24"/>
        </w:rPr>
        <w:t>专项作业车</w:t>
      </w:r>
      <w:r>
        <w:rPr>
          <w:rFonts w:hint="eastAsia" w:ascii="宋体" w:hAnsi="宋体" w:eastAsia="宋体"/>
          <w:sz w:val="24"/>
          <w:szCs w:val="24"/>
        </w:rPr>
        <w:t>）的得2分；少于14辆</w:t>
      </w:r>
      <w:r>
        <w:rPr>
          <w:rFonts w:hint="eastAsia" w:ascii="宋体" w:hAnsi="宋体" w:eastAsia="宋体" w:cs="宋体"/>
          <w:color w:val="000000"/>
          <w:sz w:val="24"/>
          <w:szCs w:val="24"/>
        </w:rPr>
        <w:t>非载货</w:t>
      </w:r>
      <w:r>
        <w:rPr>
          <w:rFonts w:hint="eastAsia" w:ascii="宋体" w:hAnsi="宋体" w:eastAsia="宋体"/>
          <w:sz w:val="24"/>
          <w:szCs w:val="24"/>
        </w:rPr>
        <w:t>专项作业车辆的得1分；无</w:t>
      </w:r>
      <w:r>
        <w:rPr>
          <w:rFonts w:hint="eastAsia" w:ascii="宋体" w:hAnsi="宋体" w:eastAsia="宋体" w:cs="宋体"/>
          <w:color w:val="000000"/>
          <w:sz w:val="24"/>
          <w:szCs w:val="24"/>
        </w:rPr>
        <w:t>非载货</w:t>
      </w:r>
      <w:r>
        <w:rPr>
          <w:rFonts w:hint="eastAsia" w:ascii="宋体" w:hAnsi="宋体" w:eastAsia="宋体"/>
          <w:sz w:val="24"/>
          <w:szCs w:val="24"/>
        </w:rPr>
        <w:t>专项作业车辆的不得分；满分2分。</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注：须提供非载货专项作业车辆行驶证复印件并加盖投标人公章，车牌要求为桂字头，否则不得分。</w:t>
      </w:r>
    </w:p>
    <w:p>
      <w:pPr>
        <w:pStyle w:val="6"/>
        <w:spacing w:line="420" w:lineRule="exact"/>
        <w:ind w:firstLine="482" w:firstLineChars="200"/>
        <w:rPr>
          <w:rFonts w:hAnsi="宋体" w:eastAsia="宋体"/>
          <w:b/>
          <w:sz w:val="24"/>
          <w:szCs w:val="24"/>
        </w:rPr>
      </w:pPr>
      <w:r>
        <w:rPr>
          <w:rFonts w:hAnsi="宋体" w:eastAsia="宋体"/>
          <w:b/>
          <w:sz w:val="24"/>
          <w:szCs w:val="24"/>
        </w:rPr>
        <w:t>7、业绩及企业信誉分…………………………………………………………满分10分</w:t>
      </w:r>
    </w:p>
    <w:p>
      <w:pPr>
        <w:pStyle w:val="8"/>
        <w:widowControl w:val="0"/>
        <w:spacing w:before="0" w:beforeAutospacing="0" w:after="0" w:afterAutospacing="0" w:line="420" w:lineRule="exact"/>
        <w:ind w:firstLine="480" w:firstLineChars="200"/>
        <w:jc w:val="both"/>
        <w:rPr>
          <w:rFonts w:eastAsia="宋体" w:cs="Times New Roman"/>
          <w:bCs/>
          <w:kern w:val="2"/>
          <w:szCs w:val="24"/>
        </w:rPr>
      </w:pPr>
      <w:r>
        <w:rPr>
          <w:rFonts w:hint="eastAsia" w:eastAsia="宋体" w:cs="Times New Roman"/>
          <w:bCs/>
          <w:kern w:val="2"/>
          <w:szCs w:val="24"/>
        </w:rPr>
        <w:t>（1）投标人或其上级公司自2016年以来获得有国家级荣誉的，每获得1项得1分，满分2分。（投标人需提供相关证明复印件或相关</w:t>
      </w:r>
      <w:r>
        <w:rPr>
          <w:rFonts w:eastAsia="宋体" w:cs="Times New Roman"/>
          <w:bCs/>
          <w:kern w:val="2"/>
          <w:szCs w:val="24"/>
        </w:rPr>
        <w:t>部门网站公布截图</w:t>
      </w:r>
      <w:r>
        <w:rPr>
          <w:rFonts w:hint="eastAsia" w:eastAsia="宋体" w:cs="Times New Roman"/>
          <w:bCs/>
          <w:kern w:val="2"/>
          <w:szCs w:val="24"/>
        </w:rPr>
        <w:t>并加盖投标人公章，否则不得分）</w:t>
      </w:r>
    </w:p>
    <w:p>
      <w:pPr>
        <w:pStyle w:val="8"/>
        <w:widowControl w:val="0"/>
        <w:spacing w:before="0" w:beforeAutospacing="0" w:after="0" w:afterAutospacing="0" w:line="420" w:lineRule="exact"/>
        <w:ind w:firstLine="480" w:firstLineChars="200"/>
        <w:jc w:val="both"/>
        <w:rPr>
          <w:rFonts w:eastAsia="宋体" w:cs="Times New Roman"/>
          <w:bCs/>
          <w:kern w:val="2"/>
          <w:szCs w:val="24"/>
        </w:rPr>
      </w:pPr>
      <w:r>
        <w:rPr>
          <w:rFonts w:hint="eastAsia" w:eastAsia="宋体" w:cs="Times New Roman"/>
          <w:bCs/>
          <w:kern w:val="2"/>
          <w:szCs w:val="24"/>
        </w:rPr>
        <w:t>（2）投标人或其上级公司自2015年以来连续两年在省级或以上基础电信企业总体满意度指数均在75.00分以上(以省级或以上通信管理局官网通报为准)的得4分。</w:t>
      </w:r>
    </w:p>
    <w:p>
      <w:pPr>
        <w:pStyle w:val="8"/>
        <w:widowControl w:val="0"/>
        <w:spacing w:before="0" w:beforeAutospacing="0" w:after="0" w:afterAutospacing="0" w:line="420" w:lineRule="exact"/>
        <w:ind w:firstLine="480" w:firstLineChars="200"/>
        <w:jc w:val="both"/>
        <w:rPr>
          <w:rFonts w:eastAsia="宋体" w:cs="Times New Roman"/>
          <w:bCs/>
          <w:kern w:val="2"/>
          <w:szCs w:val="24"/>
        </w:rPr>
      </w:pPr>
      <w:r>
        <w:rPr>
          <w:rFonts w:hint="eastAsia" w:eastAsia="宋体" w:cs="Times New Roman"/>
          <w:bCs/>
          <w:kern w:val="2"/>
          <w:szCs w:val="24"/>
        </w:rPr>
        <w:t>（3）投标人2017年1月1日以来完成过同类项目业绩（无不良记录,以提供的中标或成交通知书及签订的项目合同为准，并能清晰反映所项目得名称、种类、金额，否则将不予评审，同一个编号的项目有两个或两个以上的分标中标的只算一个），每个项目得0.8分，最高得4分。</w:t>
      </w:r>
    </w:p>
    <w:p>
      <w:pPr>
        <w:spacing w:line="360" w:lineRule="auto"/>
        <w:rPr>
          <w:rFonts w:ascii="宋体" w:hAnsi="宋体" w:eastAsia="宋体"/>
          <w:b/>
          <w:sz w:val="24"/>
          <w:szCs w:val="24"/>
        </w:rPr>
      </w:pPr>
      <w:r>
        <w:rPr>
          <w:rFonts w:hint="eastAsia" w:ascii="宋体" w:hAnsi="宋体" w:eastAsia="宋体"/>
          <w:b/>
          <w:sz w:val="24"/>
          <w:szCs w:val="24"/>
        </w:rPr>
        <w:t>8. 综合得分＝1+2+3+4+5+6+7</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三、推荐中标候选供应商原则</w:t>
      </w:r>
    </w:p>
    <w:p>
      <w:pPr>
        <w:pStyle w:val="6"/>
        <w:tabs>
          <w:tab w:val="left" w:pos="4214"/>
        </w:tabs>
        <w:spacing w:line="380" w:lineRule="exact"/>
        <w:ind w:firstLine="480" w:firstLineChars="200"/>
        <w:rPr>
          <w:rFonts w:hAnsi="宋体" w:eastAsia="宋体"/>
          <w:sz w:val="24"/>
          <w:szCs w:val="24"/>
        </w:rPr>
      </w:pPr>
      <w:r>
        <w:rPr>
          <w:rFonts w:hint="eastAsia" w:hAnsi="宋体" w:eastAsia="宋体"/>
          <w:sz w:val="24"/>
          <w:szCs w:val="24"/>
        </w:rPr>
        <w:t>（1）评标委员会根据综合得分由高到低排列次序，若得分相同时，以评标报价由低到高顺序排列；若得分相同且评标报价相同的，以磋商报价由低到高顺序排列；若仍相同的，按服务方案分由高到低顺序排列并推荐中标候选供应商。</w:t>
      </w:r>
    </w:p>
    <w:p>
      <w:pPr>
        <w:snapToGrid w:val="0"/>
        <w:spacing w:line="360" w:lineRule="exact"/>
        <w:ind w:firstLine="480" w:firstLineChars="200"/>
        <w:outlineLvl w:val="4"/>
        <w:rPr>
          <w:rFonts w:ascii="宋体" w:hAnsi="宋体" w:eastAsia="宋体"/>
          <w:sz w:val="24"/>
          <w:szCs w:val="24"/>
        </w:rPr>
      </w:pPr>
      <w:r>
        <w:rPr>
          <w:rFonts w:ascii="宋体" w:hAnsi="宋体" w:eastAsia="宋体"/>
          <w:sz w:val="24"/>
          <w:szCs w:val="24"/>
        </w:rPr>
        <w:t>（2）评标委员会可推荐前三名为中标候选人，采购人应当确定评标委员会推荐排名第一的中标候选人为中标人。</w:t>
      </w:r>
    </w:p>
    <w:p>
      <w:pPr>
        <w:spacing w:line="360" w:lineRule="exact"/>
        <w:ind w:firstLine="480" w:firstLineChars="200"/>
        <w:rPr>
          <w:rFonts w:ascii="宋体" w:hAnsi="宋体" w:eastAsia="宋体"/>
          <w:sz w:val="24"/>
          <w:szCs w:val="24"/>
        </w:rPr>
      </w:pPr>
      <w:r>
        <w:rPr>
          <w:rFonts w:ascii="宋体" w:hAnsi="宋体" w:eastAsia="宋体"/>
          <w:sz w:val="24"/>
          <w:szCs w:val="24"/>
        </w:rPr>
        <w:t>（3）排名第一的中标候选人放弃中标、因不可抗力提出不能履行合同，</w:t>
      </w:r>
      <w:r>
        <w:rPr>
          <w:rFonts w:hint="eastAsia" w:ascii="宋体" w:hAnsi="宋体" w:eastAsia="宋体"/>
          <w:sz w:val="24"/>
          <w:szCs w:val="24"/>
        </w:rPr>
        <w:t>或者磋商文件规定应当提交履约保证金而在规定的期限内未能提交的，</w:t>
      </w:r>
      <w:r>
        <w:rPr>
          <w:rFonts w:ascii="宋体" w:hAnsi="宋体" w:eastAsia="宋体"/>
          <w:sz w:val="24"/>
          <w:szCs w:val="24"/>
        </w:rPr>
        <w:t>或因失信行为被取消中标候选人资格的，采购人可以确定排名第二的中标候选人为中标人，并依此类推。</w:t>
      </w: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331" w:lineRule="exact"/>
        <w:rPr>
          <w:rFonts w:ascii="宋体" w:hAnsi="宋体" w:eastAsia="宋体"/>
          <w:sz w:val="24"/>
          <w:szCs w:val="24"/>
        </w:rPr>
      </w:pPr>
    </w:p>
    <w:p>
      <w:pPr>
        <w:spacing w:line="366" w:lineRule="exact"/>
        <w:ind w:right="100"/>
        <w:jc w:val="center"/>
        <w:rPr>
          <w:rFonts w:ascii="宋体" w:hAnsi="宋体" w:eastAsia="宋体" w:cs="宋体"/>
          <w:b/>
          <w:bCs/>
          <w:sz w:val="24"/>
          <w:szCs w:val="24"/>
        </w:rPr>
      </w:pPr>
      <w:bookmarkStart w:id="56" w:name="page27"/>
      <w:bookmarkEnd w:id="56"/>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pStyle w:val="4"/>
        <w:rPr>
          <w:rFonts w:ascii="宋体" w:hAnsi="宋体" w:eastAsia="宋体" w:cs="宋体"/>
          <w:sz w:val="24"/>
          <w:szCs w:val="24"/>
        </w:rPr>
      </w:pPr>
    </w:p>
    <w:p>
      <w:pPr>
        <w:rPr>
          <w:rFonts w:ascii="宋体" w:hAnsi="宋体" w:eastAsia="宋体" w:cs="宋体"/>
          <w:b/>
          <w:bCs/>
          <w:sz w:val="24"/>
          <w:szCs w:val="24"/>
        </w:rPr>
      </w:pPr>
    </w:p>
    <w:p>
      <w:pPr>
        <w:pStyle w:val="4"/>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sz w:val="24"/>
          <w:szCs w:val="24"/>
        </w:rPr>
      </w:pPr>
      <w:bookmarkStart w:id="57" w:name="page29"/>
      <w:bookmarkEnd w:id="57"/>
      <w:r>
        <w:rPr>
          <w:rFonts w:ascii="宋体" w:hAnsi="宋体" w:eastAsia="宋体" w:cs="宋体"/>
          <w:b/>
          <w:bCs/>
          <w:sz w:val="24"/>
          <w:szCs w:val="24"/>
        </w:rPr>
        <w:t>第五章 采购合同（合同主要条款及格式）</w:t>
      </w:r>
    </w:p>
    <w:p>
      <w:pPr>
        <w:spacing w:line="200" w:lineRule="exact"/>
        <w:rPr>
          <w:rFonts w:ascii="宋体" w:hAnsi="宋体" w:eastAsia="宋体"/>
          <w:sz w:val="24"/>
          <w:szCs w:val="24"/>
        </w:rPr>
      </w:pPr>
    </w:p>
    <w:p>
      <w:pPr>
        <w:spacing w:line="237"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项目名称：</w:t>
      </w:r>
      <w:r>
        <w:rPr>
          <w:rFonts w:hint="eastAsia" w:ascii="宋体" w:hAnsi="宋体" w:eastAsia="宋体" w:cs="宋体"/>
          <w:sz w:val="24"/>
          <w:szCs w:val="24"/>
          <w:u w:val="single"/>
        </w:rPr>
        <w:t>灵川县潭下镇人民政府雪亮工程项目</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项目编号：</w:t>
      </w:r>
      <w:r>
        <w:rPr>
          <w:rFonts w:hint="eastAsia" w:ascii="宋体" w:hAnsi="宋体" w:eastAsia="宋体" w:cs="宋体"/>
          <w:sz w:val="24"/>
          <w:szCs w:val="24"/>
          <w:u w:val="single"/>
        </w:rPr>
        <w:t xml:space="preserve">GLZC2020-C3-230051-GXBG </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甲方：（采购人，以下简称甲方）</w:t>
      </w:r>
    </w:p>
    <w:p>
      <w:pPr>
        <w:spacing w:line="101" w:lineRule="exact"/>
        <w:rPr>
          <w:rFonts w:ascii="宋体" w:hAnsi="宋体" w:eastAsia="宋体"/>
          <w:sz w:val="24"/>
          <w:szCs w:val="24"/>
        </w:rPr>
      </w:pPr>
    </w:p>
    <w:p>
      <w:pPr>
        <w:tabs>
          <w:tab w:val="left" w:pos="3660"/>
        </w:tabs>
        <w:spacing w:line="240" w:lineRule="exact"/>
        <w:ind w:left="420"/>
        <w:rPr>
          <w:rFonts w:ascii="宋体" w:hAnsi="宋体" w:eastAsia="宋体"/>
          <w:sz w:val="24"/>
          <w:szCs w:val="24"/>
        </w:rPr>
      </w:pPr>
      <w:r>
        <w:rPr>
          <w:rFonts w:ascii="宋体" w:hAnsi="宋体" w:eastAsia="宋体" w:cs="宋体"/>
          <w:sz w:val="24"/>
          <w:szCs w:val="24"/>
        </w:rPr>
        <w:t>乙方：（成交供应商，以下简称乙方）</w:t>
      </w:r>
    </w:p>
    <w:p>
      <w:pPr>
        <w:spacing w:line="20" w:lineRule="exact"/>
        <w:rPr>
          <w:rFonts w:ascii="宋体" w:hAnsi="宋体" w:eastAsia="宋体"/>
          <w:sz w:val="24"/>
          <w:szCs w:val="24"/>
        </w:rPr>
      </w:pPr>
    </w:p>
    <w:p>
      <w:pPr>
        <w:spacing w:line="200" w:lineRule="exact"/>
        <w:rPr>
          <w:rFonts w:ascii="宋体" w:hAnsi="宋体" w:eastAsia="宋体"/>
          <w:sz w:val="24"/>
          <w:szCs w:val="24"/>
        </w:rPr>
      </w:pPr>
    </w:p>
    <w:p>
      <w:pPr>
        <w:spacing w:line="252" w:lineRule="exact"/>
        <w:rPr>
          <w:rFonts w:ascii="宋体" w:hAnsi="宋体" w:eastAsia="宋体"/>
          <w:sz w:val="24"/>
          <w:szCs w:val="24"/>
        </w:rPr>
      </w:pPr>
    </w:p>
    <w:p>
      <w:pPr>
        <w:spacing w:line="296" w:lineRule="exact"/>
        <w:ind w:right="100" w:firstLine="420"/>
        <w:jc w:val="both"/>
        <w:rPr>
          <w:rFonts w:ascii="宋体" w:hAnsi="宋体" w:eastAsia="宋体"/>
          <w:sz w:val="24"/>
          <w:szCs w:val="24"/>
        </w:rPr>
      </w:pPr>
      <w:r>
        <w:rPr>
          <w:rFonts w:ascii="宋体" w:hAnsi="宋体" w:eastAsia="宋体" w:cs="宋体"/>
          <w:sz w:val="24"/>
          <w:szCs w:val="24"/>
        </w:rPr>
        <w:t>根据《中华人民共和国政府采购法》、《中华人民共和国政府采购法实施条例》、《中华人民共和国合同法》等法律、法规规定，按照竞争性磋商文件（以下简称磋商文件）、响应文件规定条款和成交供应商的承诺、甲乙双方签订本采购合同。</w:t>
      </w:r>
    </w:p>
    <w:p>
      <w:pPr>
        <w:spacing w:line="102"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第一条 合同标的及合同金额</w:t>
      </w:r>
    </w:p>
    <w:p>
      <w:pPr>
        <w:spacing w:line="101" w:lineRule="exact"/>
        <w:rPr>
          <w:rFonts w:ascii="宋体" w:hAnsi="宋体" w:eastAsia="宋体"/>
          <w:sz w:val="24"/>
          <w:szCs w:val="24"/>
        </w:rPr>
      </w:pPr>
    </w:p>
    <w:p>
      <w:pPr>
        <w:numPr>
          <w:ilvl w:val="0"/>
          <w:numId w:val="32"/>
        </w:numPr>
        <w:spacing w:line="240" w:lineRule="exact"/>
        <w:ind w:left="420"/>
        <w:rPr>
          <w:rFonts w:ascii="宋体" w:hAnsi="宋体" w:eastAsia="宋体" w:cs="宋体"/>
          <w:sz w:val="24"/>
          <w:szCs w:val="24"/>
        </w:rPr>
      </w:pPr>
      <w:r>
        <w:rPr>
          <w:rFonts w:ascii="宋体" w:hAnsi="宋体" w:eastAsia="宋体" w:cs="宋体"/>
          <w:sz w:val="24"/>
          <w:szCs w:val="24"/>
        </w:rPr>
        <w:t>合同标的：</w:t>
      </w:r>
      <w:r>
        <w:rPr>
          <w:rFonts w:hint="eastAsia" w:ascii="宋体" w:hAnsi="宋体" w:eastAsia="宋体" w:cs="宋体"/>
          <w:sz w:val="24"/>
          <w:szCs w:val="24"/>
        </w:rPr>
        <w:t>灵川县潭下镇人民政府雪亮工程项目</w:t>
      </w:r>
      <w:r>
        <w:rPr>
          <w:rFonts w:ascii="宋体" w:hAnsi="宋体" w:eastAsia="宋体" w:cs="宋体"/>
          <w:sz w:val="24"/>
          <w:szCs w:val="24"/>
        </w:rPr>
        <w:t xml:space="preserve"> 1 项。</w:t>
      </w:r>
    </w:p>
    <w:p>
      <w:pPr>
        <w:numPr>
          <w:ilvl w:val="0"/>
          <w:numId w:val="32"/>
        </w:numPr>
        <w:spacing w:line="240" w:lineRule="exact"/>
        <w:ind w:left="420"/>
        <w:rPr>
          <w:rFonts w:ascii="宋体" w:hAnsi="宋体" w:eastAsia="宋体" w:cs="宋体"/>
          <w:sz w:val="24"/>
          <w:szCs w:val="24"/>
          <w:u w:val="single"/>
        </w:rPr>
      </w:pPr>
      <w:r>
        <w:rPr>
          <w:rFonts w:hint="eastAsia" w:ascii="宋体" w:hAnsi="宋体" w:eastAsia="宋体" w:cs="宋体"/>
          <w:sz w:val="24"/>
          <w:szCs w:val="24"/>
        </w:rPr>
        <w:t xml:space="preserve">根据《成交通知书》的成交内容，合同总金额为：人民币（大写（¥ </w:t>
      </w:r>
      <w:r>
        <w:rPr>
          <w:rFonts w:hint="eastAsia" w:ascii="宋体" w:hAnsi="宋体" w:eastAsia="宋体" w:cs="宋体"/>
          <w:sz w:val="24"/>
          <w:szCs w:val="24"/>
          <w:u w:val="single"/>
        </w:rPr>
        <w:t xml:space="preserve">    元</w:t>
      </w:r>
      <w:r>
        <w:rPr>
          <w:rFonts w:hint="eastAsia" w:ascii="宋体" w:hAnsi="宋体" w:eastAsia="宋体" w:cs="宋体"/>
          <w:sz w:val="24"/>
          <w:szCs w:val="24"/>
        </w:rPr>
        <w:t xml:space="preserve"> ）。</w:t>
      </w:r>
    </w:p>
    <w:p>
      <w:pPr>
        <w:spacing w:line="296" w:lineRule="exact"/>
        <w:ind w:right="100" w:firstLine="420"/>
        <w:jc w:val="both"/>
        <w:rPr>
          <w:rFonts w:ascii="宋体" w:hAnsi="宋体" w:eastAsia="宋体"/>
          <w:sz w:val="24"/>
          <w:szCs w:val="24"/>
        </w:rPr>
      </w:pPr>
      <w:r>
        <w:rPr>
          <w:rFonts w:ascii="宋体" w:hAnsi="宋体" w:eastAsia="宋体" w:cs="宋体"/>
          <w:sz w:val="24"/>
          <w:szCs w:val="24"/>
        </w:rPr>
        <w:t>3.合同总金额包括本次采购范围内货物价款、货物随配标准附件、包装、运输、装卸、保险、税金、货到位、检验、售后服务、培训、保修、其他等所涉及到的一切费用及在项目采购中产生的服务费的总和；供应商综合考虑在报价中，甲方将不再支付任何费用。</w:t>
      </w:r>
    </w:p>
    <w:p>
      <w:pPr>
        <w:spacing w:line="102"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第二条 服务保证</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乙方应按采购文件规定的服务范围及响应文件承诺的内容向甲方提供相应服务。</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第三条 权力保证</w:t>
      </w:r>
    </w:p>
    <w:p>
      <w:pPr>
        <w:spacing w:line="133" w:lineRule="exact"/>
        <w:rPr>
          <w:rFonts w:ascii="宋体" w:hAnsi="宋体" w:eastAsia="宋体"/>
          <w:sz w:val="24"/>
          <w:szCs w:val="24"/>
        </w:rPr>
      </w:pPr>
    </w:p>
    <w:p>
      <w:pPr>
        <w:spacing w:line="274" w:lineRule="exact"/>
        <w:ind w:right="100" w:firstLine="412"/>
        <w:jc w:val="both"/>
        <w:rPr>
          <w:rFonts w:ascii="宋体" w:hAnsi="宋体" w:eastAsia="宋体"/>
          <w:sz w:val="24"/>
          <w:szCs w:val="24"/>
        </w:rPr>
      </w:pPr>
      <w:r>
        <w:rPr>
          <w:rFonts w:ascii="宋体" w:hAnsi="宋体" w:eastAsia="宋体" w:cs="宋体"/>
          <w:sz w:val="24"/>
          <w:szCs w:val="24"/>
        </w:rPr>
        <w:t>乙方应保证所提供服务（含设备）在使用时不会侵犯任何第三方的专利权、商标权、工业设计权或其他权利。</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第四条 交付</w:t>
      </w:r>
    </w:p>
    <w:p>
      <w:pPr>
        <w:spacing w:line="10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1.交付期：_</w:t>
      </w:r>
      <w:r>
        <w:rPr>
          <w:rFonts w:ascii="宋体" w:hAnsi="宋体" w:eastAsia="宋体" w:cs="宋体"/>
          <w:sz w:val="24"/>
          <w:szCs w:val="24"/>
          <w:u w:val="single"/>
        </w:rPr>
        <w:t>按乙方响应文件中承诺且不超过采购要求的时间</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 xml:space="preserve">地点： </w:t>
      </w:r>
      <w:r>
        <w:rPr>
          <w:rFonts w:ascii="宋体" w:hAnsi="宋体" w:eastAsia="宋体" w:cs="宋体"/>
          <w:sz w:val="24"/>
          <w:szCs w:val="24"/>
          <w:u w:val="single"/>
        </w:rPr>
        <w:t>广西桂林市灵川县采购人指定地点</w:t>
      </w:r>
      <w:r>
        <w:rPr>
          <w:rFonts w:ascii="宋体" w:hAnsi="宋体" w:eastAsia="宋体" w:cs="宋体"/>
          <w:sz w:val="24"/>
          <w:szCs w:val="24"/>
        </w:rPr>
        <w:t xml:space="preserve"> 。</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2.乙方提供不符合响应文件和本合同规定的服务成果，甲方有权拒绝接受。</w:t>
      </w:r>
    </w:p>
    <w:p>
      <w:pPr>
        <w:spacing w:line="10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第五条 税费</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本合同执行中相关的一切税费均由乙方负担。</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第六条 付款方式</w:t>
      </w:r>
    </w:p>
    <w:p>
      <w:pPr>
        <w:spacing w:line="133" w:lineRule="exact"/>
        <w:rPr>
          <w:rFonts w:ascii="宋体" w:hAnsi="宋体" w:eastAsia="宋体"/>
          <w:sz w:val="24"/>
          <w:szCs w:val="24"/>
        </w:rPr>
      </w:pPr>
    </w:p>
    <w:p>
      <w:pPr>
        <w:autoSpaceDE w:val="0"/>
        <w:autoSpaceDN w:val="0"/>
        <w:adjustRightInd w:val="0"/>
        <w:spacing w:line="360" w:lineRule="auto"/>
        <w:ind w:firstLine="480" w:firstLineChars="200"/>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、项目验收合格后</w:t>
      </w:r>
      <w:r>
        <w:rPr>
          <w:rFonts w:ascii="宋体" w:hAnsi="宋体" w:eastAsia="宋体" w:cs="宋体"/>
          <w:sz w:val="24"/>
          <w:szCs w:val="24"/>
        </w:rPr>
        <w:t xml:space="preserve">7 </w:t>
      </w:r>
      <w:r>
        <w:rPr>
          <w:rFonts w:hint="eastAsia" w:ascii="宋体" w:hAnsi="宋体" w:eastAsia="宋体" w:cs="宋体"/>
          <w:sz w:val="24"/>
          <w:szCs w:val="24"/>
        </w:rPr>
        <w:t>日内支付合同金额的</w:t>
      </w:r>
      <w:r>
        <w:rPr>
          <w:rFonts w:ascii="宋体" w:hAnsi="宋体" w:eastAsia="宋体" w:cs="宋体"/>
          <w:sz w:val="24"/>
          <w:szCs w:val="24"/>
        </w:rPr>
        <w:t>2</w:t>
      </w:r>
      <w:r>
        <w:rPr>
          <w:rFonts w:hint="eastAsia" w:ascii="宋体" w:hAnsi="宋体" w:eastAsia="宋体" w:cs="宋体"/>
          <w:sz w:val="24"/>
          <w:szCs w:val="24"/>
        </w:rPr>
        <w:t>5</w:t>
      </w:r>
      <w:r>
        <w:rPr>
          <w:rFonts w:ascii="宋体" w:hAnsi="宋体" w:eastAsia="宋体" w:cs="宋体"/>
          <w:sz w:val="24"/>
          <w:szCs w:val="24"/>
        </w:rPr>
        <w:t>%</w:t>
      </w:r>
      <w:r>
        <w:rPr>
          <w:rFonts w:hint="eastAsia" w:ascii="宋体" w:hAnsi="宋体" w:eastAsia="宋体" w:cs="宋体"/>
          <w:sz w:val="24"/>
          <w:szCs w:val="24"/>
        </w:rPr>
        <w:t>；</w:t>
      </w:r>
    </w:p>
    <w:p>
      <w:pPr>
        <w:autoSpaceDE w:val="0"/>
        <w:autoSpaceDN w:val="0"/>
        <w:adjustRightInd w:val="0"/>
        <w:spacing w:line="360" w:lineRule="auto"/>
        <w:ind w:firstLine="480" w:firstLineChars="20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、验收合格满</w:t>
      </w:r>
      <w:r>
        <w:rPr>
          <w:rFonts w:ascii="宋体" w:hAnsi="宋体" w:eastAsia="宋体" w:cs="宋体"/>
          <w:sz w:val="24"/>
          <w:szCs w:val="24"/>
        </w:rPr>
        <w:t xml:space="preserve">1 </w:t>
      </w:r>
      <w:r>
        <w:rPr>
          <w:rFonts w:hint="eastAsia" w:ascii="宋体" w:hAnsi="宋体" w:eastAsia="宋体" w:cs="宋体"/>
          <w:sz w:val="24"/>
          <w:szCs w:val="24"/>
        </w:rPr>
        <w:t>年支付合同金额的</w:t>
      </w:r>
      <w:r>
        <w:rPr>
          <w:rFonts w:ascii="宋体" w:hAnsi="宋体" w:eastAsia="宋体" w:cs="宋体"/>
          <w:sz w:val="24"/>
          <w:szCs w:val="24"/>
        </w:rPr>
        <w:t>2</w:t>
      </w:r>
      <w:r>
        <w:rPr>
          <w:rFonts w:hint="eastAsia" w:ascii="宋体" w:hAnsi="宋体" w:eastAsia="宋体" w:cs="宋体"/>
          <w:sz w:val="24"/>
          <w:szCs w:val="24"/>
        </w:rPr>
        <w:t>5</w:t>
      </w:r>
      <w:r>
        <w:rPr>
          <w:rFonts w:ascii="宋体" w:hAnsi="宋体" w:eastAsia="宋体" w:cs="宋体"/>
          <w:sz w:val="24"/>
          <w:szCs w:val="24"/>
        </w:rPr>
        <w:t>%</w:t>
      </w:r>
      <w:r>
        <w:rPr>
          <w:rFonts w:hint="eastAsia" w:ascii="宋体" w:hAnsi="宋体" w:eastAsia="宋体" w:cs="宋体"/>
          <w:sz w:val="24"/>
          <w:szCs w:val="24"/>
        </w:rPr>
        <w:t>；</w:t>
      </w:r>
    </w:p>
    <w:p>
      <w:pPr>
        <w:autoSpaceDE w:val="0"/>
        <w:autoSpaceDN w:val="0"/>
        <w:adjustRightInd w:val="0"/>
        <w:spacing w:line="360" w:lineRule="auto"/>
        <w:ind w:firstLine="480" w:firstLineChars="200"/>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、验收合格满</w:t>
      </w:r>
      <w:r>
        <w:rPr>
          <w:rFonts w:ascii="宋体" w:hAnsi="宋体" w:eastAsia="宋体" w:cs="宋体"/>
          <w:sz w:val="24"/>
          <w:szCs w:val="24"/>
        </w:rPr>
        <w:t xml:space="preserve">2 </w:t>
      </w:r>
      <w:r>
        <w:rPr>
          <w:rFonts w:hint="eastAsia" w:ascii="宋体" w:hAnsi="宋体" w:eastAsia="宋体" w:cs="宋体"/>
          <w:sz w:val="24"/>
          <w:szCs w:val="24"/>
        </w:rPr>
        <w:t>年支付合同金额的</w:t>
      </w:r>
      <w:r>
        <w:rPr>
          <w:rFonts w:ascii="宋体" w:hAnsi="宋体" w:eastAsia="宋体" w:cs="宋体"/>
          <w:sz w:val="24"/>
          <w:szCs w:val="24"/>
        </w:rPr>
        <w:t>2</w:t>
      </w:r>
      <w:r>
        <w:rPr>
          <w:rFonts w:hint="eastAsia" w:ascii="宋体" w:hAnsi="宋体" w:eastAsia="宋体" w:cs="宋体"/>
          <w:sz w:val="24"/>
          <w:szCs w:val="24"/>
        </w:rPr>
        <w:t>5</w:t>
      </w:r>
      <w:r>
        <w:rPr>
          <w:rFonts w:ascii="宋体" w:hAnsi="宋体" w:eastAsia="宋体" w:cs="宋体"/>
          <w:sz w:val="24"/>
          <w:szCs w:val="24"/>
        </w:rPr>
        <w:t>%</w:t>
      </w:r>
      <w:r>
        <w:rPr>
          <w:rFonts w:hint="eastAsia" w:ascii="宋体" w:hAnsi="宋体" w:eastAsia="宋体" w:cs="宋体"/>
          <w:sz w:val="24"/>
          <w:szCs w:val="24"/>
        </w:rPr>
        <w:t>；</w:t>
      </w:r>
    </w:p>
    <w:p>
      <w:pPr>
        <w:autoSpaceDE w:val="0"/>
        <w:autoSpaceDN w:val="0"/>
        <w:adjustRightInd w:val="0"/>
        <w:spacing w:line="360" w:lineRule="auto"/>
        <w:ind w:firstLine="480" w:firstLineChars="200"/>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、验收合格满</w:t>
      </w:r>
      <w:r>
        <w:rPr>
          <w:rFonts w:ascii="宋体" w:hAnsi="宋体" w:eastAsia="宋体" w:cs="宋体"/>
          <w:sz w:val="24"/>
          <w:szCs w:val="24"/>
        </w:rPr>
        <w:t xml:space="preserve">3 </w:t>
      </w:r>
      <w:r>
        <w:rPr>
          <w:rFonts w:hint="eastAsia" w:ascii="宋体" w:hAnsi="宋体" w:eastAsia="宋体" w:cs="宋体"/>
          <w:sz w:val="24"/>
          <w:szCs w:val="24"/>
        </w:rPr>
        <w:t>年支付合同金额的</w:t>
      </w:r>
      <w:r>
        <w:rPr>
          <w:rFonts w:ascii="宋体" w:hAnsi="宋体" w:eastAsia="宋体" w:cs="宋体"/>
          <w:sz w:val="24"/>
          <w:szCs w:val="24"/>
        </w:rPr>
        <w:t>2</w:t>
      </w:r>
      <w:r>
        <w:rPr>
          <w:rFonts w:hint="eastAsia" w:ascii="宋体" w:hAnsi="宋体" w:eastAsia="宋体" w:cs="宋体"/>
          <w:sz w:val="24"/>
          <w:szCs w:val="24"/>
        </w:rPr>
        <w:t>5</w:t>
      </w:r>
      <w:r>
        <w:rPr>
          <w:rFonts w:ascii="宋体" w:hAnsi="宋体" w:eastAsia="宋体" w:cs="宋体"/>
          <w:sz w:val="24"/>
          <w:szCs w:val="24"/>
        </w:rPr>
        <w:t>%</w:t>
      </w:r>
      <w:r>
        <w:rPr>
          <w:rFonts w:hint="eastAsia" w:ascii="宋体" w:hAnsi="宋体" w:eastAsia="宋体" w:cs="宋体"/>
          <w:sz w:val="24"/>
          <w:szCs w:val="24"/>
        </w:rPr>
        <w:t>；</w:t>
      </w:r>
    </w:p>
    <w:p>
      <w:pPr>
        <w:spacing w:line="240" w:lineRule="exact"/>
        <w:rPr>
          <w:rFonts w:ascii="宋体" w:hAnsi="宋体" w:eastAsia="宋体"/>
          <w:sz w:val="24"/>
          <w:szCs w:val="24"/>
        </w:rPr>
      </w:pPr>
      <w:r>
        <w:rPr>
          <w:rFonts w:ascii="宋体" w:hAnsi="宋体" w:eastAsia="宋体" w:cs="宋体"/>
          <w:b/>
          <w:bCs/>
          <w:sz w:val="24"/>
          <w:szCs w:val="24"/>
        </w:rPr>
        <w:t>第七条 违约责任</w:t>
      </w:r>
    </w:p>
    <w:p>
      <w:pPr>
        <w:spacing w:line="133" w:lineRule="exact"/>
        <w:rPr>
          <w:rFonts w:ascii="宋体" w:hAnsi="宋体" w:eastAsia="宋体"/>
          <w:sz w:val="24"/>
          <w:szCs w:val="24"/>
        </w:rPr>
      </w:pPr>
    </w:p>
    <w:p>
      <w:pPr>
        <w:numPr>
          <w:ilvl w:val="1"/>
          <w:numId w:val="33"/>
        </w:numPr>
        <w:tabs>
          <w:tab w:val="left" w:pos="738"/>
        </w:tabs>
        <w:spacing w:line="274" w:lineRule="exact"/>
        <w:ind w:right="100" w:firstLine="427"/>
        <w:rPr>
          <w:rFonts w:ascii="宋体" w:hAnsi="宋体" w:eastAsia="宋体" w:cs="宋体"/>
          <w:sz w:val="24"/>
          <w:szCs w:val="24"/>
        </w:rPr>
      </w:pPr>
      <w:r>
        <w:rPr>
          <w:rFonts w:ascii="宋体" w:hAnsi="宋体" w:eastAsia="宋体" w:cs="宋体"/>
          <w:sz w:val="24"/>
          <w:szCs w:val="24"/>
        </w:rPr>
        <w:t>乙方所提供的服务、技术标准等质量不合格的，应及时更正，更正不及时的按逾期交付处罚，乙方应向甲方支付合同金额</w:t>
      </w:r>
      <w:r>
        <w:rPr>
          <w:rFonts w:ascii="宋体" w:hAnsi="宋体" w:eastAsia="宋体" w:cs="宋体"/>
          <w:sz w:val="24"/>
          <w:szCs w:val="24"/>
          <w:u w:val="single"/>
        </w:rPr>
        <w:t>%</w:t>
      </w:r>
      <w:r>
        <w:rPr>
          <w:rFonts w:ascii="宋体" w:hAnsi="宋体" w:eastAsia="宋体" w:cs="宋体"/>
          <w:sz w:val="24"/>
          <w:szCs w:val="24"/>
        </w:rPr>
        <w:t>违约金并赔偿甲方经济损失。</w:t>
      </w:r>
    </w:p>
    <w:p>
      <w:pPr>
        <w:spacing w:line="132" w:lineRule="exact"/>
        <w:rPr>
          <w:rFonts w:ascii="宋体" w:hAnsi="宋体" w:eastAsia="宋体" w:cs="宋体"/>
          <w:sz w:val="24"/>
          <w:szCs w:val="24"/>
        </w:rPr>
      </w:pPr>
    </w:p>
    <w:p>
      <w:pPr>
        <w:numPr>
          <w:ilvl w:val="0"/>
          <w:numId w:val="34"/>
        </w:numPr>
        <w:tabs>
          <w:tab w:val="left" w:pos="674"/>
        </w:tabs>
        <w:spacing w:line="274" w:lineRule="exact"/>
        <w:ind w:right="100" w:firstLine="366"/>
        <w:rPr>
          <w:rFonts w:ascii="宋体" w:hAnsi="宋体" w:eastAsia="宋体" w:cs="宋体"/>
          <w:sz w:val="24"/>
          <w:szCs w:val="24"/>
        </w:rPr>
      </w:pPr>
      <w:r>
        <w:rPr>
          <w:rFonts w:ascii="宋体" w:hAnsi="宋体" w:eastAsia="宋体" w:cs="宋体"/>
          <w:sz w:val="24"/>
          <w:szCs w:val="24"/>
        </w:rPr>
        <w:t>乙方提供的服务如果侵犯了第三方合法权益而引发的任何纠纷或诉讼，均由乙方负责交涉并承担全部责任。</w:t>
      </w:r>
    </w:p>
    <w:p>
      <w:pPr>
        <w:spacing w:line="133" w:lineRule="exact"/>
        <w:rPr>
          <w:rFonts w:ascii="宋体" w:hAnsi="宋体" w:eastAsia="宋体" w:cs="宋体"/>
          <w:sz w:val="24"/>
          <w:szCs w:val="24"/>
        </w:rPr>
      </w:pPr>
    </w:p>
    <w:p>
      <w:pPr>
        <w:numPr>
          <w:ilvl w:val="1"/>
          <w:numId w:val="34"/>
        </w:numPr>
        <w:tabs>
          <w:tab w:val="left" w:pos="736"/>
        </w:tabs>
        <w:spacing w:line="296" w:lineRule="exact"/>
        <w:ind w:right="100" w:firstLine="427"/>
        <w:jc w:val="both"/>
        <w:rPr>
          <w:rFonts w:ascii="宋体" w:hAnsi="宋体" w:eastAsia="宋体" w:cs="宋体"/>
          <w:sz w:val="24"/>
          <w:szCs w:val="24"/>
        </w:rPr>
      </w:pPr>
      <w:r>
        <w:rPr>
          <w:rFonts w:ascii="宋体" w:hAnsi="宋体" w:eastAsia="宋体" w:cs="宋体"/>
          <w:sz w:val="24"/>
          <w:szCs w:val="24"/>
        </w:rPr>
        <w:t>甲方无故延期验收、乙方逾期交付的，每天向对方偿付违约项款额</w:t>
      </w:r>
      <w:r>
        <w:rPr>
          <w:rFonts w:ascii="宋体" w:hAnsi="宋体" w:eastAsia="宋体" w:cs="宋体"/>
          <w:sz w:val="24"/>
          <w:szCs w:val="24"/>
          <w:u w:val="single"/>
        </w:rPr>
        <w:t>‰</w:t>
      </w:r>
      <w:r>
        <w:rPr>
          <w:rFonts w:ascii="宋体" w:hAnsi="宋体" w:eastAsia="宋体" w:cs="宋体"/>
          <w:sz w:val="24"/>
          <w:szCs w:val="24"/>
        </w:rPr>
        <w:t>违约金，但违约金累计不得超过违约项款额</w:t>
      </w:r>
      <w:r>
        <w:rPr>
          <w:rFonts w:ascii="宋体" w:hAnsi="宋体" w:eastAsia="宋体" w:cs="宋体"/>
          <w:sz w:val="24"/>
          <w:szCs w:val="24"/>
          <w:u w:val="single"/>
        </w:rPr>
        <w:t xml:space="preserve"> %</w:t>
      </w:r>
      <w:r>
        <w:rPr>
          <w:rFonts w:ascii="宋体" w:hAnsi="宋体" w:eastAsia="宋体" w:cs="宋体"/>
          <w:sz w:val="24"/>
          <w:szCs w:val="24"/>
        </w:rPr>
        <w:t xml:space="preserve">，超过 </w:t>
      </w:r>
      <w:r>
        <w:rPr>
          <w:rFonts w:ascii="宋体" w:hAnsi="宋体" w:eastAsia="宋体" w:cs="宋体"/>
          <w:sz w:val="24"/>
          <w:szCs w:val="24"/>
          <w:u w:val="single"/>
        </w:rPr>
        <w:t>天</w:t>
      </w:r>
      <w:r>
        <w:rPr>
          <w:rFonts w:ascii="宋体" w:hAnsi="宋体" w:eastAsia="宋体" w:cs="宋体"/>
          <w:sz w:val="24"/>
          <w:szCs w:val="24"/>
        </w:rPr>
        <w:t>对方有权解除合同，违约方承担因此给对方造成经济损失；甲方延期付款的，每天向乙方偿付延期项款额 ‰滞纳金，但滞纳金累计不得超过延期项款额</w:t>
      </w:r>
      <w:r>
        <w:rPr>
          <w:rFonts w:ascii="宋体" w:hAnsi="宋体" w:eastAsia="宋体" w:cs="宋体"/>
          <w:sz w:val="24"/>
          <w:szCs w:val="24"/>
          <w:u w:val="single"/>
        </w:rPr>
        <w:t xml:space="preserve"> %</w:t>
      </w:r>
      <w:r>
        <w:rPr>
          <w:rFonts w:ascii="宋体" w:hAnsi="宋体" w:eastAsia="宋体" w:cs="宋体"/>
          <w:sz w:val="24"/>
          <w:szCs w:val="24"/>
        </w:rPr>
        <w:t>。</w:t>
      </w:r>
    </w:p>
    <w:p>
      <w:pPr>
        <w:spacing w:line="133" w:lineRule="exact"/>
        <w:rPr>
          <w:rFonts w:ascii="宋体" w:hAnsi="宋体" w:eastAsia="宋体" w:cs="宋体"/>
          <w:sz w:val="24"/>
          <w:szCs w:val="24"/>
        </w:rPr>
      </w:pPr>
    </w:p>
    <w:p>
      <w:pPr>
        <w:numPr>
          <w:ilvl w:val="1"/>
          <w:numId w:val="35"/>
        </w:numPr>
        <w:tabs>
          <w:tab w:val="left" w:pos="738"/>
        </w:tabs>
        <w:spacing w:line="274" w:lineRule="exact"/>
        <w:ind w:right="100" w:firstLine="427"/>
        <w:rPr>
          <w:rFonts w:ascii="宋体" w:hAnsi="宋体" w:eastAsia="宋体" w:cs="宋体"/>
          <w:sz w:val="24"/>
          <w:szCs w:val="24"/>
        </w:rPr>
      </w:pPr>
      <w:r>
        <w:rPr>
          <w:rFonts w:ascii="宋体" w:hAnsi="宋体" w:eastAsia="宋体" w:cs="宋体"/>
          <w:sz w:val="24"/>
          <w:szCs w:val="24"/>
        </w:rPr>
        <w:t>乙方未按本合同和响应文件中规定的服务承诺提供服务的，乙方应按本合同合同金额</w:t>
      </w:r>
      <w:r>
        <w:rPr>
          <w:rFonts w:ascii="宋体" w:hAnsi="宋体" w:eastAsia="宋体" w:cs="宋体"/>
          <w:sz w:val="24"/>
          <w:szCs w:val="24"/>
          <w:u w:val="single"/>
        </w:rPr>
        <w:t>%</w:t>
      </w:r>
      <w:r>
        <w:rPr>
          <w:rFonts w:ascii="宋体" w:hAnsi="宋体" w:eastAsia="宋体" w:cs="宋体"/>
          <w:sz w:val="24"/>
          <w:szCs w:val="24"/>
        </w:rPr>
        <w:t>向甲方支付违约金。</w:t>
      </w:r>
      <w:bookmarkStart w:id="58" w:name="page28"/>
      <w:bookmarkEnd w:id="58"/>
    </w:p>
    <w:p>
      <w:pPr>
        <w:numPr>
          <w:ilvl w:val="1"/>
          <w:numId w:val="35"/>
        </w:numPr>
        <w:tabs>
          <w:tab w:val="left" w:pos="738"/>
        </w:tabs>
        <w:spacing w:line="274" w:lineRule="exact"/>
        <w:ind w:right="100" w:firstLine="427"/>
        <w:rPr>
          <w:rFonts w:ascii="宋体" w:hAnsi="宋体" w:eastAsia="宋体" w:cs="宋体"/>
          <w:sz w:val="24"/>
          <w:szCs w:val="24"/>
        </w:rPr>
      </w:pPr>
      <w:r>
        <w:rPr>
          <w:rFonts w:ascii="宋体" w:hAnsi="宋体" w:eastAsia="宋体" w:cs="宋体"/>
          <w:sz w:val="24"/>
          <w:szCs w:val="24"/>
        </w:rPr>
        <w:t>其他违约行为按违约货款额   %收取违约金并赔偿经济损失。</w:t>
      </w:r>
    </w:p>
    <w:p>
      <w:pPr>
        <w:spacing w:line="100" w:lineRule="exact"/>
        <w:rPr>
          <w:rFonts w:ascii="宋体" w:hAnsi="宋体" w:eastAsia="宋体" w:cs="宋体"/>
          <w:sz w:val="24"/>
          <w:szCs w:val="24"/>
        </w:rPr>
      </w:pPr>
    </w:p>
    <w:p>
      <w:pPr>
        <w:spacing w:line="240" w:lineRule="exact"/>
        <w:ind w:left="420"/>
        <w:rPr>
          <w:rFonts w:ascii="宋体" w:hAnsi="宋体" w:eastAsia="宋体" w:cs="宋体"/>
          <w:sz w:val="24"/>
          <w:szCs w:val="24"/>
        </w:rPr>
      </w:pPr>
      <w:r>
        <w:rPr>
          <w:rFonts w:ascii="宋体" w:hAnsi="宋体" w:eastAsia="宋体" w:cs="宋体"/>
          <w:b/>
          <w:bCs/>
          <w:sz w:val="24"/>
          <w:szCs w:val="24"/>
        </w:rPr>
        <w:t>第八条 不可抗力事件处理</w:t>
      </w:r>
    </w:p>
    <w:p>
      <w:pPr>
        <w:spacing w:line="101" w:lineRule="exact"/>
        <w:rPr>
          <w:rFonts w:ascii="宋体" w:hAnsi="宋体" w:eastAsia="宋体" w:cs="宋体"/>
          <w:sz w:val="24"/>
          <w:szCs w:val="24"/>
        </w:rPr>
      </w:pPr>
    </w:p>
    <w:p>
      <w:pPr>
        <w:numPr>
          <w:ilvl w:val="0"/>
          <w:numId w:val="36"/>
        </w:numPr>
        <w:tabs>
          <w:tab w:val="left" w:pos="740"/>
        </w:tabs>
        <w:spacing w:line="240" w:lineRule="exact"/>
        <w:ind w:left="740" w:hanging="313"/>
        <w:rPr>
          <w:rFonts w:ascii="宋体" w:hAnsi="宋体" w:eastAsia="宋体" w:cs="宋体"/>
          <w:sz w:val="24"/>
          <w:szCs w:val="24"/>
        </w:rPr>
      </w:pPr>
      <w:r>
        <w:rPr>
          <w:rFonts w:ascii="宋体" w:hAnsi="宋体" w:eastAsia="宋体" w:cs="宋体"/>
          <w:sz w:val="24"/>
          <w:szCs w:val="24"/>
        </w:rPr>
        <w:t>在合同有效期内，乙方因不可抗力事件导致不能履行合同，则合同履行期可延长，</w:t>
      </w:r>
    </w:p>
    <w:p>
      <w:pPr>
        <w:tabs>
          <w:tab w:val="left" w:pos="740"/>
        </w:tabs>
        <w:spacing w:line="240" w:lineRule="exact"/>
        <w:ind w:left="427"/>
        <w:rPr>
          <w:rFonts w:ascii="宋体" w:hAnsi="宋体" w:eastAsia="宋体" w:cs="宋体"/>
          <w:sz w:val="24"/>
          <w:szCs w:val="24"/>
        </w:rPr>
      </w:pPr>
      <w:r>
        <w:rPr>
          <w:rFonts w:ascii="宋体" w:hAnsi="宋体" w:eastAsia="宋体" w:cs="宋体"/>
          <w:sz w:val="24"/>
          <w:szCs w:val="24"/>
        </w:rPr>
        <w:t>其延长期与</w:t>
      </w:r>
      <w:r>
        <w:rPr>
          <w:rFonts w:hint="eastAsia" w:ascii="宋体" w:hAnsi="宋体" w:eastAsia="宋体" w:cs="宋体"/>
          <w:sz w:val="24"/>
          <w:szCs w:val="24"/>
        </w:rPr>
        <w:t>不可抗力影响期相同。</w:t>
      </w:r>
    </w:p>
    <w:p>
      <w:pPr>
        <w:spacing w:line="20" w:lineRule="exact"/>
        <w:rPr>
          <w:rFonts w:ascii="宋体" w:hAnsi="宋体" w:eastAsia="宋体"/>
          <w:sz w:val="24"/>
          <w:szCs w:val="24"/>
        </w:rPr>
      </w:pPr>
    </w:p>
    <w:p>
      <w:pPr>
        <w:spacing w:line="80" w:lineRule="exact"/>
        <w:rPr>
          <w:rFonts w:ascii="宋体" w:hAnsi="宋体" w:eastAsia="宋体"/>
          <w:sz w:val="24"/>
          <w:szCs w:val="24"/>
        </w:rPr>
      </w:pPr>
    </w:p>
    <w:p>
      <w:pPr>
        <w:spacing w:line="100" w:lineRule="exact"/>
        <w:rPr>
          <w:rFonts w:ascii="宋体" w:hAnsi="宋体" w:eastAsia="宋体"/>
          <w:sz w:val="24"/>
          <w:szCs w:val="24"/>
        </w:rPr>
      </w:pPr>
    </w:p>
    <w:p>
      <w:pPr>
        <w:numPr>
          <w:ilvl w:val="0"/>
          <w:numId w:val="37"/>
        </w:numPr>
        <w:tabs>
          <w:tab w:val="left" w:pos="740"/>
        </w:tabs>
        <w:spacing w:line="240" w:lineRule="exact"/>
        <w:ind w:left="740" w:hanging="313"/>
        <w:rPr>
          <w:rFonts w:ascii="宋体" w:hAnsi="宋体" w:eastAsia="宋体" w:cs="宋体"/>
          <w:sz w:val="24"/>
          <w:szCs w:val="24"/>
        </w:rPr>
      </w:pPr>
      <w:r>
        <w:rPr>
          <w:rFonts w:ascii="宋体" w:hAnsi="宋体" w:eastAsia="宋体" w:cs="宋体"/>
          <w:sz w:val="24"/>
          <w:szCs w:val="24"/>
        </w:rPr>
        <w:t>不可抗力事件发生后，应立即通知对方，并寄送有关权威机构出具的证明。</w:t>
      </w:r>
    </w:p>
    <w:p>
      <w:pPr>
        <w:spacing w:line="101" w:lineRule="exact"/>
        <w:rPr>
          <w:rFonts w:ascii="宋体" w:hAnsi="宋体" w:eastAsia="宋体" w:cs="宋体"/>
          <w:sz w:val="24"/>
          <w:szCs w:val="24"/>
        </w:rPr>
      </w:pPr>
    </w:p>
    <w:p>
      <w:pPr>
        <w:numPr>
          <w:ilvl w:val="0"/>
          <w:numId w:val="37"/>
        </w:numPr>
        <w:tabs>
          <w:tab w:val="left" w:pos="740"/>
        </w:tabs>
        <w:spacing w:line="240" w:lineRule="exact"/>
        <w:ind w:left="740" w:hanging="313"/>
        <w:rPr>
          <w:rFonts w:ascii="宋体" w:hAnsi="宋体" w:eastAsia="宋体" w:cs="宋体"/>
          <w:sz w:val="24"/>
          <w:szCs w:val="24"/>
        </w:rPr>
      </w:pPr>
      <w:r>
        <w:rPr>
          <w:rFonts w:ascii="宋体" w:hAnsi="宋体" w:eastAsia="宋体" w:cs="宋体"/>
          <w:sz w:val="24"/>
          <w:szCs w:val="24"/>
        </w:rPr>
        <w:t>不可抗力事件延续一百二十天以上，双方应通过友好协商，确定是否继续履行合同。</w:t>
      </w:r>
    </w:p>
    <w:p>
      <w:pPr>
        <w:spacing w:line="100" w:lineRule="exact"/>
        <w:rPr>
          <w:rFonts w:ascii="宋体" w:hAnsi="宋体" w:eastAsia="宋体" w:cs="宋体"/>
          <w:sz w:val="24"/>
          <w:szCs w:val="24"/>
        </w:rPr>
      </w:pPr>
    </w:p>
    <w:p>
      <w:pPr>
        <w:spacing w:line="240" w:lineRule="exact"/>
        <w:ind w:left="420"/>
        <w:rPr>
          <w:rFonts w:ascii="宋体" w:hAnsi="宋体" w:eastAsia="宋体" w:cs="宋体"/>
          <w:sz w:val="24"/>
          <w:szCs w:val="24"/>
        </w:rPr>
      </w:pPr>
      <w:r>
        <w:rPr>
          <w:rFonts w:ascii="宋体" w:hAnsi="宋体" w:eastAsia="宋体" w:cs="宋体"/>
          <w:b/>
          <w:bCs/>
          <w:sz w:val="24"/>
          <w:szCs w:val="24"/>
        </w:rPr>
        <w:t>第九条 合同争议解决</w:t>
      </w:r>
    </w:p>
    <w:p>
      <w:pPr>
        <w:spacing w:line="100" w:lineRule="exact"/>
        <w:rPr>
          <w:rFonts w:ascii="宋体" w:hAnsi="宋体" w:eastAsia="宋体" w:cs="宋体"/>
          <w:sz w:val="24"/>
          <w:szCs w:val="24"/>
        </w:rPr>
      </w:pPr>
    </w:p>
    <w:p>
      <w:pPr>
        <w:numPr>
          <w:ilvl w:val="0"/>
          <w:numId w:val="38"/>
        </w:numPr>
        <w:tabs>
          <w:tab w:val="left" w:pos="740"/>
        </w:tabs>
        <w:spacing w:line="240" w:lineRule="exact"/>
        <w:ind w:left="740" w:hanging="313"/>
        <w:rPr>
          <w:rFonts w:ascii="宋体" w:hAnsi="宋体" w:eastAsia="宋体" w:cs="宋体"/>
          <w:sz w:val="24"/>
          <w:szCs w:val="24"/>
        </w:rPr>
      </w:pPr>
      <w:r>
        <w:rPr>
          <w:rFonts w:ascii="宋体" w:hAnsi="宋体" w:eastAsia="宋体" w:cs="宋体"/>
          <w:sz w:val="24"/>
          <w:szCs w:val="24"/>
        </w:rPr>
        <w:t>因履行本合同引起的或与本合同有关的争议，甲乙双方应首先通过友好协商解决，</w:t>
      </w:r>
    </w:p>
    <w:p>
      <w:pPr>
        <w:spacing w:line="101" w:lineRule="exact"/>
        <w:rPr>
          <w:rFonts w:ascii="宋体" w:hAnsi="宋体" w:eastAsia="宋体"/>
          <w:sz w:val="24"/>
          <w:szCs w:val="24"/>
        </w:rPr>
      </w:pPr>
    </w:p>
    <w:p>
      <w:pPr>
        <w:spacing w:line="240" w:lineRule="exact"/>
        <w:rPr>
          <w:rFonts w:ascii="宋体" w:hAnsi="宋体" w:eastAsia="宋体"/>
          <w:sz w:val="24"/>
          <w:szCs w:val="24"/>
        </w:rPr>
      </w:pPr>
      <w:r>
        <w:rPr>
          <w:rFonts w:hint="eastAsia" w:ascii="宋体" w:hAnsi="宋体" w:eastAsia="宋体" w:cs="宋体"/>
          <w:sz w:val="24"/>
          <w:szCs w:val="24"/>
        </w:rPr>
        <w:t>如果协商不</w:t>
      </w:r>
      <w:r>
        <w:rPr>
          <w:rFonts w:ascii="宋体" w:hAnsi="宋体" w:eastAsia="宋体" w:cs="宋体"/>
          <w:sz w:val="24"/>
          <w:szCs w:val="24"/>
        </w:rPr>
        <w:t>能解决，可向桂林市仲裁委员会申请仲裁或向灵川县人民法院提起诉讼。</w:t>
      </w:r>
    </w:p>
    <w:p>
      <w:pPr>
        <w:spacing w:line="100" w:lineRule="exact"/>
        <w:rPr>
          <w:rFonts w:ascii="宋体" w:hAnsi="宋体" w:eastAsia="宋体"/>
          <w:sz w:val="24"/>
          <w:szCs w:val="24"/>
        </w:rPr>
      </w:pPr>
    </w:p>
    <w:p>
      <w:pPr>
        <w:numPr>
          <w:ilvl w:val="1"/>
          <w:numId w:val="39"/>
        </w:numPr>
        <w:tabs>
          <w:tab w:val="left" w:pos="760"/>
        </w:tabs>
        <w:spacing w:line="240" w:lineRule="exact"/>
        <w:ind w:left="760" w:hanging="318"/>
        <w:rPr>
          <w:rFonts w:ascii="宋体" w:hAnsi="宋体" w:eastAsia="宋体" w:cs="宋体"/>
          <w:sz w:val="24"/>
          <w:szCs w:val="24"/>
        </w:rPr>
      </w:pPr>
      <w:r>
        <w:rPr>
          <w:rFonts w:ascii="宋体" w:hAnsi="宋体" w:eastAsia="宋体" w:cs="宋体"/>
          <w:sz w:val="24"/>
          <w:szCs w:val="24"/>
        </w:rPr>
        <w:t>诉讼期间，本合同继续履行。</w:t>
      </w:r>
    </w:p>
    <w:p>
      <w:pPr>
        <w:spacing w:line="100" w:lineRule="exact"/>
        <w:rPr>
          <w:rFonts w:ascii="宋体" w:hAnsi="宋体" w:eastAsia="宋体" w:cs="宋体"/>
          <w:sz w:val="24"/>
          <w:szCs w:val="24"/>
        </w:rPr>
      </w:pPr>
    </w:p>
    <w:p>
      <w:pPr>
        <w:spacing w:line="240" w:lineRule="exact"/>
        <w:ind w:left="420"/>
        <w:rPr>
          <w:rFonts w:ascii="宋体" w:hAnsi="宋体" w:eastAsia="宋体" w:cs="宋体"/>
          <w:sz w:val="24"/>
          <w:szCs w:val="24"/>
        </w:rPr>
      </w:pPr>
      <w:r>
        <w:rPr>
          <w:rFonts w:ascii="宋体" w:hAnsi="宋体" w:eastAsia="宋体" w:cs="宋体"/>
          <w:b/>
          <w:bCs/>
          <w:sz w:val="24"/>
          <w:szCs w:val="24"/>
        </w:rPr>
        <w:t>第十条 合同生效及其它</w:t>
      </w:r>
    </w:p>
    <w:p>
      <w:pPr>
        <w:spacing w:line="101" w:lineRule="exact"/>
        <w:rPr>
          <w:rFonts w:ascii="宋体" w:hAnsi="宋体" w:eastAsia="宋体" w:cs="宋体"/>
          <w:sz w:val="24"/>
          <w:szCs w:val="24"/>
        </w:rPr>
      </w:pPr>
    </w:p>
    <w:p>
      <w:pPr>
        <w:numPr>
          <w:ilvl w:val="0"/>
          <w:numId w:val="40"/>
        </w:numPr>
        <w:tabs>
          <w:tab w:val="left" w:pos="740"/>
        </w:tabs>
        <w:spacing w:line="240" w:lineRule="exact"/>
        <w:ind w:left="740" w:hanging="313"/>
        <w:rPr>
          <w:rFonts w:ascii="宋体" w:hAnsi="宋体" w:eastAsia="宋体" w:cs="宋体"/>
          <w:sz w:val="24"/>
          <w:szCs w:val="24"/>
        </w:rPr>
      </w:pPr>
      <w:r>
        <w:rPr>
          <w:rFonts w:ascii="宋体" w:hAnsi="宋体" w:eastAsia="宋体" w:cs="宋体"/>
          <w:sz w:val="24"/>
          <w:szCs w:val="24"/>
        </w:rPr>
        <w:t>合同经甲乙双方法定代表人、负责人、自然人或相应的授权代表签字并加盖公章后生效。</w:t>
      </w:r>
    </w:p>
    <w:p>
      <w:pPr>
        <w:spacing w:line="132" w:lineRule="exact"/>
        <w:rPr>
          <w:rFonts w:ascii="宋体" w:hAnsi="宋体" w:eastAsia="宋体" w:cs="宋体"/>
          <w:sz w:val="24"/>
          <w:szCs w:val="24"/>
        </w:rPr>
      </w:pPr>
    </w:p>
    <w:p>
      <w:pPr>
        <w:numPr>
          <w:ilvl w:val="0"/>
          <w:numId w:val="40"/>
        </w:numPr>
        <w:tabs>
          <w:tab w:val="left" w:pos="738"/>
        </w:tabs>
        <w:spacing w:line="274" w:lineRule="exact"/>
        <w:ind w:firstLine="427"/>
        <w:rPr>
          <w:rFonts w:ascii="宋体" w:hAnsi="宋体" w:eastAsia="宋体" w:cs="宋体"/>
          <w:sz w:val="24"/>
          <w:szCs w:val="24"/>
        </w:rPr>
      </w:pPr>
      <w:r>
        <w:rPr>
          <w:rFonts w:ascii="宋体" w:hAnsi="宋体" w:eastAsia="宋体" w:cs="宋体"/>
          <w:sz w:val="24"/>
          <w:szCs w:val="24"/>
        </w:rPr>
        <w:t>合同执行中涉及采购资金和采购内容修改或补充的，需经灵川县财政部门审批，并签订书面补充协议报灵川县政府采购管理办公室备案，方可作为主合同不可分割的一部分。</w:t>
      </w:r>
    </w:p>
    <w:p>
      <w:pPr>
        <w:spacing w:line="101" w:lineRule="exact"/>
        <w:rPr>
          <w:rFonts w:ascii="宋体" w:hAnsi="宋体" w:eastAsia="宋体" w:cs="宋体"/>
          <w:sz w:val="24"/>
          <w:szCs w:val="24"/>
        </w:rPr>
      </w:pPr>
    </w:p>
    <w:p>
      <w:pPr>
        <w:numPr>
          <w:ilvl w:val="1"/>
          <w:numId w:val="40"/>
        </w:numPr>
        <w:tabs>
          <w:tab w:val="left" w:pos="760"/>
        </w:tabs>
        <w:spacing w:line="240" w:lineRule="exact"/>
        <w:ind w:left="760" w:hanging="318"/>
        <w:rPr>
          <w:rFonts w:ascii="宋体" w:hAnsi="宋体" w:eastAsia="宋体" w:cs="宋体"/>
          <w:sz w:val="24"/>
          <w:szCs w:val="24"/>
        </w:rPr>
      </w:pPr>
      <w:r>
        <w:rPr>
          <w:rFonts w:ascii="宋体" w:hAnsi="宋体" w:eastAsia="宋体" w:cs="宋体"/>
          <w:sz w:val="24"/>
          <w:szCs w:val="24"/>
        </w:rPr>
        <w:t>本合同未尽事宜，遵照《合同法》有关条文执行。</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第十一条 合同的变更、终止与转让</w:t>
      </w:r>
    </w:p>
    <w:p>
      <w:pPr>
        <w:spacing w:line="132" w:lineRule="exact"/>
        <w:rPr>
          <w:rFonts w:ascii="宋体" w:hAnsi="宋体" w:eastAsia="宋体"/>
          <w:sz w:val="24"/>
          <w:szCs w:val="24"/>
        </w:rPr>
      </w:pPr>
    </w:p>
    <w:p>
      <w:pPr>
        <w:numPr>
          <w:ilvl w:val="0"/>
          <w:numId w:val="41"/>
        </w:numPr>
        <w:tabs>
          <w:tab w:val="left" w:pos="738"/>
        </w:tabs>
        <w:spacing w:line="274" w:lineRule="exact"/>
        <w:ind w:firstLine="427"/>
        <w:rPr>
          <w:rFonts w:ascii="宋体" w:hAnsi="宋体" w:eastAsia="宋体" w:cs="宋体"/>
          <w:sz w:val="24"/>
          <w:szCs w:val="24"/>
        </w:rPr>
      </w:pPr>
      <w:r>
        <w:rPr>
          <w:rFonts w:ascii="宋体" w:hAnsi="宋体" w:eastAsia="宋体" w:cs="宋体"/>
          <w:sz w:val="24"/>
          <w:szCs w:val="24"/>
        </w:rPr>
        <w:t>除《中华人民共和国政府采购法》第五十条规定的情形外，本合同一经签订，甲乙双方不得擅自变更，中止或终止。</w:t>
      </w:r>
    </w:p>
    <w:p>
      <w:pPr>
        <w:spacing w:line="101" w:lineRule="exact"/>
        <w:rPr>
          <w:rFonts w:ascii="宋体" w:hAnsi="宋体" w:eastAsia="宋体" w:cs="宋体"/>
          <w:sz w:val="24"/>
          <w:szCs w:val="24"/>
        </w:rPr>
      </w:pPr>
    </w:p>
    <w:p>
      <w:pPr>
        <w:numPr>
          <w:ilvl w:val="0"/>
          <w:numId w:val="41"/>
        </w:numPr>
        <w:tabs>
          <w:tab w:val="left" w:pos="740"/>
        </w:tabs>
        <w:spacing w:line="240" w:lineRule="exact"/>
        <w:ind w:left="740" w:hanging="313"/>
        <w:rPr>
          <w:rFonts w:ascii="宋体" w:hAnsi="宋体" w:eastAsia="宋体" w:cs="宋体"/>
          <w:sz w:val="24"/>
          <w:szCs w:val="24"/>
        </w:rPr>
      </w:pPr>
      <w:r>
        <w:rPr>
          <w:rFonts w:ascii="宋体" w:hAnsi="宋体" w:eastAsia="宋体" w:cs="宋体"/>
          <w:sz w:val="24"/>
          <w:szCs w:val="24"/>
        </w:rPr>
        <w:t>乙方不得擅自转让其应履行的合同义务。</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第十二条 签订本合同依据：</w:t>
      </w:r>
    </w:p>
    <w:p>
      <w:pPr>
        <w:spacing w:line="101" w:lineRule="exact"/>
        <w:rPr>
          <w:rFonts w:ascii="宋体" w:hAnsi="宋体" w:eastAsia="宋体"/>
          <w:sz w:val="24"/>
          <w:szCs w:val="24"/>
        </w:rPr>
      </w:pPr>
    </w:p>
    <w:p>
      <w:pPr>
        <w:numPr>
          <w:ilvl w:val="0"/>
          <w:numId w:val="42"/>
        </w:numPr>
        <w:tabs>
          <w:tab w:val="left" w:pos="740"/>
        </w:tabs>
        <w:spacing w:line="240" w:lineRule="exact"/>
        <w:ind w:left="740" w:hanging="313"/>
        <w:rPr>
          <w:rFonts w:ascii="宋体" w:hAnsi="宋体" w:eastAsia="宋体" w:cs="宋体"/>
          <w:sz w:val="24"/>
          <w:szCs w:val="24"/>
        </w:rPr>
      </w:pPr>
      <w:r>
        <w:rPr>
          <w:rFonts w:ascii="宋体" w:hAnsi="宋体" w:eastAsia="宋体" w:cs="宋体"/>
          <w:sz w:val="24"/>
          <w:szCs w:val="24"/>
        </w:rPr>
        <w:t>磋商文件；</w:t>
      </w:r>
    </w:p>
    <w:p>
      <w:pPr>
        <w:spacing w:line="100" w:lineRule="exact"/>
        <w:rPr>
          <w:rFonts w:ascii="宋体" w:hAnsi="宋体" w:eastAsia="宋体" w:cs="宋体"/>
          <w:sz w:val="24"/>
          <w:szCs w:val="24"/>
        </w:rPr>
      </w:pPr>
    </w:p>
    <w:p>
      <w:pPr>
        <w:numPr>
          <w:ilvl w:val="0"/>
          <w:numId w:val="42"/>
        </w:numPr>
        <w:tabs>
          <w:tab w:val="left" w:pos="740"/>
        </w:tabs>
        <w:spacing w:line="240" w:lineRule="exact"/>
        <w:ind w:left="740" w:hanging="313"/>
        <w:rPr>
          <w:rFonts w:ascii="宋体" w:hAnsi="宋体" w:eastAsia="宋体" w:cs="宋体"/>
          <w:sz w:val="24"/>
          <w:szCs w:val="24"/>
        </w:rPr>
      </w:pPr>
      <w:r>
        <w:rPr>
          <w:rFonts w:ascii="宋体" w:hAnsi="宋体" w:eastAsia="宋体" w:cs="宋体"/>
          <w:sz w:val="24"/>
          <w:szCs w:val="24"/>
        </w:rPr>
        <w:t>响应文件；</w:t>
      </w:r>
    </w:p>
    <w:p>
      <w:pPr>
        <w:spacing w:line="101" w:lineRule="exact"/>
        <w:rPr>
          <w:rFonts w:ascii="宋体" w:hAnsi="宋体" w:eastAsia="宋体" w:cs="宋体"/>
          <w:sz w:val="24"/>
          <w:szCs w:val="24"/>
        </w:rPr>
      </w:pPr>
    </w:p>
    <w:p>
      <w:pPr>
        <w:numPr>
          <w:ilvl w:val="0"/>
          <w:numId w:val="42"/>
        </w:numPr>
        <w:tabs>
          <w:tab w:val="left" w:pos="740"/>
        </w:tabs>
        <w:spacing w:line="240" w:lineRule="exact"/>
        <w:ind w:left="740" w:hanging="313"/>
        <w:rPr>
          <w:rFonts w:ascii="宋体" w:hAnsi="宋体" w:eastAsia="宋体"/>
          <w:sz w:val="24"/>
          <w:szCs w:val="24"/>
        </w:rPr>
      </w:pPr>
      <w:r>
        <w:rPr>
          <w:rFonts w:ascii="宋体" w:hAnsi="宋体" w:eastAsia="宋体" w:cs="宋体"/>
          <w:sz w:val="24"/>
          <w:szCs w:val="24"/>
        </w:rPr>
        <w:t>成交通知书。</w:t>
      </w:r>
    </w:p>
    <w:p>
      <w:pPr>
        <w:tabs>
          <w:tab w:val="left" w:pos="4340"/>
          <w:tab w:val="left" w:pos="7580"/>
          <w:tab w:val="left" w:pos="8980"/>
        </w:tabs>
        <w:spacing w:line="240" w:lineRule="exact"/>
        <w:ind w:left="420"/>
        <w:rPr>
          <w:sz w:val="20"/>
          <w:szCs w:val="20"/>
        </w:rPr>
      </w:pPr>
      <w:r>
        <w:rPr>
          <w:rFonts w:ascii="宋体" w:hAnsi="宋体" w:eastAsia="宋体" w:cs="宋体"/>
          <w:sz w:val="21"/>
          <w:szCs w:val="21"/>
        </w:rPr>
        <w:t>本合同甲乙双方签字盖章后生效，一式</w:t>
      </w:r>
      <w:r>
        <w:rPr>
          <w:rFonts w:ascii="宋体" w:hAnsi="宋体" w:eastAsia="宋体" w:cs="宋体"/>
          <w:sz w:val="21"/>
          <w:szCs w:val="21"/>
        </w:rPr>
        <w:tab/>
      </w:r>
      <w:r>
        <w:rPr>
          <w:rFonts w:ascii="宋体" w:hAnsi="宋体" w:eastAsia="宋体" w:cs="宋体"/>
          <w:sz w:val="21"/>
          <w:szCs w:val="21"/>
        </w:rPr>
        <w:t>份，具有同等法律效力，甲方执</w:t>
      </w:r>
      <w:r>
        <w:rPr>
          <w:rFonts w:ascii="宋体" w:hAnsi="宋体" w:eastAsia="宋体" w:cs="宋体"/>
          <w:sz w:val="21"/>
          <w:szCs w:val="21"/>
        </w:rPr>
        <w:tab/>
      </w:r>
      <w:r>
        <w:rPr>
          <w:rFonts w:ascii="宋体" w:hAnsi="宋体" w:eastAsia="宋体" w:cs="宋体"/>
          <w:sz w:val="21"/>
          <w:szCs w:val="21"/>
        </w:rPr>
        <w:t>份，乙方执</w:t>
      </w:r>
      <w:r>
        <w:rPr>
          <w:sz w:val="20"/>
          <w:szCs w:val="20"/>
        </w:rPr>
        <w:tab/>
      </w:r>
      <w:r>
        <w:rPr>
          <w:rFonts w:ascii="宋体" w:hAnsi="宋体" w:eastAsia="宋体" w:cs="宋体"/>
          <w:sz w:val="20"/>
          <w:szCs w:val="20"/>
        </w:rPr>
        <w:t>份，</w:t>
      </w:r>
    </w:p>
    <w:p>
      <w:pPr>
        <w:spacing w:line="20" w:lineRule="exact"/>
        <w:rPr>
          <w:sz w:val="20"/>
          <w:szCs w:val="20"/>
        </w:rPr>
      </w:pPr>
      <w:r>
        <w:rPr>
          <w:sz w:val="20"/>
          <w:szCs w:val="20"/>
        </w:rPr>
        <w:pict>
          <v:line id="Shape 33" o:spid="_x0000_s1026" o:spt="20" style="position:absolute;left:0pt;margin-left:196.7pt;margin-top:0.4pt;height:0pt;width:21.05pt;z-index:-251667456;mso-width-relative:page;mso-height-relative:page;" filled="t" coordsize="21600,21600" o:allowincell="f" o:gfxdata="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uJUtLTAAAABQEAAA8AAAAAAAAAAQAgAAAA&#10;IgAAAGRycy9kb3ducmV2LnhtbFBLAQIUABQAAAAIAIdO4kDtVgB1ngEAAFoDAAAOAAAAAAAAAAEA&#10;IAAAACIBAABkcnMvZTJvRG9jLnhtbFBLBQYAAAAABgAGAFkBAAAyBQAAAAA=&#10;">
            <v:path arrowok="t"/>
            <v:fill on="t" focussize="0,0"/>
            <v:stroke weight="0.54pt" joinstyle="miter"/>
            <v:imagedata o:title=""/>
            <o:lock v:ext="edit"/>
          </v:line>
        </w:pict>
      </w:r>
      <w:r>
        <w:rPr>
          <w:sz w:val="20"/>
          <w:szCs w:val="20"/>
        </w:rPr>
        <w:pict>
          <v:line id="Shape 34" o:spid="_x0000_s1044" o:spt="20" style="position:absolute;left:0pt;margin-left:358.45pt;margin-top:0.4pt;height:0pt;width:21.05pt;z-index:-251666432;mso-width-relative:page;mso-height-relative:page;" filled="t" coordsize="21600,21600" o:allowincell="f" o:gfxdata="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m1eZ40wAAAAUBAAAPAAAAAAAAAAEAIAAAACIA&#10;AABkcnMvZG93bnJldi54bWxQSwECFAAUAAAACACHTuJAlHLgJ5wBAABaAwAADgAAAAAAAAABACAA&#10;AAAiAQAAZHJzL2Uyb0RvYy54bWxQSwUGAAAAAAYABgBZAQAAMAUAAAAA&#10;">
            <v:path arrowok="t"/>
            <v:fill on="t" focussize="0,0"/>
            <v:stroke weight="0.54pt" joinstyle="miter"/>
            <v:imagedata o:title=""/>
            <o:lock v:ext="edit"/>
          </v:line>
        </w:pict>
      </w:r>
      <w:r>
        <w:rPr>
          <w:sz w:val="20"/>
          <w:szCs w:val="20"/>
        </w:rPr>
        <w:pict>
          <v:line id="Shape 35" o:spid="_x0000_s1043" o:spt="20" style="position:absolute;left:0pt;margin-left:428.85pt;margin-top:0.4pt;height:0pt;width:21.05pt;z-index:-251665408;mso-width-relative:page;mso-height-relative:page;" filled="t" coordsize="21600,21600" o:allowincell="f" o:gfxdata="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r8uaL0gAAAAUBAAAPAAAAAAAAAAEAIAAAACIAAABk&#10;cnMvZG93bnJldi54bWxQSwECFAAUAAAACACHTuJAnKS9f5oBAABaAwAADgAAAAAAAAABACAAAAAh&#10;AQAAZHJzL2Uyb0RvYy54bWxQSwUGAAAAAAYABgBZAQAALQUAAAAA&#10;">
            <v:path arrowok="t"/>
            <v:fill on="t" focussize="0,0"/>
            <v:stroke weight="0.54pt" joinstyle="miter"/>
            <v:imagedata o:title=""/>
            <o:lock v:ext="edit"/>
          </v:line>
        </w:pict>
      </w:r>
    </w:p>
    <w:p>
      <w:pPr>
        <w:spacing w:line="92" w:lineRule="exact"/>
        <w:rPr>
          <w:sz w:val="20"/>
          <w:szCs w:val="20"/>
        </w:rPr>
      </w:pPr>
    </w:p>
    <w:p>
      <w:pPr>
        <w:spacing w:line="229" w:lineRule="exact"/>
        <w:rPr>
          <w:sz w:val="20"/>
          <w:szCs w:val="20"/>
        </w:rPr>
      </w:pPr>
      <w:r>
        <w:rPr>
          <w:rFonts w:ascii="宋体" w:hAnsi="宋体" w:eastAsia="宋体" w:cs="宋体"/>
          <w:sz w:val="20"/>
          <w:szCs w:val="20"/>
        </w:rPr>
        <w:t>采购代理机构执 壹 份，灵川县政府采购管理办公室执 壹 份。政府采购合同双方自签订之日起 1 个工</w:t>
      </w:r>
    </w:p>
    <w:p>
      <w:pPr>
        <w:spacing w:line="20" w:lineRule="exact"/>
        <w:rPr>
          <w:sz w:val="20"/>
          <w:szCs w:val="20"/>
        </w:rPr>
      </w:pPr>
      <w:r>
        <w:rPr>
          <w:sz w:val="20"/>
          <w:szCs w:val="20"/>
        </w:rPr>
        <w:pict>
          <v:line id="Shape 36" o:spid="_x0000_s1042" o:spt="20" style="position:absolute;left:0pt;margin-left:73.8pt;margin-top:0.4pt;height:0pt;width:21pt;z-index:-251664384;mso-width-relative:page;mso-height-relative:page;" filled="t" coordsize="21600,21600" o:allowincell="f" o:gfxdata="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&#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EdewrLRAAAABQEAAA8AAAAAAAAAAQAgAAAAIgAAAGRy&#10;cy9kb3ducmV2LnhtbFBLAQIUABQAAAAIAIdO4kCqdKgnmgEAAFoDAAAOAAAAAAAAAAEAIAAAACAB&#10;AABkcnMvZTJvRG9jLnhtbFBLBQYAAAAABgAGAFkBAAAsBQAAAAA=&#10;">
            <v:path arrowok="t"/>
            <v:fill on="t" focussize="0,0"/>
            <v:stroke weight="0.54pt" joinstyle="miter"/>
            <v:imagedata o:title=""/>
            <o:lock v:ext="edit"/>
          </v:line>
        </w:pict>
      </w:r>
      <w:r>
        <w:rPr>
          <w:sz w:val="20"/>
          <w:szCs w:val="20"/>
        </w:rPr>
        <w:pict>
          <v:line id="Shape 37" o:spid="_x0000_s1041" o:spt="20" style="position:absolute;left:0pt;margin-left:251.35pt;margin-top:0.4pt;height:0pt;width:20.95pt;z-index:-251663360;mso-width-relative:page;mso-height-relative:page;" filled="t" coordsize="21600,21600" o:allowincell="f" o:gfxdata="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C0vDTAAAABQEAAA8AAAAAAAAAAQAgAAAAIgAA&#10;AGRycy9kb3ducmV2LnhtbFBLAQIUABQAAAAIAIdO4kAvfXCjmwEAAFoDAAAOAAAAAAAAAAEAIAAA&#10;ACIBAABkcnMvZTJvRG9jLnhtbFBLBQYAAAAABgAGAFkBAAAvBQAAAAA=&#10;">
            <v:path arrowok="t"/>
            <v:fill on="t" focussize="0,0"/>
            <v:stroke weight="0.54pt" joinstyle="miter"/>
            <v:imagedata o:title=""/>
            <o:lock v:ext="edit"/>
          </v:line>
        </w:pict>
      </w:r>
    </w:p>
    <w:p>
      <w:pPr>
        <w:spacing w:line="240" w:lineRule="exact"/>
        <w:rPr>
          <w:rFonts w:ascii="宋体" w:hAnsi="宋体" w:eastAsia="宋体" w:cs="宋体"/>
          <w:sz w:val="21"/>
          <w:szCs w:val="21"/>
        </w:rPr>
      </w:pPr>
    </w:p>
    <w:tbl>
      <w:tblPr>
        <w:tblStyle w:val="9"/>
        <w:tblW w:w="0" w:type="auto"/>
        <w:tblInd w:w="0" w:type="dxa"/>
        <w:tblLayout w:type="fixed"/>
        <w:tblCellMar>
          <w:top w:w="0" w:type="dxa"/>
          <w:left w:w="0" w:type="dxa"/>
          <w:bottom w:w="0" w:type="dxa"/>
          <w:right w:w="0" w:type="dxa"/>
        </w:tblCellMar>
      </w:tblPr>
      <w:tblGrid>
        <w:gridCol w:w="320"/>
        <w:gridCol w:w="520"/>
        <w:gridCol w:w="220"/>
        <w:gridCol w:w="200"/>
        <w:gridCol w:w="220"/>
        <w:gridCol w:w="200"/>
        <w:gridCol w:w="2240"/>
        <w:gridCol w:w="60"/>
        <w:gridCol w:w="120"/>
        <w:gridCol w:w="900"/>
        <w:gridCol w:w="680"/>
        <w:gridCol w:w="200"/>
        <w:gridCol w:w="1480"/>
        <w:gridCol w:w="20"/>
        <w:gridCol w:w="1860"/>
        <w:gridCol w:w="100"/>
        <w:gridCol w:w="80"/>
      </w:tblGrid>
      <w:tr>
        <w:tblPrEx>
          <w:tblCellMar>
            <w:top w:w="0" w:type="dxa"/>
            <w:left w:w="0" w:type="dxa"/>
            <w:bottom w:w="0" w:type="dxa"/>
            <w:right w:w="0" w:type="dxa"/>
          </w:tblCellMar>
        </w:tblPrEx>
        <w:trPr>
          <w:trHeight w:val="240" w:hRule="atLeast"/>
        </w:trPr>
        <w:tc>
          <w:tcPr>
            <w:tcW w:w="3920" w:type="dxa"/>
            <w:gridSpan w:val="7"/>
            <w:vAlign w:val="bottom"/>
          </w:tcPr>
          <w:p>
            <w:pPr>
              <w:spacing w:line="240" w:lineRule="exact"/>
              <w:rPr>
                <w:rFonts w:ascii="宋体" w:hAnsi="宋体" w:eastAsia="宋体" w:cs="宋体"/>
                <w:sz w:val="21"/>
                <w:szCs w:val="21"/>
              </w:rPr>
            </w:pPr>
            <w:r>
              <w:rPr>
                <w:rFonts w:ascii="宋体" w:hAnsi="宋体" w:eastAsia="宋体" w:cs="宋体"/>
                <w:sz w:val="21"/>
                <w:szCs w:val="21"/>
              </w:rPr>
              <w:t>作日内将合同原件一份交采购代理机构、7</w:t>
            </w:r>
          </w:p>
        </w:tc>
        <w:tc>
          <w:tcPr>
            <w:tcW w:w="5500" w:type="dxa"/>
            <w:gridSpan w:val="10"/>
            <w:vAlign w:val="bottom"/>
          </w:tcPr>
          <w:p>
            <w:pPr>
              <w:spacing w:line="240" w:lineRule="exact"/>
              <w:rPr>
                <w:rFonts w:ascii="宋体" w:hAnsi="宋体" w:eastAsia="宋体" w:cs="宋体"/>
                <w:sz w:val="21"/>
                <w:szCs w:val="21"/>
              </w:rPr>
            </w:pPr>
            <w:r>
              <w:rPr>
                <w:rFonts w:ascii="宋体" w:hAnsi="宋体" w:eastAsia="宋体" w:cs="宋体"/>
                <w:sz w:val="21"/>
                <w:szCs w:val="21"/>
              </w:rPr>
              <w:t>个工作日内将一份合同原件送灵川县政府采购管理办公室备</w:t>
            </w:r>
          </w:p>
        </w:tc>
      </w:tr>
      <w:tr>
        <w:tblPrEx>
          <w:tblCellMar>
            <w:top w:w="0" w:type="dxa"/>
            <w:left w:w="0" w:type="dxa"/>
            <w:bottom w:w="0" w:type="dxa"/>
            <w:right w:w="0" w:type="dxa"/>
          </w:tblCellMar>
        </w:tblPrEx>
        <w:trPr>
          <w:trHeight w:val="340" w:hRule="atLeast"/>
        </w:trPr>
        <w:tc>
          <w:tcPr>
            <w:tcW w:w="9420" w:type="dxa"/>
            <w:gridSpan w:val="17"/>
            <w:vAlign w:val="bottom"/>
          </w:tcPr>
          <w:p>
            <w:pPr>
              <w:spacing w:line="240" w:lineRule="exact"/>
              <w:rPr>
                <w:sz w:val="20"/>
                <w:szCs w:val="20"/>
              </w:rPr>
            </w:pPr>
            <w:r>
              <w:rPr>
                <w:rFonts w:ascii="宋体" w:hAnsi="宋体" w:eastAsia="宋体" w:cs="宋体"/>
                <w:sz w:val="21"/>
                <w:szCs w:val="21"/>
              </w:rPr>
              <w:t>案。采购代理机构将政府采购合同在省级以上人民政府财政部门指定媒体上公告并存档。</w:t>
            </w:r>
          </w:p>
        </w:tc>
      </w:tr>
      <w:tr>
        <w:tblPrEx>
          <w:tblCellMar>
            <w:top w:w="0" w:type="dxa"/>
            <w:left w:w="0" w:type="dxa"/>
            <w:bottom w:w="0" w:type="dxa"/>
            <w:right w:w="0" w:type="dxa"/>
          </w:tblCellMar>
        </w:tblPrEx>
        <w:trPr>
          <w:trHeight w:val="682" w:hRule="atLeast"/>
        </w:trPr>
        <w:tc>
          <w:tcPr>
            <w:tcW w:w="1480" w:type="dxa"/>
            <w:gridSpan w:val="5"/>
            <w:vAlign w:val="bottom"/>
          </w:tcPr>
          <w:p>
            <w:pPr>
              <w:spacing w:line="240" w:lineRule="exact"/>
              <w:rPr>
                <w:sz w:val="20"/>
                <w:szCs w:val="20"/>
              </w:rPr>
            </w:pPr>
            <w:r>
              <w:rPr>
                <w:rFonts w:ascii="宋体" w:hAnsi="宋体" w:eastAsia="宋体" w:cs="宋体"/>
                <w:w w:val="99"/>
                <w:sz w:val="21"/>
                <w:szCs w:val="21"/>
              </w:rPr>
              <w:t>甲方（公章）：</w:t>
            </w:r>
          </w:p>
        </w:tc>
        <w:tc>
          <w:tcPr>
            <w:tcW w:w="2440" w:type="dxa"/>
            <w:gridSpan w:val="2"/>
            <w:tcBorders>
              <w:bottom w:val="single" w:color="auto" w:sz="8" w:space="0"/>
            </w:tcBorders>
            <w:vAlign w:val="bottom"/>
          </w:tcPr>
          <w:p>
            <w:pPr>
              <w:rPr>
                <w:sz w:val="24"/>
                <w:szCs w:val="24"/>
              </w:rPr>
            </w:pPr>
          </w:p>
        </w:tc>
        <w:tc>
          <w:tcPr>
            <w:tcW w:w="6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3260" w:type="dxa"/>
            <w:gridSpan w:val="4"/>
            <w:vAlign w:val="bottom"/>
          </w:tcPr>
          <w:p>
            <w:pPr>
              <w:spacing w:line="240" w:lineRule="exact"/>
              <w:ind w:left="520"/>
              <w:rPr>
                <w:sz w:val="20"/>
                <w:szCs w:val="20"/>
              </w:rPr>
            </w:pPr>
            <w:r>
              <w:rPr>
                <w:rFonts w:ascii="宋体" w:hAnsi="宋体" w:eastAsia="宋体" w:cs="宋体"/>
                <w:w w:val="99"/>
                <w:sz w:val="21"/>
                <w:szCs w:val="21"/>
              </w:rPr>
              <w:t>乙方（公章，自然人除外）：</w:t>
            </w:r>
          </w:p>
        </w:tc>
        <w:tc>
          <w:tcPr>
            <w:tcW w:w="2060" w:type="dxa"/>
            <w:gridSpan w:val="4"/>
            <w:tcBorders>
              <w:bottom w:val="single" w:color="auto" w:sz="8" w:space="0"/>
            </w:tcBorders>
            <w:vAlign w:val="bottom"/>
          </w:tcPr>
          <w:p>
            <w:pPr>
              <w:rPr>
                <w:sz w:val="24"/>
                <w:szCs w:val="24"/>
              </w:rPr>
            </w:pPr>
          </w:p>
        </w:tc>
      </w:tr>
      <w:tr>
        <w:tblPrEx>
          <w:tblCellMar>
            <w:top w:w="0" w:type="dxa"/>
            <w:left w:w="0" w:type="dxa"/>
            <w:bottom w:w="0" w:type="dxa"/>
            <w:right w:w="0" w:type="dxa"/>
          </w:tblCellMar>
        </w:tblPrEx>
        <w:trPr>
          <w:trHeight w:val="318" w:hRule="atLeast"/>
        </w:trPr>
        <w:tc>
          <w:tcPr>
            <w:tcW w:w="3920" w:type="dxa"/>
            <w:gridSpan w:val="7"/>
            <w:vAlign w:val="bottom"/>
          </w:tcPr>
          <w:p>
            <w:pPr>
              <w:spacing w:line="240" w:lineRule="exact"/>
              <w:rPr>
                <w:sz w:val="20"/>
                <w:szCs w:val="20"/>
              </w:rPr>
            </w:pPr>
            <w:r>
              <w:rPr>
                <w:rFonts w:ascii="宋体" w:hAnsi="宋体" w:eastAsia="宋体" w:cs="宋体"/>
                <w:sz w:val="21"/>
                <w:szCs w:val="21"/>
              </w:rPr>
              <w:t>法定代表人签字：</w:t>
            </w:r>
          </w:p>
        </w:tc>
        <w:tc>
          <w:tcPr>
            <w:tcW w:w="60" w:type="dxa"/>
            <w:vAlign w:val="bottom"/>
          </w:tcPr>
          <w:p>
            <w:pPr>
              <w:rPr>
                <w:sz w:val="24"/>
                <w:szCs w:val="24"/>
              </w:rPr>
            </w:pPr>
          </w:p>
        </w:tc>
        <w:tc>
          <w:tcPr>
            <w:tcW w:w="120" w:type="dxa"/>
            <w:vAlign w:val="bottom"/>
          </w:tcPr>
          <w:p>
            <w:pPr>
              <w:rPr>
                <w:sz w:val="24"/>
                <w:szCs w:val="24"/>
              </w:rPr>
            </w:pPr>
          </w:p>
        </w:tc>
        <w:tc>
          <w:tcPr>
            <w:tcW w:w="5320" w:type="dxa"/>
            <w:gridSpan w:val="8"/>
            <w:vAlign w:val="bottom"/>
          </w:tcPr>
          <w:p>
            <w:pPr>
              <w:spacing w:line="240" w:lineRule="exact"/>
              <w:ind w:left="520"/>
              <w:rPr>
                <w:sz w:val="20"/>
                <w:szCs w:val="20"/>
              </w:rPr>
            </w:pPr>
            <w:r>
              <w:rPr>
                <w:rFonts w:ascii="宋体" w:hAnsi="宋体" w:eastAsia="宋体" w:cs="宋体"/>
                <w:w w:val="98"/>
                <w:sz w:val="21"/>
                <w:szCs w:val="21"/>
              </w:rPr>
              <w:t>法定代表人（负责人、自然人）签字（属自然人的应</w:t>
            </w:r>
          </w:p>
        </w:tc>
      </w:tr>
      <w:tr>
        <w:tblPrEx>
          <w:tblCellMar>
            <w:top w:w="0" w:type="dxa"/>
            <w:left w:w="0" w:type="dxa"/>
            <w:bottom w:w="0" w:type="dxa"/>
            <w:right w:w="0" w:type="dxa"/>
          </w:tblCellMar>
        </w:tblPrEx>
        <w:trPr>
          <w:trHeight w:val="321" w:hRule="atLeast"/>
        </w:trPr>
        <w:tc>
          <w:tcPr>
            <w:tcW w:w="320" w:type="dxa"/>
            <w:vAlign w:val="bottom"/>
          </w:tcPr>
          <w:p>
            <w:pPr>
              <w:rPr>
                <w:sz w:val="24"/>
                <w:szCs w:val="24"/>
              </w:rPr>
            </w:pPr>
          </w:p>
        </w:tc>
        <w:tc>
          <w:tcPr>
            <w:tcW w:w="520" w:type="dxa"/>
            <w:vAlign w:val="bottom"/>
          </w:tcPr>
          <w:p>
            <w:pPr>
              <w:rPr>
                <w:sz w:val="24"/>
                <w:szCs w:val="24"/>
              </w:rPr>
            </w:pPr>
          </w:p>
        </w:tc>
        <w:tc>
          <w:tcPr>
            <w:tcW w:w="220" w:type="dxa"/>
            <w:vAlign w:val="bottom"/>
          </w:tcPr>
          <w:p>
            <w:pPr>
              <w:rPr>
                <w:sz w:val="24"/>
                <w:szCs w:val="24"/>
              </w:rPr>
            </w:pPr>
          </w:p>
        </w:tc>
        <w:tc>
          <w:tcPr>
            <w:tcW w:w="200" w:type="dxa"/>
            <w:vAlign w:val="bottom"/>
          </w:tcPr>
          <w:p>
            <w:pPr>
              <w:rPr>
                <w:sz w:val="24"/>
                <w:szCs w:val="24"/>
              </w:rPr>
            </w:pPr>
          </w:p>
        </w:tc>
        <w:tc>
          <w:tcPr>
            <w:tcW w:w="220" w:type="dxa"/>
            <w:vAlign w:val="bottom"/>
          </w:tcPr>
          <w:p>
            <w:pPr>
              <w:rPr>
                <w:sz w:val="24"/>
                <w:szCs w:val="24"/>
              </w:rPr>
            </w:pPr>
          </w:p>
        </w:tc>
        <w:tc>
          <w:tcPr>
            <w:tcW w:w="200" w:type="dxa"/>
            <w:vAlign w:val="bottom"/>
          </w:tcPr>
          <w:p>
            <w:pPr>
              <w:rPr>
                <w:sz w:val="24"/>
                <w:szCs w:val="24"/>
              </w:rPr>
            </w:pPr>
          </w:p>
        </w:tc>
        <w:tc>
          <w:tcPr>
            <w:tcW w:w="2240" w:type="dxa"/>
            <w:tcBorders>
              <w:top w:val="single" w:color="auto" w:sz="8" w:space="0"/>
            </w:tcBorders>
            <w:vAlign w:val="bottom"/>
          </w:tcPr>
          <w:p>
            <w:pPr>
              <w:rPr>
                <w:sz w:val="24"/>
                <w:szCs w:val="24"/>
              </w:rPr>
            </w:pPr>
          </w:p>
        </w:tc>
        <w:tc>
          <w:tcPr>
            <w:tcW w:w="60" w:type="dxa"/>
            <w:tcBorders>
              <w:top w:val="single" w:color="auto" w:sz="8" w:space="0"/>
            </w:tcBorders>
            <w:vAlign w:val="bottom"/>
          </w:tcPr>
          <w:p>
            <w:pPr>
              <w:rPr>
                <w:sz w:val="24"/>
                <w:szCs w:val="24"/>
              </w:rPr>
            </w:pPr>
          </w:p>
        </w:tc>
        <w:tc>
          <w:tcPr>
            <w:tcW w:w="120" w:type="dxa"/>
            <w:vAlign w:val="bottom"/>
          </w:tcPr>
          <w:p>
            <w:pPr>
              <w:rPr>
                <w:sz w:val="24"/>
                <w:szCs w:val="24"/>
              </w:rPr>
            </w:pPr>
          </w:p>
        </w:tc>
        <w:tc>
          <w:tcPr>
            <w:tcW w:w="3280" w:type="dxa"/>
            <w:gridSpan w:val="5"/>
            <w:vAlign w:val="bottom"/>
          </w:tcPr>
          <w:p>
            <w:pPr>
              <w:spacing w:line="240" w:lineRule="exact"/>
              <w:ind w:left="520"/>
              <w:rPr>
                <w:sz w:val="20"/>
                <w:szCs w:val="20"/>
              </w:rPr>
            </w:pPr>
            <w:r>
              <w:rPr>
                <w:rFonts w:ascii="宋体" w:hAnsi="宋体" w:eastAsia="宋体" w:cs="宋体"/>
                <w:sz w:val="21"/>
                <w:szCs w:val="21"/>
              </w:rPr>
              <w:t>在签名处加盖大拇指指印）：</w:t>
            </w:r>
          </w:p>
        </w:tc>
        <w:tc>
          <w:tcPr>
            <w:tcW w:w="2040" w:type="dxa"/>
            <w:gridSpan w:val="3"/>
            <w:tcBorders>
              <w:bottom w:val="single" w:color="auto" w:sz="8" w:space="0"/>
            </w:tcBorders>
            <w:vAlign w:val="bottom"/>
          </w:tcPr>
          <w:p>
            <w:pPr>
              <w:rPr>
                <w:sz w:val="24"/>
                <w:szCs w:val="24"/>
              </w:rPr>
            </w:pPr>
          </w:p>
        </w:tc>
      </w:tr>
      <w:tr>
        <w:tblPrEx>
          <w:tblCellMar>
            <w:top w:w="0" w:type="dxa"/>
            <w:left w:w="0" w:type="dxa"/>
            <w:bottom w:w="0" w:type="dxa"/>
            <w:right w:w="0" w:type="dxa"/>
          </w:tblCellMar>
        </w:tblPrEx>
        <w:trPr>
          <w:trHeight w:val="321" w:hRule="atLeast"/>
        </w:trPr>
        <w:tc>
          <w:tcPr>
            <w:tcW w:w="3920" w:type="dxa"/>
            <w:gridSpan w:val="7"/>
            <w:vAlign w:val="bottom"/>
          </w:tcPr>
          <w:p>
            <w:pPr>
              <w:spacing w:line="240" w:lineRule="exact"/>
              <w:rPr>
                <w:sz w:val="20"/>
                <w:szCs w:val="20"/>
              </w:rPr>
            </w:pPr>
            <w:r>
              <w:rPr>
                <w:rFonts w:ascii="宋体" w:hAnsi="宋体" w:eastAsia="宋体" w:cs="宋体"/>
                <w:sz w:val="21"/>
                <w:szCs w:val="21"/>
              </w:rPr>
              <w:t>委托代理人：</w:t>
            </w:r>
          </w:p>
        </w:tc>
        <w:tc>
          <w:tcPr>
            <w:tcW w:w="60" w:type="dxa"/>
            <w:vAlign w:val="bottom"/>
          </w:tcPr>
          <w:p>
            <w:pPr>
              <w:rPr>
                <w:sz w:val="24"/>
                <w:szCs w:val="24"/>
              </w:rPr>
            </w:pPr>
          </w:p>
        </w:tc>
        <w:tc>
          <w:tcPr>
            <w:tcW w:w="120" w:type="dxa"/>
            <w:vAlign w:val="bottom"/>
          </w:tcPr>
          <w:p>
            <w:pPr>
              <w:rPr>
                <w:sz w:val="24"/>
                <w:szCs w:val="24"/>
              </w:rPr>
            </w:pPr>
          </w:p>
        </w:tc>
        <w:tc>
          <w:tcPr>
            <w:tcW w:w="5320" w:type="dxa"/>
            <w:gridSpan w:val="8"/>
            <w:vAlign w:val="bottom"/>
          </w:tcPr>
          <w:p>
            <w:pPr>
              <w:spacing w:line="240" w:lineRule="exact"/>
              <w:ind w:left="520"/>
              <w:rPr>
                <w:sz w:val="20"/>
                <w:szCs w:val="20"/>
              </w:rPr>
            </w:pPr>
            <w:r>
              <w:rPr>
                <w:rFonts w:ascii="宋体" w:hAnsi="宋体" w:eastAsia="宋体" w:cs="宋体"/>
                <w:sz w:val="21"/>
                <w:szCs w:val="21"/>
              </w:rPr>
              <w:t>委托代理人：</w:t>
            </w:r>
          </w:p>
        </w:tc>
      </w:tr>
      <w:tr>
        <w:tblPrEx>
          <w:tblCellMar>
            <w:top w:w="0" w:type="dxa"/>
            <w:left w:w="0" w:type="dxa"/>
            <w:bottom w:w="0" w:type="dxa"/>
            <w:right w:w="0" w:type="dxa"/>
          </w:tblCellMar>
        </w:tblPrEx>
        <w:trPr>
          <w:trHeight w:val="320" w:hRule="atLeast"/>
        </w:trPr>
        <w:tc>
          <w:tcPr>
            <w:tcW w:w="320" w:type="dxa"/>
            <w:vAlign w:val="bottom"/>
          </w:tcPr>
          <w:p>
            <w:pPr>
              <w:spacing w:line="240" w:lineRule="exact"/>
              <w:rPr>
                <w:sz w:val="20"/>
                <w:szCs w:val="20"/>
              </w:rPr>
            </w:pPr>
            <w:r>
              <w:rPr>
                <w:rFonts w:ascii="宋体" w:hAnsi="宋体" w:eastAsia="宋体" w:cs="宋体"/>
                <w:sz w:val="21"/>
                <w:szCs w:val="21"/>
              </w:rPr>
              <w:t>电</w:t>
            </w:r>
          </w:p>
        </w:tc>
        <w:tc>
          <w:tcPr>
            <w:tcW w:w="940" w:type="dxa"/>
            <w:gridSpan w:val="3"/>
            <w:vAlign w:val="bottom"/>
          </w:tcPr>
          <w:p>
            <w:pPr>
              <w:spacing w:line="240" w:lineRule="exact"/>
              <w:ind w:left="100"/>
              <w:rPr>
                <w:sz w:val="20"/>
                <w:szCs w:val="20"/>
              </w:rPr>
            </w:pPr>
            <w:r>
              <w:rPr>
                <w:rFonts w:ascii="宋体" w:hAnsi="宋体" w:eastAsia="宋体" w:cs="宋体"/>
                <w:sz w:val="21"/>
                <w:szCs w:val="21"/>
              </w:rPr>
              <w:t>话：</w:t>
            </w:r>
          </w:p>
        </w:tc>
        <w:tc>
          <w:tcPr>
            <w:tcW w:w="2660" w:type="dxa"/>
            <w:gridSpan w:val="3"/>
            <w:tcBorders>
              <w:top w:val="single" w:color="auto" w:sz="8" w:space="0"/>
            </w:tcBorders>
            <w:vAlign w:val="bottom"/>
          </w:tcPr>
          <w:p>
            <w:pPr>
              <w:rPr>
                <w:sz w:val="24"/>
                <w:szCs w:val="24"/>
              </w:rPr>
            </w:pPr>
          </w:p>
        </w:tc>
        <w:tc>
          <w:tcPr>
            <w:tcW w:w="60" w:type="dxa"/>
            <w:tcBorders>
              <w:top w:val="single" w:color="auto" w:sz="8" w:space="0"/>
            </w:tcBorders>
            <w:vAlign w:val="bottom"/>
          </w:tcPr>
          <w:p>
            <w:pPr>
              <w:rPr>
                <w:sz w:val="24"/>
                <w:szCs w:val="24"/>
              </w:rPr>
            </w:pPr>
          </w:p>
        </w:tc>
        <w:tc>
          <w:tcPr>
            <w:tcW w:w="120" w:type="dxa"/>
            <w:tcBorders>
              <w:top w:val="single" w:color="auto" w:sz="8" w:space="0"/>
            </w:tcBorders>
            <w:vAlign w:val="bottom"/>
          </w:tcPr>
          <w:p>
            <w:pPr>
              <w:rPr>
                <w:sz w:val="24"/>
                <w:szCs w:val="24"/>
              </w:rPr>
            </w:pPr>
          </w:p>
        </w:tc>
        <w:tc>
          <w:tcPr>
            <w:tcW w:w="900" w:type="dxa"/>
            <w:vAlign w:val="bottom"/>
          </w:tcPr>
          <w:p>
            <w:pPr>
              <w:spacing w:line="240" w:lineRule="exact"/>
              <w:ind w:left="520"/>
              <w:rPr>
                <w:sz w:val="20"/>
                <w:szCs w:val="20"/>
              </w:rPr>
            </w:pPr>
            <w:r>
              <w:rPr>
                <w:rFonts w:ascii="宋体" w:hAnsi="宋体" w:eastAsia="宋体" w:cs="宋体"/>
                <w:sz w:val="21"/>
                <w:szCs w:val="21"/>
              </w:rPr>
              <w:t>电</w:t>
            </w:r>
          </w:p>
        </w:tc>
        <w:tc>
          <w:tcPr>
            <w:tcW w:w="880" w:type="dxa"/>
            <w:gridSpan w:val="2"/>
            <w:vAlign w:val="bottom"/>
          </w:tcPr>
          <w:p>
            <w:pPr>
              <w:spacing w:line="240" w:lineRule="exact"/>
              <w:ind w:left="160"/>
              <w:rPr>
                <w:sz w:val="20"/>
                <w:szCs w:val="20"/>
              </w:rPr>
            </w:pPr>
            <w:r>
              <w:rPr>
                <w:rFonts w:ascii="宋体" w:hAnsi="宋体" w:eastAsia="宋体" w:cs="宋体"/>
                <w:sz w:val="21"/>
                <w:szCs w:val="21"/>
              </w:rPr>
              <w:t>话：</w:t>
            </w:r>
          </w:p>
        </w:tc>
        <w:tc>
          <w:tcPr>
            <w:tcW w:w="3460" w:type="dxa"/>
            <w:gridSpan w:val="4"/>
            <w:tcBorders>
              <w:top w:val="single" w:color="auto" w:sz="8" w:space="0"/>
            </w:tcBorders>
            <w:vAlign w:val="bottom"/>
          </w:tcPr>
          <w:p>
            <w:pPr>
              <w:rPr>
                <w:sz w:val="24"/>
                <w:szCs w:val="24"/>
              </w:rPr>
            </w:pPr>
          </w:p>
        </w:tc>
        <w:tc>
          <w:tcPr>
            <w:tcW w:w="80" w:type="dxa"/>
            <w:vAlign w:val="bottom"/>
          </w:tcPr>
          <w:p>
            <w:pPr>
              <w:rPr>
                <w:sz w:val="24"/>
                <w:szCs w:val="24"/>
              </w:rPr>
            </w:pPr>
          </w:p>
        </w:tc>
      </w:tr>
      <w:tr>
        <w:tblPrEx>
          <w:tblCellMar>
            <w:top w:w="0" w:type="dxa"/>
            <w:left w:w="0" w:type="dxa"/>
            <w:bottom w:w="0" w:type="dxa"/>
            <w:right w:w="0" w:type="dxa"/>
          </w:tblCellMar>
        </w:tblPrEx>
        <w:trPr>
          <w:trHeight w:val="20" w:hRule="atLeast"/>
        </w:trPr>
        <w:tc>
          <w:tcPr>
            <w:tcW w:w="840" w:type="dxa"/>
            <w:gridSpan w:val="2"/>
            <w:vAlign w:val="bottom"/>
          </w:tcPr>
          <w:p>
            <w:pPr>
              <w:spacing w:line="20" w:lineRule="exact"/>
              <w:rPr>
                <w:sz w:val="1"/>
                <w:szCs w:val="1"/>
              </w:rPr>
            </w:pPr>
          </w:p>
        </w:tc>
        <w:tc>
          <w:tcPr>
            <w:tcW w:w="220" w:type="dxa"/>
            <w:shd w:val="clear" w:color="auto" w:fill="000000"/>
            <w:vAlign w:val="bottom"/>
          </w:tcPr>
          <w:p>
            <w:pPr>
              <w:spacing w:line="20" w:lineRule="exact"/>
              <w:rPr>
                <w:sz w:val="1"/>
                <w:szCs w:val="1"/>
              </w:rPr>
            </w:pPr>
          </w:p>
        </w:tc>
        <w:tc>
          <w:tcPr>
            <w:tcW w:w="2860" w:type="dxa"/>
            <w:gridSpan w:val="4"/>
            <w:shd w:val="clear" w:color="auto" w:fill="000000"/>
            <w:vAlign w:val="bottom"/>
          </w:tcPr>
          <w:p>
            <w:pPr>
              <w:spacing w:line="20" w:lineRule="exact"/>
              <w:rPr>
                <w:sz w:val="1"/>
                <w:szCs w:val="1"/>
              </w:rPr>
            </w:pPr>
          </w:p>
        </w:tc>
        <w:tc>
          <w:tcPr>
            <w:tcW w:w="6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1580" w:type="dxa"/>
            <w:gridSpan w:val="2"/>
            <w:vAlign w:val="bottom"/>
          </w:tcPr>
          <w:p>
            <w:pPr>
              <w:spacing w:line="20" w:lineRule="exact"/>
              <w:rPr>
                <w:sz w:val="1"/>
                <w:szCs w:val="1"/>
              </w:rPr>
            </w:pPr>
          </w:p>
        </w:tc>
        <w:tc>
          <w:tcPr>
            <w:tcW w:w="3560" w:type="dxa"/>
            <w:gridSpan w:val="4"/>
            <w:shd w:val="clear" w:color="auto" w:fill="000000"/>
            <w:vAlign w:val="bottom"/>
          </w:tcPr>
          <w:p>
            <w:pPr>
              <w:spacing w:line="20" w:lineRule="exact"/>
              <w:rPr>
                <w:sz w:val="1"/>
                <w:szCs w:val="1"/>
              </w:rPr>
            </w:pPr>
          </w:p>
        </w:tc>
        <w:tc>
          <w:tcPr>
            <w:tcW w:w="180" w:type="dxa"/>
            <w:gridSpan w:val="2"/>
            <w:vAlign w:val="bottom"/>
          </w:tcPr>
          <w:p>
            <w:pPr>
              <w:spacing w:line="20" w:lineRule="exact"/>
              <w:rPr>
                <w:sz w:val="1"/>
                <w:szCs w:val="1"/>
              </w:rPr>
            </w:pPr>
          </w:p>
        </w:tc>
      </w:tr>
      <w:tr>
        <w:tblPrEx>
          <w:tblCellMar>
            <w:top w:w="0" w:type="dxa"/>
            <w:left w:w="0" w:type="dxa"/>
            <w:bottom w:w="0" w:type="dxa"/>
            <w:right w:w="0" w:type="dxa"/>
          </w:tblCellMar>
        </w:tblPrEx>
        <w:trPr>
          <w:trHeight w:val="320" w:hRule="atLeast"/>
        </w:trPr>
        <w:tc>
          <w:tcPr>
            <w:tcW w:w="1060" w:type="dxa"/>
            <w:gridSpan w:val="3"/>
            <w:vAlign w:val="bottom"/>
          </w:tcPr>
          <w:p>
            <w:pPr>
              <w:spacing w:line="240" w:lineRule="exact"/>
              <w:rPr>
                <w:sz w:val="20"/>
                <w:szCs w:val="20"/>
              </w:rPr>
            </w:pPr>
            <w:r>
              <w:rPr>
                <w:rFonts w:ascii="宋体" w:hAnsi="宋体" w:eastAsia="宋体" w:cs="宋体"/>
                <w:w w:val="99"/>
                <w:sz w:val="21"/>
                <w:szCs w:val="21"/>
              </w:rPr>
              <w:t>开户名称：</w:t>
            </w:r>
          </w:p>
        </w:tc>
        <w:tc>
          <w:tcPr>
            <w:tcW w:w="2860" w:type="dxa"/>
            <w:gridSpan w:val="4"/>
            <w:tcBorders>
              <w:bottom w:val="single" w:color="auto" w:sz="8" w:space="0"/>
            </w:tcBorders>
            <w:vAlign w:val="bottom"/>
          </w:tcPr>
          <w:p>
            <w:pPr>
              <w:rPr>
                <w:sz w:val="24"/>
                <w:szCs w:val="24"/>
              </w:rPr>
            </w:pPr>
          </w:p>
        </w:tc>
        <w:tc>
          <w:tcPr>
            <w:tcW w:w="6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1580" w:type="dxa"/>
            <w:gridSpan w:val="2"/>
            <w:vAlign w:val="bottom"/>
          </w:tcPr>
          <w:p>
            <w:pPr>
              <w:spacing w:line="240" w:lineRule="exact"/>
              <w:ind w:left="520"/>
              <w:rPr>
                <w:sz w:val="20"/>
                <w:szCs w:val="20"/>
              </w:rPr>
            </w:pPr>
            <w:r>
              <w:rPr>
                <w:rFonts w:ascii="宋体" w:hAnsi="宋体" w:eastAsia="宋体" w:cs="宋体"/>
                <w:w w:val="99"/>
                <w:sz w:val="21"/>
                <w:szCs w:val="21"/>
              </w:rPr>
              <w:t>开户名称：</w:t>
            </w:r>
          </w:p>
        </w:tc>
        <w:tc>
          <w:tcPr>
            <w:tcW w:w="3660" w:type="dxa"/>
            <w:gridSpan w:val="5"/>
            <w:tcBorders>
              <w:bottom w:val="single" w:color="auto" w:sz="8" w:space="0"/>
            </w:tcBorders>
            <w:vAlign w:val="bottom"/>
          </w:tcPr>
          <w:p>
            <w:pPr>
              <w:rPr>
                <w:sz w:val="24"/>
                <w:szCs w:val="24"/>
              </w:rPr>
            </w:pPr>
          </w:p>
        </w:tc>
        <w:tc>
          <w:tcPr>
            <w:tcW w:w="80" w:type="dxa"/>
            <w:vAlign w:val="bottom"/>
          </w:tcPr>
          <w:p>
            <w:pPr>
              <w:rPr>
                <w:sz w:val="24"/>
                <w:szCs w:val="24"/>
              </w:rPr>
            </w:pPr>
          </w:p>
        </w:tc>
      </w:tr>
      <w:tr>
        <w:tblPrEx>
          <w:tblCellMar>
            <w:top w:w="0" w:type="dxa"/>
            <w:left w:w="0" w:type="dxa"/>
            <w:bottom w:w="0" w:type="dxa"/>
            <w:right w:w="0" w:type="dxa"/>
          </w:tblCellMar>
        </w:tblPrEx>
        <w:trPr>
          <w:trHeight w:val="321" w:hRule="atLeast"/>
        </w:trPr>
        <w:tc>
          <w:tcPr>
            <w:tcW w:w="1060" w:type="dxa"/>
            <w:gridSpan w:val="3"/>
            <w:vAlign w:val="bottom"/>
          </w:tcPr>
          <w:p>
            <w:pPr>
              <w:spacing w:line="240" w:lineRule="exact"/>
              <w:rPr>
                <w:sz w:val="20"/>
                <w:szCs w:val="20"/>
              </w:rPr>
            </w:pPr>
            <w:r>
              <w:rPr>
                <w:rFonts w:ascii="宋体" w:hAnsi="宋体" w:eastAsia="宋体" w:cs="宋体"/>
                <w:w w:val="99"/>
                <w:sz w:val="21"/>
                <w:szCs w:val="21"/>
              </w:rPr>
              <w:t>开户银行：</w:t>
            </w:r>
          </w:p>
        </w:tc>
        <w:tc>
          <w:tcPr>
            <w:tcW w:w="2860" w:type="dxa"/>
            <w:gridSpan w:val="4"/>
            <w:tcBorders>
              <w:bottom w:val="single" w:color="auto" w:sz="8" w:space="0"/>
            </w:tcBorders>
            <w:vAlign w:val="bottom"/>
          </w:tcPr>
          <w:p>
            <w:pPr>
              <w:rPr>
                <w:sz w:val="24"/>
                <w:szCs w:val="24"/>
              </w:rPr>
            </w:pPr>
          </w:p>
        </w:tc>
        <w:tc>
          <w:tcPr>
            <w:tcW w:w="6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1580" w:type="dxa"/>
            <w:gridSpan w:val="2"/>
            <w:vAlign w:val="bottom"/>
          </w:tcPr>
          <w:p>
            <w:pPr>
              <w:spacing w:line="240" w:lineRule="exact"/>
              <w:ind w:left="520"/>
              <w:rPr>
                <w:sz w:val="20"/>
                <w:szCs w:val="20"/>
              </w:rPr>
            </w:pPr>
            <w:r>
              <w:rPr>
                <w:rFonts w:ascii="宋体" w:hAnsi="宋体" w:eastAsia="宋体" w:cs="宋体"/>
                <w:w w:val="99"/>
                <w:sz w:val="21"/>
                <w:szCs w:val="21"/>
              </w:rPr>
              <w:t>开户银行：</w:t>
            </w:r>
          </w:p>
        </w:tc>
        <w:tc>
          <w:tcPr>
            <w:tcW w:w="3660" w:type="dxa"/>
            <w:gridSpan w:val="5"/>
            <w:tcBorders>
              <w:bottom w:val="single" w:color="auto" w:sz="8" w:space="0"/>
            </w:tcBorders>
            <w:vAlign w:val="bottom"/>
          </w:tcPr>
          <w:p>
            <w:pPr>
              <w:rPr>
                <w:sz w:val="24"/>
                <w:szCs w:val="24"/>
              </w:rPr>
            </w:pPr>
          </w:p>
        </w:tc>
        <w:tc>
          <w:tcPr>
            <w:tcW w:w="80" w:type="dxa"/>
            <w:vAlign w:val="bottom"/>
          </w:tcPr>
          <w:p>
            <w:pPr>
              <w:rPr>
                <w:sz w:val="24"/>
                <w:szCs w:val="24"/>
              </w:rPr>
            </w:pPr>
          </w:p>
        </w:tc>
      </w:tr>
      <w:tr>
        <w:tblPrEx>
          <w:tblCellMar>
            <w:top w:w="0" w:type="dxa"/>
            <w:left w:w="0" w:type="dxa"/>
            <w:bottom w:w="0" w:type="dxa"/>
            <w:right w:w="0" w:type="dxa"/>
          </w:tblCellMar>
        </w:tblPrEx>
        <w:trPr>
          <w:trHeight w:val="320" w:hRule="atLeast"/>
        </w:trPr>
        <w:tc>
          <w:tcPr>
            <w:tcW w:w="1060" w:type="dxa"/>
            <w:gridSpan w:val="3"/>
            <w:vAlign w:val="bottom"/>
          </w:tcPr>
          <w:p>
            <w:pPr>
              <w:spacing w:line="240" w:lineRule="exact"/>
              <w:rPr>
                <w:sz w:val="20"/>
                <w:szCs w:val="20"/>
              </w:rPr>
            </w:pPr>
            <w:r>
              <w:rPr>
                <w:rFonts w:ascii="宋体" w:hAnsi="宋体" w:eastAsia="宋体" w:cs="宋体"/>
                <w:w w:val="99"/>
                <w:sz w:val="21"/>
                <w:szCs w:val="21"/>
              </w:rPr>
              <w:t>银行账号：</w:t>
            </w:r>
          </w:p>
        </w:tc>
        <w:tc>
          <w:tcPr>
            <w:tcW w:w="2860" w:type="dxa"/>
            <w:gridSpan w:val="4"/>
            <w:tcBorders>
              <w:bottom w:val="single" w:color="auto" w:sz="8" w:space="0"/>
            </w:tcBorders>
            <w:vAlign w:val="bottom"/>
          </w:tcPr>
          <w:p>
            <w:pPr>
              <w:rPr>
                <w:sz w:val="24"/>
                <w:szCs w:val="24"/>
              </w:rPr>
            </w:pPr>
          </w:p>
        </w:tc>
        <w:tc>
          <w:tcPr>
            <w:tcW w:w="6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1580" w:type="dxa"/>
            <w:gridSpan w:val="2"/>
            <w:vAlign w:val="bottom"/>
          </w:tcPr>
          <w:p>
            <w:pPr>
              <w:spacing w:line="240" w:lineRule="exact"/>
              <w:ind w:left="520"/>
              <w:rPr>
                <w:sz w:val="20"/>
                <w:szCs w:val="20"/>
              </w:rPr>
            </w:pPr>
            <w:r>
              <w:rPr>
                <w:rFonts w:ascii="宋体" w:hAnsi="宋体" w:eastAsia="宋体" w:cs="宋体"/>
                <w:w w:val="99"/>
                <w:sz w:val="21"/>
                <w:szCs w:val="21"/>
              </w:rPr>
              <w:t>银行账号：</w:t>
            </w:r>
          </w:p>
        </w:tc>
        <w:tc>
          <w:tcPr>
            <w:tcW w:w="3560" w:type="dxa"/>
            <w:gridSpan w:val="4"/>
            <w:tcBorders>
              <w:bottom w:val="single" w:color="auto" w:sz="8" w:space="0"/>
            </w:tcBorders>
            <w:vAlign w:val="bottom"/>
          </w:tcPr>
          <w:p>
            <w:pPr>
              <w:rPr>
                <w:sz w:val="24"/>
                <w:szCs w:val="24"/>
              </w:rPr>
            </w:pPr>
          </w:p>
        </w:tc>
        <w:tc>
          <w:tcPr>
            <w:tcW w:w="180" w:type="dxa"/>
            <w:gridSpan w:val="2"/>
            <w:vAlign w:val="bottom"/>
          </w:tcPr>
          <w:p>
            <w:pPr>
              <w:rPr>
                <w:sz w:val="24"/>
                <w:szCs w:val="24"/>
              </w:rPr>
            </w:pPr>
          </w:p>
        </w:tc>
      </w:tr>
      <w:tr>
        <w:tblPrEx>
          <w:tblCellMar>
            <w:top w:w="0" w:type="dxa"/>
            <w:left w:w="0" w:type="dxa"/>
            <w:bottom w:w="0" w:type="dxa"/>
            <w:right w:w="0" w:type="dxa"/>
          </w:tblCellMar>
        </w:tblPrEx>
        <w:trPr>
          <w:trHeight w:val="320" w:hRule="atLeast"/>
        </w:trPr>
        <w:tc>
          <w:tcPr>
            <w:tcW w:w="320" w:type="dxa"/>
            <w:vAlign w:val="bottom"/>
          </w:tcPr>
          <w:p>
            <w:pPr>
              <w:spacing w:line="240" w:lineRule="exact"/>
              <w:rPr>
                <w:sz w:val="20"/>
                <w:szCs w:val="20"/>
              </w:rPr>
            </w:pPr>
            <w:r>
              <w:rPr>
                <w:rFonts w:ascii="宋体" w:hAnsi="宋体" w:eastAsia="宋体" w:cs="宋体"/>
                <w:sz w:val="21"/>
                <w:szCs w:val="21"/>
              </w:rPr>
              <w:t>日</w:t>
            </w:r>
          </w:p>
        </w:tc>
        <w:tc>
          <w:tcPr>
            <w:tcW w:w="740" w:type="dxa"/>
            <w:gridSpan w:val="2"/>
            <w:vAlign w:val="bottom"/>
          </w:tcPr>
          <w:p>
            <w:pPr>
              <w:spacing w:line="240" w:lineRule="exact"/>
              <w:ind w:left="320"/>
              <w:rPr>
                <w:sz w:val="20"/>
                <w:szCs w:val="20"/>
              </w:rPr>
            </w:pPr>
            <w:r>
              <w:rPr>
                <w:rFonts w:ascii="宋体" w:hAnsi="宋体" w:eastAsia="宋体" w:cs="宋体"/>
                <w:w w:val="95"/>
                <w:sz w:val="21"/>
                <w:szCs w:val="21"/>
              </w:rPr>
              <w:t>期：</w:t>
            </w:r>
          </w:p>
        </w:tc>
        <w:tc>
          <w:tcPr>
            <w:tcW w:w="2860" w:type="dxa"/>
            <w:gridSpan w:val="4"/>
            <w:tcBorders>
              <w:bottom w:val="single" w:color="auto" w:sz="8" w:space="0"/>
            </w:tcBorders>
            <w:vAlign w:val="bottom"/>
          </w:tcPr>
          <w:p>
            <w:pPr>
              <w:rPr>
                <w:sz w:val="24"/>
                <w:szCs w:val="24"/>
              </w:rPr>
            </w:pPr>
          </w:p>
        </w:tc>
        <w:tc>
          <w:tcPr>
            <w:tcW w:w="6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900" w:type="dxa"/>
            <w:vAlign w:val="bottom"/>
          </w:tcPr>
          <w:p>
            <w:pPr>
              <w:spacing w:line="240" w:lineRule="exact"/>
              <w:ind w:left="520"/>
              <w:rPr>
                <w:sz w:val="20"/>
                <w:szCs w:val="20"/>
              </w:rPr>
            </w:pPr>
            <w:r>
              <w:rPr>
                <w:rFonts w:ascii="宋体" w:hAnsi="宋体" w:eastAsia="宋体" w:cs="宋体"/>
                <w:sz w:val="21"/>
                <w:szCs w:val="21"/>
              </w:rPr>
              <w:t>日</w:t>
            </w:r>
          </w:p>
        </w:tc>
        <w:tc>
          <w:tcPr>
            <w:tcW w:w="680" w:type="dxa"/>
            <w:vAlign w:val="bottom"/>
          </w:tcPr>
          <w:p>
            <w:pPr>
              <w:spacing w:line="240" w:lineRule="exact"/>
              <w:ind w:left="260"/>
              <w:rPr>
                <w:sz w:val="20"/>
                <w:szCs w:val="20"/>
              </w:rPr>
            </w:pPr>
            <w:r>
              <w:rPr>
                <w:rFonts w:ascii="宋体" w:hAnsi="宋体" w:eastAsia="宋体" w:cs="宋体"/>
                <w:w w:val="95"/>
                <w:sz w:val="21"/>
                <w:szCs w:val="21"/>
              </w:rPr>
              <w:t>期：</w:t>
            </w:r>
          </w:p>
        </w:tc>
        <w:tc>
          <w:tcPr>
            <w:tcW w:w="3660" w:type="dxa"/>
            <w:gridSpan w:val="5"/>
            <w:tcBorders>
              <w:bottom w:val="single" w:color="auto" w:sz="8" w:space="0"/>
            </w:tcBorders>
            <w:vAlign w:val="bottom"/>
          </w:tcPr>
          <w:p>
            <w:pPr>
              <w:rPr>
                <w:sz w:val="24"/>
                <w:szCs w:val="24"/>
              </w:rPr>
            </w:pPr>
          </w:p>
        </w:tc>
        <w:tc>
          <w:tcPr>
            <w:tcW w:w="80" w:type="dxa"/>
            <w:vAlign w:val="bottom"/>
          </w:tcPr>
          <w:p>
            <w:pPr>
              <w:rPr>
                <w:sz w:val="24"/>
                <w:szCs w:val="24"/>
              </w:rPr>
            </w:pPr>
          </w:p>
        </w:tc>
      </w:tr>
    </w:tbl>
    <w:p>
      <w:pPr>
        <w:spacing w:line="87" w:lineRule="exact"/>
        <w:rPr>
          <w:sz w:val="20"/>
          <w:szCs w:val="20"/>
        </w:rPr>
      </w:pPr>
    </w:p>
    <w:p>
      <w:pPr>
        <w:spacing w:line="240" w:lineRule="exact"/>
        <w:rPr>
          <w:rFonts w:ascii="宋体" w:hAnsi="宋体" w:eastAsia="宋体" w:cs="宋体"/>
          <w:b/>
          <w:bCs/>
          <w:sz w:val="21"/>
          <w:szCs w:val="21"/>
        </w:rPr>
      </w:pPr>
      <w:r>
        <w:rPr>
          <w:rFonts w:ascii="宋体" w:hAnsi="宋体" w:eastAsia="宋体" w:cs="宋体"/>
          <w:b/>
          <w:bCs/>
          <w:sz w:val="21"/>
          <w:szCs w:val="21"/>
        </w:rPr>
        <w:t>（双方对合同签署时间无异议</w:t>
      </w:r>
    </w:p>
    <w:p>
      <w:pPr>
        <w:spacing w:line="366" w:lineRule="exact"/>
        <w:jc w:val="both"/>
        <w:rPr>
          <w:rFonts w:ascii="宋体" w:hAnsi="宋体" w:eastAsia="宋体" w:cs="宋体"/>
          <w:b/>
          <w:bCs/>
          <w:sz w:val="32"/>
          <w:szCs w:val="32"/>
        </w:rPr>
      </w:pPr>
    </w:p>
    <w:p>
      <w:pPr>
        <w:spacing w:line="366" w:lineRule="exact"/>
        <w:jc w:val="center"/>
        <w:rPr>
          <w:sz w:val="20"/>
          <w:szCs w:val="20"/>
        </w:rPr>
      </w:pPr>
      <w:r>
        <w:rPr>
          <w:rFonts w:ascii="宋体" w:hAnsi="宋体" w:eastAsia="宋体" w:cs="宋体"/>
          <w:b/>
          <w:bCs/>
          <w:sz w:val="32"/>
          <w:szCs w:val="32"/>
        </w:rPr>
        <w:t>第六章 响应文件（格式）</w:t>
      </w:r>
    </w:p>
    <w:p>
      <w:pPr>
        <w:spacing w:line="284" w:lineRule="exact"/>
        <w:rPr>
          <w:sz w:val="20"/>
          <w:szCs w:val="20"/>
        </w:rPr>
      </w:pPr>
    </w:p>
    <w:p>
      <w:pPr>
        <w:spacing w:line="320" w:lineRule="exact"/>
        <w:rPr>
          <w:sz w:val="20"/>
          <w:szCs w:val="20"/>
        </w:rPr>
      </w:pPr>
      <w:r>
        <w:rPr>
          <w:rFonts w:ascii="宋体" w:hAnsi="宋体" w:eastAsia="宋体" w:cs="宋体"/>
          <w:b/>
          <w:bCs/>
          <w:sz w:val="28"/>
          <w:szCs w:val="28"/>
        </w:rPr>
        <w:t>1、响应函（格式见附件）（必须提供）；</w:t>
      </w:r>
    </w:p>
    <w:p>
      <w:pPr>
        <w:spacing w:line="302" w:lineRule="exact"/>
        <w:rPr>
          <w:sz w:val="20"/>
          <w:szCs w:val="20"/>
        </w:rPr>
      </w:pPr>
    </w:p>
    <w:p>
      <w:pPr>
        <w:spacing w:line="274" w:lineRule="exact"/>
        <w:rPr>
          <w:sz w:val="20"/>
          <w:szCs w:val="20"/>
        </w:rPr>
      </w:pPr>
      <w:r>
        <w:rPr>
          <w:rFonts w:ascii="宋体" w:hAnsi="宋体" w:eastAsia="宋体" w:cs="宋体"/>
          <w:b/>
          <w:bCs/>
          <w:sz w:val="24"/>
          <w:szCs w:val="24"/>
        </w:rPr>
        <w:t>附件：</w:t>
      </w:r>
    </w:p>
    <w:p>
      <w:pPr>
        <w:spacing w:line="144" w:lineRule="exact"/>
        <w:rPr>
          <w:sz w:val="20"/>
          <w:szCs w:val="20"/>
        </w:rPr>
      </w:pPr>
    </w:p>
    <w:p>
      <w:pPr>
        <w:spacing w:line="366" w:lineRule="exact"/>
        <w:ind w:left="3660"/>
        <w:rPr>
          <w:sz w:val="20"/>
          <w:szCs w:val="20"/>
        </w:rPr>
      </w:pPr>
      <w:r>
        <w:rPr>
          <w:rFonts w:ascii="宋体" w:hAnsi="宋体" w:eastAsia="宋体" w:cs="宋体"/>
          <w:b/>
          <w:bCs/>
          <w:sz w:val="32"/>
          <w:szCs w:val="32"/>
        </w:rPr>
        <w:t>响 应 函 （格 式）</w:t>
      </w:r>
    </w:p>
    <w:p>
      <w:pPr>
        <w:spacing w:line="246" w:lineRule="exact"/>
        <w:rPr>
          <w:sz w:val="20"/>
          <w:szCs w:val="20"/>
        </w:rPr>
      </w:pPr>
    </w:p>
    <w:p>
      <w:pPr>
        <w:spacing w:line="240" w:lineRule="exact"/>
        <w:rPr>
          <w:rFonts w:eastAsia="宋体"/>
          <w:sz w:val="20"/>
          <w:szCs w:val="20"/>
        </w:rPr>
      </w:pPr>
      <w:r>
        <w:rPr>
          <w:rFonts w:ascii="宋体" w:hAnsi="宋体" w:eastAsia="宋体" w:cs="宋体"/>
          <w:sz w:val="21"/>
          <w:szCs w:val="21"/>
        </w:rPr>
        <w:t>致</w:t>
      </w:r>
      <w:r>
        <w:rPr>
          <w:rFonts w:ascii="宋体" w:hAnsi="宋体" w:eastAsia="宋体" w:cs="宋体"/>
          <w:sz w:val="21"/>
          <w:szCs w:val="21"/>
          <w:u w:val="single"/>
        </w:rPr>
        <w:t>：</w:t>
      </w:r>
      <w:r>
        <w:rPr>
          <w:rFonts w:hint="eastAsia" w:ascii="宋体" w:hAnsi="宋体" w:eastAsia="宋体" w:cs="宋体"/>
          <w:sz w:val="21"/>
          <w:szCs w:val="21"/>
          <w:u w:val="single"/>
        </w:rPr>
        <w:t>广西八桂建设项目管理有限公司</w:t>
      </w:r>
    </w:p>
    <w:p>
      <w:pPr>
        <w:spacing w:line="172" w:lineRule="exact"/>
        <w:rPr>
          <w:sz w:val="20"/>
          <w:szCs w:val="20"/>
        </w:rPr>
      </w:pPr>
    </w:p>
    <w:p>
      <w:pPr>
        <w:spacing w:line="294" w:lineRule="exact"/>
        <w:ind w:firstLine="420"/>
        <w:rPr>
          <w:sz w:val="20"/>
          <w:szCs w:val="20"/>
        </w:rPr>
      </w:pPr>
      <w:r>
        <w:rPr>
          <w:rFonts w:ascii="宋体" w:hAnsi="宋体" w:eastAsia="宋体" w:cs="宋体"/>
          <w:sz w:val="21"/>
          <w:szCs w:val="21"/>
        </w:rPr>
        <w:t>根据贵方</w:t>
      </w:r>
      <w:r>
        <w:rPr>
          <w:rFonts w:hint="eastAsia" w:ascii="宋体" w:hAnsi="宋体" w:eastAsia="宋体" w:cs="宋体"/>
          <w:sz w:val="21"/>
          <w:szCs w:val="21"/>
          <w:u w:val="single"/>
        </w:rPr>
        <w:t>灵川县潭下镇人民政府雪亮工程项目</w:t>
      </w:r>
      <w:r>
        <w:rPr>
          <w:rFonts w:ascii="宋体" w:hAnsi="宋体" w:eastAsia="宋体" w:cs="宋体"/>
          <w:sz w:val="21"/>
          <w:szCs w:val="21"/>
        </w:rPr>
        <w:t>磋商文件，项目编号</w:t>
      </w:r>
      <w:r>
        <w:rPr>
          <w:rFonts w:hint="eastAsia" w:ascii="宋体" w:hAnsi="宋体" w:eastAsia="宋体" w:cs="宋体"/>
          <w:sz w:val="21"/>
          <w:szCs w:val="21"/>
          <w:u w:val="single"/>
          <w:lang w:val="en-US" w:eastAsia="zh-CN"/>
        </w:rPr>
        <w:t xml:space="preserve">       </w:t>
      </w:r>
      <w:r>
        <w:rPr>
          <w:rFonts w:ascii="宋体" w:hAnsi="宋体" w:eastAsia="宋体" w:cs="宋体"/>
          <w:sz w:val="21"/>
          <w:szCs w:val="21"/>
        </w:rPr>
        <w:t xml:space="preserve">，签字代表（姓名）经正式授权并代表供应商 </w:t>
      </w:r>
      <w:r>
        <w:rPr>
          <w:rFonts w:ascii="宋体" w:hAnsi="宋体" w:eastAsia="宋体" w:cs="宋体"/>
          <w:sz w:val="21"/>
          <w:szCs w:val="21"/>
          <w:u w:val="single"/>
        </w:rPr>
        <w:t>（供应商单位名称）</w:t>
      </w:r>
      <w:r>
        <w:rPr>
          <w:rFonts w:ascii="宋体" w:hAnsi="宋体" w:eastAsia="宋体" w:cs="宋体"/>
          <w:sz w:val="21"/>
          <w:szCs w:val="21"/>
        </w:rPr>
        <w:t xml:space="preserve"> ，提交响应文件正本一份，副本叁份。</w:t>
      </w:r>
    </w:p>
    <w:p>
      <w:pPr>
        <w:spacing w:line="142" w:lineRule="exact"/>
        <w:rPr>
          <w:sz w:val="20"/>
          <w:szCs w:val="20"/>
        </w:rPr>
      </w:pPr>
    </w:p>
    <w:p>
      <w:pPr>
        <w:spacing w:line="240" w:lineRule="exact"/>
        <w:ind w:left="420"/>
        <w:rPr>
          <w:sz w:val="20"/>
          <w:szCs w:val="20"/>
        </w:rPr>
      </w:pPr>
      <w:r>
        <w:rPr>
          <w:rFonts w:ascii="宋体" w:hAnsi="宋体" w:eastAsia="宋体" w:cs="宋体"/>
          <w:sz w:val="21"/>
          <w:szCs w:val="21"/>
        </w:rPr>
        <w:t>据此函，签字代表宣布同意如下：</w:t>
      </w:r>
    </w:p>
    <w:p>
      <w:pPr>
        <w:spacing w:line="140" w:lineRule="exact"/>
        <w:rPr>
          <w:sz w:val="20"/>
          <w:szCs w:val="20"/>
        </w:rPr>
      </w:pPr>
    </w:p>
    <w:p>
      <w:pPr>
        <w:spacing w:line="240" w:lineRule="exact"/>
        <w:ind w:left="420"/>
        <w:rPr>
          <w:sz w:val="20"/>
          <w:szCs w:val="20"/>
        </w:rPr>
      </w:pPr>
      <w:r>
        <w:rPr>
          <w:rFonts w:ascii="宋体" w:hAnsi="宋体" w:eastAsia="宋体" w:cs="宋体"/>
          <w:sz w:val="21"/>
          <w:szCs w:val="21"/>
        </w:rPr>
        <w:t>1.按磋商文件采购需求和磋商报价表：</w:t>
      </w:r>
    </w:p>
    <w:p>
      <w:pPr>
        <w:spacing w:line="141" w:lineRule="exact"/>
        <w:rPr>
          <w:sz w:val="20"/>
          <w:szCs w:val="20"/>
        </w:rPr>
      </w:pPr>
    </w:p>
    <w:p>
      <w:pPr>
        <w:tabs>
          <w:tab w:val="left" w:pos="3760"/>
          <w:tab w:val="left" w:pos="6400"/>
        </w:tabs>
        <w:spacing w:line="240" w:lineRule="exact"/>
        <w:ind w:left="420"/>
        <w:rPr>
          <w:sz w:val="20"/>
          <w:szCs w:val="20"/>
        </w:rPr>
      </w:pPr>
      <w:r>
        <w:rPr>
          <w:rFonts w:ascii="宋体" w:hAnsi="宋体" w:eastAsia="宋体" w:cs="宋体"/>
          <w:sz w:val="21"/>
          <w:szCs w:val="21"/>
        </w:rPr>
        <w:t>磋商报价（大写）</w:t>
      </w:r>
      <w:r>
        <w:rPr>
          <w:sz w:val="20"/>
          <w:szCs w:val="20"/>
        </w:rPr>
        <w:tab/>
      </w:r>
      <w:r>
        <w:rPr>
          <w:rFonts w:ascii="宋体" w:hAnsi="宋体" w:eastAsia="宋体" w:cs="宋体"/>
          <w:sz w:val="21"/>
          <w:szCs w:val="21"/>
        </w:rPr>
        <w:t>元人民币(￥</w:t>
      </w:r>
      <w:r>
        <w:rPr>
          <w:sz w:val="20"/>
          <w:szCs w:val="20"/>
        </w:rPr>
        <w:tab/>
      </w:r>
      <w:r>
        <w:rPr>
          <w:rFonts w:ascii="宋体" w:hAnsi="宋体" w:eastAsia="宋体" w:cs="宋体"/>
          <w:sz w:val="19"/>
          <w:szCs w:val="19"/>
        </w:rPr>
        <w:t>)；</w:t>
      </w:r>
    </w:p>
    <w:p>
      <w:pPr>
        <w:spacing w:line="20" w:lineRule="exact"/>
        <w:rPr>
          <w:sz w:val="20"/>
          <w:szCs w:val="20"/>
        </w:rPr>
      </w:pPr>
      <w:r>
        <w:rPr>
          <w:sz w:val="20"/>
          <w:szCs w:val="20"/>
        </w:rPr>
        <w:pict>
          <v:line id="Shape 38" o:spid="_x0000_s1040" o:spt="20" style="position:absolute;left:0pt;margin-left:105.3pt;margin-top:0.4pt;height:0pt;width:83.95pt;z-index:-251662336;mso-width-relative:page;mso-height-relative:page;" filled="t" coordsize="21600,21600" o:allowincell="f" o:gfxdata="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F/R+0wAAAAUBAAAPAAAAAAAAAAEAIAAAACIA&#10;AABkcnMvZG93bnJldi54bWxQSwECFAAUAAAACACHTuJAZ1XUL5wBAABbAwAADgAAAAAAAAABACAA&#10;AAAiAQAAZHJzL2Uyb0RvYy54bWxQSwUGAAAAAAYABgBZAQAAMAUAAAAA&#10;">
            <v:path arrowok="t"/>
            <v:fill on="t" focussize="0,0"/>
            <v:stroke weight="0.53992125984252pt" joinstyle="miter"/>
            <v:imagedata o:title=""/>
            <o:lock v:ext="edit"/>
          </v:line>
        </w:pict>
      </w:r>
      <w:r>
        <w:rPr>
          <w:sz w:val="20"/>
          <w:szCs w:val="20"/>
        </w:rPr>
        <w:pict>
          <v:line id="Shape 39" o:spid="_x0000_s1039" o:spt="20" style="position:absolute;left:0pt;margin-left:247pt;margin-top:0.4pt;height:0pt;width:73.5pt;z-index:-251661312;mso-width-relative:page;mso-height-relative:page;" filled="t" coordsize="21600,21600" o:allowincell="f" o:gfxdata="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YSUcl0wAAAAUBAAAPAAAAAAAAAAEAIAAAACIA&#10;AABkcnMvZG93bnJldi54bWxQSwECFAAUAAAACACHTuJA3yNee5wBAABaAwAADgAAAAAAAAABACAA&#10;AAAiAQAAZHJzL2Uyb0RvYy54bWxQSwUGAAAAAAYABgBZAQAAMAUAAAAA&#10;">
            <v:path arrowok="t"/>
            <v:fill on="t" focussize="0,0"/>
            <v:stroke weight="0.53992125984252pt" joinstyle="miter"/>
            <v:imagedata o:title=""/>
            <o:lock v:ext="edit"/>
          </v:line>
        </w:pict>
      </w:r>
    </w:p>
    <w:p>
      <w:pPr>
        <w:spacing w:line="121" w:lineRule="exact"/>
        <w:rPr>
          <w:sz w:val="20"/>
          <w:szCs w:val="20"/>
        </w:rPr>
      </w:pPr>
    </w:p>
    <w:p>
      <w:pPr>
        <w:spacing w:line="240" w:lineRule="exact"/>
        <w:ind w:left="420"/>
        <w:rPr>
          <w:sz w:val="20"/>
          <w:szCs w:val="20"/>
        </w:rPr>
      </w:pPr>
      <w:r>
        <w:rPr>
          <w:rFonts w:ascii="宋体" w:hAnsi="宋体" w:eastAsia="宋体" w:cs="宋体"/>
          <w:sz w:val="21"/>
          <w:szCs w:val="21"/>
        </w:rPr>
        <w:t>2.我方承诺已具备磋商文件规定的供应商资格条件。</w:t>
      </w:r>
    </w:p>
    <w:p>
      <w:pPr>
        <w:spacing w:line="172" w:lineRule="exact"/>
        <w:rPr>
          <w:sz w:val="20"/>
          <w:szCs w:val="20"/>
        </w:rPr>
      </w:pPr>
    </w:p>
    <w:p>
      <w:pPr>
        <w:spacing w:line="294" w:lineRule="exact"/>
        <w:ind w:firstLine="420"/>
        <w:rPr>
          <w:sz w:val="20"/>
          <w:szCs w:val="20"/>
        </w:rPr>
      </w:pPr>
      <w:r>
        <w:rPr>
          <w:rFonts w:ascii="宋体" w:hAnsi="宋体" w:eastAsia="宋体" w:cs="宋体"/>
          <w:sz w:val="21"/>
          <w:szCs w:val="21"/>
        </w:rPr>
        <w:t>3.我方已详细审核磋商文件，包括修改文件（如有的话）和有关附件，将自行承担因对全部磋商文件理解不正确或误解而产生的相应后果。</w:t>
      </w:r>
    </w:p>
    <w:p>
      <w:pPr>
        <w:spacing w:line="142" w:lineRule="exact"/>
        <w:rPr>
          <w:sz w:val="20"/>
          <w:szCs w:val="20"/>
        </w:rPr>
      </w:pPr>
    </w:p>
    <w:p>
      <w:pPr>
        <w:spacing w:line="240" w:lineRule="exact"/>
        <w:ind w:left="420"/>
        <w:rPr>
          <w:sz w:val="20"/>
          <w:szCs w:val="20"/>
        </w:rPr>
      </w:pPr>
      <w:r>
        <w:rPr>
          <w:rFonts w:ascii="宋体" w:hAnsi="宋体" w:eastAsia="宋体" w:cs="宋体"/>
          <w:sz w:val="21"/>
          <w:szCs w:val="21"/>
        </w:rPr>
        <w:t>4.响应文件有效期为响应文件递交截止时间之日起</w:t>
      </w:r>
      <w:r>
        <w:rPr>
          <w:rFonts w:hint="eastAsia" w:ascii="宋体" w:hAnsi="宋体" w:eastAsia="宋体" w:cs="宋体"/>
          <w:sz w:val="21"/>
          <w:szCs w:val="21"/>
        </w:rPr>
        <w:t>60</w:t>
      </w:r>
      <w:r>
        <w:rPr>
          <w:rFonts w:ascii="宋体" w:hAnsi="宋体" w:eastAsia="宋体" w:cs="宋体"/>
          <w:sz w:val="21"/>
          <w:szCs w:val="21"/>
        </w:rPr>
        <w:t>天。</w:t>
      </w:r>
    </w:p>
    <w:p>
      <w:pPr>
        <w:spacing w:line="140" w:lineRule="exact"/>
        <w:rPr>
          <w:sz w:val="20"/>
          <w:szCs w:val="20"/>
        </w:rPr>
      </w:pPr>
    </w:p>
    <w:p>
      <w:pPr>
        <w:spacing w:line="240" w:lineRule="exact"/>
        <w:ind w:left="420"/>
        <w:rPr>
          <w:sz w:val="20"/>
          <w:szCs w:val="20"/>
        </w:rPr>
      </w:pPr>
      <w:r>
        <w:rPr>
          <w:rFonts w:ascii="宋体" w:hAnsi="宋体" w:eastAsia="宋体" w:cs="宋体"/>
          <w:sz w:val="21"/>
          <w:szCs w:val="21"/>
        </w:rPr>
        <w:t>5.如我方成交：</w:t>
      </w:r>
    </w:p>
    <w:p>
      <w:pPr>
        <w:spacing w:line="141" w:lineRule="exact"/>
        <w:rPr>
          <w:sz w:val="20"/>
          <w:szCs w:val="20"/>
        </w:rPr>
      </w:pPr>
    </w:p>
    <w:p>
      <w:pPr>
        <w:spacing w:line="240" w:lineRule="exact"/>
        <w:ind w:left="420"/>
        <w:rPr>
          <w:sz w:val="20"/>
          <w:szCs w:val="20"/>
        </w:rPr>
      </w:pPr>
      <w:r>
        <w:rPr>
          <w:rFonts w:ascii="宋体" w:hAnsi="宋体" w:eastAsia="宋体" w:cs="宋体"/>
          <w:sz w:val="21"/>
          <w:szCs w:val="21"/>
        </w:rPr>
        <w:t>（1）我方承诺在收到成交通知书后，在成交通知书规定的期限内与采购人签订合同。</w:t>
      </w:r>
    </w:p>
    <w:p>
      <w:pPr>
        <w:spacing w:line="141" w:lineRule="exact"/>
        <w:rPr>
          <w:sz w:val="20"/>
          <w:szCs w:val="20"/>
        </w:rPr>
      </w:pPr>
    </w:p>
    <w:p>
      <w:pPr>
        <w:spacing w:line="240" w:lineRule="exact"/>
        <w:ind w:left="420"/>
        <w:rPr>
          <w:sz w:val="20"/>
          <w:szCs w:val="20"/>
        </w:rPr>
      </w:pPr>
      <w:r>
        <w:rPr>
          <w:rFonts w:ascii="宋体" w:hAnsi="宋体" w:eastAsia="宋体" w:cs="宋体"/>
          <w:sz w:val="21"/>
          <w:szCs w:val="21"/>
        </w:rPr>
        <w:t>（2）我方承诺按照磋商文件规定递交履约担保。</w:t>
      </w:r>
    </w:p>
    <w:p>
      <w:pPr>
        <w:spacing w:line="172" w:lineRule="exact"/>
        <w:rPr>
          <w:sz w:val="20"/>
          <w:szCs w:val="20"/>
        </w:rPr>
      </w:pPr>
    </w:p>
    <w:p>
      <w:pPr>
        <w:spacing w:line="294" w:lineRule="exact"/>
        <w:ind w:firstLine="420"/>
        <w:rPr>
          <w:sz w:val="20"/>
          <w:szCs w:val="20"/>
        </w:rPr>
      </w:pPr>
      <w:r>
        <w:rPr>
          <w:rFonts w:ascii="宋体" w:hAnsi="宋体" w:eastAsia="宋体" w:cs="宋体"/>
          <w:sz w:val="21"/>
          <w:szCs w:val="21"/>
        </w:rPr>
        <w:t>（3）我方承诺本响应文件至本项目合同履行完毕止均保持有效，按磋商文件及政府采购法律、法规的规定履行合同责任和义务。</w:t>
      </w:r>
    </w:p>
    <w:p>
      <w:pPr>
        <w:spacing w:line="142" w:lineRule="exact"/>
        <w:rPr>
          <w:sz w:val="20"/>
          <w:szCs w:val="20"/>
        </w:rPr>
      </w:pPr>
    </w:p>
    <w:p>
      <w:pPr>
        <w:spacing w:line="240" w:lineRule="exact"/>
        <w:ind w:left="420"/>
        <w:rPr>
          <w:sz w:val="20"/>
          <w:szCs w:val="20"/>
        </w:rPr>
      </w:pPr>
      <w:r>
        <w:rPr>
          <w:rFonts w:ascii="宋体" w:hAnsi="宋体" w:eastAsia="宋体" w:cs="宋体"/>
          <w:sz w:val="21"/>
          <w:szCs w:val="21"/>
        </w:rPr>
        <w:t>与本项目有关的正式通讯地址为：</w:t>
      </w:r>
    </w:p>
    <w:p>
      <w:pPr>
        <w:spacing w:line="200" w:lineRule="exact"/>
        <w:rPr>
          <w:sz w:val="20"/>
          <w:szCs w:val="20"/>
        </w:rPr>
      </w:pPr>
    </w:p>
    <w:p>
      <w:pPr>
        <w:spacing w:line="320" w:lineRule="exact"/>
        <w:rPr>
          <w:sz w:val="20"/>
          <w:szCs w:val="20"/>
        </w:rPr>
      </w:pPr>
    </w:p>
    <w:tbl>
      <w:tblPr>
        <w:tblStyle w:val="9"/>
        <w:tblW w:w="0" w:type="auto"/>
        <w:tblInd w:w="420" w:type="dxa"/>
        <w:tblLayout w:type="fixed"/>
        <w:tblCellMar>
          <w:top w:w="0" w:type="dxa"/>
          <w:left w:w="0" w:type="dxa"/>
          <w:bottom w:w="0" w:type="dxa"/>
          <w:right w:w="0" w:type="dxa"/>
        </w:tblCellMar>
      </w:tblPr>
      <w:tblGrid>
        <w:gridCol w:w="640"/>
        <w:gridCol w:w="420"/>
        <w:gridCol w:w="1780"/>
        <w:gridCol w:w="1360"/>
        <w:gridCol w:w="420"/>
        <w:gridCol w:w="320"/>
        <w:gridCol w:w="100"/>
        <w:gridCol w:w="120"/>
        <w:gridCol w:w="840"/>
        <w:gridCol w:w="1460"/>
      </w:tblGrid>
      <w:tr>
        <w:tblPrEx>
          <w:tblCellMar>
            <w:top w:w="0" w:type="dxa"/>
            <w:left w:w="0" w:type="dxa"/>
            <w:bottom w:w="0" w:type="dxa"/>
            <w:right w:w="0" w:type="dxa"/>
          </w:tblCellMar>
        </w:tblPrEx>
        <w:trPr>
          <w:trHeight w:val="242" w:hRule="atLeast"/>
        </w:trPr>
        <w:tc>
          <w:tcPr>
            <w:tcW w:w="640" w:type="dxa"/>
            <w:vAlign w:val="bottom"/>
          </w:tcPr>
          <w:p>
            <w:pPr>
              <w:spacing w:line="240" w:lineRule="exact"/>
              <w:rPr>
                <w:sz w:val="20"/>
                <w:szCs w:val="20"/>
              </w:rPr>
            </w:pPr>
            <w:r>
              <w:rPr>
                <w:rFonts w:ascii="宋体" w:hAnsi="宋体" w:eastAsia="宋体" w:cs="宋体"/>
                <w:w w:val="98"/>
                <w:sz w:val="21"/>
                <w:szCs w:val="21"/>
              </w:rPr>
              <w:t>地址：</w:t>
            </w:r>
          </w:p>
        </w:tc>
        <w:tc>
          <w:tcPr>
            <w:tcW w:w="3560" w:type="dxa"/>
            <w:gridSpan w:val="3"/>
            <w:tcBorders>
              <w:bottom w:val="single" w:color="auto" w:sz="8" w:space="0"/>
            </w:tcBorders>
            <w:vAlign w:val="bottom"/>
          </w:tcPr>
          <w:p>
            <w:pPr>
              <w:rPr>
                <w:sz w:val="21"/>
                <w:szCs w:val="21"/>
              </w:rPr>
            </w:pPr>
          </w:p>
        </w:tc>
        <w:tc>
          <w:tcPr>
            <w:tcW w:w="740" w:type="dxa"/>
            <w:gridSpan w:val="2"/>
            <w:vAlign w:val="bottom"/>
          </w:tcPr>
          <w:p>
            <w:pPr>
              <w:spacing w:line="240" w:lineRule="exact"/>
              <w:ind w:left="120"/>
              <w:rPr>
                <w:sz w:val="20"/>
                <w:szCs w:val="20"/>
              </w:rPr>
            </w:pPr>
            <w:r>
              <w:rPr>
                <w:rFonts w:ascii="宋体" w:hAnsi="宋体" w:eastAsia="宋体" w:cs="宋体"/>
                <w:w w:val="95"/>
                <w:sz w:val="21"/>
                <w:szCs w:val="21"/>
              </w:rPr>
              <w:t>邮编：</w:t>
            </w:r>
          </w:p>
        </w:tc>
        <w:tc>
          <w:tcPr>
            <w:tcW w:w="100" w:type="dxa"/>
            <w:tcBorders>
              <w:bottom w:val="single" w:color="auto" w:sz="8" w:space="0"/>
            </w:tcBorders>
            <w:vAlign w:val="bottom"/>
          </w:tcPr>
          <w:p>
            <w:pPr>
              <w:rPr>
                <w:sz w:val="21"/>
                <w:szCs w:val="21"/>
              </w:rPr>
            </w:pPr>
          </w:p>
        </w:tc>
        <w:tc>
          <w:tcPr>
            <w:tcW w:w="120" w:type="dxa"/>
            <w:tcBorders>
              <w:bottom w:val="single" w:color="auto" w:sz="8" w:space="0"/>
            </w:tcBorders>
            <w:vAlign w:val="bottom"/>
          </w:tcPr>
          <w:p>
            <w:pPr>
              <w:rPr>
                <w:sz w:val="21"/>
                <w:szCs w:val="21"/>
              </w:rPr>
            </w:pPr>
          </w:p>
        </w:tc>
        <w:tc>
          <w:tcPr>
            <w:tcW w:w="840" w:type="dxa"/>
            <w:tcBorders>
              <w:bottom w:val="single" w:color="auto" w:sz="8" w:space="0"/>
            </w:tcBorders>
            <w:vAlign w:val="bottom"/>
          </w:tcPr>
          <w:p>
            <w:pPr>
              <w:rPr>
                <w:sz w:val="21"/>
                <w:szCs w:val="21"/>
              </w:rPr>
            </w:pPr>
          </w:p>
        </w:tc>
        <w:tc>
          <w:tcPr>
            <w:tcW w:w="1460" w:type="dxa"/>
            <w:vAlign w:val="bottom"/>
          </w:tcPr>
          <w:p>
            <w:pPr>
              <w:spacing w:line="240" w:lineRule="exact"/>
              <w:ind w:left="200"/>
              <w:rPr>
                <w:sz w:val="20"/>
                <w:szCs w:val="20"/>
              </w:rPr>
            </w:pPr>
            <w:r>
              <w:rPr>
                <w:rFonts w:ascii="宋体" w:hAnsi="宋体" w:eastAsia="宋体" w:cs="宋体"/>
                <w:w w:val="98"/>
                <w:sz w:val="21"/>
                <w:szCs w:val="21"/>
              </w:rPr>
              <w:t>电话、传真：</w:t>
            </w:r>
          </w:p>
        </w:tc>
      </w:tr>
      <w:tr>
        <w:tblPrEx>
          <w:tblCellMar>
            <w:top w:w="0" w:type="dxa"/>
            <w:left w:w="0" w:type="dxa"/>
            <w:bottom w:w="0" w:type="dxa"/>
            <w:right w:w="0" w:type="dxa"/>
          </w:tblCellMar>
        </w:tblPrEx>
        <w:trPr>
          <w:trHeight w:val="360" w:hRule="atLeast"/>
        </w:trPr>
        <w:tc>
          <w:tcPr>
            <w:tcW w:w="1060" w:type="dxa"/>
            <w:gridSpan w:val="2"/>
            <w:vAlign w:val="bottom"/>
          </w:tcPr>
          <w:p>
            <w:pPr>
              <w:spacing w:line="240" w:lineRule="exact"/>
              <w:rPr>
                <w:sz w:val="20"/>
                <w:szCs w:val="20"/>
              </w:rPr>
            </w:pPr>
            <w:r>
              <w:rPr>
                <w:rFonts w:ascii="宋体" w:hAnsi="宋体" w:eastAsia="宋体" w:cs="宋体"/>
                <w:w w:val="99"/>
                <w:sz w:val="21"/>
                <w:szCs w:val="21"/>
              </w:rPr>
              <w:t>开户名称：</w:t>
            </w:r>
          </w:p>
        </w:tc>
        <w:tc>
          <w:tcPr>
            <w:tcW w:w="3140" w:type="dxa"/>
            <w:gridSpan w:val="2"/>
            <w:tcBorders>
              <w:bottom w:val="single" w:color="auto" w:sz="8" w:space="0"/>
            </w:tcBorders>
            <w:vAlign w:val="bottom"/>
          </w:tcPr>
          <w:p>
            <w:pPr>
              <w:rPr>
                <w:sz w:val="24"/>
                <w:szCs w:val="24"/>
              </w:rPr>
            </w:pPr>
          </w:p>
        </w:tc>
        <w:tc>
          <w:tcPr>
            <w:tcW w:w="420" w:type="dxa"/>
            <w:tcBorders>
              <w:bottom w:val="single" w:color="auto" w:sz="8" w:space="0"/>
            </w:tcBorders>
            <w:vAlign w:val="bottom"/>
          </w:tcPr>
          <w:p>
            <w:pPr>
              <w:rPr>
                <w:sz w:val="24"/>
                <w:szCs w:val="24"/>
              </w:rPr>
            </w:pPr>
          </w:p>
        </w:tc>
        <w:tc>
          <w:tcPr>
            <w:tcW w:w="320" w:type="dxa"/>
            <w:tcBorders>
              <w:bottom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840" w:type="dxa"/>
            <w:vAlign w:val="bottom"/>
          </w:tcPr>
          <w:p>
            <w:pPr>
              <w:rPr>
                <w:sz w:val="24"/>
                <w:szCs w:val="24"/>
              </w:rPr>
            </w:pPr>
          </w:p>
        </w:tc>
        <w:tc>
          <w:tcPr>
            <w:tcW w:w="1460" w:type="dxa"/>
            <w:vAlign w:val="bottom"/>
          </w:tcPr>
          <w:p>
            <w:pPr>
              <w:rPr>
                <w:sz w:val="24"/>
                <w:szCs w:val="24"/>
              </w:rPr>
            </w:pPr>
          </w:p>
        </w:tc>
      </w:tr>
      <w:tr>
        <w:tblPrEx>
          <w:tblCellMar>
            <w:top w:w="0" w:type="dxa"/>
            <w:left w:w="0" w:type="dxa"/>
            <w:bottom w:w="0" w:type="dxa"/>
            <w:right w:w="0" w:type="dxa"/>
          </w:tblCellMar>
        </w:tblPrEx>
        <w:trPr>
          <w:trHeight w:val="359" w:hRule="atLeast"/>
        </w:trPr>
        <w:tc>
          <w:tcPr>
            <w:tcW w:w="1060" w:type="dxa"/>
            <w:gridSpan w:val="2"/>
            <w:vAlign w:val="bottom"/>
          </w:tcPr>
          <w:p>
            <w:pPr>
              <w:spacing w:line="240" w:lineRule="exact"/>
              <w:rPr>
                <w:sz w:val="20"/>
                <w:szCs w:val="20"/>
              </w:rPr>
            </w:pPr>
            <w:r>
              <w:rPr>
                <w:rFonts w:ascii="宋体" w:hAnsi="宋体" w:eastAsia="宋体" w:cs="宋体"/>
                <w:w w:val="99"/>
                <w:sz w:val="21"/>
                <w:szCs w:val="21"/>
              </w:rPr>
              <w:t>开户银行：</w:t>
            </w:r>
          </w:p>
        </w:tc>
        <w:tc>
          <w:tcPr>
            <w:tcW w:w="3140" w:type="dxa"/>
            <w:gridSpan w:val="2"/>
            <w:tcBorders>
              <w:bottom w:val="single" w:color="auto" w:sz="8" w:space="0"/>
            </w:tcBorders>
            <w:vAlign w:val="bottom"/>
          </w:tcPr>
          <w:p>
            <w:pPr>
              <w:rPr>
                <w:sz w:val="24"/>
                <w:szCs w:val="24"/>
              </w:rPr>
            </w:pPr>
          </w:p>
        </w:tc>
        <w:tc>
          <w:tcPr>
            <w:tcW w:w="420" w:type="dxa"/>
            <w:tcBorders>
              <w:bottom w:val="single" w:color="auto" w:sz="8" w:space="0"/>
            </w:tcBorders>
            <w:vAlign w:val="bottom"/>
          </w:tcPr>
          <w:p>
            <w:pPr>
              <w:rPr>
                <w:sz w:val="24"/>
                <w:szCs w:val="24"/>
              </w:rPr>
            </w:pPr>
          </w:p>
        </w:tc>
        <w:tc>
          <w:tcPr>
            <w:tcW w:w="320" w:type="dxa"/>
            <w:tcBorders>
              <w:bottom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120" w:type="dxa"/>
            <w:vAlign w:val="bottom"/>
          </w:tcPr>
          <w:p>
            <w:pPr>
              <w:rPr>
                <w:sz w:val="24"/>
                <w:szCs w:val="24"/>
              </w:rPr>
            </w:pPr>
          </w:p>
        </w:tc>
        <w:tc>
          <w:tcPr>
            <w:tcW w:w="840" w:type="dxa"/>
            <w:vAlign w:val="bottom"/>
          </w:tcPr>
          <w:p>
            <w:pPr>
              <w:rPr>
                <w:sz w:val="24"/>
                <w:szCs w:val="24"/>
              </w:rPr>
            </w:pPr>
          </w:p>
        </w:tc>
        <w:tc>
          <w:tcPr>
            <w:tcW w:w="1460" w:type="dxa"/>
            <w:vAlign w:val="bottom"/>
          </w:tcPr>
          <w:p>
            <w:pPr>
              <w:rPr>
                <w:sz w:val="24"/>
                <w:szCs w:val="24"/>
              </w:rPr>
            </w:pPr>
          </w:p>
        </w:tc>
      </w:tr>
      <w:tr>
        <w:tblPrEx>
          <w:tblCellMar>
            <w:top w:w="0" w:type="dxa"/>
            <w:left w:w="0" w:type="dxa"/>
            <w:bottom w:w="0" w:type="dxa"/>
            <w:right w:w="0" w:type="dxa"/>
          </w:tblCellMar>
        </w:tblPrEx>
        <w:trPr>
          <w:trHeight w:val="360" w:hRule="atLeast"/>
        </w:trPr>
        <w:tc>
          <w:tcPr>
            <w:tcW w:w="640" w:type="dxa"/>
            <w:vAlign w:val="bottom"/>
          </w:tcPr>
          <w:p>
            <w:pPr>
              <w:spacing w:line="240" w:lineRule="exact"/>
              <w:rPr>
                <w:sz w:val="20"/>
                <w:szCs w:val="20"/>
              </w:rPr>
            </w:pPr>
            <w:r>
              <w:rPr>
                <w:rFonts w:ascii="宋体" w:hAnsi="宋体" w:eastAsia="宋体" w:cs="宋体"/>
                <w:w w:val="98"/>
                <w:sz w:val="21"/>
                <w:szCs w:val="21"/>
              </w:rPr>
              <w:t>账号：</w:t>
            </w:r>
          </w:p>
        </w:tc>
        <w:tc>
          <w:tcPr>
            <w:tcW w:w="3560" w:type="dxa"/>
            <w:gridSpan w:val="3"/>
            <w:tcBorders>
              <w:bottom w:val="single" w:color="auto" w:sz="8" w:space="0"/>
            </w:tcBorders>
            <w:vAlign w:val="bottom"/>
          </w:tcPr>
          <w:p>
            <w:pPr>
              <w:rPr>
                <w:sz w:val="24"/>
                <w:szCs w:val="24"/>
              </w:rPr>
            </w:pPr>
          </w:p>
        </w:tc>
        <w:tc>
          <w:tcPr>
            <w:tcW w:w="420" w:type="dxa"/>
            <w:tcBorders>
              <w:bottom w:val="single" w:color="auto" w:sz="8" w:space="0"/>
            </w:tcBorders>
            <w:vAlign w:val="bottom"/>
          </w:tcPr>
          <w:p>
            <w:pPr>
              <w:rPr>
                <w:sz w:val="24"/>
                <w:szCs w:val="24"/>
              </w:rPr>
            </w:pPr>
          </w:p>
        </w:tc>
        <w:tc>
          <w:tcPr>
            <w:tcW w:w="320" w:type="dxa"/>
            <w:tcBorders>
              <w:bottom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120" w:type="dxa"/>
            <w:vAlign w:val="bottom"/>
          </w:tcPr>
          <w:p>
            <w:pPr>
              <w:rPr>
                <w:sz w:val="24"/>
                <w:szCs w:val="24"/>
              </w:rPr>
            </w:pPr>
          </w:p>
        </w:tc>
        <w:tc>
          <w:tcPr>
            <w:tcW w:w="840" w:type="dxa"/>
            <w:vAlign w:val="bottom"/>
          </w:tcPr>
          <w:p>
            <w:pPr>
              <w:rPr>
                <w:sz w:val="24"/>
                <w:szCs w:val="24"/>
              </w:rPr>
            </w:pPr>
          </w:p>
        </w:tc>
        <w:tc>
          <w:tcPr>
            <w:tcW w:w="1460" w:type="dxa"/>
            <w:vAlign w:val="bottom"/>
          </w:tcPr>
          <w:p>
            <w:pPr>
              <w:rPr>
                <w:sz w:val="24"/>
                <w:szCs w:val="24"/>
              </w:rPr>
            </w:pPr>
          </w:p>
        </w:tc>
      </w:tr>
      <w:tr>
        <w:tblPrEx>
          <w:tblCellMar>
            <w:top w:w="0" w:type="dxa"/>
            <w:left w:w="0" w:type="dxa"/>
            <w:bottom w:w="0" w:type="dxa"/>
            <w:right w:w="0" w:type="dxa"/>
          </w:tblCellMar>
        </w:tblPrEx>
        <w:trPr>
          <w:trHeight w:val="360" w:hRule="atLeast"/>
        </w:trPr>
        <w:tc>
          <w:tcPr>
            <w:tcW w:w="4200" w:type="dxa"/>
            <w:gridSpan w:val="4"/>
            <w:vAlign w:val="bottom"/>
          </w:tcPr>
          <w:p>
            <w:pPr>
              <w:spacing w:line="240" w:lineRule="exact"/>
              <w:rPr>
                <w:sz w:val="20"/>
                <w:szCs w:val="20"/>
              </w:rPr>
            </w:pPr>
            <w:r>
              <w:rPr>
                <w:rFonts w:ascii="宋体" w:hAnsi="宋体" w:eastAsia="宋体" w:cs="宋体"/>
                <w:sz w:val="21"/>
                <w:szCs w:val="21"/>
              </w:rPr>
              <w:t>供应商（公章，自然人除外）：</w:t>
            </w:r>
          </w:p>
        </w:tc>
        <w:tc>
          <w:tcPr>
            <w:tcW w:w="420" w:type="dxa"/>
            <w:vAlign w:val="bottom"/>
          </w:tcPr>
          <w:p>
            <w:pPr>
              <w:rPr>
                <w:sz w:val="24"/>
                <w:szCs w:val="24"/>
              </w:rPr>
            </w:pPr>
          </w:p>
        </w:tc>
        <w:tc>
          <w:tcPr>
            <w:tcW w:w="320" w:type="dxa"/>
            <w:vAlign w:val="bottom"/>
          </w:tcPr>
          <w:p>
            <w:pPr>
              <w:rPr>
                <w:sz w:val="24"/>
                <w:szCs w:val="24"/>
              </w:rPr>
            </w:pPr>
          </w:p>
        </w:tc>
        <w:tc>
          <w:tcPr>
            <w:tcW w:w="100" w:type="dxa"/>
            <w:vAlign w:val="bottom"/>
          </w:tcPr>
          <w:p>
            <w:pPr>
              <w:rPr>
                <w:sz w:val="24"/>
                <w:szCs w:val="24"/>
              </w:rPr>
            </w:pPr>
          </w:p>
        </w:tc>
        <w:tc>
          <w:tcPr>
            <w:tcW w:w="120" w:type="dxa"/>
            <w:vAlign w:val="bottom"/>
          </w:tcPr>
          <w:p>
            <w:pPr>
              <w:rPr>
                <w:sz w:val="24"/>
                <w:szCs w:val="24"/>
              </w:rPr>
            </w:pPr>
          </w:p>
        </w:tc>
        <w:tc>
          <w:tcPr>
            <w:tcW w:w="840" w:type="dxa"/>
            <w:vAlign w:val="bottom"/>
          </w:tcPr>
          <w:p>
            <w:pPr>
              <w:rPr>
                <w:sz w:val="24"/>
                <w:szCs w:val="24"/>
              </w:rPr>
            </w:pPr>
          </w:p>
        </w:tc>
        <w:tc>
          <w:tcPr>
            <w:tcW w:w="1460" w:type="dxa"/>
            <w:vAlign w:val="bottom"/>
          </w:tcPr>
          <w:p>
            <w:pPr>
              <w:rPr>
                <w:sz w:val="24"/>
                <w:szCs w:val="24"/>
              </w:rPr>
            </w:pPr>
          </w:p>
        </w:tc>
      </w:tr>
      <w:tr>
        <w:tblPrEx>
          <w:tblCellMar>
            <w:top w:w="0" w:type="dxa"/>
            <w:left w:w="0" w:type="dxa"/>
            <w:bottom w:w="0" w:type="dxa"/>
            <w:right w:w="0" w:type="dxa"/>
          </w:tblCellMar>
        </w:tblPrEx>
        <w:trPr>
          <w:trHeight w:val="20" w:hRule="atLeast"/>
        </w:trPr>
        <w:tc>
          <w:tcPr>
            <w:tcW w:w="640" w:type="dxa"/>
            <w:vAlign w:val="bottom"/>
          </w:tcPr>
          <w:p>
            <w:pPr>
              <w:spacing w:line="20" w:lineRule="exact"/>
              <w:rPr>
                <w:sz w:val="1"/>
                <w:szCs w:val="1"/>
              </w:rPr>
            </w:pPr>
          </w:p>
        </w:tc>
        <w:tc>
          <w:tcPr>
            <w:tcW w:w="420" w:type="dxa"/>
            <w:vAlign w:val="bottom"/>
          </w:tcPr>
          <w:p>
            <w:pPr>
              <w:spacing w:line="20" w:lineRule="exact"/>
              <w:rPr>
                <w:sz w:val="1"/>
                <w:szCs w:val="1"/>
              </w:rPr>
            </w:pPr>
          </w:p>
        </w:tc>
        <w:tc>
          <w:tcPr>
            <w:tcW w:w="1780" w:type="dxa"/>
            <w:vAlign w:val="bottom"/>
          </w:tcPr>
          <w:p>
            <w:pPr>
              <w:spacing w:line="20" w:lineRule="exact"/>
              <w:rPr>
                <w:sz w:val="1"/>
                <w:szCs w:val="1"/>
              </w:rPr>
            </w:pPr>
          </w:p>
        </w:tc>
        <w:tc>
          <w:tcPr>
            <w:tcW w:w="1360" w:type="dxa"/>
            <w:shd w:val="clear" w:color="auto" w:fill="000000"/>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320" w:type="dxa"/>
            <w:vAlign w:val="bottom"/>
          </w:tcPr>
          <w:p>
            <w:pPr>
              <w:spacing w:line="20" w:lineRule="exact"/>
              <w:rPr>
                <w:sz w:val="1"/>
                <w:szCs w:val="1"/>
              </w:rPr>
            </w:pPr>
          </w:p>
        </w:tc>
        <w:tc>
          <w:tcPr>
            <w:tcW w:w="100" w:type="dxa"/>
            <w:vAlign w:val="bottom"/>
          </w:tcPr>
          <w:p>
            <w:pPr>
              <w:spacing w:line="20" w:lineRule="exact"/>
              <w:rPr>
                <w:sz w:val="1"/>
                <w:szCs w:val="1"/>
              </w:rPr>
            </w:pPr>
          </w:p>
        </w:tc>
        <w:tc>
          <w:tcPr>
            <w:tcW w:w="120" w:type="dxa"/>
            <w:vAlign w:val="bottom"/>
          </w:tcPr>
          <w:p>
            <w:pPr>
              <w:spacing w:line="20" w:lineRule="exact"/>
              <w:rPr>
                <w:sz w:val="1"/>
                <w:szCs w:val="1"/>
              </w:rPr>
            </w:pPr>
          </w:p>
        </w:tc>
        <w:tc>
          <w:tcPr>
            <w:tcW w:w="840" w:type="dxa"/>
            <w:vAlign w:val="bottom"/>
          </w:tcPr>
          <w:p>
            <w:pPr>
              <w:spacing w:line="20" w:lineRule="exact"/>
              <w:rPr>
                <w:sz w:val="1"/>
                <w:szCs w:val="1"/>
              </w:rPr>
            </w:pPr>
          </w:p>
        </w:tc>
        <w:tc>
          <w:tcPr>
            <w:tcW w:w="1460" w:type="dxa"/>
            <w:vAlign w:val="bottom"/>
          </w:tcPr>
          <w:p>
            <w:pPr>
              <w:spacing w:line="20" w:lineRule="exact"/>
              <w:rPr>
                <w:sz w:val="1"/>
                <w:szCs w:val="1"/>
              </w:rPr>
            </w:pPr>
          </w:p>
        </w:tc>
      </w:tr>
    </w:tbl>
    <w:p>
      <w:pPr>
        <w:spacing w:line="20" w:lineRule="exact"/>
        <w:rPr>
          <w:sz w:val="20"/>
          <w:szCs w:val="20"/>
        </w:rPr>
      </w:pPr>
      <w:r>
        <w:rPr>
          <w:sz w:val="20"/>
          <w:szCs w:val="20"/>
        </w:rPr>
        <w:pict>
          <v:line id="Shape 40" o:spid="_x0000_s1038" o:spt="20" style="position:absolute;left:0pt;margin-left:393.9pt;margin-top:-76.25pt;height:0pt;width:68.4pt;z-index:-251660288;mso-width-relative:page;mso-height-relative:page;" filled="t" coordsize="21600,21600" o:allowincell="f" o:gfxdata="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NamTX2QAAAA0BAAAPAAAAAAAAAAEAIAAA&#10;ACIAAABkcnMvZG93bnJldi54bWxQSwECFAAUAAAACACHTuJA7TDUz5kBAABaAwAADgAAAAAAAAAB&#10;ACAAAAAoAQAAZHJzL2Uyb0RvYy54bWxQSwUGAAAAAAYABgBZAQAAMwUAAAAA&#10;">
            <v:path arrowok="t"/>
            <v:fill on="t" focussize="0,0"/>
            <v:stroke weight="0.54pt" joinstyle="miter"/>
            <v:imagedata o:title=""/>
            <o:lock v:ext="edit"/>
          </v:line>
        </w:pict>
      </w:r>
    </w:p>
    <w:p>
      <w:pPr>
        <w:spacing w:line="138" w:lineRule="exact"/>
        <w:rPr>
          <w:sz w:val="20"/>
          <w:szCs w:val="20"/>
        </w:rPr>
      </w:pPr>
    </w:p>
    <w:p>
      <w:pPr>
        <w:spacing w:line="294" w:lineRule="exact"/>
        <w:ind w:firstLine="420"/>
        <w:rPr>
          <w:sz w:val="20"/>
          <w:szCs w:val="20"/>
        </w:rPr>
      </w:pPr>
      <w:r>
        <w:rPr>
          <w:rFonts w:ascii="宋体" w:hAnsi="宋体" w:eastAsia="宋体" w:cs="宋体"/>
          <w:sz w:val="21"/>
          <w:szCs w:val="21"/>
        </w:rPr>
        <w:t>法定代表人、负责人、自然人或相应的委托代理人签字或盖章（属自然人的应在签名处加盖食指指印）：</w:t>
      </w:r>
    </w:p>
    <w:p>
      <w:pPr>
        <w:spacing w:line="20" w:lineRule="exact"/>
        <w:rPr>
          <w:sz w:val="20"/>
          <w:szCs w:val="20"/>
        </w:rPr>
      </w:pPr>
      <w:r>
        <w:rPr>
          <w:sz w:val="20"/>
          <w:szCs w:val="20"/>
        </w:rPr>
        <w:pict>
          <v:line id="Shape 41" o:spid="_x0000_s1037" o:spt="20" style="position:absolute;left:0pt;margin-left:26.6pt;margin-top:0.45pt;height:0pt;width:68.15pt;z-index:-251659264;mso-width-relative:page;mso-height-relative:page;" filled="t" coordsize="21600,21600" o:allowincell="f" o:gfxdata="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&#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o0XdW0QAAAAQBAAAPAAAAAAAAAAEAIAAAACIAAABk&#10;cnMvZG93bnJldi54bWxQSwECFAAUAAAACACHTuJA24yu5psBAABaAwAADgAAAAAAAAABACAAAAAg&#10;AQAAZHJzL2Uyb0RvYy54bWxQSwUGAAAAAAYABgBZAQAALQUAAAAA&#10;">
            <v:path arrowok="t"/>
            <v:fill on="t" focussize="0,0"/>
            <v:stroke weight="0.54pt" joinstyle="miter"/>
            <v:imagedata o:title=""/>
            <o:lock v:ext="edit"/>
          </v:line>
        </w:pict>
      </w:r>
    </w:p>
    <w:p>
      <w:pPr>
        <w:spacing w:line="122" w:lineRule="exact"/>
        <w:rPr>
          <w:sz w:val="20"/>
          <w:szCs w:val="20"/>
        </w:rPr>
      </w:pPr>
    </w:p>
    <w:p>
      <w:pPr>
        <w:spacing w:line="240" w:lineRule="exact"/>
        <w:ind w:left="420"/>
        <w:rPr>
          <w:sz w:val="20"/>
          <w:szCs w:val="20"/>
        </w:rPr>
      </w:pPr>
      <w:r>
        <w:rPr>
          <w:rFonts w:ascii="宋体" w:hAnsi="宋体" w:eastAsia="宋体" w:cs="宋体"/>
          <w:sz w:val="21"/>
          <w:szCs w:val="21"/>
        </w:rPr>
        <w:t>响应日期：</w:t>
      </w:r>
    </w:p>
    <w:p>
      <w:pPr>
        <w:spacing w:line="20" w:lineRule="exact"/>
        <w:rPr>
          <w:sz w:val="20"/>
          <w:szCs w:val="20"/>
        </w:rPr>
      </w:pPr>
      <w:r>
        <w:rPr>
          <w:sz w:val="20"/>
          <w:szCs w:val="20"/>
        </w:rPr>
        <w:pict>
          <v:line id="Shape 42" o:spid="_x0000_s1036" o:spt="20" style="position:absolute;left:0pt;margin-left:73.8pt;margin-top:0.4pt;height:0pt;width:94.5pt;z-index:-251658240;mso-width-relative:page;mso-height-relative:page;" filled="t" coordsize="21600,21600" o:allowincell="f" o:gfxdata="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xRSI00wAAAAUBAAAPAAAAAAAAAAEAIAAAACIA&#10;AABkcnMvZG93bnJldi54bWxQSwECFAAUAAAACACHTuJAzFzLCZwBAABbAwAADgAAAAAAAAABACAA&#10;AAAiAQAAZHJzL2Uyb0RvYy54bWxQSwUGAAAAAAYABgBZAQAAMAUAAAAA&#10;">
            <v:path arrowok="t"/>
            <v:fill on="t" focussize="0,0"/>
            <v:stroke weight="0.53992125984252pt" joinstyle="miter"/>
            <v:imagedata o:title=""/>
            <o:lock v:ext="edit"/>
          </v:line>
        </w:pict>
      </w:r>
    </w:p>
    <w:p>
      <w:pPr>
        <w:spacing w:line="200" w:lineRule="exact"/>
        <w:rPr>
          <w:sz w:val="20"/>
          <w:szCs w:val="20"/>
        </w:rPr>
      </w:pPr>
    </w:p>
    <w:p>
      <w:pPr>
        <w:spacing w:line="369" w:lineRule="exact"/>
        <w:rPr>
          <w:sz w:val="20"/>
          <w:szCs w:val="20"/>
        </w:rPr>
      </w:pPr>
    </w:p>
    <w:p>
      <w:pPr>
        <w:spacing w:line="304" w:lineRule="exact"/>
        <w:rPr>
          <w:sz w:val="20"/>
          <w:szCs w:val="20"/>
        </w:rPr>
      </w:pPr>
      <w:r>
        <w:rPr>
          <w:rFonts w:ascii="宋体" w:hAnsi="宋体" w:eastAsia="宋体" w:cs="宋体"/>
          <w:sz w:val="21"/>
          <w:szCs w:val="21"/>
        </w:rPr>
        <w:t>注：响应函须由法定代表人（负责人/自然人）或委托代理人签字或盖章（属自然人的应在签名处加盖食指指印）并加盖供应商公章（自然人除外）。</w:t>
      </w:r>
    </w:p>
    <w:p>
      <w:pPr>
        <w:spacing w:line="200" w:lineRule="exact"/>
        <w:rPr>
          <w:sz w:val="20"/>
          <w:szCs w:val="20"/>
        </w:rPr>
      </w:pPr>
    </w:p>
    <w:p>
      <w:pPr>
        <w:spacing w:line="200" w:lineRule="exact"/>
        <w:rPr>
          <w:sz w:val="20"/>
          <w:szCs w:val="20"/>
        </w:rPr>
      </w:pPr>
    </w:p>
    <w:p>
      <w:pPr>
        <w:spacing w:line="200" w:lineRule="exact"/>
        <w:rPr>
          <w:sz w:val="20"/>
          <w:szCs w:val="20"/>
        </w:rPr>
      </w:pPr>
    </w:p>
    <w:p>
      <w:pPr>
        <w:pStyle w:val="4"/>
      </w:pPr>
    </w:p>
    <w:p>
      <w:pPr>
        <w:spacing w:line="200" w:lineRule="exact"/>
        <w:rPr>
          <w:sz w:val="20"/>
          <w:szCs w:val="20"/>
        </w:rPr>
      </w:pPr>
    </w:p>
    <w:p>
      <w:pPr>
        <w:spacing w:line="200" w:lineRule="exact"/>
        <w:rPr>
          <w:sz w:val="20"/>
          <w:szCs w:val="20"/>
        </w:rPr>
      </w:pPr>
    </w:p>
    <w:p>
      <w:pPr>
        <w:spacing w:line="329" w:lineRule="exact"/>
        <w:ind w:firstLine="562"/>
        <w:jc w:val="both"/>
        <w:rPr>
          <w:sz w:val="20"/>
          <w:szCs w:val="20"/>
        </w:rPr>
      </w:pPr>
      <w:bookmarkStart w:id="59" w:name="page30"/>
      <w:bookmarkEnd w:id="59"/>
      <w:r>
        <w:rPr>
          <w:rFonts w:ascii="宋体" w:hAnsi="宋体" w:eastAsia="宋体" w:cs="宋体"/>
          <w:b/>
          <w:bCs/>
          <w:sz w:val="28"/>
          <w:szCs w:val="28"/>
        </w:rPr>
        <w:t>2、供应商相应的法定代表人、负责人、自然人身份证正反两面复印件（必须提供）；</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67" w:lineRule="exact"/>
        <w:rPr>
          <w:sz w:val="20"/>
          <w:szCs w:val="20"/>
        </w:rPr>
      </w:pPr>
    </w:p>
    <w:p>
      <w:pPr>
        <w:spacing w:line="369" w:lineRule="exact"/>
        <w:ind w:firstLine="551"/>
        <w:jc w:val="both"/>
        <w:rPr>
          <w:sz w:val="20"/>
          <w:szCs w:val="20"/>
        </w:rPr>
      </w:pPr>
      <w:r>
        <w:rPr>
          <w:rFonts w:ascii="宋体" w:hAnsi="宋体" w:eastAsia="宋体" w:cs="宋体"/>
          <w:b/>
          <w:bCs/>
          <w:sz w:val="28"/>
          <w:szCs w:val="28"/>
        </w:rPr>
        <w:t>3、供应商的授权委托书原件、委托代理人身份证正反面复印件以及由县级以上（含县级）社保部门出具的供应商为委托代理人交纳的社保证明复印件【属自然人的应提供由县级以上（含县级）社保部门出具的自然人本人及委托代理人所交纳的社保证明复印件】（委托代理时必须提供）；</w:t>
      </w:r>
    </w:p>
    <w:p>
      <w:pPr>
        <w:spacing w:line="150" w:lineRule="exact"/>
        <w:rPr>
          <w:sz w:val="20"/>
          <w:szCs w:val="20"/>
        </w:rPr>
      </w:pPr>
    </w:p>
    <w:p>
      <w:pPr>
        <w:spacing w:line="366" w:lineRule="exact"/>
        <w:ind w:left="640"/>
        <w:rPr>
          <w:sz w:val="20"/>
          <w:szCs w:val="20"/>
        </w:rPr>
      </w:pPr>
      <w:r>
        <w:rPr>
          <w:rFonts w:ascii="宋体" w:hAnsi="宋体" w:eastAsia="宋体" w:cs="宋体"/>
          <w:b/>
          <w:bCs/>
          <w:sz w:val="32"/>
          <w:szCs w:val="32"/>
        </w:rPr>
        <w:t>附件：</w:t>
      </w:r>
    </w:p>
    <w:p>
      <w:pPr>
        <w:spacing w:line="259" w:lineRule="exact"/>
        <w:rPr>
          <w:sz w:val="20"/>
          <w:szCs w:val="20"/>
        </w:rPr>
      </w:pPr>
    </w:p>
    <w:p>
      <w:pPr>
        <w:spacing w:line="366" w:lineRule="exact"/>
        <w:ind w:left="3420"/>
        <w:rPr>
          <w:sz w:val="20"/>
          <w:szCs w:val="20"/>
        </w:rPr>
      </w:pPr>
      <w:r>
        <w:rPr>
          <w:rFonts w:ascii="宋体" w:hAnsi="宋体" w:eastAsia="宋体" w:cs="宋体"/>
          <w:b/>
          <w:bCs/>
          <w:sz w:val="32"/>
          <w:szCs w:val="32"/>
        </w:rPr>
        <w:t>授权委托书（格式一）</w:t>
      </w:r>
    </w:p>
    <w:p>
      <w:pPr>
        <w:spacing w:line="200" w:lineRule="exact"/>
        <w:rPr>
          <w:sz w:val="20"/>
          <w:szCs w:val="20"/>
        </w:rPr>
      </w:pPr>
    </w:p>
    <w:p>
      <w:pPr>
        <w:spacing w:line="375" w:lineRule="exact"/>
        <w:rPr>
          <w:sz w:val="20"/>
          <w:szCs w:val="20"/>
        </w:rPr>
      </w:pPr>
    </w:p>
    <w:p>
      <w:pPr>
        <w:spacing w:line="240" w:lineRule="exact"/>
        <w:rPr>
          <w:rFonts w:eastAsia="宋体"/>
          <w:sz w:val="20"/>
          <w:szCs w:val="20"/>
        </w:rPr>
      </w:pPr>
      <w:r>
        <w:rPr>
          <w:rFonts w:ascii="宋体" w:hAnsi="宋体" w:eastAsia="宋体" w:cs="宋体"/>
          <w:sz w:val="21"/>
          <w:szCs w:val="21"/>
        </w:rPr>
        <w:t xml:space="preserve">致： </w:t>
      </w:r>
      <w:r>
        <w:rPr>
          <w:rFonts w:hint="eastAsia" w:ascii="宋体" w:hAnsi="宋体" w:eastAsia="宋体" w:cs="宋体"/>
          <w:sz w:val="21"/>
          <w:szCs w:val="21"/>
        </w:rPr>
        <w:t>广西八桂建设项目管理有限公司</w:t>
      </w:r>
    </w:p>
    <w:p>
      <w:pPr>
        <w:spacing w:line="20" w:lineRule="exact"/>
        <w:rPr>
          <w:sz w:val="20"/>
          <w:szCs w:val="20"/>
        </w:rPr>
      </w:pPr>
      <w:r>
        <w:rPr>
          <w:sz w:val="20"/>
          <w:szCs w:val="20"/>
        </w:rPr>
        <w:pict>
          <v:line id="Shape 43" o:spid="_x0000_s1035" o:spt="20" style="position:absolute;left:0pt;margin-left:21.3pt;margin-top:0.4pt;height:0pt;width:131.25pt;z-index:-251657216;mso-width-relative:page;mso-height-relative:page;" filled="t" coordsize="21600,21600" o:allowincell="f" o:gfxdata="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P4pRedIAAAAEAQAADwAAAAAAAAABACAAAAAi&#10;AAAAZHJzL2Rvd25yZXYueG1sUEsBAhQAFAAAAAgAh07iQM0IhdmeAQAAWwMAAA4AAAAAAAAAAQAg&#10;AAAAIQEAAGRycy9lMm9Eb2MueG1sUEsFBgAAAAAGAAYAWQEAADEFAAAAAA==&#10;">
            <v:path arrowok="t"/>
            <v:fill on="t" focussize="0,0"/>
            <v:stroke weight="0.54pt" joinstyle="miter"/>
            <v:imagedata o:title=""/>
            <o:lock v:ext="edit"/>
          </v:line>
        </w:pict>
      </w:r>
    </w:p>
    <w:p>
      <w:pPr>
        <w:spacing w:line="200" w:lineRule="exact"/>
        <w:rPr>
          <w:sz w:val="20"/>
          <w:szCs w:val="20"/>
        </w:rPr>
      </w:pPr>
    </w:p>
    <w:p>
      <w:pPr>
        <w:spacing w:line="340" w:lineRule="exact"/>
        <w:rPr>
          <w:sz w:val="20"/>
          <w:szCs w:val="20"/>
        </w:rPr>
      </w:pPr>
    </w:p>
    <w:tbl>
      <w:tblPr>
        <w:tblStyle w:val="9"/>
        <w:tblW w:w="0" w:type="auto"/>
        <w:tblInd w:w="0" w:type="dxa"/>
        <w:tblLayout w:type="fixed"/>
        <w:tblCellMar>
          <w:top w:w="0" w:type="dxa"/>
          <w:left w:w="0" w:type="dxa"/>
          <w:bottom w:w="0" w:type="dxa"/>
          <w:right w:w="0" w:type="dxa"/>
        </w:tblCellMar>
      </w:tblPr>
      <w:tblGrid>
        <w:gridCol w:w="640"/>
        <w:gridCol w:w="1460"/>
        <w:gridCol w:w="1040"/>
        <w:gridCol w:w="240"/>
        <w:gridCol w:w="1280"/>
        <w:gridCol w:w="1640"/>
        <w:gridCol w:w="1000"/>
        <w:gridCol w:w="2120"/>
      </w:tblGrid>
      <w:tr>
        <w:tblPrEx>
          <w:tblCellMar>
            <w:top w:w="0" w:type="dxa"/>
            <w:left w:w="0" w:type="dxa"/>
            <w:bottom w:w="0" w:type="dxa"/>
            <w:right w:w="0" w:type="dxa"/>
          </w:tblCellMar>
        </w:tblPrEx>
        <w:trPr>
          <w:trHeight w:val="241" w:hRule="atLeast"/>
        </w:trPr>
        <w:tc>
          <w:tcPr>
            <w:tcW w:w="640" w:type="dxa"/>
            <w:vAlign w:val="bottom"/>
          </w:tcPr>
          <w:p>
            <w:pPr>
              <w:spacing w:line="240" w:lineRule="exact"/>
              <w:ind w:left="420"/>
              <w:rPr>
                <w:sz w:val="20"/>
                <w:szCs w:val="20"/>
              </w:rPr>
            </w:pPr>
            <w:r>
              <w:rPr>
                <w:rFonts w:ascii="宋体" w:hAnsi="宋体" w:eastAsia="宋体" w:cs="宋体"/>
                <w:w w:val="95"/>
                <w:sz w:val="21"/>
                <w:szCs w:val="21"/>
              </w:rPr>
              <w:t>我</w:t>
            </w:r>
          </w:p>
        </w:tc>
        <w:tc>
          <w:tcPr>
            <w:tcW w:w="1460" w:type="dxa"/>
            <w:vAlign w:val="bottom"/>
          </w:tcPr>
          <w:p>
            <w:pPr>
              <w:rPr>
                <w:sz w:val="20"/>
                <w:szCs w:val="20"/>
              </w:rPr>
            </w:pPr>
          </w:p>
        </w:tc>
        <w:tc>
          <w:tcPr>
            <w:tcW w:w="1280" w:type="dxa"/>
            <w:gridSpan w:val="2"/>
            <w:vAlign w:val="bottom"/>
          </w:tcPr>
          <w:p>
            <w:pPr>
              <w:spacing w:line="240" w:lineRule="exact"/>
              <w:rPr>
                <w:sz w:val="20"/>
                <w:szCs w:val="20"/>
              </w:rPr>
            </w:pPr>
            <w:r>
              <w:rPr>
                <w:rFonts w:ascii="宋体" w:hAnsi="宋体" w:eastAsia="宋体" w:cs="宋体"/>
                <w:sz w:val="21"/>
                <w:szCs w:val="21"/>
              </w:rPr>
              <w:t>（姓名）系</w:t>
            </w:r>
          </w:p>
        </w:tc>
        <w:tc>
          <w:tcPr>
            <w:tcW w:w="1280" w:type="dxa"/>
            <w:vAlign w:val="bottom"/>
          </w:tcPr>
          <w:p>
            <w:pPr>
              <w:rPr>
                <w:sz w:val="20"/>
                <w:szCs w:val="20"/>
              </w:rPr>
            </w:pPr>
          </w:p>
        </w:tc>
        <w:tc>
          <w:tcPr>
            <w:tcW w:w="4760" w:type="dxa"/>
            <w:gridSpan w:val="3"/>
            <w:vAlign w:val="bottom"/>
          </w:tcPr>
          <w:p>
            <w:pPr>
              <w:spacing w:line="240" w:lineRule="exact"/>
              <w:jc w:val="right"/>
              <w:rPr>
                <w:sz w:val="20"/>
                <w:szCs w:val="20"/>
              </w:rPr>
            </w:pPr>
            <w:r>
              <w:rPr>
                <w:rFonts w:ascii="宋体" w:hAnsi="宋体" w:eastAsia="宋体" w:cs="宋体"/>
                <w:sz w:val="21"/>
                <w:szCs w:val="21"/>
              </w:rPr>
              <w:t>（供应商名称）的法定代表人（负</w:t>
            </w:r>
          </w:p>
        </w:tc>
      </w:tr>
      <w:tr>
        <w:tblPrEx>
          <w:tblCellMar>
            <w:top w:w="0" w:type="dxa"/>
            <w:left w:w="0" w:type="dxa"/>
            <w:bottom w:w="0" w:type="dxa"/>
            <w:right w:w="0" w:type="dxa"/>
          </w:tblCellMar>
        </w:tblPrEx>
        <w:trPr>
          <w:trHeight w:val="20" w:hRule="atLeast"/>
        </w:trPr>
        <w:tc>
          <w:tcPr>
            <w:tcW w:w="640" w:type="dxa"/>
            <w:vAlign w:val="bottom"/>
          </w:tcPr>
          <w:p>
            <w:pPr>
              <w:spacing w:line="20" w:lineRule="exact"/>
              <w:rPr>
                <w:sz w:val="1"/>
                <w:szCs w:val="1"/>
              </w:rPr>
            </w:pPr>
          </w:p>
        </w:tc>
        <w:tc>
          <w:tcPr>
            <w:tcW w:w="1460" w:type="dxa"/>
            <w:shd w:val="clear" w:color="auto" w:fill="000000"/>
            <w:vAlign w:val="bottom"/>
          </w:tcPr>
          <w:p>
            <w:pPr>
              <w:spacing w:line="20" w:lineRule="exact"/>
              <w:rPr>
                <w:sz w:val="1"/>
                <w:szCs w:val="1"/>
              </w:rPr>
            </w:pPr>
          </w:p>
        </w:tc>
        <w:tc>
          <w:tcPr>
            <w:tcW w:w="1040" w:type="dxa"/>
            <w:vAlign w:val="bottom"/>
          </w:tcPr>
          <w:p>
            <w:pPr>
              <w:spacing w:line="20" w:lineRule="exact"/>
              <w:rPr>
                <w:sz w:val="1"/>
                <w:szCs w:val="1"/>
              </w:rPr>
            </w:pPr>
          </w:p>
        </w:tc>
        <w:tc>
          <w:tcPr>
            <w:tcW w:w="240" w:type="dxa"/>
            <w:shd w:val="clear" w:color="auto" w:fill="000000"/>
            <w:vAlign w:val="bottom"/>
          </w:tcPr>
          <w:p>
            <w:pPr>
              <w:spacing w:line="20" w:lineRule="exact"/>
              <w:rPr>
                <w:sz w:val="1"/>
                <w:szCs w:val="1"/>
              </w:rPr>
            </w:pPr>
          </w:p>
        </w:tc>
        <w:tc>
          <w:tcPr>
            <w:tcW w:w="1280" w:type="dxa"/>
            <w:shd w:val="clear" w:color="auto" w:fill="000000"/>
            <w:vAlign w:val="bottom"/>
          </w:tcPr>
          <w:p>
            <w:pPr>
              <w:spacing w:line="20" w:lineRule="exact"/>
              <w:rPr>
                <w:sz w:val="1"/>
                <w:szCs w:val="1"/>
              </w:rPr>
            </w:pPr>
          </w:p>
        </w:tc>
        <w:tc>
          <w:tcPr>
            <w:tcW w:w="1640" w:type="dxa"/>
            <w:shd w:val="clear" w:color="auto" w:fill="000000"/>
            <w:vAlign w:val="bottom"/>
          </w:tcPr>
          <w:p>
            <w:pPr>
              <w:spacing w:line="20" w:lineRule="exact"/>
              <w:rPr>
                <w:sz w:val="1"/>
                <w:szCs w:val="1"/>
              </w:rPr>
            </w:pPr>
          </w:p>
        </w:tc>
        <w:tc>
          <w:tcPr>
            <w:tcW w:w="1000" w:type="dxa"/>
            <w:vAlign w:val="bottom"/>
          </w:tcPr>
          <w:p>
            <w:pPr>
              <w:spacing w:line="20" w:lineRule="exact"/>
              <w:rPr>
                <w:sz w:val="1"/>
                <w:szCs w:val="1"/>
              </w:rPr>
            </w:pPr>
          </w:p>
        </w:tc>
        <w:tc>
          <w:tcPr>
            <w:tcW w:w="2120" w:type="dxa"/>
            <w:vAlign w:val="bottom"/>
          </w:tcPr>
          <w:p>
            <w:pPr>
              <w:spacing w:line="20" w:lineRule="exact"/>
              <w:rPr>
                <w:sz w:val="1"/>
                <w:szCs w:val="1"/>
              </w:rPr>
            </w:pPr>
          </w:p>
        </w:tc>
      </w:tr>
      <w:tr>
        <w:tblPrEx>
          <w:tblCellMar>
            <w:top w:w="0" w:type="dxa"/>
            <w:left w:w="0" w:type="dxa"/>
            <w:bottom w:w="0" w:type="dxa"/>
            <w:right w:w="0" w:type="dxa"/>
          </w:tblCellMar>
        </w:tblPrEx>
        <w:trPr>
          <w:trHeight w:val="381" w:hRule="atLeast"/>
        </w:trPr>
        <w:tc>
          <w:tcPr>
            <w:tcW w:w="3380" w:type="dxa"/>
            <w:gridSpan w:val="4"/>
            <w:vAlign w:val="bottom"/>
          </w:tcPr>
          <w:p>
            <w:pPr>
              <w:spacing w:line="240" w:lineRule="exact"/>
              <w:rPr>
                <w:sz w:val="20"/>
                <w:szCs w:val="20"/>
              </w:rPr>
            </w:pPr>
            <w:r>
              <w:rPr>
                <w:rFonts w:ascii="宋体" w:hAnsi="宋体" w:eastAsia="宋体" w:cs="宋体"/>
                <w:w w:val="99"/>
                <w:sz w:val="21"/>
                <w:szCs w:val="21"/>
              </w:rPr>
              <w:t>责人），现授权委托本单位在职职工</w:t>
            </w:r>
          </w:p>
        </w:tc>
        <w:tc>
          <w:tcPr>
            <w:tcW w:w="1280" w:type="dxa"/>
            <w:vAlign w:val="bottom"/>
          </w:tcPr>
          <w:p>
            <w:pPr>
              <w:rPr>
                <w:sz w:val="24"/>
                <w:szCs w:val="24"/>
              </w:rPr>
            </w:pPr>
          </w:p>
        </w:tc>
        <w:tc>
          <w:tcPr>
            <w:tcW w:w="4760" w:type="dxa"/>
            <w:gridSpan w:val="3"/>
            <w:vAlign w:val="bottom"/>
          </w:tcPr>
          <w:p>
            <w:pPr>
              <w:spacing w:line="240" w:lineRule="exact"/>
              <w:jc w:val="both"/>
              <w:rPr>
                <w:sz w:val="20"/>
                <w:szCs w:val="20"/>
              </w:rPr>
            </w:pPr>
            <w:r>
              <w:rPr>
                <w:rFonts w:ascii="宋体" w:hAnsi="宋体" w:eastAsia="宋体" w:cs="宋体"/>
                <w:sz w:val="21"/>
                <w:szCs w:val="21"/>
              </w:rPr>
              <w:t xml:space="preserve">（姓 名）以我公司名义参加 </w:t>
            </w:r>
          </w:p>
        </w:tc>
      </w:tr>
      <w:tr>
        <w:tblPrEx>
          <w:tblCellMar>
            <w:top w:w="0" w:type="dxa"/>
            <w:left w:w="0" w:type="dxa"/>
            <w:bottom w:w="0" w:type="dxa"/>
            <w:right w:w="0" w:type="dxa"/>
          </w:tblCellMar>
        </w:tblPrEx>
        <w:trPr>
          <w:trHeight w:val="20" w:hRule="atLeast"/>
        </w:trPr>
        <w:tc>
          <w:tcPr>
            <w:tcW w:w="640" w:type="dxa"/>
            <w:vAlign w:val="bottom"/>
          </w:tcPr>
          <w:p>
            <w:pPr>
              <w:spacing w:line="20" w:lineRule="exact"/>
              <w:rPr>
                <w:sz w:val="1"/>
                <w:szCs w:val="1"/>
              </w:rPr>
            </w:pPr>
          </w:p>
        </w:tc>
        <w:tc>
          <w:tcPr>
            <w:tcW w:w="1460" w:type="dxa"/>
            <w:vAlign w:val="bottom"/>
          </w:tcPr>
          <w:p>
            <w:pPr>
              <w:spacing w:line="20" w:lineRule="exact"/>
              <w:rPr>
                <w:sz w:val="1"/>
                <w:szCs w:val="1"/>
              </w:rPr>
            </w:pPr>
          </w:p>
        </w:tc>
        <w:tc>
          <w:tcPr>
            <w:tcW w:w="1040" w:type="dxa"/>
            <w:vAlign w:val="bottom"/>
          </w:tcPr>
          <w:p>
            <w:pPr>
              <w:spacing w:line="20" w:lineRule="exact"/>
              <w:rPr>
                <w:sz w:val="1"/>
                <w:szCs w:val="1"/>
              </w:rPr>
            </w:pPr>
          </w:p>
        </w:tc>
        <w:tc>
          <w:tcPr>
            <w:tcW w:w="240" w:type="dxa"/>
            <w:vAlign w:val="bottom"/>
          </w:tcPr>
          <w:p>
            <w:pPr>
              <w:spacing w:line="20" w:lineRule="exact"/>
              <w:rPr>
                <w:sz w:val="1"/>
                <w:szCs w:val="1"/>
              </w:rPr>
            </w:pPr>
          </w:p>
        </w:tc>
        <w:tc>
          <w:tcPr>
            <w:tcW w:w="1280" w:type="dxa"/>
            <w:shd w:val="clear" w:color="auto" w:fill="000000"/>
            <w:vAlign w:val="bottom"/>
          </w:tcPr>
          <w:p>
            <w:pPr>
              <w:spacing w:line="20" w:lineRule="exact"/>
              <w:rPr>
                <w:sz w:val="1"/>
                <w:szCs w:val="1"/>
              </w:rPr>
            </w:pPr>
          </w:p>
        </w:tc>
        <w:tc>
          <w:tcPr>
            <w:tcW w:w="1640" w:type="dxa"/>
            <w:vAlign w:val="bottom"/>
          </w:tcPr>
          <w:p>
            <w:pPr>
              <w:spacing w:line="20" w:lineRule="exact"/>
              <w:rPr>
                <w:sz w:val="1"/>
                <w:szCs w:val="1"/>
              </w:rPr>
            </w:pPr>
          </w:p>
        </w:tc>
        <w:tc>
          <w:tcPr>
            <w:tcW w:w="1000" w:type="dxa"/>
            <w:vAlign w:val="bottom"/>
          </w:tcPr>
          <w:p>
            <w:pPr>
              <w:spacing w:line="20" w:lineRule="exact"/>
              <w:rPr>
                <w:sz w:val="1"/>
                <w:szCs w:val="1"/>
              </w:rPr>
            </w:pPr>
          </w:p>
        </w:tc>
        <w:tc>
          <w:tcPr>
            <w:tcW w:w="2120" w:type="dxa"/>
            <w:shd w:val="clear" w:color="auto" w:fill="000000"/>
            <w:vAlign w:val="bottom"/>
          </w:tcPr>
          <w:p>
            <w:pPr>
              <w:spacing w:line="20" w:lineRule="exact"/>
              <w:rPr>
                <w:sz w:val="1"/>
                <w:szCs w:val="1"/>
              </w:rPr>
            </w:pPr>
          </w:p>
        </w:tc>
      </w:tr>
    </w:tbl>
    <w:p>
      <w:pPr>
        <w:spacing w:line="304" w:lineRule="exact"/>
        <w:jc w:val="both"/>
        <w:rPr>
          <w:sz w:val="20"/>
          <w:szCs w:val="20"/>
        </w:rPr>
      </w:pPr>
      <w:r>
        <w:rPr>
          <w:rFonts w:ascii="宋体" w:hAnsi="宋体" w:eastAsia="宋体" w:cs="宋体"/>
          <w:sz w:val="21"/>
          <w:szCs w:val="21"/>
          <w:u w:val="single"/>
        </w:rPr>
        <w:t>（</w:t>
      </w:r>
      <w:r>
        <w:rPr>
          <w:rFonts w:hint="eastAsia" w:ascii="宋体" w:hAnsi="宋体" w:eastAsia="宋体" w:cs="宋体"/>
          <w:sz w:val="21"/>
          <w:szCs w:val="21"/>
          <w:u w:val="single"/>
        </w:rPr>
        <w:t>项目名称及</w:t>
      </w:r>
      <w:r>
        <w:rPr>
          <w:rFonts w:ascii="宋体" w:hAnsi="宋体" w:eastAsia="宋体" w:cs="宋体"/>
          <w:sz w:val="21"/>
          <w:szCs w:val="21"/>
          <w:u w:val="single"/>
        </w:rPr>
        <w:t>项目编号：）</w:t>
      </w:r>
      <w:r>
        <w:rPr>
          <w:rFonts w:ascii="宋体" w:hAnsi="宋体" w:eastAsia="宋体" w:cs="宋体"/>
          <w:sz w:val="21"/>
          <w:szCs w:val="21"/>
        </w:rPr>
        <w:t>项目的磋商活动，并代表我方全权办理针对上述项目的磋商、签约等具体事务和签署相关文件。</w:t>
      </w:r>
    </w:p>
    <w:p>
      <w:pPr>
        <w:spacing w:line="162" w:lineRule="exact"/>
        <w:rPr>
          <w:sz w:val="20"/>
          <w:szCs w:val="20"/>
        </w:rPr>
      </w:pPr>
    </w:p>
    <w:p>
      <w:pPr>
        <w:spacing w:line="240" w:lineRule="exact"/>
        <w:ind w:left="420"/>
        <w:rPr>
          <w:sz w:val="20"/>
          <w:szCs w:val="20"/>
        </w:rPr>
      </w:pPr>
      <w:r>
        <w:rPr>
          <w:rFonts w:ascii="宋体" w:hAnsi="宋体" w:eastAsia="宋体" w:cs="宋体"/>
          <w:sz w:val="21"/>
          <w:szCs w:val="21"/>
        </w:rPr>
        <w:t>我方对被授权人的签字事项负全部责任。</w:t>
      </w:r>
    </w:p>
    <w:p>
      <w:pPr>
        <w:spacing w:line="160" w:lineRule="exact"/>
        <w:rPr>
          <w:sz w:val="20"/>
          <w:szCs w:val="20"/>
        </w:rPr>
      </w:pPr>
    </w:p>
    <w:p>
      <w:pPr>
        <w:spacing w:line="240" w:lineRule="exact"/>
        <w:ind w:left="420"/>
        <w:rPr>
          <w:sz w:val="20"/>
          <w:szCs w:val="20"/>
        </w:rPr>
      </w:pPr>
      <w:r>
        <w:rPr>
          <w:rFonts w:ascii="宋体" w:hAnsi="宋体" w:eastAsia="宋体" w:cs="宋体"/>
          <w:sz w:val="21"/>
          <w:szCs w:val="21"/>
        </w:rPr>
        <w:t>授权委托代理期限：自即日起至该项目政府采购活动结束。</w:t>
      </w:r>
    </w:p>
    <w:p>
      <w:pPr>
        <w:spacing w:line="200" w:lineRule="exact"/>
        <w:rPr>
          <w:sz w:val="20"/>
          <w:szCs w:val="20"/>
        </w:rPr>
      </w:pPr>
    </w:p>
    <w:p>
      <w:pPr>
        <w:spacing w:line="361" w:lineRule="exact"/>
        <w:rPr>
          <w:sz w:val="20"/>
          <w:szCs w:val="20"/>
        </w:rPr>
      </w:pPr>
    </w:p>
    <w:p>
      <w:pPr>
        <w:spacing w:line="240" w:lineRule="exact"/>
        <w:ind w:left="420"/>
        <w:rPr>
          <w:sz w:val="20"/>
          <w:szCs w:val="20"/>
        </w:rPr>
      </w:pPr>
      <w:r>
        <w:rPr>
          <w:rFonts w:ascii="宋体" w:hAnsi="宋体" w:eastAsia="宋体" w:cs="宋体"/>
          <w:sz w:val="21"/>
          <w:szCs w:val="21"/>
        </w:rPr>
        <w:t>代理人无转委托权,特此委托。</w:t>
      </w:r>
    </w:p>
    <w:p>
      <w:pPr>
        <w:spacing w:line="200" w:lineRule="exact"/>
        <w:rPr>
          <w:sz w:val="20"/>
          <w:szCs w:val="20"/>
        </w:rPr>
      </w:pPr>
    </w:p>
    <w:p>
      <w:pPr>
        <w:spacing w:line="360" w:lineRule="exact"/>
        <w:rPr>
          <w:sz w:val="20"/>
          <w:szCs w:val="20"/>
        </w:rPr>
      </w:pPr>
    </w:p>
    <w:p>
      <w:pPr>
        <w:spacing w:line="240" w:lineRule="exact"/>
        <w:ind w:left="420"/>
        <w:rPr>
          <w:sz w:val="20"/>
          <w:szCs w:val="20"/>
        </w:rPr>
      </w:pPr>
      <w:r>
        <w:rPr>
          <w:rFonts w:ascii="宋体" w:hAnsi="宋体" w:eastAsia="宋体" w:cs="宋体"/>
          <w:sz w:val="21"/>
          <w:szCs w:val="21"/>
        </w:rPr>
        <w:t>我已在下面签字，以资证明。</w:t>
      </w:r>
    </w:p>
    <w:p>
      <w:pPr>
        <w:spacing w:line="200" w:lineRule="exact"/>
        <w:rPr>
          <w:sz w:val="20"/>
          <w:szCs w:val="20"/>
        </w:rPr>
      </w:pPr>
    </w:p>
    <w:p>
      <w:pPr>
        <w:spacing w:line="361" w:lineRule="exact"/>
        <w:rPr>
          <w:sz w:val="20"/>
          <w:szCs w:val="20"/>
        </w:rPr>
      </w:pPr>
    </w:p>
    <w:p>
      <w:pPr>
        <w:spacing w:line="240" w:lineRule="exact"/>
        <w:ind w:left="420"/>
        <w:rPr>
          <w:sz w:val="20"/>
          <w:szCs w:val="20"/>
        </w:rPr>
      </w:pPr>
      <w:r>
        <w:rPr>
          <w:rFonts w:ascii="宋体" w:hAnsi="宋体" w:eastAsia="宋体" w:cs="宋体"/>
          <w:sz w:val="21"/>
          <w:szCs w:val="21"/>
        </w:rPr>
        <w:t>供应商（公章）：</w:t>
      </w:r>
      <w:r>
        <w:rPr>
          <w:rFonts w:ascii="宋体" w:hAnsi="宋体" w:eastAsia="宋体" w:cs="宋体"/>
          <w:sz w:val="21"/>
          <w:szCs w:val="21"/>
          <w:u w:val="single"/>
        </w:rPr>
        <w:t>______________________</w:t>
      </w:r>
    </w:p>
    <w:p>
      <w:pPr>
        <w:spacing w:line="200" w:lineRule="exact"/>
        <w:rPr>
          <w:sz w:val="20"/>
          <w:szCs w:val="20"/>
        </w:rPr>
      </w:pPr>
    </w:p>
    <w:p>
      <w:pPr>
        <w:spacing w:line="360" w:lineRule="exact"/>
        <w:rPr>
          <w:sz w:val="20"/>
          <w:szCs w:val="20"/>
        </w:rPr>
      </w:pPr>
    </w:p>
    <w:p>
      <w:pPr>
        <w:spacing w:line="240" w:lineRule="exact"/>
        <w:ind w:left="420"/>
        <w:rPr>
          <w:sz w:val="20"/>
          <w:szCs w:val="20"/>
        </w:rPr>
      </w:pPr>
      <w:r>
        <w:rPr>
          <w:rFonts w:ascii="宋体" w:hAnsi="宋体" w:eastAsia="宋体" w:cs="宋体"/>
          <w:sz w:val="21"/>
          <w:szCs w:val="21"/>
        </w:rPr>
        <w:t>法定代表人（负责人）签字或盖章：</w:t>
      </w:r>
    </w:p>
    <w:p>
      <w:pPr>
        <w:spacing w:line="20" w:lineRule="exact"/>
        <w:rPr>
          <w:sz w:val="20"/>
          <w:szCs w:val="20"/>
        </w:rPr>
      </w:pPr>
      <w:r>
        <w:rPr>
          <w:sz w:val="20"/>
          <w:szCs w:val="20"/>
        </w:rPr>
        <w:pict>
          <v:line id="Shape 44" o:spid="_x0000_s1034" o:spt="20" style="position:absolute;left:0pt;margin-left:189.3pt;margin-top:0.4pt;height:0pt;width:94.5pt;z-index:-251656192;mso-width-relative:page;mso-height-relative:page;" filled="t" coordsize="21600,21600" o:allowincell="f" o:gfxdata="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7SqM7SAAAABQEAAA8AAAAAAAAAAQAgAAAAIgAA&#10;AGRycy9kb3ducmV2LnhtbFBLAQIUABQAAAAIAIdO4kBtP77OnAEAAFsDAAAOAAAAAAAAAAEAIAAA&#10;ACEBAABkcnMvZTJvRG9jLnhtbFBLBQYAAAAABgAGAFkBAAAvBQAAAAA=&#10;">
            <v:path arrowok="t"/>
            <v:fill on="t" focussize="0,0"/>
            <v:stroke weight="0.54pt" joinstyle="miter"/>
            <v:imagedata o:title=""/>
            <o:lock v:ext="edit"/>
          </v:line>
        </w:pict>
      </w:r>
    </w:p>
    <w:p>
      <w:pPr>
        <w:spacing w:line="200" w:lineRule="exact"/>
        <w:rPr>
          <w:sz w:val="20"/>
          <w:szCs w:val="20"/>
        </w:rPr>
      </w:pPr>
    </w:p>
    <w:p>
      <w:pPr>
        <w:spacing w:line="340" w:lineRule="exact"/>
        <w:rPr>
          <w:sz w:val="20"/>
          <w:szCs w:val="20"/>
        </w:rPr>
      </w:pPr>
    </w:p>
    <w:p>
      <w:pPr>
        <w:spacing w:line="240" w:lineRule="exact"/>
        <w:ind w:left="420"/>
        <w:rPr>
          <w:sz w:val="20"/>
          <w:szCs w:val="20"/>
        </w:rPr>
      </w:pPr>
      <w:r>
        <w:rPr>
          <w:rFonts w:ascii="宋体" w:hAnsi="宋体" w:eastAsia="宋体" w:cs="宋体"/>
          <w:sz w:val="21"/>
          <w:szCs w:val="21"/>
        </w:rPr>
        <w:t>日期：__________________</w:t>
      </w:r>
    </w:p>
    <w:p>
      <w:pPr>
        <w:spacing w:line="200" w:lineRule="exact"/>
        <w:rPr>
          <w:sz w:val="20"/>
          <w:szCs w:val="20"/>
        </w:rPr>
      </w:pPr>
    </w:p>
    <w:p>
      <w:pPr>
        <w:spacing w:line="393" w:lineRule="exact"/>
        <w:rPr>
          <w:sz w:val="20"/>
          <w:szCs w:val="20"/>
        </w:rPr>
      </w:pPr>
    </w:p>
    <w:p>
      <w:pPr>
        <w:spacing w:line="304" w:lineRule="exact"/>
        <w:rPr>
          <w:sz w:val="20"/>
          <w:szCs w:val="20"/>
        </w:rPr>
      </w:pPr>
      <w:r>
        <w:rPr>
          <w:rFonts w:ascii="宋体" w:hAnsi="宋体" w:eastAsia="宋体" w:cs="宋体"/>
          <w:b/>
          <w:bCs/>
          <w:sz w:val="21"/>
          <w:szCs w:val="21"/>
        </w:rPr>
        <w:t>附：委托代理人有效的身份证正反两面复印件以及由县级以上（含县级）社保部门出具的供应商为委托代理人交纳的社保证明复印件；</w:t>
      </w:r>
    </w:p>
    <w:p>
      <w:pPr>
        <w:spacing w:line="200" w:lineRule="exact"/>
        <w:rPr>
          <w:sz w:val="20"/>
          <w:szCs w:val="20"/>
        </w:rPr>
      </w:pPr>
    </w:p>
    <w:p>
      <w:pPr>
        <w:spacing w:line="200" w:lineRule="exact"/>
        <w:rPr>
          <w:sz w:val="20"/>
          <w:szCs w:val="20"/>
        </w:rPr>
      </w:pPr>
    </w:p>
    <w:p>
      <w:pPr>
        <w:spacing w:line="364" w:lineRule="exact"/>
        <w:rPr>
          <w:sz w:val="20"/>
          <w:szCs w:val="20"/>
        </w:rPr>
      </w:pPr>
    </w:p>
    <w:p>
      <w:pPr>
        <w:pStyle w:val="4"/>
      </w:pPr>
    </w:p>
    <w:p>
      <w:pPr>
        <w:spacing w:line="199" w:lineRule="exact"/>
        <w:rPr>
          <w:sz w:val="20"/>
          <w:szCs w:val="20"/>
        </w:rPr>
      </w:pPr>
      <w:bookmarkStart w:id="60" w:name="page31"/>
      <w:bookmarkEnd w:id="60"/>
    </w:p>
    <w:p>
      <w:pPr>
        <w:spacing w:line="366" w:lineRule="exact"/>
        <w:ind w:left="2060"/>
        <w:rPr>
          <w:sz w:val="20"/>
          <w:szCs w:val="20"/>
        </w:rPr>
      </w:pPr>
      <w:r>
        <w:rPr>
          <w:rFonts w:ascii="宋体" w:hAnsi="宋体" w:eastAsia="宋体" w:cs="宋体"/>
          <w:b/>
          <w:bCs/>
          <w:sz w:val="32"/>
          <w:szCs w:val="32"/>
        </w:rPr>
        <w:t>授权委托书（格式二）（自然人适用）</w:t>
      </w:r>
    </w:p>
    <w:p>
      <w:pPr>
        <w:spacing w:line="263" w:lineRule="exact"/>
        <w:rPr>
          <w:sz w:val="20"/>
          <w:szCs w:val="20"/>
        </w:rPr>
      </w:pPr>
    </w:p>
    <w:p>
      <w:pPr>
        <w:spacing w:line="240" w:lineRule="exact"/>
        <w:rPr>
          <w:rFonts w:eastAsia="宋体"/>
          <w:sz w:val="20"/>
          <w:szCs w:val="20"/>
        </w:rPr>
      </w:pPr>
      <w:r>
        <w:rPr>
          <w:rFonts w:ascii="宋体" w:hAnsi="宋体" w:eastAsia="宋体" w:cs="宋体"/>
          <w:b/>
          <w:bCs/>
          <w:sz w:val="21"/>
          <w:szCs w:val="21"/>
        </w:rPr>
        <w:t>致</w:t>
      </w:r>
      <w:r>
        <w:rPr>
          <w:rFonts w:ascii="宋体" w:hAnsi="宋体" w:eastAsia="宋体" w:cs="宋体"/>
          <w:sz w:val="21"/>
          <w:szCs w:val="21"/>
        </w:rPr>
        <w:t>：</w:t>
      </w:r>
      <w:r>
        <w:rPr>
          <w:rFonts w:hint="eastAsia" w:ascii="宋体" w:hAnsi="宋体" w:eastAsia="宋体" w:cs="宋体"/>
          <w:sz w:val="21"/>
          <w:szCs w:val="21"/>
          <w:u w:val="single"/>
        </w:rPr>
        <w:t>广西八桂建设项目管理有限公司</w:t>
      </w:r>
    </w:p>
    <w:p>
      <w:pPr>
        <w:spacing w:line="200" w:lineRule="exact"/>
        <w:rPr>
          <w:sz w:val="20"/>
          <w:szCs w:val="20"/>
        </w:rPr>
      </w:pPr>
    </w:p>
    <w:p>
      <w:pPr>
        <w:spacing w:line="313" w:lineRule="exact"/>
        <w:rPr>
          <w:sz w:val="20"/>
          <w:szCs w:val="20"/>
        </w:rPr>
      </w:pPr>
    </w:p>
    <w:tbl>
      <w:tblPr>
        <w:tblStyle w:val="9"/>
        <w:tblW w:w="0" w:type="auto"/>
        <w:tblInd w:w="0" w:type="dxa"/>
        <w:tblLayout w:type="fixed"/>
        <w:tblCellMar>
          <w:top w:w="0" w:type="dxa"/>
          <w:left w:w="0" w:type="dxa"/>
          <w:bottom w:w="0" w:type="dxa"/>
          <w:right w:w="0" w:type="dxa"/>
        </w:tblCellMar>
      </w:tblPr>
      <w:tblGrid>
        <w:gridCol w:w="640"/>
        <w:gridCol w:w="1340"/>
        <w:gridCol w:w="120"/>
        <w:gridCol w:w="620"/>
        <w:gridCol w:w="2140"/>
        <w:gridCol w:w="1260"/>
        <w:gridCol w:w="2300"/>
        <w:gridCol w:w="1000"/>
      </w:tblGrid>
      <w:tr>
        <w:tblPrEx>
          <w:tblCellMar>
            <w:top w:w="0" w:type="dxa"/>
            <w:left w:w="0" w:type="dxa"/>
            <w:bottom w:w="0" w:type="dxa"/>
            <w:right w:w="0" w:type="dxa"/>
          </w:tblCellMar>
        </w:tblPrEx>
        <w:trPr>
          <w:trHeight w:val="241" w:hRule="atLeast"/>
        </w:trPr>
        <w:tc>
          <w:tcPr>
            <w:tcW w:w="640" w:type="dxa"/>
            <w:vAlign w:val="bottom"/>
          </w:tcPr>
          <w:p>
            <w:pPr>
              <w:spacing w:line="240" w:lineRule="exact"/>
              <w:ind w:left="420"/>
              <w:rPr>
                <w:sz w:val="20"/>
                <w:szCs w:val="20"/>
              </w:rPr>
            </w:pPr>
            <w:r>
              <w:rPr>
                <w:rFonts w:ascii="宋体" w:hAnsi="宋体" w:eastAsia="宋体" w:cs="宋体"/>
                <w:w w:val="95"/>
                <w:sz w:val="21"/>
                <w:szCs w:val="21"/>
              </w:rPr>
              <w:t>我</w:t>
            </w:r>
          </w:p>
        </w:tc>
        <w:tc>
          <w:tcPr>
            <w:tcW w:w="1340" w:type="dxa"/>
            <w:vAlign w:val="bottom"/>
          </w:tcPr>
          <w:p>
            <w:pPr>
              <w:rPr>
                <w:sz w:val="20"/>
                <w:szCs w:val="20"/>
              </w:rPr>
            </w:pPr>
          </w:p>
        </w:tc>
        <w:tc>
          <w:tcPr>
            <w:tcW w:w="2880" w:type="dxa"/>
            <w:gridSpan w:val="3"/>
            <w:vAlign w:val="bottom"/>
          </w:tcPr>
          <w:p>
            <w:pPr>
              <w:spacing w:line="240" w:lineRule="exact"/>
              <w:ind w:left="60"/>
              <w:rPr>
                <w:sz w:val="20"/>
                <w:szCs w:val="20"/>
              </w:rPr>
            </w:pPr>
            <w:r>
              <w:rPr>
                <w:rFonts w:ascii="宋体" w:hAnsi="宋体" w:eastAsia="宋体" w:cs="宋体"/>
                <w:w w:val="95"/>
                <w:sz w:val="21"/>
                <w:szCs w:val="21"/>
              </w:rPr>
              <w:t>（姓名）系自然人，现授权委托</w:t>
            </w:r>
          </w:p>
        </w:tc>
        <w:tc>
          <w:tcPr>
            <w:tcW w:w="3560" w:type="dxa"/>
            <w:gridSpan w:val="2"/>
            <w:vAlign w:val="bottom"/>
          </w:tcPr>
          <w:p>
            <w:pPr>
              <w:spacing w:line="240" w:lineRule="exact"/>
              <w:ind w:left="1200"/>
              <w:rPr>
                <w:sz w:val="20"/>
                <w:szCs w:val="20"/>
              </w:rPr>
            </w:pPr>
            <w:r>
              <w:rPr>
                <w:rFonts w:ascii="宋体" w:hAnsi="宋体" w:eastAsia="宋体" w:cs="宋体"/>
                <w:w w:val="96"/>
                <w:sz w:val="21"/>
                <w:szCs w:val="21"/>
              </w:rPr>
              <w:t>（姓 名）以本人名义参加</w:t>
            </w:r>
          </w:p>
        </w:tc>
        <w:tc>
          <w:tcPr>
            <w:tcW w:w="1000" w:type="dxa"/>
            <w:vAlign w:val="bottom"/>
          </w:tcPr>
          <w:p>
            <w:pPr>
              <w:spacing w:line="240" w:lineRule="exact"/>
              <w:jc w:val="right"/>
              <w:rPr>
                <w:sz w:val="20"/>
                <w:szCs w:val="20"/>
              </w:rPr>
            </w:pPr>
            <w:r>
              <w:rPr>
                <w:rFonts w:ascii="宋体" w:hAnsi="宋体" w:eastAsia="宋体" w:cs="宋体"/>
                <w:sz w:val="21"/>
                <w:szCs w:val="21"/>
              </w:rPr>
              <w:t>（项</w:t>
            </w:r>
          </w:p>
        </w:tc>
      </w:tr>
      <w:tr>
        <w:tblPrEx>
          <w:tblCellMar>
            <w:top w:w="0" w:type="dxa"/>
            <w:left w:w="0" w:type="dxa"/>
            <w:bottom w:w="0" w:type="dxa"/>
            <w:right w:w="0" w:type="dxa"/>
          </w:tblCellMar>
        </w:tblPrEx>
        <w:trPr>
          <w:trHeight w:val="20" w:hRule="atLeast"/>
        </w:trPr>
        <w:tc>
          <w:tcPr>
            <w:tcW w:w="640" w:type="dxa"/>
            <w:vAlign w:val="bottom"/>
          </w:tcPr>
          <w:p>
            <w:pPr>
              <w:spacing w:line="20" w:lineRule="exact"/>
              <w:rPr>
                <w:sz w:val="1"/>
                <w:szCs w:val="1"/>
              </w:rPr>
            </w:pPr>
          </w:p>
        </w:tc>
        <w:tc>
          <w:tcPr>
            <w:tcW w:w="134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620" w:type="dxa"/>
            <w:vAlign w:val="bottom"/>
          </w:tcPr>
          <w:p>
            <w:pPr>
              <w:spacing w:line="20" w:lineRule="exact"/>
              <w:rPr>
                <w:sz w:val="1"/>
                <w:szCs w:val="1"/>
              </w:rPr>
            </w:pPr>
          </w:p>
        </w:tc>
        <w:tc>
          <w:tcPr>
            <w:tcW w:w="2140" w:type="dxa"/>
            <w:vAlign w:val="bottom"/>
          </w:tcPr>
          <w:p>
            <w:pPr>
              <w:spacing w:line="20" w:lineRule="exact"/>
              <w:rPr>
                <w:sz w:val="1"/>
                <w:szCs w:val="1"/>
              </w:rPr>
            </w:pPr>
          </w:p>
        </w:tc>
        <w:tc>
          <w:tcPr>
            <w:tcW w:w="1260" w:type="dxa"/>
            <w:shd w:val="clear" w:color="auto" w:fill="000000"/>
            <w:vAlign w:val="bottom"/>
          </w:tcPr>
          <w:p>
            <w:pPr>
              <w:spacing w:line="20" w:lineRule="exact"/>
              <w:rPr>
                <w:sz w:val="1"/>
                <w:szCs w:val="1"/>
              </w:rPr>
            </w:pPr>
          </w:p>
        </w:tc>
        <w:tc>
          <w:tcPr>
            <w:tcW w:w="2300" w:type="dxa"/>
            <w:vAlign w:val="bottom"/>
          </w:tcPr>
          <w:p>
            <w:pPr>
              <w:spacing w:line="20" w:lineRule="exact"/>
              <w:rPr>
                <w:sz w:val="1"/>
                <w:szCs w:val="1"/>
              </w:rPr>
            </w:pPr>
          </w:p>
        </w:tc>
        <w:tc>
          <w:tcPr>
            <w:tcW w:w="1000" w:type="dxa"/>
            <w:shd w:val="clear" w:color="auto" w:fill="000000"/>
            <w:vAlign w:val="bottom"/>
          </w:tcPr>
          <w:p>
            <w:pPr>
              <w:spacing w:line="20" w:lineRule="exact"/>
              <w:rPr>
                <w:sz w:val="1"/>
                <w:szCs w:val="1"/>
              </w:rPr>
            </w:pPr>
          </w:p>
        </w:tc>
      </w:tr>
      <w:tr>
        <w:tblPrEx>
          <w:tblCellMar>
            <w:top w:w="0" w:type="dxa"/>
            <w:left w:w="0" w:type="dxa"/>
            <w:bottom w:w="0" w:type="dxa"/>
            <w:right w:w="0" w:type="dxa"/>
          </w:tblCellMar>
        </w:tblPrEx>
        <w:trPr>
          <w:trHeight w:val="320" w:hRule="atLeast"/>
        </w:trPr>
        <w:tc>
          <w:tcPr>
            <w:tcW w:w="1980" w:type="dxa"/>
            <w:gridSpan w:val="2"/>
            <w:tcBorders>
              <w:bottom w:val="single" w:color="auto" w:sz="8" w:space="0"/>
            </w:tcBorders>
            <w:vAlign w:val="bottom"/>
          </w:tcPr>
          <w:p>
            <w:pPr>
              <w:spacing w:line="240" w:lineRule="exact"/>
              <w:rPr>
                <w:sz w:val="20"/>
                <w:szCs w:val="20"/>
              </w:rPr>
            </w:pPr>
            <w:r>
              <w:rPr>
                <w:rFonts w:ascii="宋体" w:hAnsi="宋体" w:eastAsia="宋体" w:cs="宋体"/>
                <w:sz w:val="21"/>
                <w:szCs w:val="21"/>
              </w:rPr>
              <w:t>目名称及项目编号）</w:t>
            </w:r>
          </w:p>
        </w:tc>
        <w:tc>
          <w:tcPr>
            <w:tcW w:w="120" w:type="dxa"/>
            <w:tcBorders>
              <w:bottom w:val="single" w:color="auto" w:sz="8" w:space="0"/>
            </w:tcBorders>
            <w:vAlign w:val="bottom"/>
          </w:tcPr>
          <w:p>
            <w:pPr>
              <w:rPr>
                <w:sz w:val="24"/>
                <w:szCs w:val="24"/>
              </w:rPr>
            </w:pPr>
          </w:p>
        </w:tc>
        <w:tc>
          <w:tcPr>
            <w:tcW w:w="620" w:type="dxa"/>
            <w:tcBorders>
              <w:bottom w:val="single" w:color="auto" w:sz="8" w:space="0"/>
            </w:tcBorders>
            <w:vAlign w:val="bottom"/>
          </w:tcPr>
          <w:p>
            <w:pPr>
              <w:rPr>
                <w:sz w:val="24"/>
                <w:szCs w:val="24"/>
              </w:rPr>
            </w:pPr>
          </w:p>
        </w:tc>
        <w:tc>
          <w:tcPr>
            <w:tcW w:w="6700" w:type="dxa"/>
            <w:gridSpan w:val="4"/>
            <w:vAlign w:val="bottom"/>
          </w:tcPr>
          <w:p>
            <w:pPr>
              <w:spacing w:line="240" w:lineRule="exact"/>
              <w:jc w:val="right"/>
              <w:rPr>
                <w:sz w:val="20"/>
                <w:szCs w:val="20"/>
              </w:rPr>
            </w:pPr>
            <w:r>
              <w:rPr>
                <w:rFonts w:ascii="宋体" w:hAnsi="宋体" w:eastAsia="宋体" w:cs="宋体"/>
                <w:w w:val="99"/>
                <w:sz w:val="21"/>
                <w:szCs w:val="21"/>
              </w:rPr>
              <w:t>项目的磋商活动，并代表本人全权办理针对上述项目的磋商、签约等具体</w:t>
            </w:r>
          </w:p>
        </w:tc>
      </w:tr>
    </w:tbl>
    <w:p>
      <w:pPr>
        <w:spacing w:line="87" w:lineRule="exact"/>
        <w:rPr>
          <w:sz w:val="20"/>
          <w:szCs w:val="20"/>
        </w:rPr>
      </w:pPr>
    </w:p>
    <w:p>
      <w:pPr>
        <w:spacing w:line="240" w:lineRule="exact"/>
        <w:rPr>
          <w:sz w:val="20"/>
          <w:szCs w:val="20"/>
        </w:rPr>
      </w:pPr>
      <w:r>
        <w:rPr>
          <w:rFonts w:ascii="宋体" w:hAnsi="宋体" w:eastAsia="宋体" w:cs="宋体"/>
          <w:sz w:val="21"/>
          <w:szCs w:val="21"/>
        </w:rPr>
        <w:t>事务和签署相关文件。</w:t>
      </w:r>
    </w:p>
    <w:p>
      <w:pPr>
        <w:spacing w:line="100" w:lineRule="exact"/>
        <w:rPr>
          <w:sz w:val="20"/>
          <w:szCs w:val="20"/>
        </w:rPr>
      </w:pPr>
    </w:p>
    <w:p>
      <w:pPr>
        <w:spacing w:line="240" w:lineRule="exact"/>
        <w:ind w:left="420"/>
        <w:rPr>
          <w:sz w:val="20"/>
          <w:szCs w:val="20"/>
        </w:rPr>
      </w:pPr>
      <w:r>
        <w:rPr>
          <w:rFonts w:ascii="宋体" w:hAnsi="宋体" w:eastAsia="宋体" w:cs="宋体"/>
          <w:sz w:val="21"/>
          <w:szCs w:val="21"/>
        </w:rPr>
        <w:t>本人对被授权人的签字事项负全部责任。</w:t>
      </w:r>
    </w:p>
    <w:p>
      <w:pPr>
        <w:spacing w:line="100" w:lineRule="exact"/>
        <w:rPr>
          <w:sz w:val="20"/>
          <w:szCs w:val="20"/>
        </w:rPr>
      </w:pPr>
    </w:p>
    <w:p>
      <w:pPr>
        <w:spacing w:line="240" w:lineRule="exact"/>
        <w:ind w:left="420"/>
        <w:rPr>
          <w:sz w:val="20"/>
          <w:szCs w:val="20"/>
        </w:rPr>
      </w:pPr>
      <w:r>
        <w:rPr>
          <w:rFonts w:ascii="宋体" w:hAnsi="宋体" w:eastAsia="宋体" w:cs="宋体"/>
          <w:sz w:val="21"/>
          <w:szCs w:val="21"/>
        </w:rPr>
        <w:t>授权委托代理期限：自即日起至该项目政府采购活动结束。</w:t>
      </w:r>
    </w:p>
    <w:p>
      <w:pPr>
        <w:spacing w:line="101" w:lineRule="exact"/>
        <w:rPr>
          <w:sz w:val="20"/>
          <w:szCs w:val="20"/>
        </w:rPr>
      </w:pPr>
    </w:p>
    <w:p>
      <w:pPr>
        <w:spacing w:line="240" w:lineRule="exact"/>
        <w:ind w:left="420"/>
        <w:rPr>
          <w:sz w:val="20"/>
          <w:szCs w:val="20"/>
        </w:rPr>
      </w:pPr>
      <w:r>
        <w:rPr>
          <w:rFonts w:ascii="宋体" w:hAnsi="宋体" w:eastAsia="宋体" w:cs="宋体"/>
          <w:sz w:val="21"/>
          <w:szCs w:val="21"/>
        </w:rPr>
        <w:t>代理人无转委托权，特此委托。</w:t>
      </w:r>
    </w:p>
    <w:p>
      <w:pPr>
        <w:spacing w:line="100" w:lineRule="exact"/>
        <w:rPr>
          <w:sz w:val="20"/>
          <w:szCs w:val="20"/>
        </w:rPr>
      </w:pPr>
    </w:p>
    <w:p>
      <w:pPr>
        <w:spacing w:line="240" w:lineRule="exact"/>
        <w:ind w:left="420"/>
        <w:rPr>
          <w:sz w:val="20"/>
          <w:szCs w:val="20"/>
        </w:rPr>
      </w:pPr>
      <w:r>
        <w:rPr>
          <w:rFonts w:ascii="宋体" w:hAnsi="宋体" w:eastAsia="宋体" w:cs="宋体"/>
          <w:sz w:val="21"/>
          <w:szCs w:val="21"/>
        </w:rPr>
        <w:t>我已在下面签字，以资证明。</w:t>
      </w:r>
    </w:p>
    <w:p>
      <w:pPr>
        <w:spacing w:line="200" w:lineRule="exact"/>
        <w:rPr>
          <w:sz w:val="20"/>
          <w:szCs w:val="20"/>
        </w:rPr>
      </w:pPr>
    </w:p>
    <w:p>
      <w:pPr>
        <w:spacing w:line="241" w:lineRule="exact"/>
        <w:rPr>
          <w:sz w:val="20"/>
          <w:szCs w:val="20"/>
        </w:rPr>
      </w:pPr>
    </w:p>
    <w:p>
      <w:pPr>
        <w:spacing w:line="240" w:lineRule="exact"/>
        <w:ind w:left="420"/>
        <w:rPr>
          <w:sz w:val="20"/>
          <w:szCs w:val="20"/>
        </w:rPr>
      </w:pPr>
      <w:r>
        <w:rPr>
          <w:rFonts w:ascii="宋体" w:hAnsi="宋体" w:eastAsia="宋体" w:cs="宋体"/>
          <w:sz w:val="21"/>
          <w:szCs w:val="21"/>
        </w:rPr>
        <w:t>自然人签字并在签名处加盖食指指印：</w:t>
      </w:r>
      <w:r>
        <w:rPr>
          <w:rFonts w:ascii="宋体" w:hAnsi="宋体" w:eastAsia="宋体" w:cs="宋体"/>
          <w:sz w:val="21"/>
          <w:szCs w:val="21"/>
          <w:u w:val="single"/>
        </w:rPr>
        <w:t>_________________</w:t>
      </w:r>
    </w:p>
    <w:p>
      <w:pPr>
        <w:spacing w:line="100" w:lineRule="exact"/>
        <w:rPr>
          <w:sz w:val="20"/>
          <w:szCs w:val="20"/>
        </w:rPr>
      </w:pPr>
    </w:p>
    <w:p>
      <w:pPr>
        <w:spacing w:line="240" w:lineRule="exact"/>
        <w:ind w:left="420"/>
        <w:rPr>
          <w:sz w:val="20"/>
          <w:szCs w:val="20"/>
        </w:rPr>
      </w:pPr>
      <w:r>
        <w:rPr>
          <w:rFonts w:ascii="宋体" w:hAnsi="宋体" w:eastAsia="宋体" w:cs="宋体"/>
          <w:sz w:val="21"/>
          <w:szCs w:val="21"/>
        </w:rPr>
        <w:t>日期：___________________</w:t>
      </w:r>
    </w:p>
    <w:p>
      <w:pPr>
        <w:spacing w:line="200" w:lineRule="exact"/>
        <w:rPr>
          <w:sz w:val="20"/>
          <w:szCs w:val="20"/>
        </w:rPr>
      </w:pPr>
    </w:p>
    <w:p>
      <w:pPr>
        <w:spacing w:line="381" w:lineRule="exact"/>
        <w:rPr>
          <w:sz w:val="20"/>
          <w:szCs w:val="20"/>
        </w:rPr>
      </w:pPr>
    </w:p>
    <w:p>
      <w:pPr>
        <w:spacing w:line="304" w:lineRule="exact"/>
        <w:ind w:left="420"/>
        <w:rPr>
          <w:sz w:val="20"/>
          <w:szCs w:val="20"/>
        </w:rPr>
      </w:pPr>
      <w:r>
        <w:rPr>
          <w:rFonts w:ascii="宋体" w:hAnsi="宋体" w:eastAsia="宋体" w:cs="宋体"/>
          <w:b/>
          <w:bCs/>
          <w:sz w:val="21"/>
          <w:szCs w:val="21"/>
        </w:rPr>
        <w:t>附：委托代理人身份证正反面复印件以及由县级以上（含县级）社保部门出具的自然人本人及委托代理人所交纳的社保证明复印件（委托代理时必须提供）。</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pStyle w:val="4"/>
        <w:rPr>
          <w:sz w:val="20"/>
          <w:szCs w:val="20"/>
        </w:rPr>
      </w:pPr>
    </w:p>
    <w:p>
      <w:pPr>
        <w:rPr>
          <w:sz w:val="20"/>
          <w:szCs w:val="20"/>
        </w:rPr>
      </w:pPr>
    </w:p>
    <w:p>
      <w:pPr>
        <w:pStyle w:val="4"/>
        <w:rPr>
          <w:sz w:val="20"/>
          <w:szCs w:val="20"/>
        </w:rPr>
      </w:pPr>
    </w:p>
    <w:p>
      <w:pPr>
        <w:rPr>
          <w:sz w:val="20"/>
          <w:szCs w:val="20"/>
        </w:rPr>
      </w:pPr>
    </w:p>
    <w:p>
      <w:pPr>
        <w:pStyle w:val="4"/>
        <w:rPr>
          <w:sz w:val="20"/>
          <w:szCs w:val="20"/>
        </w:rPr>
      </w:pPr>
    </w:p>
    <w:p>
      <w:pPr>
        <w:rPr>
          <w:sz w:val="20"/>
          <w:szCs w:val="20"/>
        </w:rPr>
      </w:pPr>
    </w:p>
    <w:p>
      <w:pPr>
        <w:pStyle w:val="4"/>
        <w:rPr>
          <w:sz w:val="20"/>
          <w:szCs w:val="20"/>
        </w:rPr>
      </w:pPr>
    </w:p>
    <w:p>
      <w:pPr>
        <w:rPr>
          <w:sz w:val="20"/>
          <w:szCs w:val="20"/>
        </w:rPr>
      </w:pPr>
    </w:p>
    <w:p>
      <w:pPr>
        <w:pStyle w:val="4"/>
      </w:pPr>
    </w:p>
    <w:p>
      <w:pPr>
        <w:spacing w:line="200" w:lineRule="exact"/>
        <w:rPr>
          <w:sz w:val="20"/>
          <w:szCs w:val="20"/>
        </w:rPr>
      </w:pPr>
    </w:p>
    <w:p>
      <w:pPr>
        <w:spacing w:line="298" w:lineRule="exact"/>
        <w:rPr>
          <w:sz w:val="20"/>
          <w:szCs w:val="20"/>
        </w:rPr>
      </w:pPr>
    </w:p>
    <w:p>
      <w:pPr>
        <w:spacing w:line="381" w:lineRule="exact"/>
        <w:rPr>
          <w:sz w:val="20"/>
          <w:szCs w:val="20"/>
        </w:rPr>
      </w:pPr>
      <w:r>
        <w:rPr>
          <w:rFonts w:ascii="宋体" w:hAnsi="宋体" w:eastAsia="宋体" w:cs="宋体"/>
          <w:b/>
          <w:bCs/>
          <w:sz w:val="32"/>
          <w:szCs w:val="32"/>
        </w:rPr>
        <w:t>4、供应商参加政府采购活动前 3 年内在经营活动中没有重大违法记录的书面声明及有关信用信息的书面声明（必须提供）；附件：</w:t>
      </w:r>
    </w:p>
    <w:p>
      <w:pPr>
        <w:spacing w:line="393" w:lineRule="exact"/>
        <w:rPr>
          <w:sz w:val="20"/>
          <w:szCs w:val="20"/>
        </w:rPr>
      </w:pPr>
    </w:p>
    <w:p>
      <w:pPr>
        <w:tabs>
          <w:tab w:val="left" w:pos="460"/>
        </w:tabs>
        <w:spacing w:line="366" w:lineRule="exact"/>
        <w:ind w:right="-19"/>
        <w:jc w:val="center"/>
        <w:rPr>
          <w:sz w:val="20"/>
          <w:szCs w:val="20"/>
        </w:rPr>
      </w:pPr>
      <w:r>
        <w:rPr>
          <w:rFonts w:ascii="宋体" w:hAnsi="宋体" w:eastAsia="宋体" w:cs="宋体"/>
          <w:b/>
          <w:bCs/>
          <w:sz w:val="32"/>
          <w:szCs w:val="32"/>
        </w:rPr>
        <w:t>声</w:t>
      </w:r>
      <w:r>
        <w:rPr>
          <w:sz w:val="20"/>
          <w:szCs w:val="20"/>
        </w:rPr>
        <w:tab/>
      </w:r>
      <w:r>
        <w:rPr>
          <w:rFonts w:ascii="宋体" w:hAnsi="宋体" w:eastAsia="宋体" w:cs="宋体"/>
          <w:b/>
          <w:bCs/>
          <w:sz w:val="31"/>
          <w:szCs w:val="31"/>
        </w:rPr>
        <w:t>明</w:t>
      </w:r>
    </w:p>
    <w:p>
      <w:pPr>
        <w:spacing w:line="145" w:lineRule="exact"/>
        <w:rPr>
          <w:sz w:val="20"/>
          <w:szCs w:val="20"/>
        </w:rPr>
      </w:pPr>
    </w:p>
    <w:p>
      <w:pPr>
        <w:spacing w:line="240" w:lineRule="exact"/>
        <w:rPr>
          <w:rFonts w:eastAsia="宋体"/>
          <w:sz w:val="20"/>
          <w:szCs w:val="20"/>
        </w:rPr>
      </w:pPr>
      <w:r>
        <w:rPr>
          <w:rFonts w:ascii="宋体" w:hAnsi="宋体" w:eastAsia="宋体" w:cs="宋体"/>
          <w:b/>
          <w:bCs/>
          <w:sz w:val="21"/>
          <w:szCs w:val="21"/>
        </w:rPr>
        <w:t>致</w:t>
      </w:r>
      <w:r>
        <w:rPr>
          <w:rFonts w:ascii="宋体" w:hAnsi="宋体" w:eastAsia="宋体" w:cs="宋体"/>
          <w:sz w:val="21"/>
          <w:szCs w:val="21"/>
        </w:rPr>
        <w:t>：</w:t>
      </w:r>
      <w:r>
        <w:rPr>
          <w:rFonts w:hint="eastAsia" w:ascii="宋体" w:hAnsi="宋体" w:eastAsia="宋体" w:cs="宋体"/>
          <w:sz w:val="21"/>
          <w:szCs w:val="21"/>
          <w:u w:val="single"/>
        </w:rPr>
        <w:t>广西八桂建设项目管理有限公司</w:t>
      </w:r>
    </w:p>
    <w:p>
      <w:pPr>
        <w:spacing w:line="200" w:lineRule="exact"/>
        <w:rPr>
          <w:sz w:val="20"/>
          <w:szCs w:val="20"/>
        </w:rPr>
      </w:pPr>
    </w:p>
    <w:p>
      <w:pPr>
        <w:spacing w:line="375" w:lineRule="exact"/>
        <w:rPr>
          <w:sz w:val="20"/>
          <w:szCs w:val="20"/>
        </w:rPr>
      </w:pPr>
    </w:p>
    <w:p>
      <w:pPr>
        <w:spacing w:line="346" w:lineRule="exact"/>
        <w:ind w:firstLine="420"/>
        <w:jc w:val="both"/>
        <w:rPr>
          <w:sz w:val="20"/>
          <w:szCs w:val="20"/>
        </w:rPr>
      </w:pPr>
      <w:r>
        <w:rPr>
          <w:rFonts w:ascii="宋体" w:hAnsi="宋体" w:eastAsia="宋体" w:cs="宋体"/>
          <w:sz w:val="21"/>
          <w:szCs w:val="21"/>
        </w:rPr>
        <w:t>我（公司）郑重声明，在参加本项目政府采购活动前 3 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200" w:lineRule="exact"/>
        <w:rPr>
          <w:sz w:val="20"/>
          <w:szCs w:val="20"/>
        </w:rPr>
      </w:pPr>
    </w:p>
    <w:p>
      <w:pPr>
        <w:spacing w:line="358" w:lineRule="exact"/>
        <w:rPr>
          <w:sz w:val="20"/>
          <w:szCs w:val="20"/>
        </w:rPr>
      </w:pPr>
    </w:p>
    <w:p>
      <w:pPr>
        <w:spacing w:line="240" w:lineRule="exact"/>
        <w:ind w:left="4940"/>
        <w:rPr>
          <w:sz w:val="20"/>
          <w:szCs w:val="20"/>
        </w:rPr>
      </w:pPr>
      <w:r>
        <w:rPr>
          <w:rFonts w:ascii="宋体" w:hAnsi="宋体" w:eastAsia="宋体" w:cs="宋体"/>
          <w:sz w:val="21"/>
          <w:szCs w:val="21"/>
        </w:rPr>
        <w:t>供应商（公章，自然人除外）：</w:t>
      </w:r>
      <w:r>
        <w:rPr>
          <w:rFonts w:ascii="宋体" w:hAnsi="宋体" w:eastAsia="宋体" w:cs="宋体"/>
          <w:sz w:val="21"/>
          <w:szCs w:val="21"/>
          <w:u w:val="single"/>
        </w:rPr>
        <w:t>_____________</w:t>
      </w:r>
    </w:p>
    <w:p>
      <w:pPr>
        <w:spacing w:line="112" w:lineRule="exact"/>
        <w:rPr>
          <w:sz w:val="20"/>
          <w:szCs w:val="20"/>
        </w:rPr>
      </w:pPr>
    </w:p>
    <w:p>
      <w:pPr>
        <w:spacing w:line="240" w:lineRule="exact"/>
        <w:ind w:left="4940"/>
        <w:rPr>
          <w:sz w:val="20"/>
          <w:szCs w:val="20"/>
        </w:rPr>
      </w:pPr>
      <w:r>
        <w:rPr>
          <w:rFonts w:ascii="宋体" w:hAnsi="宋体" w:eastAsia="宋体" w:cs="宋体"/>
          <w:sz w:val="21"/>
          <w:szCs w:val="21"/>
        </w:rPr>
        <w:t>法定代表人、负责人、自然人或相应的委托代理</w:t>
      </w:r>
    </w:p>
    <w:p>
      <w:pPr>
        <w:spacing w:line="101" w:lineRule="exact"/>
        <w:rPr>
          <w:sz w:val="20"/>
          <w:szCs w:val="20"/>
        </w:rPr>
      </w:pPr>
    </w:p>
    <w:p>
      <w:pPr>
        <w:spacing w:line="240" w:lineRule="exact"/>
        <w:ind w:left="4940"/>
        <w:rPr>
          <w:sz w:val="20"/>
          <w:szCs w:val="20"/>
        </w:rPr>
      </w:pPr>
      <w:r>
        <w:rPr>
          <w:rFonts w:ascii="宋体" w:hAnsi="宋体" w:eastAsia="宋体" w:cs="宋体"/>
          <w:sz w:val="21"/>
          <w:szCs w:val="21"/>
        </w:rPr>
        <w:t>人签字或盖章（属自然人的应在签名处加盖食指</w:t>
      </w:r>
    </w:p>
    <w:p>
      <w:pPr>
        <w:spacing w:line="100" w:lineRule="exact"/>
        <w:rPr>
          <w:sz w:val="20"/>
          <w:szCs w:val="20"/>
        </w:rPr>
      </w:pPr>
    </w:p>
    <w:p>
      <w:pPr>
        <w:spacing w:line="240" w:lineRule="exact"/>
        <w:ind w:left="4940"/>
        <w:rPr>
          <w:sz w:val="20"/>
          <w:szCs w:val="20"/>
        </w:rPr>
      </w:pPr>
      <w:r>
        <w:rPr>
          <w:rFonts w:ascii="宋体" w:hAnsi="宋体" w:eastAsia="宋体" w:cs="宋体"/>
          <w:sz w:val="21"/>
          <w:szCs w:val="21"/>
        </w:rPr>
        <w:t>指印）：</w:t>
      </w:r>
      <w:r>
        <w:rPr>
          <w:rFonts w:ascii="宋体" w:hAnsi="宋体" w:eastAsia="宋体" w:cs="宋体"/>
          <w:sz w:val="21"/>
          <w:szCs w:val="21"/>
          <w:u w:val="single"/>
        </w:rPr>
        <w:t>_____________________</w:t>
      </w:r>
    </w:p>
    <w:p>
      <w:pPr>
        <w:spacing w:line="58" w:lineRule="exact"/>
        <w:rPr>
          <w:sz w:val="20"/>
          <w:szCs w:val="20"/>
        </w:rPr>
      </w:pPr>
    </w:p>
    <w:p>
      <w:pPr>
        <w:spacing w:line="240" w:lineRule="exact"/>
        <w:ind w:left="4920"/>
        <w:rPr>
          <w:sz w:val="20"/>
          <w:szCs w:val="20"/>
        </w:rPr>
      </w:pPr>
      <w:r>
        <w:rPr>
          <w:rFonts w:ascii="宋体" w:hAnsi="宋体" w:eastAsia="宋体" w:cs="宋体"/>
          <w:sz w:val="21"/>
          <w:szCs w:val="21"/>
        </w:rPr>
        <w:t>日 期：</w:t>
      </w:r>
      <w:r>
        <w:rPr>
          <w:rFonts w:ascii="宋体" w:hAnsi="宋体" w:eastAsia="宋体" w:cs="宋体"/>
          <w:sz w:val="21"/>
          <w:szCs w:val="21"/>
          <w:u w:val="single"/>
        </w:rPr>
        <w:t>______________________</w:t>
      </w:r>
    </w:p>
    <w:p>
      <w:pPr>
        <w:spacing w:line="278" w:lineRule="exact"/>
        <w:rPr>
          <w:sz w:val="20"/>
          <w:szCs w:val="20"/>
        </w:rPr>
      </w:pPr>
    </w:p>
    <w:p>
      <w:pPr>
        <w:spacing w:line="358" w:lineRule="exact"/>
        <w:ind w:left="220" w:right="240"/>
        <w:jc w:val="both"/>
        <w:rPr>
          <w:rFonts w:ascii="宋体" w:hAnsi="宋体" w:eastAsia="宋体" w:cs="宋体"/>
          <w:b/>
          <w:bCs/>
          <w:sz w:val="32"/>
          <w:szCs w:val="32"/>
        </w:rPr>
      </w:pPr>
      <w:bookmarkStart w:id="61" w:name="page32"/>
      <w:bookmarkEnd w:id="61"/>
    </w:p>
    <w:p>
      <w:pPr>
        <w:spacing w:line="358" w:lineRule="exact"/>
        <w:ind w:left="220" w:right="240"/>
        <w:jc w:val="both"/>
        <w:rPr>
          <w:sz w:val="20"/>
          <w:szCs w:val="20"/>
        </w:rPr>
      </w:pPr>
      <w:r>
        <w:rPr>
          <w:rFonts w:ascii="宋体" w:hAnsi="宋体" w:eastAsia="宋体" w:cs="宋体"/>
          <w:b/>
          <w:bCs/>
          <w:sz w:val="32"/>
          <w:szCs w:val="32"/>
        </w:rPr>
        <w:t>5、供应商的法人或者其他组织营业执照复印件等证明文件（必须提供，自然人除外）；</w:t>
      </w:r>
    </w:p>
    <w:p>
      <w:pPr>
        <w:spacing w:line="200" w:lineRule="exact"/>
        <w:rPr>
          <w:sz w:val="20"/>
          <w:szCs w:val="20"/>
        </w:rPr>
      </w:pPr>
    </w:p>
    <w:p>
      <w:pPr>
        <w:spacing w:line="234" w:lineRule="exact"/>
        <w:rPr>
          <w:sz w:val="20"/>
          <w:szCs w:val="20"/>
        </w:rPr>
      </w:pPr>
    </w:p>
    <w:p>
      <w:pPr>
        <w:spacing w:line="298" w:lineRule="exact"/>
        <w:ind w:left="220" w:right="240"/>
        <w:jc w:val="both"/>
        <w:rPr>
          <w:sz w:val="20"/>
          <w:szCs w:val="20"/>
        </w:rPr>
      </w:pPr>
      <w:r>
        <w:rPr>
          <w:rFonts w:ascii="宋体" w:hAnsi="宋体" w:eastAsia="宋体" w:cs="宋体"/>
          <w:b/>
          <w:bCs/>
          <w:sz w:val="21"/>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200" w:lineRule="exact"/>
        <w:rPr>
          <w:sz w:val="20"/>
          <w:szCs w:val="20"/>
        </w:rPr>
      </w:pPr>
    </w:p>
    <w:p>
      <w:pPr>
        <w:spacing w:line="200" w:lineRule="exact"/>
        <w:rPr>
          <w:sz w:val="20"/>
          <w:szCs w:val="20"/>
        </w:rPr>
      </w:pPr>
    </w:p>
    <w:p>
      <w:pPr>
        <w:pStyle w:val="4"/>
      </w:pPr>
    </w:p>
    <w:p>
      <w:pPr>
        <w:spacing w:line="212" w:lineRule="exact"/>
        <w:rPr>
          <w:sz w:val="20"/>
          <w:szCs w:val="20"/>
        </w:rPr>
      </w:pPr>
    </w:p>
    <w:p>
      <w:pPr>
        <w:spacing w:line="366" w:lineRule="exact"/>
        <w:ind w:left="220"/>
        <w:rPr>
          <w:rFonts w:ascii="宋体" w:hAnsi="宋体" w:eastAsia="宋体" w:cs="宋体"/>
          <w:b/>
          <w:bCs/>
          <w:sz w:val="28"/>
          <w:szCs w:val="28"/>
        </w:rPr>
      </w:pPr>
    </w:p>
    <w:p>
      <w:pPr>
        <w:spacing w:line="366" w:lineRule="exact"/>
        <w:ind w:left="220"/>
        <w:rPr>
          <w:rFonts w:ascii="宋体" w:hAnsi="宋体" w:eastAsia="宋体" w:cs="宋体"/>
          <w:b/>
          <w:bCs/>
          <w:sz w:val="28"/>
          <w:szCs w:val="28"/>
        </w:rPr>
      </w:pPr>
    </w:p>
    <w:p>
      <w:pPr>
        <w:spacing w:line="366" w:lineRule="exact"/>
        <w:ind w:left="220"/>
        <w:rPr>
          <w:rFonts w:ascii="宋体" w:hAnsi="宋体" w:eastAsia="宋体" w:cs="宋体"/>
          <w:b/>
          <w:bCs/>
          <w:sz w:val="28"/>
          <w:szCs w:val="28"/>
        </w:rPr>
      </w:pPr>
    </w:p>
    <w:p>
      <w:pPr>
        <w:spacing w:line="366" w:lineRule="exact"/>
        <w:ind w:left="220"/>
        <w:rPr>
          <w:rFonts w:ascii="宋体" w:hAnsi="宋体" w:eastAsia="宋体" w:cs="宋体"/>
          <w:b/>
          <w:bCs/>
          <w:sz w:val="28"/>
          <w:szCs w:val="28"/>
        </w:rPr>
      </w:pPr>
    </w:p>
    <w:p>
      <w:pPr>
        <w:spacing w:line="366" w:lineRule="exact"/>
        <w:ind w:left="220"/>
        <w:rPr>
          <w:rFonts w:ascii="宋体" w:hAnsi="宋体" w:eastAsia="宋体" w:cs="宋体"/>
          <w:b/>
          <w:bCs/>
          <w:sz w:val="28"/>
          <w:szCs w:val="28"/>
        </w:rPr>
      </w:pPr>
    </w:p>
    <w:p>
      <w:pPr>
        <w:spacing w:line="366" w:lineRule="exact"/>
        <w:ind w:left="220"/>
        <w:rPr>
          <w:sz w:val="20"/>
          <w:szCs w:val="20"/>
        </w:rPr>
      </w:pPr>
      <w:r>
        <w:rPr>
          <w:rFonts w:ascii="宋体" w:hAnsi="宋体" w:eastAsia="宋体" w:cs="宋体"/>
          <w:b/>
          <w:bCs/>
          <w:sz w:val="28"/>
          <w:szCs w:val="28"/>
        </w:rPr>
        <w:t>6、</w:t>
      </w:r>
      <w:r>
        <w:rPr>
          <w:rFonts w:ascii="宋体" w:hAnsi="宋体" w:eastAsia="宋体" w:cs="宋体"/>
          <w:b/>
          <w:bCs/>
          <w:sz w:val="32"/>
          <w:szCs w:val="32"/>
        </w:rPr>
        <w:t>磋商报价</w:t>
      </w:r>
      <w:r>
        <w:rPr>
          <w:rFonts w:ascii="宋体" w:hAnsi="宋体" w:eastAsia="宋体" w:cs="宋体"/>
          <w:b/>
          <w:bCs/>
          <w:sz w:val="28"/>
          <w:szCs w:val="28"/>
        </w:rPr>
        <w:t>表（格式见附件）（必须提供）；</w:t>
      </w:r>
    </w:p>
    <w:p>
      <w:pPr>
        <w:spacing w:line="275" w:lineRule="exact"/>
        <w:rPr>
          <w:sz w:val="20"/>
          <w:szCs w:val="20"/>
        </w:rPr>
      </w:pPr>
    </w:p>
    <w:p>
      <w:pPr>
        <w:tabs>
          <w:tab w:val="left" w:pos="3580"/>
        </w:tabs>
        <w:spacing w:line="366" w:lineRule="exact"/>
        <w:ind w:left="220"/>
        <w:rPr>
          <w:sz w:val="20"/>
          <w:szCs w:val="20"/>
        </w:rPr>
      </w:pPr>
      <w:r>
        <w:rPr>
          <w:rFonts w:ascii="宋体" w:hAnsi="宋体" w:eastAsia="宋体" w:cs="宋体"/>
          <w:b/>
          <w:bCs/>
          <w:sz w:val="32"/>
          <w:szCs w:val="32"/>
        </w:rPr>
        <w:t>附件</w:t>
      </w:r>
      <w:r>
        <w:rPr>
          <w:sz w:val="20"/>
          <w:szCs w:val="20"/>
        </w:rPr>
        <w:tab/>
      </w:r>
      <w:r>
        <w:rPr>
          <w:rFonts w:ascii="宋体" w:hAnsi="宋体" w:eastAsia="宋体" w:cs="宋体"/>
          <w:b/>
          <w:bCs/>
          <w:sz w:val="32"/>
          <w:szCs w:val="32"/>
        </w:rPr>
        <w:t>磋商报价表（格式）</w:t>
      </w:r>
    </w:p>
    <w:p>
      <w:pPr>
        <w:spacing w:line="20" w:lineRule="exact"/>
        <w:rPr>
          <w:sz w:val="20"/>
          <w:szCs w:val="20"/>
        </w:rPr>
      </w:pPr>
      <w:r>
        <w:rPr>
          <w:sz w:val="20"/>
          <w:szCs w:val="20"/>
        </w:rPr>
        <w:pict>
          <v:line id="Shape 45" o:spid="_x0000_s1033" o:spt="20" style="position:absolute;left:0pt;margin-left:-0.45pt;margin-top:149.5pt;height:0pt;width:494.25pt;z-index:-251655168;mso-width-relative:page;mso-height-relative:page;" filled="t" coordsize="21600,21600" o:allowincell="f" o:gfxdata="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yRc0u1gAAAAkBAAAPAAAAAAAAAAEAIAAA&#10;ACIAAABkcnMvZG93bnJldi54bWxQSwECFAAUAAAACACHTuJAkKzAcZwBAABbAwAADgAAAAAAAAAB&#10;ACAAAAAlAQAAZHJzL2Uyb0RvYy54bWxQSwUGAAAAAAYABgBZAQAAMwUAAAAA&#10;">
            <v:path arrowok="t"/>
            <v:fill on="t" focussize="0,0"/>
            <v:stroke weight="0.47992125984252pt" joinstyle="miter"/>
            <v:imagedata o:title=""/>
            <o:lock v:ext="edit"/>
          </v:line>
        </w:pict>
      </w:r>
      <w:r>
        <w:rPr>
          <w:sz w:val="20"/>
          <w:szCs w:val="20"/>
        </w:rPr>
        <w:pict>
          <v:line id="Shape 46" o:spid="_x0000_s1032" o:spt="20" style="position:absolute;left:0pt;margin-left:-0.45pt;margin-top:177.95pt;height:0pt;width:494.25pt;z-index:-251654144;mso-width-relative:page;mso-height-relative:page;" filled="t" coordsize="21600,21600" o:allowincell="f" o:gfxdata="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c3Nbk1gAAAAkBAAAPAAAAAAAAAAEAIAAA&#10;ACIAAABkcnMvZG93bnJldi54bWxQSwECFAAUAAAACACHTuJAvNJEYpwBAABbAwAADgAAAAAAAAAB&#10;ACAAAAAlAQAAZHJzL2Uyb0RvYy54bWxQSwUGAAAAAAYABgBZAQAAMwUAAAAA&#10;">
            <v:path arrowok="t"/>
            <v:fill on="t" focussize="0,0"/>
            <v:stroke weight="0.47992125984252pt" joinstyle="miter"/>
            <v:imagedata o:title=""/>
            <o:lock v:ext="edit"/>
          </v:line>
        </w:pict>
      </w:r>
      <w:r>
        <w:rPr>
          <w:sz w:val="20"/>
          <w:szCs w:val="20"/>
        </w:rPr>
        <w:pict>
          <v:line id="Shape 47" o:spid="_x0000_s1031" o:spt="20" style="position:absolute;left:0pt;margin-left:-0.45pt;margin-top:206.1pt;height:0pt;width:494.25pt;z-index:-251653120;mso-width-relative:page;mso-height-relative:page;" filled="t" coordsize="21600,21600" o:allowincell="f" o:gfxdata="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Hi+pJPYAAAACQEAAA8AAAAAAAAAAQAg&#10;AAAAIgAAAGRycy9kb3ducmV2LnhtbFBLAQIUABQAAAAIAIdO4kC/1+uCnAEAAFsDAAAOAAAAAAAA&#10;AAEAIAAAACcBAABkcnMvZTJvRG9jLnhtbFBLBQYAAAAABgAGAFkBAAA1BQAAAAA=&#10;">
            <v:path arrowok="t"/>
            <v:fill on="t" focussize="0,0"/>
            <v:stroke weight="0.48pt" joinstyle="miter"/>
            <v:imagedata o:title=""/>
            <o:lock v:ext="edit"/>
          </v:line>
        </w:pict>
      </w:r>
      <w:r>
        <w:rPr>
          <w:sz w:val="20"/>
          <w:szCs w:val="20"/>
        </w:rPr>
        <w:pict>
          <v:line id="Shape 48" o:spid="_x0000_s1030" o:spt="20" style="position:absolute;left:0pt;margin-left:-0.2pt;margin-top:17.05pt;height:219.75pt;width:0pt;z-index:-251652096;mso-width-relative:page;mso-height-relative:page;" filled="t" coordsize="21600,21600" o:allowincell="f" o:gfxdata="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j/gPUdMAAAAGAQAADwAAAAAAAAABACAAAAAi&#10;AAAAZHJzL2Rvd25yZXYueG1sUEsBAhQAFAAAAAgAh07iQJUCXN6dAQAAWwMAAA4AAAAAAAAAAQAg&#10;AAAAIgEAAGRycy9lMm9Eb2MueG1sUEsFBgAAAAAGAAYAWQEAADEFAAAAAA==&#10;">
            <v:path arrowok="t"/>
            <v:fill on="t" focussize="0,0"/>
            <v:stroke weight="0.47992125984252pt" joinstyle="miter"/>
            <v:imagedata o:title=""/>
            <o:lock v:ext="edit"/>
          </v:line>
        </w:pict>
      </w:r>
      <w:r>
        <w:rPr>
          <w:sz w:val="20"/>
          <w:szCs w:val="20"/>
        </w:rPr>
        <w:pict>
          <v:line id="Shape 49" o:spid="_x0000_s1029" o:spt="20" style="position:absolute;left:0pt;margin-left:493.55pt;margin-top:17.05pt;height:219.75pt;width:0pt;z-index:-251651072;mso-width-relative:page;mso-height-relative:page;" filled="t" coordsize="21600,21600" o:allowincell="f" o:gfxdata="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gwuW8NcAAAAKAQAADwAAAAAAAAABACAA&#10;AAAiAAAAZHJzL2Rvd25yZXYueG1sUEsBAhQAFAAAAAgAh07iQHHX39CcAQAAWwMAAA4AAAAAAAAA&#10;AQAgAAAAJgEAAGRycy9lMm9Eb2MueG1sUEsFBgAAAAAGAAYAWQEAADQFAAAAAA==&#10;">
            <v:path arrowok="t"/>
            <v:fill on="t" focussize="0,0"/>
            <v:stroke weight="0.47992125984252pt" joinstyle="miter"/>
            <v:imagedata o:title=""/>
            <o:lock v:ext="edit"/>
          </v:line>
        </w:pict>
      </w:r>
    </w:p>
    <w:p>
      <w:pPr>
        <w:spacing w:line="301" w:lineRule="exact"/>
        <w:rPr>
          <w:sz w:val="20"/>
          <w:szCs w:val="20"/>
        </w:rPr>
      </w:pPr>
    </w:p>
    <w:tbl>
      <w:tblPr>
        <w:tblStyle w:val="9"/>
        <w:tblW w:w="10240" w:type="dxa"/>
        <w:tblInd w:w="0" w:type="dxa"/>
        <w:tblLayout w:type="fixed"/>
        <w:tblCellMar>
          <w:top w:w="0" w:type="dxa"/>
          <w:left w:w="0" w:type="dxa"/>
          <w:bottom w:w="0" w:type="dxa"/>
          <w:right w:w="0" w:type="dxa"/>
        </w:tblCellMar>
      </w:tblPr>
      <w:tblGrid>
        <w:gridCol w:w="660"/>
        <w:gridCol w:w="1860"/>
        <w:gridCol w:w="980"/>
        <w:gridCol w:w="1140"/>
        <w:gridCol w:w="1560"/>
        <w:gridCol w:w="2540"/>
        <w:gridCol w:w="1140"/>
        <w:gridCol w:w="360"/>
      </w:tblGrid>
      <w:tr>
        <w:tblPrEx>
          <w:tblCellMar>
            <w:top w:w="0" w:type="dxa"/>
            <w:left w:w="0" w:type="dxa"/>
            <w:bottom w:w="0" w:type="dxa"/>
            <w:right w:w="0" w:type="dxa"/>
          </w:tblCellMar>
        </w:tblPrEx>
        <w:trPr>
          <w:trHeight w:val="293" w:hRule="atLeast"/>
        </w:trPr>
        <w:tc>
          <w:tcPr>
            <w:tcW w:w="660" w:type="dxa"/>
            <w:vMerge w:val="restart"/>
            <w:tcBorders>
              <w:top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项号</w:t>
            </w:r>
          </w:p>
        </w:tc>
        <w:tc>
          <w:tcPr>
            <w:tcW w:w="1860" w:type="dxa"/>
            <w:vMerge w:val="restart"/>
            <w:tcBorders>
              <w:top w:val="single" w:color="auto" w:sz="8" w:space="0"/>
              <w:right w:val="single" w:color="auto" w:sz="8" w:space="0"/>
            </w:tcBorders>
            <w:vAlign w:val="bottom"/>
          </w:tcPr>
          <w:p>
            <w:pPr>
              <w:spacing w:line="240" w:lineRule="exact"/>
              <w:ind w:left="500"/>
              <w:rPr>
                <w:sz w:val="20"/>
                <w:szCs w:val="20"/>
              </w:rPr>
            </w:pPr>
            <w:r>
              <w:rPr>
                <w:rFonts w:ascii="宋体" w:hAnsi="宋体" w:eastAsia="宋体" w:cs="宋体"/>
                <w:sz w:val="21"/>
                <w:szCs w:val="21"/>
              </w:rPr>
              <w:t>服务名称</w:t>
            </w:r>
          </w:p>
        </w:tc>
        <w:tc>
          <w:tcPr>
            <w:tcW w:w="980" w:type="dxa"/>
            <w:vMerge w:val="restart"/>
            <w:tcBorders>
              <w:top w:val="single" w:color="auto" w:sz="8" w:space="0"/>
              <w:right w:val="single" w:color="auto" w:sz="8" w:space="0"/>
            </w:tcBorders>
            <w:vAlign w:val="bottom"/>
          </w:tcPr>
          <w:p>
            <w:pPr>
              <w:spacing w:line="240" w:lineRule="exact"/>
              <w:ind w:left="160"/>
              <w:rPr>
                <w:sz w:val="20"/>
                <w:szCs w:val="20"/>
              </w:rPr>
            </w:pPr>
            <w:r>
              <w:rPr>
                <w:rFonts w:ascii="宋体" w:hAnsi="宋体" w:eastAsia="宋体" w:cs="宋体"/>
                <w:sz w:val="21"/>
                <w:szCs w:val="21"/>
              </w:rPr>
              <w:t>数量①</w:t>
            </w:r>
          </w:p>
        </w:tc>
        <w:tc>
          <w:tcPr>
            <w:tcW w:w="1140" w:type="dxa"/>
            <w:vMerge w:val="restart"/>
            <w:tcBorders>
              <w:top w:val="single" w:color="auto" w:sz="8" w:space="0"/>
              <w:right w:val="single" w:color="auto" w:sz="8" w:space="0"/>
            </w:tcBorders>
            <w:vAlign w:val="bottom"/>
          </w:tcPr>
          <w:p>
            <w:pPr>
              <w:spacing w:line="240" w:lineRule="exact"/>
              <w:ind w:left="340"/>
              <w:rPr>
                <w:sz w:val="20"/>
                <w:szCs w:val="20"/>
              </w:rPr>
            </w:pPr>
            <w:r>
              <w:rPr>
                <w:rFonts w:ascii="宋体" w:hAnsi="宋体" w:eastAsia="宋体" w:cs="宋体"/>
                <w:sz w:val="21"/>
                <w:szCs w:val="21"/>
              </w:rPr>
              <w:t>单位</w:t>
            </w:r>
          </w:p>
        </w:tc>
        <w:tc>
          <w:tcPr>
            <w:tcW w:w="1560" w:type="dxa"/>
            <w:vMerge w:val="restart"/>
            <w:tcBorders>
              <w:top w:val="single" w:color="auto" w:sz="8" w:space="0"/>
              <w:right w:val="single" w:color="auto" w:sz="8" w:space="0"/>
            </w:tcBorders>
            <w:vAlign w:val="bottom"/>
          </w:tcPr>
          <w:p>
            <w:pPr>
              <w:spacing w:line="240" w:lineRule="exact"/>
              <w:ind w:left="140"/>
              <w:rPr>
                <w:sz w:val="20"/>
                <w:szCs w:val="20"/>
              </w:rPr>
            </w:pPr>
            <w:r>
              <w:rPr>
                <w:rFonts w:ascii="宋体" w:hAnsi="宋体" w:eastAsia="宋体" w:cs="宋体"/>
                <w:sz w:val="21"/>
                <w:szCs w:val="21"/>
              </w:rPr>
              <w:t>单价（元）②</w:t>
            </w:r>
          </w:p>
        </w:tc>
        <w:tc>
          <w:tcPr>
            <w:tcW w:w="2540" w:type="dxa"/>
            <w:tcBorders>
              <w:top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单项合计=数量×单价</w:t>
            </w:r>
          </w:p>
        </w:tc>
        <w:tc>
          <w:tcPr>
            <w:tcW w:w="1140" w:type="dxa"/>
            <w:vMerge w:val="restart"/>
            <w:tcBorders>
              <w:top w:val="single" w:color="auto" w:sz="8" w:space="0"/>
            </w:tcBorders>
            <w:vAlign w:val="bottom"/>
          </w:tcPr>
          <w:p>
            <w:pPr>
              <w:spacing w:line="240" w:lineRule="exact"/>
              <w:ind w:left="360"/>
              <w:rPr>
                <w:sz w:val="20"/>
                <w:szCs w:val="20"/>
              </w:rPr>
            </w:pPr>
            <w:r>
              <w:rPr>
                <w:rFonts w:ascii="宋体" w:hAnsi="宋体" w:eastAsia="宋体" w:cs="宋体"/>
                <w:sz w:val="21"/>
                <w:szCs w:val="21"/>
              </w:rPr>
              <w:t>备注</w:t>
            </w:r>
          </w:p>
        </w:tc>
        <w:tc>
          <w:tcPr>
            <w:tcW w:w="360" w:type="dxa"/>
            <w:vAlign w:val="bottom"/>
          </w:tcPr>
          <w:p>
            <w:pPr>
              <w:rPr>
                <w:sz w:val="1"/>
                <w:szCs w:val="1"/>
              </w:rPr>
            </w:pPr>
          </w:p>
        </w:tc>
      </w:tr>
      <w:tr>
        <w:tblPrEx>
          <w:tblCellMar>
            <w:top w:w="0" w:type="dxa"/>
            <w:left w:w="0" w:type="dxa"/>
            <w:bottom w:w="0" w:type="dxa"/>
            <w:right w:w="0" w:type="dxa"/>
          </w:tblCellMar>
        </w:tblPrEx>
        <w:trPr>
          <w:trHeight w:val="160" w:hRule="atLeast"/>
        </w:trPr>
        <w:tc>
          <w:tcPr>
            <w:tcW w:w="660" w:type="dxa"/>
            <w:vMerge w:val="continue"/>
            <w:tcBorders>
              <w:right w:val="single" w:color="auto" w:sz="8" w:space="0"/>
            </w:tcBorders>
            <w:vAlign w:val="bottom"/>
          </w:tcPr>
          <w:p>
            <w:pPr>
              <w:rPr>
                <w:sz w:val="13"/>
                <w:szCs w:val="13"/>
              </w:rPr>
            </w:pPr>
          </w:p>
        </w:tc>
        <w:tc>
          <w:tcPr>
            <w:tcW w:w="1860" w:type="dxa"/>
            <w:vMerge w:val="continue"/>
            <w:tcBorders>
              <w:right w:val="single" w:color="auto" w:sz="8" w:space="0"/>
            </w:tcBorders>
            <w:vAlign w:val="bottom"/>
          </w:tcPr>
          <w:p>
            <w:pPr>
              <w:rPr>
                <w:sz w:val="13"/>
                <w:szCs w:val="13"/>
              </w:rPr>
            </w:pPr>
          </w:p>
        </w:tc>
        <w:tc>
          <w:tcPr>
            <w:tcW w:w="980" w:type="dxa"/>
            <w:vMerge w:val="continue"/>
            <w:tcBorders>
              <w:right w:val="single" w:color="auto" w:sz="8" w:space="0"/>
            </w:tcBorders>
            <w:vAlign w:val="bottom"/>
          </w:tcPr>
          <w:p>
            <w:pPr>
              <w:rPr>
                <w:sz w:val="13"/>
                <w:szCs w:val="13"/>
              </w:rPr>
            </w:pPr>
          </w:p>
        </w:tc>
        <w:tc>
          <w:tcPr>
            <w:tcW w:w="1140" w:type="dxa"/>
            <w:vMerge w:val="continue"/>
            <w:tcBorders>
              <w:right w:val="single" w:color="auto" w:sz="8" w:space="0"/>
            </w:tcBorders>
            <w:vAlign w:val="bottom"/>
          </w:tcPr>
          <w:p>
            <w:pPr>
              <w:rPr>
                <w:sz w:val="13"/>
                <w:szCs w:val="13"/>
              </w:rPr>
            </w:pPr>
          </w:p>
        </w:tc>
        <w:tc>
          <w:tcPr>
            <w:tcW w:w="1560" w:type="dxa"/>
            <w:vMerge w:val="continue"/>
            <w:tcBorders>
              <w:right w:val="single" w:color="auto" w:sz="8" w:space="0"/>
            </w:tcBorders>
            <w:vAlign w:val="bottom"/>
          </w:tcPr>
          <w:p>
            <w:pPr>
              <w:rPr>
                <w:sz w:val="13"/>
                <w:szCs w:val="13"/>
              </w:rPr>
            </w:pPr>
          </w:p>
        </w:tc>
        <w:tc>
          <w:tcPr>
            <w:tcW w:w="254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8"/>
                <w:sz w:val="21"/>
                <w:szCs w:val="21"/>
              </w:rPr>
              <w:t>③＝①×②</w:t>
            </w:r>
          </w:p>
        </w:tc>
        <w:tc>
          <w:tcPr>
            <w:tcW w:w="1140" w:type="dxa"/>
            <w:vMerge w:val="continue"/>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61" w:hRule="atLeast"/>
        </w:trPr>
        <w:tc>
          <w:tcPr>
            <w:tcW w:w="660" w:type="dxa"/>
            <w:tcBorders>
              <w:right w:val="single" w:color="auto" w:sz="8" w:space="0"/>
            </w:tcBorders>
            <w:vAlign w:val="bottom"/>
          </w:tcPr>
          <w:p>
            <w:pPr>
              <w:rPr>
                <w:sz w:val="13"/>
                <w:szCs w:val="13"/>
              </w:rPr>
            </w:pPr>
          </w:p>
        </w:tc>
        <w:tc>
          <w:tcPr>
            <w:tcW w:w="1860" w:type="dxa"/>
            <w:tcBorders>
              <w:right w:val="single" w:color="auto" w:sz="8" w:space="0"/>
            </w:tcBorders>
            <w:vAlign w:val="bottom"/>
          </w:tcPr>
          <w:p>
            <w:pPr>
              <w:rPr>
                <w:sz w:val="13"/>
                <w:szCs w:val="13"/>
              </w:rPr>
            </w:pPr>
          </w:p>
        </w:tc>
        <w:tc>
          <w:tcPr>
            <w:tcW w:w="980" w:type="dxa"/>
            <w:tcBorders>
              <w:right w:val="single" w:color="auto" w:sz="8" w:space="0"/>
            </w:tcBorders>
            <w:vAlign w:val="bottom"/>
          </w:tcPr>
          <w:p>
            <w:pPr>
              <w:rPr>
                <w:sz w:val="13"/>
                <w:szCs w:val="13"/>
              </w:rPr>
            </w:pPr>
          </w:p>
        </w:tc>
        <w:tc>
          <w:tcPr>
            <w:tcW w:w="1140" w:type="dxa"/>
            <w:tcBorders>
              <w:right w:val="single" w:color="auto" w:sz="8" w:space="0"/>
            </w:tcBorders>
            <w:vAlign w:val="bottom"/>
          </w:tcPr>
          <w:p>
            <w:pPr>
              <w:rPr>
                <w:sz w:val="13"/>
                <w:szCs w:val="13"/>
              </w:rPr>
            </w:pPr>
          </w:p>
        </w:tc>
        <w:tc>
          <w:tcPr>
            <w:tcW w:w="1560" w:type="dxa"/>
            <w:tcBorders>
              <w:right w:val="single" w:color="auto" w:sz="8" w:space="0"/>
            </w:tcBorders>
            <w:vAlign w:val="bottom"/>
          </w:tcPr>
          <w:p>
            <w:pPr>
              <w:rPr>
                <w:sz w:val="13"/>
                <w:szCs w:val="13"/>
              </w:rPr>
            </w:pPr>
          </w:p>
        </w:tc>
        <w:tc>
          <w:tcPr>
            <w:tcW w:w="2540" w:type="dxa"/>
            <w:vMerge w:val="continue"/>
            <w:tcBorders>
              <w:right w:val="single" w:color="auto" w:sz="8" w:space="0"/>
            </w:tcBorders>
            <w:vAlign w:val="bottom"/>
          </w:tcPr>
          <w:p>
            <w:pPr>
              <w:rPr>
                <w:sz w:val="13"/>
                <w:szCs w:val="13"/>
              </w:rPr>
            </w:pPr>
          </w:p>
        </w:tc>
        <w:tc>
          <w:tcPr>
            <w:tcW w:w="1140" w:type="dxa"/>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36" w:hRule="atLeast"/>
        </w:trPr>
        <w:tc>
          <w:tcPr>
            <w:tcW w:w="660" w:type="dxa"/>
            <w:tcBorders>
              <w:bottom w:val="single" w:color="auto" w:sz="8" w:space="0"/>
              <w:right w:val="single" w:color="auto" w:sz="8" w:space="0"/>
            </w:tcBorders>
            <w:vAlign w:val="bottom"/>
          </w:tcPr>
          <w:p>
            <w:pPr>
              <w:rPr>
                <w:sz w:val="3"/>
                <w:szCs w:val="3"/>
              </w:rPr>
            </w:pPr>
          </w:p>
        </w:tc>
        <w:tc>
          <w:tcPr>
            <w:tcW w:w="1860" w:type="dxa"/>
            <w:tcBorders>
              <w:bottom w:val="single" w:color="auto" w:sz="8" w:space="0"/>
              <w:right w:val="single" w:color="auto" w:sz="8" w:space="0"/>
            </w:tcBorders>
            <w:vAlign w:val="bottom"/>
          </w:tcPr>
          <w:p>
            <w:pPr>
              <w:rPr>
                <w:sz w:val="3"/>
                <w:szCs w:val="3"/>
              </w:rPr>
            </w:pPr>
          </w:p>
        </w:tc>
        <w:tc>
          <w:tcPr>
            <w:tcW w:w="980" w:type="dxa"/>
            <w:tcBorders>
              <w:bottom w:val="single" w:color="auto" w:sz="8" w:space="0"/>
              <w:right w:val="single" w:color="auto" w:sz="8" w:space="0"/>
            </w:tcBorders>
            <w:vAlign w:val="bottom"/>
          </w:tcPr>
          <w:p>
            <w:pPr>
              <w:rPr>
                <w:sz w:val="3"/>
                <w:szCs w:val="3"/>
              </w:rPr>
            </w:pPr>
          </w:p>
        </w:tc>
        <w:tc>
          <w:tcPr>
            <w:tcW w:w="1140" w:type="dxa"/>
            <w:tcBorders>
              <w:bottom w:val="single" w:color="auto" w:sz="8" w:space="0"/>
              <w:right w:val="single" w:color="auto" w:sz="8" w:space="0"/>
            </w:tcBorders>
            <w:vAlign w:val="bottom"/>
          </w:tcPr>
          <w:p>
            <w:pPr>
              <w:rPr>
                <w:sz w:val="3"/>
                <w:szCs w:val="3"/>
              </w:rPr>
            </w:pPr>
          </w:p>
        </w:tc>
        <w:tc>
          <w:tcPr>
            <w:tcW w:w="1560" w:type="dxa"/>
            <w:tcBorders>
              <w:bottom w:val="single" w:color="auto" w:sz="8" w:space="0"/>
              <w:right w:val="single" w:color="auto" w:sz="8" w:space="0"/>
            </w:tcBorders>
            <w:vAlign w:val="bottom"/>
          </w:tcPr>
          <w:p>
            <w:pPr>
              <w:rPr>
                <w:sz w:val="3"/>
                <w:szCs w:val="3"/>
              </w:rPr>
            </w:pPr>
          </w:p>
        </w:tc>
        <w:tc>
          <w:tcPr>
            <w:tcW w:w="2540" w:type="dxa"/>
            <w:tcBorders>
              <w:bottom w:val="single" w:color="auto" w:sz="8" w:space="0"/>
              <w:right w:val="single" w:color="auto" w:sz="8" w:space="0"/>
            </w:tcBorders>
            <w:vAlign w:val="bottom"/>
          </w:tcPr>
          <w:p>
            <w:pPr>
              <w:rPr>
                <w:sz w:val="3"/>
                <w:szCs w:val="3"/>
              </w:rPr>
            </w:pPr>
          </w:p>
        </w:tc>
        <w:tc>
          <w:tcPr>
            <w:tcW w:w="1140" w:type="dxa"/>
            <w:tcBorders>
              <w:bottom w:val="single" w:color="auto" w:sz="8" w:space="0"/>
            </w:tcBorders>
            <w:vAlign w:val="bottom"/>
          </w:tcPr>
          <w:p>
            <w:pPr>
              <w:rPr>
                <w:sz w:val="3"/>
                <w:szCs w:val="3"/>
              </w:rPr>
            </w:pPr>
          </w:p>
        </w:tc>
        <w:tc>
          <w:tcPr>
            <w:tcW w:w="360" w:type="dxa"/>
            <w:vAlign w:val="bottom"/>
          </w:tcPr>
          <w:p>
            <w:pPr>
              <w:rPr>
                <w:sz w:val="1"/>
                <w:szCs w:val="1"/>
              </w:rPr>
            </w:pPr>
          </w:p>
        </w:tc>
      </w:tr>
      <w:tr>
        <w:tblPrEx>
          <w:tblCellMar>
            <w:top w:w="0" w:type="dxa"/>
            <w:left w:w="0" w:type="dxa"/>
            <w:bottom w:w="0" w:type="dxa"/>
            <w:right w:w="0" w:type="dxa"/>
          </w:tblCellMar>
        </w:tblPrEx>
        <w:trPr>
          <w:trHeight w:val="370" w:hRule="atLeast"/>
        </w:trPr>
        <w:tc>
          <w:tcPr>
            <w:tcW w:w="660" w:type="dxa"/>
            <w:tcBorders>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1</w:t>
            </w:r>
          </w:p>
        </w:tc>
        <w:tc>
          <w:tcPr>
            <w:tcW w:w="1860" w:type="dxa"/>
            <w:tcBorders>
              <w:right w:val="single" w:color="auto" w:sz="8" w:space="0"/>
            </w:tcBorders>
            <w:vAlign w:val="bottom"/>
          </w:tcPr>
          <w:p>
            <w:pPr>
              <w:rPr>
                <w:sz w:val="24"/>
                <w:szCs w:val="24"/>
              </w:rPr>
            </w:pPr>
          </w:p>
        </w:tc>
        <w:tc>
          <w:tcPr>
            <w:tcW w:w="980" w:type="dxa"/>
            <w:tcBorders>
              <w:right w:val="single" w:color="auto" w:sz="8" w:space="0"/>
            </w:tcBorders>
            <w:vAlign w:val="bottom"/>
          </w:tcPr>
          <w:p>
            <w:pPr>
              <w:rPr>
                <w:sz w:val="24"/>
                <w:szCs w:val="24"/>
              </w:rPr>
            </w:pPr>
          </w:p>
        </w:tc>
        <w:tc>
          <w:tcPr>
            <w:tcW w:w="1140" w:type="dxa"/>
            <w:tcBorders>
              <w:right w:val="single" w:color="auto" w:sz="8" w:space="0"/>
            </w:tcBorders>
            <w:vAlign w:val="bottom"/>
          </w:tcPr>
          <w:p>
            <w:pPr>
              <w:rPr>
                <w:sz w:val="24"/>
                <w:szCs w:val="24"/>
              </w:rPr>
            </w:pPr>
          </w:p>
        </w:tc>
        <w:tc>
          <w:tcPr>
            <w:tcW w:w="1560" w:type="dxa"/>
            <w:tcBorders>
              <w:right w:val="single" w:color="auto" w:sz="8" w:space="0"/>
            </w:tcBorders>
            <w:vAlign w:val="bottom"/>
          </w:tcPr>
          <w:p>
            <w:pPr>
              <w:rPr>
                <w:sz w:val="24"/>
                <w:szCs w:val="24"/>
              </w:rPr>
            </w:pPr>
          </w:p>
        </w:tc>
        <w:tc>
          <w:tcPr>
            <w:tcW w:w="2540" w:type="dxa"/>
            <w:tcBorders>
              <w:right w:val="single" w:color="auto" w:sz="8" w:space="0"/>
            </w:tcBorders>
            <w:vAlign w:val="bottom"/>
          </w:tcPr>
          <w:p>
            <w:pPr>
              <w:rPr>
                <w:sz w:val="24"/>
                <w:szCs w:val="24"/>
              </w:rPr>
            </w:pPr>
          </w:p>
        </w:tc>
        <w:tc>
          <w:tcPr>
            <w:tcW w:w="1140" w:type="dxa"/>
            <w:vMerge w:val="restart"/>
            <w:vAlign w:val="bottom"/>
          </w:tcPr>
          <w:p>
            <w:pPr>
              <w:rPr>
                <w:sz w:val="24"/>
                <w:szCs w:val="24"/>
              </w:rPr>
            </w:pPr>
          </w:p>
        </w:tc>
        <w:tc>
          <w:tcPr>
            <w:tcW w:w="360" w:type="dxa"/>
            <w:vAlign w:val="bottom"/>
          </w:tcPr>
          <w:p>
            <w:pPr>
              <w:rPr>
                <w:sz w:val="1"/>
                <w:szCs w:val="1"/>
              </w:rPr>
            </w:pPr>
          </w:p>
        </w:tc>
      </w:tr>
      <w:tr>
        <w:tblPrEx>
          <w:tblCellMar>
            <w:top w:w="0" w:type="dxa"/>
            <w:left w:w="0" w:type="dxa"/>
            <w:bottom w:w="0" w:type="dxa"/>
            <w:right w:w="0" w:type="dxa"/>
          </w:tblCellMar>
        </w:tblPrEx>
        <w:trPr>
          <w:trHeight w:val="60" w:hRule="atLeast"/>
        </w:trPr>
        <w:tc>
          <w:tcPr>
            <w:tcW w:w="660" w:type="dxa"/>
            <w:tcBorders>
              <w:bottom w:val="single" w:color="auto" w:sz="8" w:space="0"/>
              <w:right w:val="single" w:color="auto" w:sz="8" w:space="0"/>
            </w:tcBorders>
            <w:vAlign w:val="bottom"/>
          </w:tcPr>
          <w:p>
            <w:pPr>
              <w:rPr>
                <w:sz w:val="5"/>
                <w:szCs w:val="5"/>
              </w:rPr>
            </w:pPr>
          </w:p>
        </w:tc>
        <w:tc>
          <w:tcPr>
            <w:tcW w:w="1860" w:type="dxa"/>
            <w:tcBorders>
              <w:bottom w:val="single" w:color="auto" w:sz="8" w:space="0"/>
              <w:right w:val="single" w:color="auto" w:sz="8" w:space="0"/>
            </w:tcBorders>
            <w:vAlign w:val="bottom"/>
          </w:tcPr>
          <w:p>
            <w:pPr>
              <w:rPr>
                <w:sz w:val="5"/>
                <w:szCs w:val="5"/>
              </w:rPr>
            </w:pPr>
          </w:p>
        </w:tc>
        <w:tc>
          <w:tcPr>
            <w:tcW w:w="980" w:type="dxa"/>
            <w:tcBorders>
              <w:bottom w:val="single" w:color="auto" w:sz="8" w:space="0"/>
              <w:right w:val="single" w:color="auto" w:sz="8" w:space="0"/>
            </w:tcBorders>
            <w:vAlign w:val="bottom"/>
          </w:tcPr>
          <w:p>
            <w:pPr>
              <w:rPr>
                <w:sz w:val="5"/>
                <w:szCs w:val="5"/>
              </w:rPr>
            </w:pPr>
          </w:p>
        </w:tc>
        <w:tc>
          <w:tcPr>
            <w:tcW w:w="1140" w:type="dxa"/>
            <w:tcBorders>
              <w:bottom w:val="single" w:color="auto" w:sz="8" w:space="0"/>
              <w:right w:val="single" w:color="auto" w:sz="8" w:space="0"/>
            </w:tcBorders>
            <w:vAlign w:val="bottom"/>
          </w:tcPr>
          <w:p>
            <w:pPr>
              <w:rPr>
                <w:sz w:val="5"/>
                <w:szCs w:val="5"/>
              </w:rPr>
            </w:pPr>
          </w:p>
        </w:tc>
        <w:tc>
          <w:tcPr>
            <w:tcW w:w="1560" w:type="dxa"/>
            <w:tcBorders>
              <w:bottom w:val="single" w:color="auto" w:sz="8" w:space="0"/>
              <w:right w:val="single" w:color="auto" w:sz="8" w:space="0"/>
            </w:tcBorders>
            <w:vAlign w:val="bottom"/>
          </w:tcPr>
          <w:p>
            <w:pPr>
              <w:rPr>
                <w:sz w:val="5"/>
                <w:szCs w:val="5"/>
              </w:rPr>
            </w:pPr>
          </w:p>
        </w:tc>
        <w:tc>
          <w:tcPr>
            <w:tcW w:w="2540" w:type="dxa"/>
            <w:tcBorders>
              <w:bottom w:val="single" w:color="auto" w:sz="8" w:space="0"/>
              <w:right w:val="single" w:color="auto" w:sz="8" w:space="0"/>
            </w:tcBorders>
            <w:vAlign w:val="bottom"/>
          </w:tcPr>
          <w:p>
            <w:pPr>
              <w:rPr>
                <w:sz w:val="5"/>
                <w:szCs w:val="5"/>
              </w:rPr>
            </w:pPr>
          </w:p>
        </w:tc>
        <w:tc>
          <w:tcPr>
            <w:tcW w:w="1140" w:type="dxa"/>
            <w:vMerge w:val="continue"/>
            <w:vAlign w:val="bottom"/>
          </w:tcPr>
          <w:p>
            <w:pPr>
              <w:rPr>
                <w:sz w:val="5"/>
                <w:szCs w:val="5"/>
              </w:rPr>
            </w:pPr>
          </w:p>
        </w:tc>
        <w:tc>
          <w:tcPr>
            <w:tcW w:w="360" w:type="dxa"/>
            <w:vAlign w:val="bottom"/>
          </w:tcPr>
          <w:p>
            <w:pPr>
              <w:rPr>
                <w:sz w:val="1"/>
                <w:szCs w:val="1"/>
              </w:rPr>
            </w:pPr>
          </w:p>
        </w:tc>
      </w:tr>
      <w:tr>
        <w:tblPrEx>
          <w:tblCellMar>
            <w:top w:w="0" w:type="dxa"/>
            <w:left w:w="0" w:type="dxa"/>
            <w:bottom w:w="0" w:type="dxa"/>
            <w:right w:w="0" w:type="dxa"/>
          </w:tblCellMar>
        </w:tblPrEx>
        <w:trPr>
          <w:trHeight w:val="370" w:hRule="atLeast"/>
        </w:trPr>
        <w:tc>
          <w:tcPr>
            <w:tcW w:w="660" w:type="dxa"/>
            <w:tcBorders>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2</w:t>
            </w:r>
          </w:p>
        </w:tc>
        <w:tc>
          <w:tcPr>
            <w:tcW w:w="1860" w:type="dxa"/>
            <w:tcBorders>
              <w:right w:val="single" w:color="auto" w:sz="8" w:space="0"/>
            </w:tcBorders>
            <w:vAlign w:val="bottom"/>
          </w:tcPr>
          <w:p>
            <w:pPr>
              <w:rPr>
                <w:sz w:val="24"/>
                <w:szCs w:val="24"/>
              </w:rPr>
            </w:pPr>
          </w:p>
        </w:tc>
        <w:tc>
          <w:tcPr>
            <w:tcW w:w="980" w:type="dxa"/>
            <w:tcBorders>
              <w:right w:val="single" w:color="auto" w:sz="8" w:space="0"/>
            </w:tcBorders>
            <w:vAlign w:val="bottom"/>
          </w:tcPr>
          <w:p>
            <w:pPr>
              <w:rPr>
                <w:sz w:val="24"/>
                <w:szCs w:val="24"/>
              </w:rPr>
            </w:pPr>
          </w:p>
        </w:tc>
        <w:tc>
          <w:tcPr>
            <w:tcW w:w="1140" w:type="dxa"/>
            <w:tcBorders>
              <w:right w:val="single" w:color="auto" w:sz="8" w:space="0"/>
            </w:tcBorders>
            <w:vAlign w:val="bottom"/>
          </w:tcPr>
          <w:p>
            <w:pPr>
              <w:rPr>
                <w:sz w:val="24"/>
                <w:szCs w:val="24"/>
              </w:rPr>
            </w:pPr>
          </w:p>
        </w:tc>
        <w:tc>
          <w:tcPr>
            <w:tcW w:w="1560" w:type="dxa"/>
            <w:tcBorders>
              <w:right w:val="single" w:color="auto" w:sz="8" w:space="0"/>
            </w:tcBorders>
            <w:vAlign w:val="bottom"/>
          </w:tcPr>
          <w:p>
            <w:pPr>
              <w:rPr>
                <w:sz w:val="24"/>
                <w:szCs w:val="24"/>
              </w:rPr>
            </w:pPr>
          </w:p>
        </w:tc>
        <w:tc>
          <w:tcPr>
            <w:tcW w:w="2540" w:type="dxa"/>
            <w:tcBorders>
              <w:right w:val="single" w:color="auto" w:sz="8" w:space="0"/>
            </w:tcBorders>
            <w:vAlign w:val="bottom"/>
          </w:tcPr>
          <w:p>
            <w:pPr>
              <w:rPr>
                <w:sz w:val="24"/>
                <w:szCs w:val="24"/>
              </w:rPr>
            </w:pPr>
          </w:p>
        </w:tc>
        <w:tc>
          <w:tcPr>
            <w:tcW w:w="1140" w:type="dxa"/>
            <w:vMerge w:val="continue"/>
            <w:vAlign w:val="bottom"/>
          </w:tcPr>
          <w:p>
            <w:pPr>
              <w:rPr>
                <w:sz w:val="24"/>
                <w:szCs w:val="24"/>
              </w:rPr>
            </w:pPr>
          </w:p>
        </w:tc>
        <w:tc>
          <w:tcPr>
            <w:tcW w:w="360" w:type="dxa"/>
            <w:vAlign w:val="bottom"/>
          </w:tcPr>
          <w:p>
            <w:pPr>
              <w:rPr>
                <w:sz w:val="1"/>
                <w:szCs w:val="1"/>
              </w:rPr>
            </w:pPr>
          </w:p>
        </w:tc>
      </w:tr>
      <w:tr>
        <w:tblPrEx>
          <w:tblCellMar>
            <w:top w:w="0" w:type="dxa"/>
            <w:left w:w="0" w:type="dxa"/>
            <w:bottom w:w="0" w:type="dxa"/>
            <w:right w:w="0" w:type="dxa"/>
          </w:tblCellMar>
        </w:tblPrEx>
        <w:trPr>
          <w:trHeight w:val="60" w:hRule="atLeast"/>
        </w:trPr>
        <w:tc>
          <w:tcPr>
            <w:tcW w:w="660" w:type="dxa"/>
            <w:tcBorders>
              <w:bottom w:val="single" w:color="auto" w:sz="8" w:space="0"/>
              <w:right w:val="single" w:color="auto" w:sz="8" w:space="0"/>
            </w:tcBorders>
            <w:vAlign w:val="bottom"/>
          </w:tcPr>
          <w:p>
            <w:pPr>
              <w:rPr>
                <w:sz w:val="5"/>
                <w:szCs w:val="5"/>
              </w:rPr>
            </w:pPr>
          </w:p>
        </w:tc>
        <w:tc>
          <w:tcPr>
            <w:tcW w:w="1860" w:type="dxa"/>
            <w:tcBorders>
              <w:bottom w:val="single" w:color="auto" w:sz="8" w:space="0"/>
              <w:right w:val="single" w:color="auto" w:sz="8" w:space="0"/>
            </w:tcBorders>
            <w:vAlign w:val="bottom"/>
          </w:tcPr>
          <w:p>
            <w:pPr>
              <w:rPr>
                <w:sz w:val="5"/>
                <w:szCs w:val="5"/>
              </w:rPr>
            </w:pPr>
          </w:p>
        </w:tc>
        <w:tc>
          <w:tcPr>
            <w:tcW w:w="980" w:type="dxa"/>
            <w:tcBorders>
              <w:bottom w:val="single" w:color="auto" w:sz="8" w:space="0"/>
              <w:right w:val="single" w:color="auto" w:sz="8" w:space="0"/>
            </w:tcBorders>
            <w:vAlign w:val="bottom"/>
          </w:tcPr>
          <w:p>
            <w:pPr>
              <w:rPr>
                <w:sz w:val="5"/>
                <w:szCs w:val="5"/>
              </w:rPr>
            </w:pPr>
          </w:p>
        </w:tc>
        <w:tc>
          <w:tcPr>
            <w:tcW w:w="1140" w:type="dxa"/>
            <w:tcBorders>
              <w:bottom w:val="single" w:color="auto" w:sz="8" w:space="0"/>
              <w:right w:val="single" w:color="auto" w:sz="8" w:space="0"/>
            </w:tcBorders>
            <w:vAlign w:val="bottom"/>
          </w:tcPr>
          <w:p>
            <w:pPr>
              <w:rPr>
                <w:sz w:val="5"/>
                <w:szCs w:val="5"/>
              </w:rPr>
            </w:pPr>
          </w:p>
        </w:tc>
        <w:tc>
          <w:tcPr>
            <w:tcW w:w="1560" w:type="dxa"/>
            <w:tcBorders>
              <w:bottom w:val="single" w:color="auto" w:sz="8" w:space="0"/>
              <w:right w:val="single" w:color="auto" w:sz="8" w:space="0"/>
            </w:tcBorders>
            <w:vAlign w:val="bottom"/>
          </w:tcPr>
          <w:p>
            <w:pPr>
              <w:rPr>
                <w:sz w:val="5"/>
                <w:szCs w:val="5"/>
              </w:rPr>
            </w:pPr>
          </w:p>
        </w:tc>
        <w:tc>
          <w:tcPr>
            <w:tcW w:w="2540" w:type="dxa"/>
            <w:tcBorders>
              <w:bottom w:val="single" w:color="auto" w:sz="8" w:space="0"/>
              <w:right w:val="single" w:color="auto" w:sz="8" w:space="0"/>
            </w:tcBorders>
            <w:vAlign w:val="bottom"/>
          </w:tcPr>
          <w:p>
            <w:pPr>
              <w:rPr>
                <w:sz w:val="5"/>
                <w:szCs w:val="5"/>
              </w:rPr>
            </w:pPr>
          </w:p>
        </w:tc>
        <w:tc>
          <w:tcPr>
            <w:tcW w:w="1140" w:type="dxa"/>
            <w:vMerge w:val="continue"/>
            <w:vAlign w:val="bottom"/>
          </w:tcPr>
          <w:p>
            <w:pPr>
              <w:rPr>
                <w:sz w:val="5"/>
                <w:szCs w:val="5"/>
              </w:rPr>
            </w:pPr>
          </w:p>
        </w:tc>
        <w:tc>
          <w:tcPr>
            <w:tcW w:w="360" w:type="dxa"/>
            <w:vAlign w:val="bottom"/>
          </w:tcPr>
          <w:p>
            <w:pPr>
              <w:rPr>
                <w:sz w:val="1"/>
                <w:szCs w:val="1"/>
              </w:rPr>
            </w:pPr>
          </w:p>
        </w:tc>
      </w:tr>
      <w:tr>
        <w:tblPrEx>
          <w:tblCellMar>
            <w:top w:w="0" w:type="dxa"/>
            <w:left w:w="0" w:type="dxa"/>
            <w:bottom w:w="0" w:type="dxa"/>
            <w:right w:w="0" w:type="dxa"/>
          </w:tblCellMar>
        </w:tblPrEx>
        <w:trPr>
          <w:trHeight w:val="370" w:hRule="atLeast"/>
        </w:trPr>
        <w:tc>
          <w:tcPr>
            <w:tcW w:w="660" w:type="dxa"/>
            <w:tcBorders>
              <w:right w:val="single" w:color="auto" w:sz="8" w:space="0"/>
            </w:tcBorders>
            <w:vAlign w:val="bottom"/>
          </w:tcPr>
          <w:p>
            <w:pPr>
              <w:spacing w:line="240" w:lineRule="exact"/>
              <w:jc w:val="center"/>
              <w:rPr>
                <w:sz w:val="20"/>
                <w:szCs w:val="20"/>
              </w:rPr>
            </w:pPr>
            <w:r>
              <w:rPr>
                <w:rFonts w:ascii="宋体" w:hAnsi="宋体" w:eastAsia="宋体" w:cs="宋体"/>
                <w:w w:val="95"/>
                <w:sz w:val="21"/>
                <w:szCs w:val="21"/>
              </w:rPr>
              <w:t>…</w:t>
            </w:r>
          </w:p>
        </w:tc>
        <w:tc>
          <w:tcPr>
            <w:tcW w:w="1860" w:type="dxa"/>
            <w:tcBorders>
              <w:right w:val="single" w:color="auto" w:sz="8" w:space="0"/>
            </w:tcBorders>
            <w:vAlign w:val="bottom"/>
          </w:tcPr>
          <w:p>
            <w:pPr>
              <w:rPr>
                <w:sz w:val="24"/>
                <w:szCs w:val="24"/>
              </w:rPr>
            </w:pPr>
          </w:p>
        </w:tc>
        <w:tc>
          <w:tcPr>
            <w:tcW w:w="980" w:type="dxa"/>
            <w:tcBorders>
              <w:right w:val="single" w:color="auto" w:sz="8" w:space="0"/>
            </w:tcBorders>
            <w:vAlign w:val="bottom"/>
          </w:tcPr>
          <w:p>
            <w:pPr>
              <w:rPr>
                <w:sz w:val="24"/>
                <w:szCs w:val="24"/>
              </w:rPr>
            </w:pPr>
          </w:p>
        </w:tc>
        <w:tc>
          <w:tcPr>
            <w:tcW w:w="1140" w:type="dxa"/>
            <w:tcBorders>
              <w:right w:val="single" w:color="auto" w:sz="8" w:space="0"/>
            </w:tcBorders>
            <w:vAlign w:val="bottom"/>
          </w:tcPr>
          <w:p>
            <w:pPr>
              <w:rPr>
                <w:sz w:val="24"/>
                <w:szCs w:val="24"/>
              </w:rPr>
            </w:pPr>
          </w:p>
        </w:tc>
        <w:tc>
          <w:tcPr>
            <w:tcW w:w="1560" w:type="dxa"/>
            <w:tcBorders>
              <w:right w:val="single" w:color="auto" w:sz="8" w:space="0"/>
            </w:tcBorders>
            <w:vAlign w:val="bottom"/>
          </w:tcPr>
          <w:p>
            <w:pPr>
              <w:rPr>
                <w:sz w:val="24"/>
                <w:szCs w:val="24"/>
              </w:rPr>
            </w:pPr>
          </w:p>
        </w:tc>
        <w:tc>
          <w:tcPr>
            <w:tcW w:w="2540" w:type="dxa"/>
            <w:tcBorders>
              <w:right w:val="single" w:color="auto" w:sz="8" w:space="0"/>
            </w:tcBorders>
            <w:vAlign w:val="bottom"/>
          </w:tcPr>
          <w:p>
            <w:pPr>
              <w:rPr>
                <w:sz w:val="24"/>
                <w:szCs w:val="24"/>
              </w:rPr>
            </w:pPr>
          </w:p>
        </w:tc>
        <w:tc>
          <w:tcPr>
            <w:tcW w:w="1140" w:type="dxa"/>
            <w:vMerge w:val="continue"/>
            <w:vAlign w:val="bottom"/>
          </w:tcPr>
          <w:p>
            <w:pPr>
              <w:rPr>
                <w:sz w:val="24"/>
                <w:szCs w:val="24"/>
              </w:rPr>
            </w:pPr>
          </w:p>
        </w:tc>
        <w:tc>
          <w:tcPr>
            <w:tcW w:w="360" w:type="dxa"/>
            <w:vAlign w:val="bottom"/>
          </w:tcPr>
          <w:p>
            <w:pPr>
              <w:rPr>
                <w:sz w:val="1"/>
                <w:szCs w:val="1"/>
              </w:rPr>
            </w:pPr>
          </w:p>
        </w:tc>
      </w:tr>
      <w:tr>
        <w:tblPrEx>
          <w:tblCellMar>
            <w:top w:w="0" w:type="dxa"/>
            <w:left w:w="0" w:type="dxa"/>
            <w:bottom w:w="0" w:type="dxa"/>
            <w:right w:w="0" w:type="dxa"/>
          </w:tblCellMar>
        </w:tblPrEx>
        <w:trPr>
          <w:trHeight w:val="60" w:hRule="atLeast"/>
        </w:trPr>
        <w:tc>
          <w:tcPr>
            <w:tcW w:w="660" w:type="dxa"/>
            <w:tcBorders>
              <w:bottom w:val="single" w:color="auto" w:sz="8" w:space="0"/>
              <w:right w:val="single" w:color="auto" w:sz="8" w:space="0"/>
            </w:tcBorders>
            <w:vAlign w:val="bottom"/>
          </w:tcPr>
          <w:p>
            <w:pPr>
              <w:rPr>
                <w:sz w:val="5"/>
                <w:szCs w:val="5"/>
              </w:rPr>
            </w:pPr>
          </w:p>
        </w:tc>
        <w:tc>
          <w:tcPr>
            <w:tcW w:w="1860" w:type="dxa"/>
            <w:tcBorders>
              <w:bottom w:val="single" w:color="auto" w:sz="8" w:space="0"/>
              <w:right w:val="single" w:color="auto" w:sz="8" w:space="0"/>
            </w:tcBorders>
            <w:vAlign w:val="bottom"/>
          </w:tcPr>
          <w:p>
            <w:pPr>
              <w:rPr>
                <w:sz w:val="5"/>
                <w:szCs w:val="5"/>
              </w:rPr>
            </w:pPr>
          </w:p>
        </w:tc>
        <w:tc>
          <w:tcPr>
            <w:tcW w:w="980" w:type="dxa"/>
            <w:tcBorders>
              <w:bottom w:val="single" w:color="auto" w:sz="8" w:space="0"/>
              <w:right w:val="single" w:color="auto" w:sz="8" w:space="0"/>
            </w:tcBorders>
            <w:vAlign w:val="bottom"/>
          </w:tcPr>
          <w:p>
            <w:pPr>
              <w:rPr>
                <w:sz w:val="5"/>
                <w:szCs w:val="5"/>
              </w:rPr>
            </w:pPr>
          </w:p>
        </w:tc>
        <w:tc>
          <w:tcPr>
            <w:tcW w:w="1140" w:type="dxa"/>
            <w:tcBorders>
              <w:bottom w:val="single" w:color="auto" w:sz="8" w:space="0"/>
              <w:right w:val="single" w:color="auto" w:sz="8" w:space="0"/>
            </w:tcBorders>
            <w:vAlign w:val="bottom"/>
          </w:tcPr>
          <w:p>
            <w:pPr>
              <w:rPr>
                <w:sz w:val="5"/>
                <w:szCs w:val="5"/>
              </w:rPr>
            </w:pPr>
          </w:p>
        </w:tc>
        <w:tc>
          <w:tcPr>
            <w:tcW w:w="1560" w:type="dxa"/>
            <w:tcBorders>
              <w:bottom w:val="single" w:color="auto" w:sz="8" w:space="0"/>
              <w:right w:val="single" w:color="auto" w:sz="8" w:space="0"/>
            </w:tcBorders>
            <w:vAlign w:val="bottom"/>
          </w:tcPr>
          <w:p>
            <w:pPr>
              <w:rPr>
                <w:sz w:val="5"/>
                <w:szCs w:val="5"/>
              </w:rPr>
            </w:pPr>
          </w:p>
        </w:tc>
        <w:tc>
          <w:tcPr>
            <w:tcW w:w="2540" w:type="dxa"/>
            <w:tcBorders>
              <w:bottom w:val="single" w:color="auto" w:sz="8" w:space="0"/>
              <w:right w:val="single" w:color="auto" w:sz="8" w:space="0"/>
            </w:tcBorders>
            <w:vAlign w:val="bottom"/>
          </w:tcPr>
          <w:p>
            <w:pPr>
              <w:rPr>
                <w:sz w:val="5"/>
                <w:szCs w:val="5"/>
              </w:rPr>
            </w:pPr>
          </w:p>
        </w:tc>
        <w:tc>
          <w:tcPr>
            <w:tcW w:w="1140" w:type="dxa"/>
            <w:tcBorders>
              <w:bottom w:val="single" w:color="auto" w:sz="8" w:space="0"/>
            </w:tcBorders>
            <w:vAlign w:val="bottom"/>
          </w:tcPr>
          <w:p>
            <w:pPr>
              <w:rPr>
                <w:sz w:val="5"/>
                <w:szCs w:val="5"/>
              </w:rPr>
            </w:pPr>
          </w:p>
        </w:tc>
        <w:tc>
          <w:tcPr>
            <w:tcW w:w="360" w:type="dxa"/>
            <w:vAlign w:val="bottom"/>
          </w:tcPr>
          <w:p>
            <w:pPr>
              <w:rPr>
                <w:sz w:val="1"/>
                <w:szCs w:val="1"/>
              </w:rPr>
            </w:pPr>
          </w:p>
        </w:tc>
      </w:tr>
    </w:tbl>
    <w:p>
      <w:pPr>
        <w:spacing w:line="238" w:lineRule="exact"/>
        <w:rPr>
          <w:sz w:val="20"/>
          <w:szCs w:val="20"/>
        </w:rPr>
      </w:pPr>
    </w:p>
    <w:p>
      <w:pPr>
        <w:tabs>
          <w:tab w:val="left" w:pos="3080"/>
          <w:tab w:val="left" w:pos="4040"/>
        </w:tabs>
        <w:spacing w:line="240" w:lineRule="exact"/>
        <w:ind w:left="100"/>
        <w:rPr>
          <w:sz w:val="20"/>
          <w:szCs w:val="20"/>
        </w:rPr>
      </w:pPr>
      <w:r>
        <w:rPr>
          <w:rFonts w:ascii="宋体" w:hAnsi="宋体" w:eastAsia="宋体" w:cs="宋体"/>
          <w:sz w:val="21"/>
          <w:szCs w:val="21"/>
        </w:rPr>
        <w:t>磋商总报价（大写）：</w:t>
      </w:r>
      <w:r>
        <w:rPr>
          <w:sz w:val="20"/>
          <w:szCs w:val="20"/>
        </w:rPr>
        <w:tab/>
      </w:r>
      <w:r>
        <w:rPr>
          <w:rFonts w:ascii="宋体" w:hAnsi="宋体" w:eastAsia="宋体" w:cs="宋体"/>
          <w:sz w:val="21"/>
          <w:szCs w:val="21"/>
        </w:rPr>
        <w:t>元（￥</w:t>
      </w:r>
      <w:r>
        <w:rPr>
          <w:sz w:val="20"/>
          <w:szCs w:val="20"/>
        </w:rPr>
        <w:tab/>
      </w:r>
      <w:r>
        <w:rPr>
          <w:rFonts w:ascii="宋体" w:hAnsi="宋体" w:eastAsia="宋体" w:cs="宋体"/>
          <w:sz w:val="20"/>
          <w:szCs w:val="20"/>
        </w:rPr>
        <w:t>）人民币</w:t>
      </w:r>
    </w:p>
    <w:p>
      <w:pPr>
        <w:spacing w:line="368" w:lineRule="exact"/>
        <w:rPr>
          <w:sz w:val="20"/>
          <w:szCs w:val="20"/>
        </w:rPr>
      </w:pPr>
    </w:p>
    <w:p>
      <w:pPr>
        <w:spacing w:line="240" w:lineRule="exact"/>
        <w:ind w:left="100"/>
        <w:rPr>
          <w:sz w:val="20"/>
          <w:szCs w:val="20"/>
        </w:rPr>
      </w:pPr>
      <w:r>
        <w:rPr>
          <w:rFonts w:ascii="宋体" w:hAnsi="宋体" w:eastAsia="宋体" w:cs="宋体"/>
          <w:sz w:val="21"/>
          <w:szCs w:val="21"/>
        </w:rPr>
        <w:t>交付期:</w:t>
      </w:r>
    </w:p>
    <w:p>
      <w:pPr>
        <w:spacing w:line="326" w:lineRule="exact"/>
        <w:rPr>
          <w:sz w:val="20"/>
          <w:szCs w:val="20"/>
        </w:rPr>
      </w:pPr>
    </w:p>
    <w:p>
      <w:pPr>
        <w:spacing w:line="240" w:lineRule="exact"/>
        <w:ind w:left="100"/>
        <w:rPr>
          <w:sz w:val="20"/>
          <w:szCs w:val="20"/>
        </w:rPr>
      </w:pPr>
      <w:r>
        <w:rPr>
          <w:rFonts w:ascii="宋体" w:hAnsi="宋体" w:eastAsia="宋体" w:cs="宋体"/>
          <w:sz w:val="21"/>
          <w:szCs w:val="21"/>
        </w:rPr>
        <w:t>服务期:</w:t>
      </w:r>
    </w:p>
    <w:p>
      <w:pPr>
        <w:spacing w:line="347" w:lineRule="exact"/>
        <w:rPr>
          <w:sz w:val="20"/>
          <w:szCs w:val="20"/>
        </w:rPr>
      </w:pPr>
    </w:p>
    <w:p>
      <w:pPr>
        <w:spacing w:line="240" w:lineRule="exact"/>
        <w:ind w:left="100"/>
        <w:rPr>
          <w:sz w:val="20"/>
          <w:szCs w:val="20"/>
        </w:rPr>
      </w:pPr>
      <w:r>
        <w:rPr>
          <w:rFonts w:ascii="宋体" w:hAnsi="宋体" w:eastAsia="宋体" w:cs="宋体"/>
          <w:sz w:val="21"/>
          <w:szCs w:val="21"/>
        </w:rPr>
        <w:t xml:space="preserve">本项目磋商有效期为磋商截止时间之日起 </w:t>
      </w:r>
      <w:r>
        <w:rPr>
          <w:rFonts w:hint="eastAsia" w:ascii="宋体" w:hAnsi="宋体" w:eastAsia="宋体" w:cs="宋体"/>
          <w:sz w:val="21"/>
          <w:szCs w:val="21"/>
        </w:rPr>
        <w:t>60</w:t>
      </w:r>
      <w:r>
        <w:rPr>
          <w:rFonts w:ascii="宋体" w:hAnsi="宋体" w:eastAsia="宋体" w:cs="宋体"/>
          <w:sz w:val="21"/>
          <w:szCs w:val="21"/>
        </w:rPr>
        <w:t>天。</w:t>
      </w:r>
    </w:p>
    <w:p>
      <w:pPr>
        <w:spacing w:line="20" w:lineRule="exact"/>
        <w:rPr>
          <w:sz w:val="20"/>
          <w:szCs w:val="20"/>
        </w:rPr>
      </w:pPr>
      <w:r>
        <w:rPr>
          <w:sz w:val="20"/>
          <w:szCs w:val="20"/>
        </w:rPr>
        <w:pict>
          <v:line id="Shape 50" o:spid="_x0000_s1028" o:spt="20" style="position:absolute;left:0pt;margin-left:-0.45pt;margin-top:7.2pt;height:0pt;width:494.25pt;z-index:-251650048;mso-width-relative:page;mso-height-relative:page;" filled="t" coordsize="21600,21600" o:allowincell="f" o:gfxdata="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Xqsbw1AAAAAcBAAAPAAAAAAAAAAEAIAAAACIA&#10;AABkcnMvZG93bnJldi54bWxQSwECFAAUAAAACACHTuJAUIsl4psBAABbAwAADgAAAAAAAAABACAA&#10;AAAjAQAAZHJzL2Uyb0RvYy54bWxQSwUGAAAAAAYABgBZAQAAMAUAAAAA&#10;">
            <v:path arrowok="t"/>
            <v:fill on="t" focussize="0,0"/>
            <v:stroke weight="0.47992125984252pt" joinstyle="miter"/>
            <v:imagedata o:title=""/>
            <o:lock v:ext="edit"/>
          </v:line>
        </w:pic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30" w:lineRule="exact"/>
        <w:rPr>
          <w:sz w:val="20"/>
          <w:szCs w:val="20"/>
        </w:rPr>
      </w:pPr>
    </w:p>
    <w:p>
      <w:pPr>
        <w:spacing w:line="240" w:lineRule="exact"/>
        <w:ind w:left="420"/>
        <w:rPr>
          <w:sz w:val="20"/>
          <w:szCs w:val="20"/>
        </w:rPr>
      </w:pPr>
      <w:r>
        <w:rPr>
          <w:rFonts w:ascii="宋体" w:hAnsi="宋体" w:eastAsia="宋体" w:cs="宋体"/>
          <w:sz w:val="21"/>
          <w:szCs w:val="21"/>
        </w:rPr>
        <w:t>供应商（公章，自然人除外）：______________________</w:t>
      </w:r>
    </w:p>
    <w:p>
      <w:pPr>
        <w:spacing w:line="20" w:lineRule="exact"/>
        <w:rPr>
          <w:sz w:val="20"/>
          <w:szCs w:val="20"/>
        </w:rPr>
      </w:pPr>
      <w:r>
        <w:rPr>
          <w:sz w:val="20"/>
          <w:szCs w:val="20"/>
        </w:rPr>
        <w:pict>
          <v:line id="Shape 51" o:spid="_x0000_s1027" o:spt="20" style="position:absolute;left:0pt;margin-left:278.5pt;margin-top:0.4pt;height:0pt;width:10.45pt;z-index:-251649024;mso-width-relative:page;mso-height-relative:page;" filled="t" coordsize="21600,21600" o:allowincell="f" o:gfxdata="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H6dkB/TAAAABQEAAA8AAAAAAAAAAQAgAAAAIgAA&#10;AGRycy9kb3ducmV2LnhtbFBLAQIUABQAAAAIAIdO4kCdLh3PmwEAAFoDAAAOAAAAAAAAAAEAIAAA&#10;ACIBAABkcnMvZTJvRG9jLnhtbFBLBQYAAAAABgAGAFkBAAAvBQAAAAA=&#10;">
            <v:path arrowok="t"/>
            <v:fill on="t" focussize="0,0"/>
            <v:stroke weight="0.54pt" joinstyle="miter"/>
            <v:imagedata o:title=""/>
            <o:lock v:ext="edit"/>
          </v:line>
        </w:pict>
      </w:r>
    </w:p>
    <w:p>
      <w:pPr>
        <w:spacing w:line="181" w:lineRule="exact"/>
        <w:rPr>
          <w:sz w:val="20"/>
          <w:szCs w:val="20"/>
        </w:rPr>
      </w:pPr>
    </w:p>
    <w:p>
      <w:pPr>
        <w:spacing w:line="240" w:lineRule="exact"/>
        <w:ind w:left="420"/>
        <w:rPr>
          <w:sz w:val="20"/>
          <w:szCs w:val="20"/>
        </w:rPr>
      </w:pPr>
      <w:r>
        <w:rPr>
          <w:rFonts w:ascii="宋体" w:hAnsi="宋体" w:eastAsia="宋体" w:cs="宋体"/>
          <w:sz w:val="21"/>
          <w:szCs w:val="21"/>
        </w:rPr>
        <w:t>法定代表人、负责人、自然人或相应的委托代理人签字或盖章</w:t>
      </w:r>
    </w:p>
    <w:p>
      <w:pPr>
        <w:spacing w:line="200" w:lineRule="exact"/>
        <w:rPr>
          <w:sz w:val="20"/>
          <w:szCs w:val="20"/>
        </w:rPr>
      </w:pPr>
    </w:p>
    <w:p>
      <w:pPr>
        <w:spacing w:line="240" w:lineRule="exact"/>
        <w:ind w:left="420"/>
        <w:rPr>
          <w:sz w:val="20"/>
          <w:szCs w:val="20"/>
        </w:rPr>
      </w:pPr>
      <w:r>
        <w:rPr>
          <w:rFonts w:ascii="宋体" w:hAnsi="宋体" w:eastAsia="宋体" w:cs="宋体"/>
          <w:sz w:val="21"/>
          <w:szCs w:val="21"/>
        </w:rPr>
        <w:t xml:space="preserve">（属自然人的应在签名处加盖食指指印）： </w:t>
      </w:r>
      <w:r>
        <w:rPr>
          <w:rFonts w:ascii="宋体" w:hAnsi="宋体" w:eastAsia="宋体" w:cs="宋体"/>
          <w:sz w:val="21"/>
          <w:szCs w:val="21"/>
          <w:u w:val="single"/>
        </w:rPr>
        <w:t>____________</w:t>
      </w:r>
    </w:p>
    <w:p>
      <w:pPr>
        <w:spacing w:line="201" w:lineRule="exact"/>
        <w:rPr>
          <w:sz w:val="20"/>
          <w:szCs w:val="20"/>
        </w:rPr>
      </w:pPr>
    </w:p>
    <w:p>
      <w:pPr>
        <w:spacing w:line="240" w:lineRule="exact"/>
        <w:ind w:left="420"/>
        <w:rPr>
          <w:sz w:val="20"/>
          <w:szCs w:val="20"/>
        </w:rPr>
      </w:pPr>
      <w:r>
        <w:rPr>
          <w:rFonts w:ascii="宋体" w:hAnsi="宋体" w:eastAsia="宋体" w:cs="宋体"/>
          <w:sz w:val="21"/>
          <w:szCs w:val="21"/>
        </w:rPr>
        <w:t>响应日期：</w:t>
      </w:r>
      <w:r>
        <w:rPr>
          <w:rFonts w:ascii="宋体" w:hAnsi="宋体" w:eastAsia="宋体" w:cs="宋体"/>
          <w:sz w:val="21"/>
          <w:szCs w:val="21"/>
          <w:u w:val="single"/>
        </w:rPr>
        <w:t>_______________</w:t>
      </w:r>
    </w:p>
    <w:p>
      <w:pPr>
        <w:spacing w:line="200" w:lineRule="exact"/>
        <w:rPr>
          <w:sz w:val="20"/>
          <w:szCs w:val="20"/>
        </w:rPr>
      </w:pPr>
    </w:p>
    <w:p>
      <w:pPr>
        <w:spacing w:line="344" w:lineRule="exact"/>
        <w:rPr>
          <w:sz w:val="20"/>
          <w:szCs w:val="20"/>
        </w:rPr>
      </w:pPr>
    </w:p>
    <w:p>
      <w:pPr>
        <w:spacing w:line="240" w:lineRule="exact"/>
        <w:ind w:left="420"/>
        <w:rPr>
          <w:sz w:val="20"/>
          <w:szCs w:val="20"/>
        </w:rPr>
      </w:pPr>
      <w:r>
        <w:rPr>
          <w:rFonts w:ascii="宋体" w:hAnsi="宋体" w:eastAsia="宋体" w:cs="宋体"/>
          <w:sz w:val="21"/>
          <w:szCs w:val="21"/>
        </w:rPr>
        <w:t>注</w:t>
      </w:r>
      <w:r>
        <w:rPr>
          <w:rFonts w:ascii="宋体" w:hAnsi="宋体" w:eastAsia="宋体" w:cs="宋体"/>
          <w:b/>
          <w:bCs/>
          <w:sz w:val="21"/>
          <w:szCs w:val="21"/>
        </w:rPr>
        <w:t>：</w:t>
      </w:r>
      <w:r>
        <w:rPr>
          <w:rFonts w:ascii="宋体" w:hAnsi="宋体" w:eastAsia="宋体" w:cs="宋体"/>
          <w:sz w:val="21"/>
          <w:szCs w:val="21"/>
        </w:rPr>
        <w:t>1.供应商必须就“采购需求”中的所有内容作完整唯一报价，否则，其响应文件无效。</w:t>
      </w:r>
    </w:p>
    <w:p>
      <w:pPr>
        <w:spacing w:line="81" w:lineRule="exact"/>
        <w:rPr>
          <w:sz w:val="20"/>
          <w:szCs w:val="20"/>
        </w:rPr>
      </w:pPr>
    </w:p>
    <w:p>
      <w:pPr>
        <w:spacing w:line="240" w:lineRule="exact"/>
        <w:ind w:left="840"/>
        <w:rPr>
          <w:sz w:val="20"/>
          <w:szCs w:val="20"/>
        </w:rPr>
      </w:pPr>
      <w:r>
        <w:rPr>
          <w:rFonts w:ascii="宋体" w:hAnsi="宋体" w:eastAsia="宋体" w:cs="宋体"/>
          <w:sz w:val="21"/>
          <w:szCs w:val="21"/>
        </w:rPr>
        <w:t>2.供应商应根据所提供的服务如实填写磋商报价表的各项内容。</w:t>
      </w:r>
    </w:p>
    <w:p>
      <w:pPr>
        <w:spacing w:line="113" w:lineRule="exact"/>
        <w:rPr>
          <w:sz w:val="20"/>
          <w:szCs w:val="20"/>
        </w:rPr>
      </w:pPr>
    </w:p>
    <w:p>
      <w:pPr>
        <w:spacing w:line="282" w:lineRule="exact"/>
        <w:ind w:left="220" w:right="240" w:firstLine="616"/>
        <w:jc w:val="both"/>
        <w:rPr>
          <w:sz w:val="20"/>
          <w:szCs w:val="20"/>
        </w:rPr>
      </w:pPr>
      <w:r>
        <w:rPr>
          <w:rFonts w:ascii="宋体" w:hAnsi="宋体" w:eastAsia="宋体" w:cs="宋体"/>
          <w:sz w:val="21"/>
          <w:szCs w:val="21"/>
        </w:rPr>
        <w:t>3.磋商报价表须由法定代表人、负责人、自然人或相应的委托代理人签字或盖章（属自然人的应在签名处加盖食指指印）并加盖供应商公章（自然人除外）。当本表由多页构成时，需逐页加盖供应商公章（属自然人的须逐页签字）。</w:t>
      </w:r>
    </w:p>
    <w:p>
      <w:pPr>
        <w:spacing w:line="200" w:lineRule="exact"/>
        <w:rPr>
          <w:sz w:val="20"/>
          <w:szCs w:val="20"/>
        </w:rPr>
      </w:pPr>
    </w:p>
    <w:p>
      <w:pPr>
        <w:spacing w:line="323" w:lineRule="exact"/>
        <w:rPr>
          <w:sz w:val="20"/>
          <w:szCs w:val="20"/>
        </w:rPr>
      </w:pPr>
    </w:p>
    <w:p>
      <w:pPr>
        <w:pStyle w:val="6"/>
        <w:spacing w:line="400" w:lineRule="exact"/>
        <w:rPr>
          <w:rFonts w:hAnsi="宋体" w:eastAsia="宋体" w:cs="宋体"/>
          <w:b/>
          <w:bCs/>
          <w:sz w:val="32"/>
          <w:szCs w:val="32"/>
        </w:rPr>
      </w:pPr>
      <w:bookmarkStart w:id="62" w:name="page33"/>
      <w:bookmarkEnd w:id="62"/>
    </w:p>
    <w:p>
      <w:pPr>
        <w:tabs>
          <w:tab w:val="left" w:pos="1305"/>
        </w:tabs>
        <w:spacing w:line="380" w:lineRule="exact"/>
        <w:rPr>
          <w:rFonts w:ascii="宋体" w:hAnsi="宋体" w:eastAsia="宋体" w:cs="宋体"/>
          <w:b/>
          <w:bCs/>
          <w:sz w:val="32"/>
          <w:szCs w:val="32"/>
        </w:rPr>
      </w:pPr>
    </w:p>
    <w:p>
      <w:pPr>
        <w:tabs>
          <w:tab w:val="left" w:pos="1305"/>
        </w:tabs>
        <w:spacing w:line="380" w:lineRule="exact"/>
        <w:rPr>
          <w:rFonts w:ascii="宋体" w:hAnsi="宋体" w:eastAsia="宋体" w:cs="宋体"/>
          <w:b/>
          <w:bCs/>
          <w:sz w:val="32"/>
          <w:szCs w:val="32"/>
        </w:rPr>
      </w:pPr>
    </w:p>
    <w:p>
      <w:pPr>
        <w:tabs>
          <w:tab w:val="left" w:pos="1305"/>
        </w:tabs>
        <w:spacing w:line="380" w:lineRule="exact"/>
        <w:rPr>
          <w:rFonts w:ascii="宋体" w:hAnsi="宋体" w:eastAsia="宋体" w:cs="宋体"/>
          <w:b/>
          <w:bCs/>
          <w:sz w:val="32"/>
          <w:szCs w:val="32"/>
        </w:rPr>
      </w:pPr>
    </w:p>
    <w:p>
      <w:pPr>
        <w:tabs>
          <w:tab w:val="left" w:pos="1305"/>
        </w:tabs>
        <w:spacing w:line="380" w:lineRule="exact"/>
        <w:rPr>
          <w:rFonts w:ascii="宋体" w:hAnsi="宋体" w:eastAsia="宋体" w:cs="宋体"/>
          <w:b/>
          <w:bCs/>
          <w:sz w:val="32"/>
          <w:szCs w:val="32"/>
        </w:rPr>
      </w:pPr>
    </w:p>
    <w:p>
      <w:pPr>
        <w:tabs>
          <w:tab w:val="left" w:pos="1305"/>
        </w:tabs>
        <w:spacing w:line="380" w:lineRule="exact"/>
        <w:rPr>
          <w:rFonts w:ascii="宋体" w:hAnsi="宋体" w:eastAsia="宋体" w:cs="宋体"/>
          <w:b/>
          <w:bCs/>
          <w:sz w:val="32"/>
          <w:szCs w:val="32"/>
        </w:rPr>
      </w:pPr>
    </w:p>
    <w:p>
      <w:pPr>
        <w:tabs>
          <w:tab w:val="left" w:pos="1305"/>
        </w:tabs>
        <w:spacing w:line="380" w:lineRule="exact"/>
        <w:rPr>
          <w:rFonts w:ascii="宋体" w:hAnsi="宋体" w:eastAsia="宋体" w:cs="宋体"/>
          <w:b/>
          <w:bCs/>
          <w:sz w:val="32"/>
          <w:szCs w:val="32"/>
        </w:rPr>
      </w:pPr>
    </w:p>
    <w:p>
      <w:pPr>
        <w:tabs>
          <w:tab w:val="left" w:pos="1305"/>
        </w:tabs>
        <w:spacing w:line="380" w:lineRule="exact"/>
        <w:rPr>
          <w:rFonts w:ascii="宋体" w:hAnsi="宋体" w:eastAsia="宋体" w:cs="宋体"/>
          <w:b/>
          <w:bCs/>
          <w:sz w:val="32"/>
          <w:szCs w:val="32"/>
        </w:rPr>
      </w:pPr>
    </w:p>
    <w:p>
      <w:pPr>
        <w:tabs>
          <w:tab w:val="left" w:pos="1305"/>
        </w:tabs>
        <w:spacing w:line="380" w:lineRule="exact"/>
        <w:rPr>
          <w:rFonts w:ascii="宋体" w:hAnsi="宋体" w:cs="宋体"/>
          <w:b/>
          <w:sz w:val="32"/>
          <w:szCs w:val="32"/>
        </w:rPr>
      </w:pPr>
      <w:r>
        <w:rPr>
          <w:rFonts w:hint="eastAsia" w:ascii="宋体" w:hAnsi="宋体" w:eastAsia="宋体" w:cs="宋体"/>
          <w:b/>
          <w:bCs/>
          <w:sz w:val="32"/>
          <w:szCs w:val="32"/>
        </w:rPr>
        <w:t>7</w:t>
      </w:r>
      <w:r>
        <w:rPr>
          <w:rFonts w:ascii="宋体" w:hAnsi="宋体" w:eastAsia="宋体" w:cs="宋体"/>
          <w:b/>
          <w:bCs/>
          <w:sz w:val="32"/>
          <w:szCs w:val="32"/>
        </w:rPr>
        <w:t>、</w:t>
      </w:r>
      <w:r>
        <w:rPr>
          <w:rFonts w:hint="eastAsia" w:ascii="宋体" w:hAnsi="宋体" w:cs="宋体"/>
          <w:b/>
          <w:sz w:val="32"/>
          <w:szCs w:val="32"/>
        </w:rPr>
        <w:t>项目实施人员一览表【提供由县级以上（含县级）社会养老保险经办机构出具的供应商为项目实施人员缴纳社保证明复印件，无缴费记录的，应提供由社保部门出具的《依法缴纳或依法免缴社保证明》社保证明复印件】</w:t>
      </w:r>
      <w:r>
        <w:rPr>
          <w:rFonts w:ascii="宋体" w:hAnsi="宋体" w:eastAsia="宋体" w:cs="宋体"/>
          <w:b/>
          <w:bCs/>
          <w:sz w:val="28"/>
          <w:szCs w:val="28"/>
        </w:rPr>
        <w:t>（如有，请提供）</w:t>
      </w:r>
    </w:p>
    <w:p>
      <w:pPr>
        <w:pStyle w:val="6"/>
        <w:rPr>
          <w:rFonts w:hAnsi="宋体" w:cs="宋体"/>
          <w:b/>
          <w:szCs w:val="21"/>
        </w:rPr>
      </w:pPr>
    </w:p>
    <w:p>
      <w:pPr>
        <w:pStyle w:val="6"/>
        <w:rPr>
          <w:rFonts w:hAnsi="宋体" w:cs="宋体"/>
          <w:b/>
          <w:bCs/>
          <w:sz w:val="32"/>
          <w:szCs w:val="32"/>
        </w:rPr>
      </w:pPr>
      <w:r>
        <w:rPr>
          <w:rFonts w:hint="eastAsia" w:hAnsi="宋体" w:cs="宋体"/>
          <w:b/>
          <w:bCs/>
          <w:sz w:val="32"/>
          <w:szCs w:val="32"/>
        </w:rPr>
        <w:t>项目实施人员一览表（格式）</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806"/>
        <w:gridCol w:w="1537"/>
        <w:gridCol w:w="1371"/>
        <w:gridCol w:w="2163"/>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noWrap/>
            <w:vAlign w:val="center"/>
          </w:tcPr>
          <w:p>
            <w:pPr>
              <w:spacing w:line="400" w:lineRule="exact"/>
              <w:jc w:val="center"/>
              <w:rPr>
                <w:rFonts w:ascii="宋体" w:hAnsi="宋体" w:cs="宋体"/>
                <w:szCs w:val="21"/>
              </w:rPr>
            </w:pPr>
            <w:r>
              <w:rPr>
                <w:rFonts w:hint="eastAsia" w:ascii="宋体" w:hAnsi="宋体" w:cs="宋体"/>
                <w:szCs w:val="21"/>
              </w:rPr>
              <w:t>姓 名</w:t>
            </w:r>
          </w:p>
        </w:tc>
        <w:tc>
          <w:tcPr>
            <w:tcW w:w="806" w:type="dxa"/>
            <w:noWrap/>
            <w:vAlign w:val="center"/>
          </w:tcPr>
          <w:p>
            <w:pPr>
              <w:spacing w:line="400" w:lineRule="exact"/>
              <w:jc w:val="center"/>
              <w:rPr>
                <w:rFonts w:ascii="宋体" w:hAnsi="宋体" w:cs="宋体"/>
                <w:szCs w:val="21"/>
              </w:rPr>
            </w:pPr>
            <w:r>
              <w:rPr>
                <w:rFonts w:hint="eastAsia" w:ascii="宋体" w:hAnsi="宋体" w:cs="宋体"/>
                <w:szCs w:val="21"/>
              </w:rPr>
              <w:t>职务</w:t>
            </w:r>
          </w:p>
        </w:tc>
        <w:tc>
          <w:tcPr>
            <w:tcW w:w="1537" w:type="dxa"/>
            <w:noWrap/>
            <w:vAlign w:val="center"/>
          </w:tcPr>
          <w:p>
            <w:pPr>
              <w:spacing w:line="400" w:lineRule="exact"/>
              <w:jc w:val="center"/>
              <w:rPr>
                <w:rFonts w:ascii="宋体" w:hAnsi="宋体" w:cs="宋体"/>
                <w:szCs w:val="21"/>
              </w:rPr>
            </w:pPr>
            <w:r>
              <w:rPr>
                <w:rFonts w:hint="eastAsia" w:ascii="宋体" w:hAnsi="宋体" w:cs="宋体"/>
                <w:szCs w:val="21"/>
              </w:rPr>
              <w:t>专业技术资格</w:t>
            </w:r>
          </w:p>
        </w:tc>
        <w:tc>
          <w:tcPr>
            <w:tcW w:w="1371" w:type="dxa"/>
            <w:noWrap/>
            <w:vAlign w:val="center"/>
          </w:tcPr>
          <w:p>
            <w:pPr>
              <w:spacing w:line="400" w:lineRule="exact"/>
              <w:jc w:val="center"/>
              <w:rPr>
                <w:rFonts w:ascii="宋体" w:hAnsi="宋体" w:cs="宋体"/>
                <w:szCs w:val="21"/>
              </w:rPr>
            </w:pPr>
            <w:r>
              <w:rPr>
                <w:rFonts w:hint="eastAsia" w:ascii="宋体" w:hAnsi="宋体" w:cs="宋体"/>
                <w:szCs w:val="21"/>
              </w:rPr>
              <w:t>证书编号</w:t>
            </w:r>
          </w:p>
        </w:tc>
        <w:tc>
          <w:tcPr>
            <w:tcW w:w="2163" w:type="dxa"/>
            <w:noWrap/>
            <w:vAlign w:val="center"/>
          </w:tcPr>
          <w:p>
            <w:pPr>
              <w:spacing w:line="400" w:lineRule="exact"/>
              <w:jc w:val="center"/>
              <w:rPr>
                <w:rFonts w:ascii="宋体" w:hAnsi="宋体" w:cs="宋体"/>
                <w:szCs w:val="21"/>
              </w:rPr>
            </w:pPr>
            <w:r>
              <w:rPr>
                <w:rFonts w:hint="eastAsia" w:ascii="宋体" w:hAnsi="宋体" w:cs="宋体"/>
                <w:szCs w:val="21"/>
              </w:rPr>
              <w:t>参加工作时间</w:t>
            </w:r>
          </w:p>
        </w:tc>
        <w:tc>
          <w:tcPr>
            <w:tcW w:w="2000" w:type="dxa"/>
            <w:noWrap/>
            <w:vAlign w:val="center"/>
          </w:tcPr>
          <w:p>
            <w:pPr>
              <w:spacing w:line="400" w:lineRule="exac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noWrap/>
          </w:tcPr>
          <w:p>
            <w:pPr>
              <w:spacing w:line="400" w:lineRule="exact"/>
              <w:rPr>
                <w:rFonts w:ascii="宋体" w:hAnsi="宋体" w:cs="宋体"/>
                <w:szCs w:val="21"/>
              </w:rPr>
            </w:pPr>
          </w:p>
        </w:tc>
        <w:tc>
          <w:tcPr>
            <w:tcW w:w="806" w:type="dxa"/>
            <w:noWrap/>
          </w:tcPr>
          <w:p>
            <w:pPr>
              <w:spacing w:line="400" w:lineRule="exact"/>
              <w:rPr>
                <w:rFonts w:ascii="宋体" w:hAnsi="宋体" w:cs="宋体"/>
                <w:szCs w:val="21"/>
              </w:rPr>
            </w:pPr>
          </w:p>
        </w:tc>
        <w:tc>
          <w:tcPr>
            <w:tcW w:w="1537" w:type="dxa"/>
            <w:noWrap/>
          </w:tcPr>
          <w:p>
            <w:pPr>
              <w:spacing w:line="400" w:lineRule="exact"/>
              <w:rPr>
                <w:rFonts w:ascii="宋体" w:hAnsi="宋体" w:cs="宋体"/>
                <w:szCs w:val="21"/>
              </w:rPr>
            </w:pPr>
          </w:p>
        </w:tc>
        <w:tc>
          <w:tcPr>
            <w:tcW w:w="1371" w:type="dxa"/>
            <w:noWrap/>
          </w:tcPr>
          <w:p>
            <w:pPr>
              <w:spacing w:line="400" w:lineRule="exact"/>
              <w:rPr>
                <w:rFonts w:ascii="宋体" w:hAnsi="宋体" w:cs="宋体"/>
                <w:szCs w:val="21"/>
              </w:rPr>
            </w:pPr>
          </w:p>
        </w:tc>
        <w:tc>
          <w:tcPr>
            <w:tcW w:w="2163" w:type="dxa"/>
            <w:noWrap/>
          </w:tcPr>
          <w:p>
            <w:pPr>
              <w:spacing w:line="400" w:lineRule="exact"/>
              <w:rPr>
                <w:rFonts w:ascii="宋体" w:hAnsi="宋体" w:cs="宋体"/>
                <w:szCs w:val="21"/>
              </w:rPr>
            </w:pPr>
          </w:p>
        </w:tc>
        <w:tc>
          <w:tcPr>
            <w:tcW w:w="2000" w:type="dxa"/>
            <w:noWrap/>
          </w:tcPr>
          <w:p>
            <w:pPr>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noWrap/>
          </w:tcPr>
          <w:p>
            <w:pPr>
              <w:spacing w:line="400" w:lineRule="exact"/>
              <w:rPr>
                <w:rFonts w:ascii="宋体" w:hAnsi="宋体" w:cs="宋体"/>
                <w:szCs w:val="21"/>
              </w:rPr>
            </w:pPr>
          </w:p>
        </w:tc>
        <w:tc>
          <w:tcPr>
            <w:tcW w:w="806" w:type="dxa"/>
            <w:noWrap/>
          </w:tcPr>
          <w:p>
            <w:pPr>
              <w:spacing w:line="400" w:lineRule="exact"/>
              <w:rPr>
                <w:rFonts w:ascii="宋体" w:hAnsi="宋体" w:cs="宋体"/>
                <w:szCs w:val="21"/>
              </w:rPr>
            </w:pPr>
          </w:p>
        </w:tc>
        <w:tc>
          <w:tcPr>
            <w:tcW w:w="1537" w:type="dxa"/>
            <w:noWrap/>
          </w:tcPr>
          <w:p>
            <w:pPr>
              <w:spacing w:line="400" w:lineRule="exact"/>
              <w:rPr>
                <w:rFonts w:ascii="宋体" w:hAnsi="宋体" w:cs="宋体"/>
                <w:szCs w:val="21"/>
              </w:rPr>
            </w:pPr>
          </w:p>
        </w:tc>
        <w:tc>
          <w:tcPr>
            <w:tcW w:w="1371" w:type="dxa"/>
            <w:noWrap/>
          </w:tcPr>
          <w:p>
            <w:pPr>
              <w:spacing w:line="400" w:lineRule="exact"/>
              <w:rPr>
                <w:rFonts w:ascii="宋体" w:hAnsi="宋体" w:cs="宋体"/>
                <w:szCs w:val="21"/>
              </w:rPr>
            </w:pPr>
          </w:p>
        </w:tc>
        <w:tc>
          <w:tcPr>
            <w:tcW w:w="2163" w:type="dxa"/>
            <w:noWrap/>
          </w:tcPr>
          <w:p>
            <w:pPr>
              <w:spacing w:line="400" w:lineRule="exact"/>
              <w:rPr>
                <w:rFonts w:ascii="宋体" w:hAnsi="宋体" w:cs="宋体"/>
                <w:szCs w:val="21"/>
              </w:rPr>
            </w:pPr>
          </w:p>
        </w:tc>
        <w:tc>
          <w:tcPr>
            <w:tcW w:w="2000" w:type="dxa"/>
            <w:noWrap/>
          </w:tcPr>
          <w:p>
            <w:pPr>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noWrap/>
          </w:tcPr>
          <w:p>
            <w:pPr>
              <w:spacing w:line="400" w:lineRule="exact"/>
              <w:rPr>
                <w:rFonts w:ascii="宋体" w:hAnsi="宋体" w:cs="宋体"/>
                <w:szCs w:val="21"/>
              </w:rPr>
            </w:pPr>
          </w:p>
        </w:tc>
        <w:tc>
          <w:tcPr>
            <w:tcW w:w="806" w:type="dxa"/>
            <w:noWrap/>
          </w:tcPr>
          <w:p>
            <w:pPr>
              <w:spacing w:line="400" w:lineRule="exact"/>
              <w:rPr>
                <w:rFonts w:ascii="宋体" w:hAnsi="宋体" w:cs="宋体"/>
                <w:szCs w:val="21"/>
              </w:rPr>
            </w:pPr>
          </w:p>
        </w:tc>
        <w:tc>
          <w:tcPr>
            <w:tcW w:w="1537" w:type="dxa"/>
            <w:noWrap/>
          </w:tcPr>
          <w:p>
            <w:pPr>
              <w:spacing w:line="400" w:lineRule="exact"/>
              <w:rPr>
                <w:rFonts w:ascii="宋体" w:hAnsi="宋体" w:cs="宋体"/>
                <w:szCs w:val="21"/>
              </w:rPr>
            </w:pPr>
          </w:p>
        </w:tc>
        <w:tc>
          <w:tcPr>
            <w:tcW w:w="1371" w:type="dxa"/>
            <w:noWrap/>
          </w:tcPr>
          <w:p>
            <w:pPr>
              <w:spacing w:line="400" w:lineRule="exact"/>
              <w:rPr>
                <w:rFonts w:ascii="宋体" w:hAnsi="宋体" w:cs="宋体"/>
                <w:szCs w:val="21"/>
              </w:rPr>
            </w:pPr>
          </w:p>
        </w:tc>
        <w:tc>
          <w:tcPr>
            <w:tcW w:w="2163" w:type="dxa"/>
            <w:noWrap/>
          </w:tcPr>
          <w:p>
            <w:pPr>
              <w:spacing w:line="400" w:lineRule="exact"/>
              <w:rPr>
                <w:rFonts w:ascii="宋体" w:hAnsi="宋体" w:cs="宋体"/>
                <w:szCs w:val="21"/>
              </w:rPr>
            </w:pPr>
          </w:p>
        </w:tc>
        <w:tc>
          <w:tcPr>
            <w:tcW w:w="2000" w:type="dxa"/>
            <w:noWrap/>
          </w:tcPr>
          <w:p>
            <w:pPr>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noWrap/>
          </w:tcPr>
          <w:p>
            <w:pPr>
              <w:spacing w:line="400" w:lineRule="exact"/>
              <w:rPr>
                <w:rFonts w:ascii="宋体" w:hAnsi="宋体" w:cs="宋体"/>
                <w:szCs w:val="21"/>
              </w:rPr>
            </w:pPr>
          </w:p>
        </w:tc>
        <w:tc>
          <w:tcPr>
            <w:tcW w:w="806" w:type="dxa"/>
            <w:noWrap/>
          </w:tcPr>
          <w:p>
            <w:pPr>
              <w:spacing w:line="400" w:lineRule="exact"/>
              <w:rPr>
                <w:rFonts w:ascii="宋体" w:hAnsi="宋体" w:cs="宋体"/>
                <w:szCs w:val="21"/>
              </w:rPr>
            </w:pPr>
          </w:p>
        </w:tc>
        <w:tc>
          <w:tcPr>
            <w:tcW w:w="1537" w:type="dxa"/>
            <w:noWrap/>
          </w:tcPr>
          <w:p>
            <w:pPr>
              <w:spacing w:line="400" w:lineRule="exact"/>
              <w:rPr>
                <w:rFonts w:ascii="宋体" w:hAnsi="宋体" w:cs="宋体"/>
                <w:szCs w:val="21"/>
              </w:rPr>
            </w:pPr>
          </w:p>
        </w:tc>
        <w:tc>
          <w:tcPr>
            <w:tcW w:w="1371" w:type="dxa"/>
            <w:noWrap/>
          </w:tcPr>
          <w:p>
            <w:pPr>
              <w:spacing w:line="400" w:lineRule="exact"/>
              <w:rPr>
                <w:rFonts w:ascii="宋体" w:hAnsi="宋体" w:cs="宋体"/>
                <w:szCs w:val="21"/>
              </w:rPr>
            </w:pPr>
          </w:p>
        </w:tc>
        <w:tc>
          <w:tcPr>
            <w:tcW w:w="2163" w:type="dxa"/>
            <w:noWrap/>
          </w:tcPr>
          <w:p>
            <w:pPr>
              <w:spacing w:line="400" w:lineRule="exact"/>
              <w:rPr>
                <w:rFonts w:ascii="宋体" w:hAnsi="宋体" w:cs="宋体"/>
                <w:szCs w:val="21"/>
              </w:rPr>
            </w:pPr>
          </w:p>
        </w:tc>
        <w:tc>
          <w:tcPr>
            <w:tcW w:w="2000" w:type="dxa"/>
            <w:noWrap/>
          </w:tcPr>
          <w:p>
            <w:pPr>
              <w:spacing w:line="400" w:lineRule="exact"/>
              <w:rPr>
                <w:rFonts w:ascii="宋体" w:hAnsi="宋体" w:cs="宋体"/>
                <w:szCs w:val="21"/>
              </w:rPr>
            </w:pPr>
          </w:p>
        </w:tc>
      </w:tr>
    </w:tbl>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注：1.在填写时，如本表格不适合供应商的实际情况，可根据本表格式自行制表填写。</w:t>
      </w:r>
    </w:p>
    <w:p>
      <w:pPr>
        <w:pStyle w:val="6"/>
        <w:spacing w:line="400" w:lineRule="exact"/>
        <w:ind w:firstLine="3410" w:firstLineChars="1550"/>
        <w:rPr>
          <w:rFonts w:hAnsi="宋体" w:cs="宋体"/>
        </w:rPr>
      </w:pPr>
    </w:p>
    <w:p>
      <w:pPr>
        <w:snapToGrid w:val="0"/>
        <w:spacing w:line="400" w:lineRule="exact"/>
        <w:ind w:firstLine="2860" w:firstLineChars="1300"/>
        <w:outlineLvl w:val="4"/>
        <w:rPr>
          <w:rFonts w:ascii="宋体" w:hAnsi="宋体" w:cs="宋体"/>
          <w:szCs w:val="21"/>
          <w:u w:val="single"/>
        </w:rPr>
      </w:pPr>
      <w:r>
        <w:rPr>
          <w:rFonts w:hint="eastAsia" w:ascii="宋体" w:hAnsi="宋体" w:cs="宋体"/>
          <w:szCs w:val="21"/>
        </w:rPr>
        <w:t>供应商（公章，自然人除外）：</w:t>
      </w:r>
    </w:p>
    <w:p>
      <w:pPr>
        <w:snapToGrid w:val="0"/>
        <w:spacing w:line="400" w:lineRule="exact"/>
        <w:ind w:firstLine="420"/>
        <w:outlineLvl w:val="4"/>
        <w:rPr>
          <w:rFonts w:ascii="宋体" w:hAnsi="宋体" w:cs="宋体"/>
          <w:szCs w:val="21"/>
        </w:rPr>
      </w:pPr>
    </w:p>
    <w:p>
      <w:pPr>
        <w:pStyle w:val="6"/>
        <w:spacing w:line="400" w:lineRule="exact"/>
        <w:ind w:firstLine="2860" w:firstLineChars="1300"/>
        <w:rPr>
          <w:rFonts w:hAnsi="宋体" w:cs="宋体"/>
        </w:rPr>
      </w:pPr>
      <w:r>
        <w:rPr>
          <w:rFonts w:hint="eastAsia" w:hAnsi="宋体" w:cs="宋体"/>
        </w:rPr>
        <w:t>法定代表人、负责人、自然人或相应的委托代理人签字（或盖章）</w:t>
      </w:r>
    </w:p>
    <w:p>
      <w:pPr>
        <w:pStyle w:val="6"/>
        <w:spacing w:line="400" w:lineRule="exact"/>
        <w:ind w:firstLine="2860" w:firstLineChars="1300"/>
        <w:rPr>
          <w:rFonts w:hAnsi="宋体" w:cs="宋体"/>
          <w:u w:val="single"/>
        </w:rPr>
      </w:pPr>
      <w:r>
        <w:rPr>
          <w:rFonts w:hint="eastAsia" w:hAnsi="宋体" w:cs="宋体"/>
        </w:rPr>
        <w:t>（属自然人的应在签名处加盖大拇指指印）：</w:t>
      </w:r>
    </w:p>
    <w:p>
      <w:pPr>
        <w:pStyle w:val="6"/>
        <w:ind w:firstLine="3740" w:firstLineChars="1700"/>
        <w:rPr>
          <w:rFonts w:hAnsi="宋体" w:cs="宋体"/>
        </w:rPr>
      </w:pPr>
    </w:p>
    <w:p>
      <w:pPr>
        <w:pStyle w:val="6"/>
        <w:spacing w:line="400" w:lineRule="exact"/>
        <w:ind w:firstLine="2860" w:firstLineChars="1300"/>
        <w:rPr>
          <w:rFonts w:hAnsi="宋体" w:cs="宋体"/>
          <w:u w:val="single"/>
        </w:rPr>
      </w:pPr>
      <w:r>
        <w:rPr>
          <w:rFonts w:hint="eastAsia" w:hAnsi="宋体" w:cs="宋体"/>
        </w:rPr>
        <w:t>日          期：</w:t>
      </w:r>
    </w:p>
    <w:p>
      <w:pPr>
        <w:pStyle w:val="6"/>
        <w:spacing w:line="400" w:lineRule="exact"/>
        <w:ind w:firstLine="2860" w:firstLineChars="1300"/>
        <w:rPr>
          <w:rFonts w:hAnsi="宋体" w:cs="宋体"/>
          <w:u w:val="single"/>
        </w:rPr>
      </w:pPr>
    </w:p>
    <w:p>
      <w:pPr>
        <w:pStyle w:val="6"/>
        <w:spacing w:line="400" w:lineRule="exact"/>
        <w:ind w:firstLine="2860" w:firstLineChars="1300"/>
        <w:rPr>
          <w:rFonts w:hAnsi="宋体" w:cs="宋体"/>
          <w:u w:val="single"/>
        </w:rPr>
      </w:pPr>
    </w:p>
    <w:p>
      <w:pPr>
        <w:pStyle w:val="6"/>
        <w:spacing w:line="400" w:lineRule="exact"/>
        <w:ind w:firstLine="2860" w:firstLineChars="1300"/>
        <w:rPr>
          <w:rFonts w:hAnsi="宋体" w:cs="宋体"/>
          <w:u w:val="single"/>
        </w:rPr>
      </w:pPr>
    </w:p>
    <w:p>
      <w:pPr>
        <w:pStyle w:val="6"/>
        <w:spacing w:line="400" w:lineRule="exact"/>
        <w:ind w:firstLine="2860" w:firstLineChars="1300"/>
        <w:rPr>
          <w:rFonts w:hAnsi="宋体" w:cs="宋体"/>
          <w:u w:val="single"/>
        </w:rPr>
      </w:pPr>
    </w:p>
    <w:p>
      <w:pPr>
        <w:pStyle w:val="6"/>
        <w:spacing w:line="400" w:lineRule="exact"/>
        <w:ind w:firstLine="4176" w:firstLineChars="1300"/>
        <w:rPr>
          <w:rFonts w:hAnsi="宋体" w:eastAsia="宋体" w:cs="宋体"/>
          <w:b/>
          <w:bCs/>
          <w:sz w:val="32"/>
          <w:szCs w:val="32"/>
        </w:rPr>
      </w:pPr>
    </w:p>
    <w:p>
      <w:pPr>
        <w:spacing w:line="366" w:lineRule="exact"/>
        <w:rPr>
          <w:rFonts w:ascii="宋体" w:hAnsi="宋体" w:eastAsia="宋体" w:cs="宋体"/>
          <w:b/>
          <w:bCs/>
          <w:sz w:val="28"/>
          <w:szCs w:val="28"/>
        </w:rPr>
      </w:pPr>
      <w:r>
        <w:rPr>
          <w:rFonts w:hint="eastAsia" w:ascii="宋体" w:hAnsi="宋体" w:eastAsia="宋体" w:cs="宋体"/>
          <w:b/>
          <w:bCs/>
          <w:sz w:val="28"/>
          <w:szCs w:val="28"/>
        </w:rPr>
        <w:t>8</w:t>
      </w:r>
      <w:r>
        <w:rPr>
          <w:rFonts w:ascii="宋体" w:hAnsi="宋体" w:eastAsia="宋体" w:cs="宋体"/>
          <w:b/>
          <w:bCs/>
          <w:sz w:val="32"/>
          <w:szCs w:val="32"/>
        </w:rPr>
        <w:t>、</w:t>
      </w:r>
      <w:r>
        <w:rPr>
          <w:rFonts w:hint="eastAsia" w:ascii="宋体" w:hAnsi="宋体" w:eastAsia="宋体" w:cs="宋体"/>
          <w:b/>
          <w:bCs/>
          <w:sz w:val="28"/>
          <w:szCs w:val="28"/>
        </w:rPr>
        <w:t>技术方案（供应商根据服务需求自行编写）</w:t>
      </w:r>
      <w:r>
        <w:rPr>
          <w:rFonts w:ascii="宋体" w:hAnsi="宋体" w:eastAsia="宋体" w:cs="宋体"/>
          <w:b/>
          <w:bCs/>
          <w:sz w:val="28"/>
          <w:szCs w:val="28"/>
        </w:rPr>
        <w:t>（如有，请提供）；</w:t>
      </w:r>
    </w:p>
    <w:p>
      <w:pPr>
        <w:snapToGrid w:val="0"/>
        <w:spacing w:line="400" w:lineRule="exact"/>
        <w:ind w:firstLine="2640" w:firstLineChars="1200"/>
        <w:jc w:val="right"/>
        <w:outlineLvl w:val="4"/>
        <w:rPr>
          <w:rFonts w:ascii="宋体" w:hAnsi="宋体" w:cs="宋体"/>
          <w:szCs w:val="21"/>
        </w:rPr>
      </w:pPr>
    </w:p>
    <w:p>
      <w:pPr>
        <w:snapToGrid w:val="0"/>
        <w:spacing w:line="400" w:lineRule="exact"/>
        <w:ind w:firstLine="2640" w:firstLineChars="1200"/>
        <w:jc w:val="right"/>
        <w:outlineLvl w:val="4"/>
        <w:rPr>
          <w:rFonts w:ascii="宋体" w:hAnsi="宋体" w:cs="宋体"/>
          <w:szCs w:val="21"/>
        </w:rPr>
      </w:pPr>
    </w:p>
    <w:p>
      <w:pPr>
        <w:snapToGrid w:val="0"/>
        <w:spacing w:line="400" w:lineRule="exact"/>
        <w:ind w:firstLine="2640" w:firstLineChars="1200"/>
        <w:jc w:val="right"/>
        <w:outlineLvl w:val="4"/>
        <w:rPr>
          <w:rFonts w:ascii="宋体" w:hAnsi="宋体" w:cs="宋体"/>
          <w:szCs w:val="21"/>
        </w:rPr>
      </w:pPr>
    </w:p>
    <w:p>
      <w:pPr>
        <w:snapToGrid w:val="0"/>
        <w:spacing w:line="400" w:lineRule="exact"/>
        <w:jc w:val="center"/>
        <w:outlineLvl w:val="4"/>
        <w:rPr>
          <w:rFonts w:ascii="宋体" w:hAnsi="宋体" w:cs="宋体"/>
          <w:szCs w:val="21"/>
          <w:u w:val="single"/>
        </w:rPr>
      </w:pPr>
      <w:r>
        <w:rPr>
          <w:rFonts w:hint="eastAsia" w:ascii="宋体" w:hAnsi="宋体" w:cs="宋体"/>
          <w:szCs w:val="21"/>
        </w:rPr>
        <w:t>供应商（公章，自然人除外）：</w:t>
      </w:r>
    </w:p>
    <w:p>
      <w:pPr>
        <w:snapToGrid w:val="0"/>
        <w:spacing w:line="400" w:lineRule="exact"/>
        <w:ind w:firstLine="420"/>
        <w:jc w:val="right"/>
        <w:outlineLvl w:val="4"/>
        <w:rPr>
          <w:rFonts w:ascii="宋体" w:hAnsi="宋体" w:cs="宋体"/>
          <w:szCs w:val="21"/>
        </w:rPr>
      </w:pPr>
    </w:p>
    <w:p>
      <w:pPr>
        <w:pStyle w:val="6"/>
        <w:spacing w:line="400" w:lineRule="exact"/>
        <w:ind w:firstLine="2640" w:firstLineChars="1200"/>
        <w:jc w:val="right"/>
        <w:rPr>
          <w:rFonts w:hAnsi="宋体" w:cs="宋体"/>
        </w:rPr>
      </w:pPr>
      <w:r>
        <w:rPr>
          <w:rFonts w:hint="eastAsia" w:hAnsi="宋体" w:cs="宋体"/>
        </w:rPr>
        <w:t>法定代表人、负责人、自然人或相应的委托代理人签字（或盖章）</w:t>
      </w:r>
    </w:p>
    <w:p>
      <w:pPr>
        <w:pStyle w:val="6"/>
        <w:spacing w:line="400" w:lineRule="exact"/>
        <w:ind w:firstLine="2420" w:firstLineChars="1100"/>
        <w:jc w:val="right"/>
        <w:rPr>
          <w:rFonts w:hAnsi="宋体" w:cs="宋体"/>
          <w:szCs w:val="21"/>
          <w:u w:val="single"/>
        </w:rPr>
      </w:pPr>
      <w:r>
        <w:rPr>
          <w:rFonts w:hint="eastAsia" w:hAnsi="宋体" w:cs="宋体"/>
        </w:rPr>
        <w:t>（属自然人的应在签名处加盖大拇指指印）：</w:t>
      </w:r>
    </w:p>
    <w:p>
      <w:pPr>
        <w:pStyle w:val="6"/>
        <w:spacing w:line="400" w:lineRule="exact"/>
        <w:ind w:left="3740" w:leftChars="1700"/>
        <w:jc w:val="right"/>
        <w:rPr>
          <w:rFonts w:hAnsi="宋体" w:cs="宋体"/>
          <w:u w:val="single"/>
        </w:rPr>
      </w:pPr>
    </w:p>
    <w:p>
      <w:pPr>
        <w:spacing w:line="366" w:lineRule="exact"/>
        <w:jc w:val="center"/>
        <w:rPr>
          <w:rFonts w:hAnsi="宋体" w:cs="宋体"/>
          <w:u w:val="single"/>
        </w:rPr>
      </w:pPr>
      <w:r>
        <w:rPr>
          <w:rFonts w:hint="eastAsia" w:hAnsi="宋体" w:cs="宋体"/>
        </w:rPr>
        <w:t>日          期：</w:t>
      </w:r>
    </w:p>
    <w:p>
      <w:pPr>
        <w:spacing w:line="366" w:lineRule="exact"/>
        <w:jc w:val="right"/>
        <w:rPr>
          <w:rFonts w:hAnsi="宋体" w:cs="宋体"/>
          <w:u w:val="single"/>
        </w:rPr>
      </w:pPr>
    </w:p>
    <w:p>
      <w:pPr>
        <w:spacing w:line="366" w:lineRule="exact"/>
        <w:rPr>
          <w:rFonts w:hAnsi="宋体" w:cs="宋体"/>
          <w:u w:val="single"/>
        </w:rPr>
      </w:pPr>
    </w:p>
    <w:p>
      <w:pPr>
        <w:spacing w:line="366" w:lineRule="exact"/>
        <w:rPr>
          <w:rFonts w:hAnsi="宋体" w:cs="宋体"/>
          <w:u w:val="single"/>
        </w:rPr>
      </w:pPr>
    </w:p>
    <w:p>
      <w:pPr>
        <w:spacing w:line="366" w:lineRule="exact"/>
        <w:rPr>
          <w:rFonts w:hAnsi="宋体" w:cs="宋体"/>
          <w:u w:val="single"/>
        </w:rPr>
      </w:pPr>
    </w:p>
    <w:p>
      <w:pPr>
        <w:spacing w:line="366" w:lineRule="exact"/>
        <w:rPr>
          <w:rFonts w:hAnsi="宋体" w:cs="宋体"/>
          <w:u w:val="single"/>
        </w:rPr>
      </w:pPr>
    </w:p>
    <w:p>
      <w:pPr>
        <w:spacing w:line="366" w:lineRule="exact"/>
        <w:rPr>
          <w:rFonts w:hAnsi="宋体" w:cs="宋体"/>
          <w:u w:val="single"/>
        </w:rPr>
      </w:pPr>
    </w:p>
    <w:p>
      <w:pPr>
        <w:spacing w:line="366" w:lineRule="exact"/>
        <w:rPr>
          <w:rFonts w:hAnsi="宋体" w:cs="宋体"/>
          <w:u w:val="single"/>
        </w:rPr>
      </w:pPr>
    </w:p>
    <w:p>
      <w:pPr>
        <w:spacing w:line="366" w:lineRule="exact"/>
        <w:rPr>
          <w:rFonts w:hAnsi="宋体" w:cs="宋体"/>
          <w:u w:val="single"/>
        </w:rPr>
      </w:pPr>
    </w:p>
    <w:p>
      <w:pPr>
        <w:spacing w:line="366" w:lineRule="exact"/>
        <w:rPr>
          <w:rFonts w:hAnsi="宋体" w:cs="宋体"/>
          <w:u w:val="single"/>
        </w:rPr>
      </w:pPr>
    </w:p>
    <w:p>
      <w:pPr>
        <w:spacing w:line="366" w:lineRule="exact"/>
        <w:rPr>
          <w:rFonts w:hAnsi="宋体" w:cs="宋体"/>
          <w:u w:val="single"/>
        </w:rPr>
      </w:pPr>
    </w:p>
    <w:p>
      <w:pPr>
        <w:spacing w:line="366" w:lineRule="exact"/>
        <w:rPr>
          <w:rFonts w:hAnsi="宋体" w:cs="宋体"/>
          <w:u w:val="single"/>
        </w:rPr>
      </w:pPr>
    </w:p>
    <w:p>
      <w:pPr>
        <w:spacing w:line="366" w:lineRule="exact"/>
        <w:rPr>
          <w:rFonts w:hAnsi="宋体" w:cs="宋体"/>
          <w:u w:val="single"/>
        </w:rPr>
      </w:pPr>
    </w:p>
    <w:p>
      <w:pPr>
        <w:spacing w:line="120" w:lineRule="exact"/>
        <w:rPr>
          <w:sz w:val="20"/>
          <w:szCs w:val="20"/>
        </w:rPr>
      </w:pPr>
    </w:p>
    <w:p>
      <w:pPr>
        <w:spacing w:line="120" w:lineRule="exact"/>
        <w:rPr>
          <w:sz w:val="20"/>
          <w:szCs w:val="20"/>
        </w:rPr>
      </w:pPr>
    </w:p>
    <w:p>
      <w:pPr>
        <w:spacing w:line="366" w:lineRule="exact"/>
        <w:rPr>
          <w:rFonts w:ascii="宋体" w:hAnsi="宋体" w:eastAsia="宋体" w:cs="宋体"/>
          <w:b/>
          <w:bCs/>
          <w:sz w:val="28"/>
          <w:szCs w:val="28"/>
        </w:rPr>
      </w:pPr>
      <w:r>
        <w:rPr>
          <w:rFonts w:hint="eastAsia" w:ascii="宋体" w:hAnsi="宋体" w:eastAsia="宋体" w:cs="宋体"/>
          <w:b/>
          <w:bCs/>
          <w:sz w:val="28"/>
          <w:szCs w:val="28"/>
        </w:rPr>
        <w:t>9</w:t>
      </w:r>
      <w:r>
        <w:rPr>
          <w:rFonts w:ascii="宋体" w:hAnsi="宋体" w:eastAsia="宋体" w:cs="宋体"/>
          <w:b/>
          <w:bCs/>
          <w:sz w:val="32"/>
          <w:szCs w:val="32"/>
        </w:rPr>
        <w:t>、</w:t>
      </w:r>
      <w:r>
        <w:rPr>
          <w:rFonts w:hint="eastAsia" w:ascii="宋体" w:hAnsi="宋体" w:eastAsia="宋体" w:cs="宋体"/>
          <w:b/>
          <w:bCs/>
          <w:sz w:val="28"/>
          <w:szCs w:val="28"/>
        </w:rPr>
        <w:t>实施方案（供应商根据服务需求自行编写）（如有，请提供）；</w:t>
      </w: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napToGrid w:val="0"/>
        <w:spacing w:line="400" w:lineRule="exact"/>
        <w:ind w:firstLine="2640" w:firstLineChars="1200"/>
        <w:jc w:val="center"/>
        <w:outlineLvl w:val="4"/>
        <w:rPr>
          <w:rFonts w:ascii="宋体" w:hAnsi="宋体" w:cs="宋体"/>
          <w:szCs w:val="21"/>
        </w:rPr>
      </w:pPr>
    </w:p>
    <w:p>
      <w:pPr>
        <w:snapToGrid w:val="0"/>
        <w:spacing w:line="400" w:lineRule="exact"/>
        <w:ind w:firstLine="2640" w:firstLineChars="1200"/>
        <w:jc w:val="center"/>
        <w:outlineLvl w:val="4"/>
        <w:rPr>
          <w:rFonts w:ascii="宋体" w:hAnsi="宋体" w:cs="宋体"/>
          <w:szCs w:val="21"/>
        </w:rPr>
      </w:pPr>
    </w:p>
    <w:p>
      <w:pPr>
        <w:snapToGrid w:val="0"/>
        <w:spacing w:line="400" w:lineRule="exact"/>
        <w:ind w:firstLine="2640" w:firstLineChars="1200"/>
        <w:jc w:val="center"/>
        <w:outlineLvl w:val="4"/>
        <w:rPr>
          <w:rFonts w:ascii="宋体" w:hAnsi="宋体" w:cs="宋体"/>
          <w:szCs w:val="21"/>
          <w:u w:val="single"/>
        </w:rPr>
      </w:pPr>
      <w:r>
        <w:rPr>
          <w:rFonts w:hint="eastAsia" w:ascii="宋体" w:hAnsi="宋体" w:cs="宋体"/>
          <w:szCs w:val="21"/>
        </w:rPr>
        <w:t>供应商（公章，自然人除外）：</w:t>
      </w:r>
    </w:p>
    <w:p>
      <w:pPr>
        <w:snapToGrid w:val="0"/>
        <w:spacing w:line="400" w:lineRule="exact"/>
        <w:ind w:firstLine="420"/>
        <w:jc w:val="right"/>
        <w:outlineLvl w:val="4"/>
        <w:rPr>
          <w:rFonts w:ascii="宋体" w:hAnsi="宋体" w:cs="宋体"/>
          <w:szCs w:val="21"/>
        </w:rPr>
      </w:pPr>
    </w:p>
    <w:p>
      <w:pPr>
        <w:pStyle w:val="6"/>
        <w:spacing w:line="400" w:lineRule="exact"/>
        <w:ind w:firstLine="2640" w:firstLineChars="1200"/>
        <w:jc w:val="right"/>
        <w:rPr>
          <w:rFonts w:hAnsi="宋体" w:cs="宋体"/>
        </w:rPr>
      </w:pPr>
      <w:r>
        <w:rPr>
          <w:rFonts w:hint="eastAsia" w:hAnsi="宋体" w:cs="宋体"/>
        </w:rPr>
        <w:t>法定代表人、负责人、自然人或相应的委托代理人签字（或盖章）</w:t>
      </w:r>
    </w:p>
    <w:p>
      <w:pPr>
        <w:pStyle w:val="6"/>
        <w:spacing w:line="400" w:lineRule="exact"/>
        <w:ind w:firstLine="2420" w:firstLineChars="1100"/>
        <w:jc w:val="right"/>
        <w:rPr>
          <w:rFonts w:hAnsi="宋体" w:cs="宋体"/>
          <w:szCs w:val="21"/>
          <w:u w:val="single"/>
        </w:rPr>
      </w:pPr>
      <w:r>
        <w:rPr>
          <w:rFonts w:hint="eastAsia" w:hAnsi="宋体" w:cs="宋体"/>
        </w:rPr>
        <w:t>（属自然人的应在签名处加盖大拇指指印）：</w:t>
      </w:r>
    </w:p>
    <w:p>
      <w:pPr>
        <w:pStyle w:val="6"/>
        <w:spacing w:line="400" w:lineRule="exact"/>
        <w:ind w:left="3740" w:leftChars="1700"/>
        <w:jc w:val="right"/>
        <w:rPr>
          <w:rFonts w:hAnsi="宋体" w:cs="宋体"/>
          <w:u w:val="single"/>
        </w:rPr>
      </w:pPr>
    </w:p>
    <w:p>
      <w:pPr>
        <w:spacing w:line="366" w:lineRule="exact"/>
        <w:jc w:val="center"/>
        <w:rPr>
          <w:rFonts w:hAnsi="宋体" w:cs="宋体"/>
          <w:u w:val="single"/>
        </w:rPr>
      </w:pPr>
      <w:r>
        <w:rPr>
          <w:rFonts w:hint="eastAsia" w:hAnsi="宋体" w:cs="宋体"/>
        </w:rPr>
        <w:t>日          期：</w:t>
      </w: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240" w:lineRule="exact"/>
        <w:ind w:left="420"/>
        <w:rPr>
          <w:rFonts w:ascii="宋体" w:hAnsi="宋体" w:eastAsia="宋体" w:cs="宋体"/>
          <w:sz w:val="21"/>
          <w:szCs w:val="21"/>
        </w:rPr>
      </w:pPr>
    </w:p>
    <w:p>
      <w:pPr>
        <w:spacing w:line="366" w:lineRule="exact"/>
        <w:rPr>
          <w:rFonts w:ascii="宋体" w:hAnsi="宋体" w:eastAsia="宋体" w:cs="宋体"/>
          <w:b/>
          <w:bCs/>
          <w:sz w:val="28"/>
          <w:szCs w:val="28"/>
        </w:rPr>
      </w:pPr>
      <w:r>
        <w:rPr>
          <w:rFonts w:hint="eastAsia" w:ascii="宋体" w:hAnsi="宋体" w:eastAsia="宋体" w:cs="宋体"/>
          <w:b/>
          <w:bCs/>
          <w:sz w:val="28"/>
          <w:szCs w:val="28"/>
        </w:rPr>
        <w:t>10</w:t>
      </w:r>
      <w:r>
        <w:rPr>
          <w:rFonts w:ascii="宋体" w:hAnsi="宋体" w:eastAsia="宋体" w:cs="宋体"/>
          <w:b/>
          <w:bCs/>
          <w:sz w:val="32"/>
          <w:szCs w:val="32"/>
        </w:rPr>
        <w:t>、</w:t>
      </w:r>
      <w:r>
        <w:rPr>
          <w:rFonts w:hint="eastAsia" w:ascii="宋体" w:hAnsi="宋体" w:eastAsia="宋体" w:cs="宋体"/>
          <w:b/>
          <w:bCs/>
          <w:sz w:val="28"/>
          <w:szCs w:val="28"/>
        </w:rPr>
        <w:t>第三方检验（测）机构出具的检验（测）报告（如有，请提供）；</w:t>
      </w: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r>
        <w:rPr>
          <w:rFonts w:hint="eastAsia" w:ascii="宋体" w:hAnsi="宋体" w:eastAsia="宋体" w:cs="宋体"/>
          <w:b/>
          <w:bCs/>
          <w:sz w:val="28"/>
          <w:szCs w:val="28"/>
        </w:rPr>
        <w:t>11</w:t>
      </w:r>
      <w:r>
        <w:rPr>
          <w:rFonts w:ascii="宋体" w:hAnsi="宋体" w:eastAsia="宋体" w:cs="宋体"/>
          <w:b/>
          <w:bCs/>
          <w:sz w:val="32"/>
          <w:szCs w:val="32"/>
        </w:rPr>
        <w:t>、</w:t>
      </w:r>
      <w:r>
        <w:rPr>
          <w:rFonts w:hint="eastAsia" w:ascii="宋体" w:hAnsi="宋体" w:eastAsia="宋体" w:cs="宋体"/>
          <w:b/>
          <w:bCs/>
          <w:sz w:val="28"/>
          <w:szCs w:val="28"/>
        </w:rPr>
        <w:t>售后服务方案（如有，请提供）；</w:t>
      </w: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r>
        <w:rPr>
          <w:rFonts w:hint="eastAsia" w:ascii="宋体" w:hAnsi="宋体" w:eastAsia="宋体" w:cs="宋体"/>
          <w:b/>
          <w:bCs/>
          <w:sz w:val="28"/>
          <w:szCs w:val="28"/>
        </w:rPr>
        <w:t>12</w:t>
      </w:r>
      <w:r>
        <w:rPr>
          <w:rFonts w:ascii="宋体" w:hAnsi="宋体" w:eastAsia="宋体" w:cs="宋体"/>
          <w:b/>
          <w:bCs/>
          <w:sz w:val="32"/>
          <w:szCs w:val="32"/>
        </w:rPr>
        <w:t>、</w:t>
      </w:r>
      <w:r>
        <w:rPr>
          <w:rFonts w:hint="eastAsia" w:ascii="宋体" w:hAnsi="宋体" w:eastAsia="宋体" w:cs="宋体"/>
          <w:b/>
          <w:bCs/>
          <w:sz w:val="28"/>
          <w:szCs w:val="28"/>
        </w:rPr>
        <w:t>应急保障方案（供应商根据服务需求自行编写）（如有，请提供）；</w:t>
      </w: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napToGrid w:val="0"/>
        <w:spacing w:line="400" w:lineRule="exact"/>
        <w:ind w:firstLine="2640" w:firstLineChars="1200"/>
        <w:jc w:val="center"/>
        <w:outlineLvl w:val="4"/>
        <w:rPr>
          <w:rFonts w:ascii="宋体" w:hAnsi="宋体" w:cs="宋体"/>
          <w:szCs w:val="21"/>
          <w:u w:val="single"/>
        </w:rPr>
      </w:pPr>
      <w:r>
        <w:rPr>
          <w:rFonts w:hint="eastAsia" w:ascii="宋体" w:hAnsi="宋体" w:cs="宋体"/>
          <w:szCs w:val="21"/>
        </w:rPr>
        <w:t>供应商（公章，自然人除外）：</w:t>
      </w:r>
    </w:p>
    <w:p>
      <w:pPr>
        <w:snapToGrid w:val="0"/>
        <w:spacing w:line="400" w:lineRule="exact"/>
        <w:ind w:firstLine="420"/>
        <w:jc w:val="right"/>
        <w:outlineLvl w:val="4"/>
        <w:rPr>
          <w:rFonts w:ascii="宋体" w:hAnsi="宋体" w:cs="宋体"/>
          <w:szCs w:val="21"/>
        </w:rPr>
      </w:pPr>
    </w:p>
    <w:p>
      <w:pPr>
        <w:pStyle w:val="6"/>
        <w:spacing w:line="400" w:lineRule="exact"/>
        <w:ind w:firstLine="2640" w:firstLineChars="1200"/>
        <w:jc w:val="right"/>
        <w:rPr>
          <w:rFonts w:hAnsi="宋体" w:cs="宋体"/>
        </w:rPr>
      </w:pPr>
      <w:r>
        <w:rPr>
          <w:rFonts w:hint="eastAsia" w:hAnsi="宋体" w:cs="宋体"/>
        </w:rPr>
        <w:t>法定代表人、负责人、自然人或相应的委托代理人签字（或盖章）</w:t>
      </w:r>
    </w:p>
    <w:p>
      <w:pPr>
        <w:pStyle w:val="6"/>
        <w:spacing w:line="400" w:lineRule="exact"/>
        <w:ind w:firstLine="2420" w:firstLineChars="1100"/>
        <w:jc w:val="right"/>
        <w:rPr>
          <w:rFonts w:hAnsi="宋体" w:cs="宋体"/>
          <w:szCs w:val="21"/>
          <w:u w:val="single"/>
        </w:rPr>
      </w:pPr>
      <w:r>
        <w:rPr>
          <w:rFonts w:hint="eastAsia" w:hAnsi="宋体" w:cs="宋体"/>
        </w:rPr>
        <w:t>（属自然人的应在签名处加盖大拇指指印）：</w:t>
      </w:r>
    </w:p>
    <w:p>
      <w:pPr>
        <w:pStyle w:val="6"/>
        <w:spacing w:line="400" w:lineRule="exact"/>
        <w:ind w:left="3740" w:leftChars="1700"/>
        <w:jc w:val="right"/>
        <w:rPr>
          <w:rFonts w:hAnsi="宋体" w:cs="宋体"/>
          <w:u w:val="single"/>
        </w:rPr>
      </w:pPr>
    </w:p>
    <w:p>
      <w:pPr>
        <w:spacing w:line="366" w:lineRule="exact"/>
        <w:ind w:firstLine="4180" w:firstLineChars="1900"/>
        <w:rPr>
          <w:rFonts w:ascii="宋体" w:hAnsi="宋体" w:eastAsia="宋体" w:cs="宋体"/>
          <w:b/>
          <w:bCs/>
          <w:sz w:val="28"/>
          <w:szCs w:val="28"/>
        </w:rPr>
      </w:pPr>
      <w:r>
        <w:rPr>
          <w:rFonts w:hint="eastAsia" w:hAnsi="宋体" w:cs="宋体"/>
        </w:rPr>
        <w:t>日          期：</w:t>
      </w: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r>
        <w:rPr>
          <w:rFonts w:hint="eastAsia" w:ascii="宋体" w:hAnsi="宋体" w:eastAsia="宋体" w:cs="宋体"/>
          <w:b/>
          <w:bCs/>
          <w:sz w:val="28"/>
          <w:szCs w:val="28"/>
        </w:rPr>
        <w:t>13</w:t>
      </w:r>
      <w:r>
        <w:rPr>
          <w:rFonts w:ascii="宋体" w:hAnsi="宋体" w:eastAsia="宋体" w:cs="宋体"/>
          <w:b/>
          <w:bCs/>
          <w:sz w:val="32"/>
          <w:szCs w:val="32"/>
        </w:rPr>
        <w:t>、</w:t>
      </w:r>
      <w:r>
        <w:rPr>
          <w:rFonts w:hint="eastAsia" w:ascii="宋体" w:hAnsi="宋体" w:eastAsia="宋体" w:cs="宋体"/>
          <w:b/>
          <w:bCs/>
          <w:sz w:val="28"/>
          <w:szCs w:val="28"/>
        </w:rPr>
        <w:t>供应商业绩及企业信誉（如有，请提供）；</w:t>
      </w:r>
    </w:p>
    <w:p>
      <w:pPr>
        <w:snapToGrid w:val="0"/>
        <w:spacing w:line="400" w:lineRule="exact"/>
        <w:ind w:firstLine="2640" w:firstLineChars="1200"/>
        <w:jc w:val="center"/>
        <w:outlineLvl w:val="4"/>
        <w:rPr>
          <w:rFonts w:ascii="宋体" w:hAnsi="宋体" w:cs="宋体"/>
          <w:szCs w:val="21"/>
        </w:rPr>
      </w:pPr>
    </w:p>
    <w:p>
      <w:pPr>
        <w:snapToGrid w:val="0"/>
        <w:spacing w:line="400" w:lineRule="exact"/>
        <w:ind w:firstLine="2640" w:firstLineChars="1200"/>
        <w:jc w:val="center"/>
        <w:outlineLvl w:val="4"/>
        <w:rPr>
          <w:rFonts w:ascii="宋体" w:hAnsi="宋体" w:cs="宋体"/>
          <w:szCs w:val="21"/>
        </w:rPr>
      </w:pPr>
    </w:p>
    <w:p>
      <w:pPr>
        <w:snapToGrid w:val="0"/>
        <w:spacing w:line="400" w:lineRule="exact"/>
        <w:ind w:firstLine="2640" w:firstLineChars="1200"/>
        <w:jc w:val="center"/>
        <w:outlineLvl w:val="4"/>
        <w:rPr>
          <w:rFonts w:ascii="宋体" w:hAnsi="宋体" w:cs="宋体"/>
          <w:szCs w:val="21"/>
        </w:rPr>
      </w:pPr>
    </w:p>
    <w:p>
      <w:pPr>
        <w:snapToGrid w:val="0"/>
        <w:spacing w:line="400" w:lineRule="exact"/>
        <w:ind w:firstLine="2640" w:firstLineChars="1200"/>
        <w:jc w:val="center"/>
        <w:outlineLvl w:val="4"/>
        <w:rPr>
          <w:rFonts w:ascii="宋体" w:hAnsi="宋体" w:cs="宋体"/>
          <w:szCs w:val="21"/>
        </w:rPr>
      </w:pPr>
    </w:p>
    <w:p>
      <w:pPr>
        <w:snapToGrid w:val="0"/>
        <w:spacing w:line="400" w:lineRule="exact"/>
        <w:ind w:firstLine="2640" w:firstLineChars="1200"/>
        <w:jc w:val="center"/>
        <w:outlineLvl w:val="4"/>
        <w:rPr>
          <w:rFonts w:ascii="宋体" w:hAnsi="宋体" w:cs="宋体"/>
          <w:szCs w:val="21"/>
          <w:u w:val="single"/>
        </w:rPr>
      </w:pPr>
      <w:r>
        <w:rPr>
          <w:rFonts w:hint="eastAsia" w:ascii="宋体" w:hAnsi="宋体" w:cs="宋体"/>
          <w:szCs w:val="21"/>
        </w:rPr>
        <w:t>供应商（公章，自然人除外）：</w:t>
      </w:r>
    </w:p>
    <w:p>
      <w:pPr>
        <w:snapToGrid w:val="0"/>
        <w:spacing w:line="400" w:lineRule="exact"/>
        <w:ind w:firstLine="420"/>
        <w:jc w:val="right"/>
        <w:outlineLvl w:val="4"/>
        <w:rPr>
          <w:rFonts w:ascii="宋体" w:hAnsi="宋体" w:cs="宋体"/>
          <w:szCs w:val="21"/>
        </w:rPr>
      </w:pPr>
    </w:p>
    <w:p>
      <w:pPr>
        <w:pStyle w:val="6"/>
        <w:spacing w:line="400" w:lineRule="exact"/>
        <w:ind w:firstLine="2640" w:firstLineChars="1200"/>
        <w:jc w:val="right"/>
        <w:rPr>
          <w:rFonts w:hAnsi="宋体" w:cs="宋体"/>
        </w:rPr>
      </w:pPr>
      <w:r>
        <w:rPr>
          <w:rFonts w:hint="eastAsia" w:hAnsi="宋体" w:cs="宋体"/>
        </w:rPr>
        <w:t>法定代表人、负责人、自然人或相应的委托代理人签字（或盖章）</w:t>
      </w:r>
    </w:p>
    <w:p>
      <w:pPr>
        <w:pStyle w:val="6"/>
        <w:spacing w:line="400" w:lineRule="exact"/>
        <w:ind w:firstLine="2420" w:firstLineChars="1100"/>
        <w:jc w:val="right"/>
        <w:rPr>
          <w:rFonts w:hAnsi="宋体" w:cs="宋体"/>
          <w:szCs w:val="21"/>
          <w:u w:val="single"/>
        </w:rPr>
      </w:pPr>
      <w:r>
        <w:rPr>
          <w:rFonts w:hint="eastAsia" w:hAnsi="宋体" w:cs="宋体"/>
        </w:rPr>
        <w:t>（属自然人的应在签名处加盖大拇指指印）：</w:t>
      </w:r>
    </w:p>
    <w:p>
      <w:pPr>
        <w:pStyle w:val="6"/>
        <w:spacing w:line="400" w:lineRule="exact"/>
        <w:ind w:left="3740" w:leftChars="1700"/>
        <w:jc w:val="right"/>
        <w:rPr>
          <w:rFonts w:hAnsi="宋体" w:cs="宋体"/>
          <w:u w:val="single"/>
        </w:rPr>
      </w:pPr>
    </w:p>
    <w:p>
      <w:pPr>
        <w:spacing w:line="366" w:lineRule="exact"/>
        <w:ind w:firstLine="4180" w:firstLineChars="1900"/>
        <w:rPr>
          <w:rFonts w:ascii="宋体" w:hAnsi="宋体" w:eastAsia="宋体" w:cs="宋体"/>
          <w:b/>
          <w:bCs/>
          <w:sz w:val="28"/>
          <w:szCs w:val="28"/>
        </w:rPr>
      </w:pPr>
      <w:r>
        <w:rPr>
          <w:rFonts w:hint="eastAsia" w:hAnsi="宋体" w:cs="宋体"/>
        </w:rPr>
        <w:t>日          期：</w:t>
      </w: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ind w:left="220"/>
        <w:rPr>
          <w:rFonts w:ascii="宋体" w:hAnsi="宋体" w:eastAsia="宋体" w:cs="宋体"/>
          <w:b/>
          <w:bCs/>
          <w:sz w:val="28"/>
          <w:szCs w:val="28"/>
        </w:rPr>
      </w:pPr>
      <w:r>
        <w:rPr>
          <w:rFonts w:hint="eastAsia" w:ascii="宋体" w:hAnsi="宋体" w:eastAsia="宋体" w:cs="宋体"/>
          <w:b/>
          <w:bCs/>
          <w:sz w:val="28"/>
          <w:szCs w:val="28"/>
        </w:rPr>
        <w:t>14</w:t>
      </w:r>
      <w:r>
        <w:rPr>
          <w:rFonts w:ascii="宋体" w:hAnsi="宋体" w:eastAsia="宋体" w:cs="宋体"/>
          <w:b/>
          <w:bCs/>
          <w:sz w:val="32"/>
          <w:szCs w:val="32"/>
        </w:rPr>
        <w:t>、</w:t>
      </w:r>
      <w:r>
        <w:rPr>
          <w:rFonts w:hint="eastAsia" w:ascii="宋体" w:hAnsi="宋体" w:eastAsia="宋体" w:cs="宋体"/>
          <w:b/>
          <w:bCs/>
          <w:sz w:val="28"/>
          <w:szCs w:val="28"/>
        </w:rPr>
        <w:t>“采购需求”需提供的有效证明文件（如有，请提供）；</w:t>
      </w: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240" w:lineRule="exact"/>
        <w:ind w:left="420"/>
        <w:rPr>
          <w:rFonts w:ascii="宋体" w:hAnsi="宋体" w:eastAsia="宋体" w:cs="宋体"/>
          <w:sz w:val="21"/>
          <w:szCs w:val="21"/>
        </w:rPr>
      </w:pPr>
    </w:p>
    <w:p>
      <w:pPr>
        <w:spacing w:line="366" w:lineRule="exact"/>
        <w:ind w:left="220"/>
        <w:rPr>
          <w:rFonts w:ascii="宋体" w:hAnsi="宋体" w:eastAsia="宋体" w:cs="宋体"/>
          <w:b/>
          <w:bCs/>
          <w:sz w:val="28"/>
          <w:szCs w:val="28"/>
        </w:rPr>
      </w:pPr>
      <w:r>
        <w:rPr>
          <w:rFonts w:hint="eastAsia" w:ascii="宋体" w:hAnsi="宋体" w:eastAsia="宋体" w:cs="宋体"/>
          <w:b/>
          <w:bCs/>
          <w:sz w:val="28"/>
          <w:szCs w:val="28"/>
        </w:rPr>
        <w:t>15</w:t>
      </w:r>
      <w:r>
        <w:rPr>
          <w:rFonts w:ascii="宋体" w:hAnsi="宋体" w:eastAsia="宋体" w:cs="宋体"/>
          <w:b/>
          <w:bCs/>
          <w:sz w:val="32"/>
          <w:szCs w:val="32"/>
        </w:rPr>
        <w:t>、</w:t>
      </w:r>
      <w:r>
        <w:rPr>
          <w:rFonts w:hint="eastAsia" w:ascii="宋体" w:hAnsi="宋体" w:eastAsia="宋体" w:cs="宋体"/>
          <w:b/>
          <w:bCs/>
          <w:sz w:val="28"/>
          <w:szCs w:val="28"/>
        </w:rPr>
        <w:t>供应商2018年以来通过中介审计的有效完整的财务审计报告复印件（如有，请提供）；</w:t>
      </w:r>
    </w:p>
    <w:p>
      <w:pPr>
        <w:spacing w:line="240" w:lineRule="exact"/>
        <w:ind w:left="420"/>
        <w:rPr>
          <w:rFonts w:ascii="宋体" w:hAnsi="宋体" w:eastAsia="宋体" w:cs="宋体"/>
          <w:sz w:val="21"/>
          <w:szCs w:val="21"/>
        </w:rPr>
      </w:pPr>
    </w:p>
    <w:p>
      <w:pPr>
        <w:spacing w:line="240" w:lineRule="exact"/>
        <w:ind w:left="420"/>
        <w:rPr>
          <w:rFonts w:ascii="宋体" w:hAnsi="宋体" w:eastAsia="宋体" w:cs="宋体"/>
          <w:sz w:val="21"/>
          <w:szCs w:val="21"/>
        </w:rPr>
      </w:pPr>
    </w:p>
    <w:p>
      <w:pPr>
        <w:spacing w:line="240" w:lineRule="exact"/>
        <w:ind w:left="420"/>
        <w:rPr>
          <w:rFonts w:ascii="宋体" w:hAnsi="宋体" w:eastAsia="宋体" w:cs="宋体"/>
          <w:sz w:val="21"/>
          <w:szCs w:val="21"/>
        </w:rPr>
      </w:pPr>
    </w:p>
    <w:p>
      <w:pPr>
        <w:pStyle w:val="4"/>
        <w:rPr>
          <w:rFonts w:ascii="宋体" w:hAnsi="宋体" w:eastAsia="宋体" w:cs="宋体"/>
          <w:sz w:val="21"/>
          <w:szCs w:val="21"/>
        </w:rPr>
      </w:pPr>
    </w:p>
    <w:p/>
    <w:p>
      <w:pPr>
        <w:spacing w:line="240" w:lineRule="exact"/>
        <w:ind w:left="420"/>
        <w:rPr>
          <w:rFonts w:ascii="宋体" w:hAnsi="宋体" w:eastAsia="宋体" w:cs="宋体"/>
          <w:sz w:val="21"/>
          <w:szCs w:val="21"/>
        </w:rPr>
      </w:pPr>
    </w:p>
    <w:p>
      <w:pPr>
        <w:spacing w:line="366" w:lineRule="exact"/>
        <w:ind w:left="220"/>
        <w:rPr>
          <w:rFonts w:ascii="宋体" w:hAnsi="宋体" w:eastAsia="宋体" w:cs="宋体"/>
          <w:b/>
          <w:bCs/>
          <w:sz w:val="28"/>
          <w:szCs w:val="28"/>
        </w:rPr>
      </w:pPr>
      <w:r>
        <w:rPr>
          <w:rFonts w:hint="eastAsia" w:ascii="宋体" w:hAnsi="宋体" w:eastAsia="宋体" w:cs="宋体"/>
          <w:b/>
          <w:bCs/>
          <w:sz w:val="28"/>
          <w:szCs w:val="28"/>
        </w:rPr>
        <w:t>16</w:t>
      </w:r>
      <w:r>
        <w:rPr>
          <w:rFonts w:ascii="宋体" w:hAnsi="宋体" w:eastAsia="宋体" w:cs="宋体"/>
          <w:b/>
          <w:bCs/>
          <w:sz w:val="32"/>
          <w:szCs w:val="32"/>
        </w:rPr>
        <w:t>、</w:t>
      </w:r>
      <w:r>
        <w:rPr>
          <w:rFonts w:hint="eastAsia" w:ascii="宋体" w:hAnsi="宋体" w:eastAsia="宋体" w:cs="宋体"/>
          <w:b/>
          <w:bCs/>
          <w:sz w:val="28"/>
          <w:szCs w:val="28"/>
        </w:rPr>
        <w:t>供应商相关获奖证书、认证证书等复印件（如有，请提供）；</w:t>
      </w: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pStyle w:val="4"/>
      </w:pPr>
    </w:p>
    <w:p>
      <w:pPr>
        <w:spacing w:line="240" w:lineRule="exact"/>
        <w:ind w:left="420"/>
        <w:rPr>
          <w:rFonts w:ascii="宋体" w:hAnsi="宋体" w:eastAsia="宋体" w:cs="宋体"/>
          <w:sz w:val="21"/>
          <w:szCs w:val="21"/>
        </w:rPr>
      </w:pPr>
    </w:p>
    <w:p>
      <w:pPr>
        <w:spacing w:line="366" w:lineRule="exact"/>
        <w:ind w:left="220"/>
        <w:rPr>
          <w:rFonts w:ascii="宋体" w:hAnsi="宋体" w:eastAsia="宋体" w:cs="宋体"/>
          <w:b/>
          <w:bCs/>
          <w:sz w:val="28"/>
          <w:szCs w:val="28"/>
        </w:rPr>
      </w:pPr>
      <w:r>
        <w:rPr>
          <w:rFonts w:hint="eastAsia" w:ascii="宋体" w:hAnsi="宋体" w:eastAsia="宋体" w:cs="宋体"/>
          <w:b/>
          <w:bCs/>
          <w:sz w:val="28"/>
          <w:szCs w:val="28"/>
        </w:rPr>
        <w:t>17</w:t>
      </w:r>
      <w:r>
        <w:rPr>
          <w:rFonts w:ascii="宋体" w:hAnsi="宋体" w:eastAsia="宋体" w:cs="宋体"/>
          <w:b/>
          <w:bCs/>
          <w:sz w:val="32"/>
          <w:szCs w:val="32"/>
        </w:rPr>
        <w:t>、</w:t>
      </w:r>
      <w:r>
        <w:rPr>
          <w:rFonts w:hint="eastAsia" w:ascii="宋体" w:hAnsi="宋体" w:eastAsia="宋体" w:cs="宋体"/>
          <w:b/>
          <w:bCs/>
          <w:sz w:val="28"/>
          <w:szCs w:val="28"/>
        </w:rPr>
        <w:t>如产品属于小型、微型企业、监狱企业的，以提供工商注册地的工业和信息化部门等其他行政部门出具的相关证明材料为准（如有，请提供）；</w:t>
      </w: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500" w:lineRule="exact"/>
        <w:rPr>
          <w:rFonts w:ascii="宋体" w:hAnsi="宋体" w:cs="宋体"/>
          <w:b/>
          <w:bCs/>
          <w:sz w:val="32"/>
          <w:szCs w:val="32"/>
        </w:rPr>
      </w:pPr>
      <w:r>
        <w:rPr>
          <w:rFonts w:hint="eastAsia" w:ascii="宋体" w:hAnsi="宋体" w:cs="宋体"/>
          <w:b/>
          <w:bCs/>
          <w:sz w:val="32"/>
          <w:szCs w:val="32"/>
        </w:rPr>
        <w:t>18</w:t>
      </w:r>
      <w:r>
        <w:rPr>
          <w:rFonts w:ascii="宋体" w:hAnsi="宋体" w:eastAsia="宋体" w:cs="宋体"/>
          <w:b/>
          <w:bCs/>
          <w:sz w:val="32"/>
          <w:szCs w:val="32"/>
        </w:rPr>
        <w:t>、</w:t>
      </w:r>
      <w:r>
        <w:rPr>
          <w:rFonts w:hint="eastAsia" w:ascii="宋体" w:hAnsi="宋体" w:cs="宋体"/>
          <w:b/>
          <w:bCs/>
          <w:sz w:val="32"/>
          <w:szCs w:val="32"/>
        </w:rPr>
        <w:t>符合条件的残疾人福利性单位在参加政府采购活动时，应当提供《残疾人福利性单位声明函》（见附件），并对声明的真实性负责。</w:t>
      </w:r>
    </w:p>
    <w:p>
      <w:pPr>
        <w:spacing w:line="588" w:lineRule="exact"/>
        <w:jc w:val="center"/>
        <w:rPr>
          <w:rFonts w:ascii="宋体" w:hAnsi="宋体" w:cs="宋体"/>
          <w:b/>
          <w:spacing w:val="6"/>
          <w:sz w:val="32"/>
          <w:szCs w:val="32"/>
        </w:rPr>
      </w:pPr>
      <w:bookmarkStart w:id="63" w:name="OLE_LINK14"/>
      <w:bookmarkStart w:id="64" w:name="OLE_LINK13"/>
      <w:r>
        <w:rPr>
          <w:rFonts w:hint="eastAsia" w:ascii="宋体" w:hAnsi="宋体" w:cs="宋体"/>
          <w:b/>
          <w:spacing w:val="6"/>
          <w:sz w:val="32"/>
          <w:szCs w:val="32"/>
        </w:rPr>
        <w:t>残疾人福利性单位声明函</w:t>
      </w:r>
    </w:p>
    <w:bookmarkEnd w:id="63"/>
    <w:bookmarkEnd w:id="64"/>
    <w:p>
      <w:pPr>
        <w:spacing w:line="588" w:lineRule="exact"/>
        <w:rPr>
          <w:rFonts w:ascii="宋体" w:hAnsi="宋体" w:cs="宋体"/>
          <w:b/>
          <w:spacing w:val="6"/>
          <w:sz w:val="30"/>
          <w:szCs w:val="30"/>
        </w:rPr>
      </w:pPr>
    </w:p>
    <w:p>
      <w:pPr>
        <w:spacing w:line="588" w:lineRule="exact"/>
        <w:ind w:firstLine="624" w:firstLineChars="200"/>
        <w:rPr>
          <w:rFonts w:ascii="宋体" w:hAnsi="宋体" w:cs="宋体"/>
          <w:spacing w:val="6"/>
          <w:sz w:val="30"/>
          <w:szCs w:val="30"/>
        </w:rPr>
      </w:pPr>
      <w:r>
        <w:rPr>
          <w:rFonts w:hint="eastAsia" w:ascii="宋体" w:hAnsi="宋体" w:cs="宋体"/>
          <w:spacing w:val="6"/>
          <w:sz w:val="30"/>
          <w:szCs w:val="30"/>
        </w:rPr>
        <w:t>本单位郑重声明，根据《财政部 民政部 中国残疾人联合会关于促进残疾人就业政府采购政策的通知》（财库</w:t>
      </w:r>
      <w:r>
        <w:rPr>
          <w:rFonts w:hint="eastAsia" w:ascii="宋体" w:hAnsi="宋体" w:cs="宋体"/>
          <w:sz w:val="32"/>
          <w:szCs w:val="32"/>
        </w:rPr>
        <w:t>〔2017〕 141</w:t>
      </w:r>
      <w:r>
        <w:rPr>
          <w:rFonts w:hint="eastAsia" w:ascii="宋体" w:hAnsi="宋体" w:cs="宋体"/>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宋体" w:hAnsi="宋体" w:cs="宋体"/>
          <w:spacing w:val="6"/>
          <w:sz w:val="30"/>
          <w:szCs w:val="30"/>
        </w:rPr>
      </w:pPr>
      <w:r>
        <w:rPr>
          <w:rFonts w:hint="eastAsia" w:ascii="宋体" w:hAnsi="宋体" w:cs="宋体"/>
          <w:spacing w:val="6"/>
          <w:sz w:val="30"/>
          <w:szCs w:val="30"/>
        </w:rPr>
        <w:t>本单位对上述声明的真实性负责。如有虚假，将依法承担相应责任。</w:t>
      </w:r>
    </w:p>
    <w:p>
      <w:pPr>
        <w:spacing w:line="588" w:lineRule="exact"/>
        <w:ind w:firstLine="624" w:firstLineChars="200"/>
        <w:rPr>
          <w:rFonts w:ascii="宋体" w:hAnsi="宋体" w:cs="宋体"/>
          <w:spacing w:val="6"/>
          <w:sz w:val="30"/>
          <w:szCs w:val="30"/>
        </w:rPr>
      </w:pPr>
    </w:p>
    <w:p>
      <w:pPr>
        <w:spacing w:line="588" w:lineRule="exact"/>
        <w:ind w:firstLine="624" w:firstLineChars="200"/>
        <w:rPr>
          <w:rFonts w:ascii="宋体" w:hAnsi="宋体" w:cs="宋体"/>
          <w:spacing w:val="6"/>
          <w:sz w:val="30"/>
          <w:szCs w:val="30"/>
        </w:rPr>
      </w:pPr>
    </w:p>
    <w:p>
      <w:pPr>
        <w:tabs>
          <w:tab w:val="left" w:pos="4860"/>
        </w:tabs>
        <w:spacing w:line="588" w:lineRule="exact"/>
        <w:ind w:right="1560" w:firstLine="624" w:firstLineChars="200"/>
        <w:jc w:val="right"/>
        <w:rPr>
          <w:rFonts w:ascii="宋体" w:hAnsi="宋体" w:cs="宋体"/>
          <w:spacing w:val="6"/>
          <w:sz w:val="30"/>
          <w:szCs w:val="30"/>
        </w:rPr>
      </w:pPr>
      <w:r>
        <w:rPr>
          <w:rFonts w:hint="eastAsia" w:ascii="宋体" w:hAnsi="宋体" w:cs="宋体"/>
          <w:spacing w:val="6"/>
          <w:sz w:val="30"/>
          <w:szCs w:val="30"/>
        </w:rPr>
        <w:t>单位名称（盖章）：</w:t>
      </w:r>
    </w:p>
    <w:p>
      <w:pPr>
        <w:spacing w:line="372" w:lineRule="exact"/>
        <w:ind w:left="100" w:firstLine="4992" w:firstLineChars="1600"/>
        <w:jc w:val="both"/>
        <w:rPr>
          <w:sz w:val="20"/>
          <w:szCs w:val="20"/>
        </w:rPr>
      </w:pPr>
      <w:r>
        <w:rPr>
          <w:rFonts w:hint="eastAsia" w:ascii="宋体" w:hAnsi="宋体" w:cs="宋体"/>
          <w:spacing w:val="6"/>
          <w:sz w:val="30"/>
          <w:szCs w:val="30"/>
        </w:rPr>
        <w:t>日  期：</w:t>
      </w: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p>
    <w:p>
      <w:pPr>
        <w:spacing w:line="366" w:lineRule="exact"/>
        <w:rPr>
          <w:rFonts w:ascii="宋体" w:hAnsi="宋体" w:eastAsia="宋体" w:cs="宋体"/>
          <w:b/>
          <w:bCs/>
          <w:sz w:val="28"/>
          <w:szCs w:val="28"/>
        </w:rPr>
      </w:pPr>
      <w:r>
        <w:rPr>
          <w:rFonts w:hint="eastAsia" w:ascii="宋体" w:hAnsi="宋体" w:eastAsia="宋体" w:cs="宋体"/>
          <w:b/>
          <w:bCs/>
          <w:sz w:val="28"/>
          <w:szCs w:val="28"/>
        </w:rPr>
        <w:t>19</w:t>
      </w:r>
      <w:r>
        <w:rPr>
          <w:rFonts w:ascii="宋体" w:hAnsi="宋体" w:eastAsia="宋体" w:cs="宋体"/>
          <w:b/>
          <w:bCs/>
          <w:sz w:val="32"/>
          <w:szCs w:val="32"/>
        </w:rPr>
        <w:t>、</w:t>
      </w:r>
      <w:r>
        <w:rPr>
          <w:rFonts w:hint="eastAsia" w:ascii="宋体" w:hAnsi="宋体" w:eastAsia="宋体" w:cs="宋体"/>
          <w:b/>
          <w:bCs/>
          <w:sz w:val="28"/>
          <w:szCs w:val="28"/>
        </w:rPr>
        <w:t>供应商可结合本项目的评标办法视自身情况自行提交相关证明材料（如有，请提供）。</w:t>
      </w:r>
    </w:p>
    <w:p>
      <w:pPr>
        <w:pStyle w:val="6"/>
        <w:spacing w:line="400" w:lineRule="exact"/>
        <w:ind w:firstLine="3520" w:firstLineChars="1100"/>
        <w:rPr>
          <w:rFonts w:hAnsi="宋体" w:cs="宋体"/>
          <w:sz w:val="32"/>
          <w:szCs w:val="32"/>
        </w:rPr>
      </w:pPr>
    </w:p>
    <w:p>
      <w:pPr>
        <w:pStyle w:val="6"/>
        <w:ind w:firstLine="2400" w:firstLineChars="1200"/>
        <w:rPr>
          <w:sz w:val="20"/>
        </w:rPr>
      </w:pPr>
      <w:bookmarkStart w:id="65" w:name="page34"/>
      <w:bookmarkEnd w:id="65"/>
    </w:p>
    <w:p>
      <w:pPr>
        <w:spacing w:line="200" w:lineRule="exact"/>
        <w:rPr>
          <w:sz w:val="20"/>
          <w:szCs w:val="20"/>
        </w:rPr>
      </w:pPr>
    </w:p>
    <w:p>
      <w:pPr>
        <w:spacing w:line="200" w:lineRule="exact"/>
        <w:rPr>
          <w:sz w:val="20"/>
          <w:szCs w:val="20"/>
        </w:rPr>
      </w:pPr>
    </w:p>
    <w:p>
      <w:pPr>
        <w:spacing w:line="200" w:lineRule="exact"/>
        <w:rPr>
          <w:sz w:val="20"/>
          <w:szCs w:val="20"/>
        </w:rPr>
      </w:pPr>
    </w:p>
    <w:p>
      <w:pPr>
        <w:pStyle w:val="4"/>
      </w:pPr>
    </w:p>
    <w:p>
      <w:pPr>
        <w:spacing w:line="200" w:lineRule="exact"/>
        <w:rPr>
          <w:sz w:val="20"/>
          <w:szCs w:val="20"/>
        </w:rPr>
      </w:pPr>
    </w:p>
    <w:p>
      <w:pPr>
        <w:spacing w:line="200" w:lineRule="exact"/>
        <w:rPr>
          <w:sz w:val="20"/>
          <w:szCs w:val="20"/>
        </w:rPr>
      </w:pPr>
    </w:p>
    <w:p>
      <w:pPr>
        <w:spacing w:line="411" w:lineRule="exact"/>
        <w:rPr>
          <w:sz w:val="20"/>
          <w:szCs w:val="20"/>
        </w:rPr>
      </w:pPr>
      <w:bookmarkStart w:id="66" w:name="page38"/>
      <w:bookmarkEnd w:id="66"/>
      <w:r>
        <w:rPr>
          <w:rFonts w:ascii="宋体" w:hAnsi="宋体" w:eastAsia="宋体" w:cs="宋体"/>
          <w:b/>
          <w:bCs/>
          <w:sz w:val="36"/>
          <w:szCs w:val="36"/>
        </w:rPr>
        <w:t>附件：</w:t>
      </w:r>
    </w:p>
    <w:p>
      <w:pPr>
        <w:spacing w:line="200" w:lineRule="exact"/>
        <w:rPr>
          <w:sz w:val="20"/>
          <w:szCs w:val="20"/>
        </w:rPr>
      </w:pPr>
    </w:p>
    <w:p>
      <w:pPr>
        <w:spacing w:line="349" w:lineRule="exact"/>
        <w:rPr>
          <w:sz w:val="20"/>
          <w:szCs w:val="20"/>
        </w:rPr>
      </w:pPr>
    </w:p>
    <w:tbl>
      <w:tblPr>
        <w:tblStyle w:val="9"/>
        <w:tblW w:w="0" w:type="auto"/>
        <w:tblInd w:w="0" w:type="dxa"/>
        <w:tblLayout w:type="fixed"/>
        <w:tblCellMar>
          <w:top w:w="0" w:type="dxa"/>
          <w:left w:w="0" w:type="dxa"/>
          <w:bottom w:w="0" w:type="dxa"/>
          <w:right w:w="0" w:type="dxa"/>
        </w:tblCellMar>
      </w:tblPr>
      <w:tblGrid>
        <w:gridCol w:w="720"/>
        <w:gridCol w:w="120"/>
        <w:gridCol w:w="120"/>
        <w:gridCol w:w="240"/>
        <w:gridCol w:w="180"/>
        <w:gridCol w:w="60"/>
        <w:gridCol w:w="480"/>
        <w:gridCol w:w="240"/>
        <w:gridCol w:w="1320"/>
        <w:gridCol w:w="120"/>
        <w:gridCol w:w="960"/>
        <w:gridCol w:w="120"/>
        <w:gridCol w:w="360"/>
        <w:gridCol w:w="480"/>
        <w:gridCol w:w="480"/>
        <w:gridCol w:w="120"/>
        <w:gridCol w:w="120"/>
        <w:gridCol w:w="120"/>
        <w:gridCol w:w="120"/>
        <w:gridCol w:w="120"/>
        <w:gridCol w:w="360"/>
        <w:gridCol w:w="120"/>
        <w:gridCol w:w="1800"/>
      </w:tblGrid>
      <w:tr>
        <w:tblPrEx>
          <w:tblCellMar>
            <w:top w:w="0" w:type="dxa"/>
            <w:left w:w="0" w:type="dxa"/>
            <w:bottom w:w="0" w:type="dxa"/>
            <w:right w:w="0" w:type="dxa"/>
          </w:tblCellMar>
        </w:tblPrEx>
        <w:trPr>
          <w:trHeight w:val="365" w:hRule="atLeast"/>
        </w:trPr>
        <w:tc>
          <w:tcPr>
            <w:tcW w:w="7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240" w:type="dxa"/>
            <w:vAlign w:val="bottom"/>
          </w:tcPr>
          <w:p>
            <w:pPr>
              <w:rPr>
                <w:sz w:val="24"/>
                <w:szCs w:val="24"/>
              </w:rPr>
            </w:pPr>
          </w:p>
        </w:tc>
        <w:tc>
          <w:tcPr>
            <w:tcW w:w="180" w:type="dxa"/>
            <w:vAlign w:val="bottom"/>
          </w:tcPr>
          <w:p>
            <w:pPr>
              <w:rPr>
                <w:sz w:val="24"/>
                <w:szCs w:val="24"/>
              </w:rPr>
            </w:pPr>
          </w:p>
        </w:tc>
        <w:tc>
          <w:tcPr>
            <w:tcW w:w="60" w:type="dxa"/>
            <w:vAlign w:val="bottom"/>
          </w:tcPr>
          <w:p>
            <w:pPr>
              <w:rPr>
                <w:sz w:val="24"/>
                <w:szCs w:val="24"/>
              </w:rPr>
            </w:pPr>
          </w:p>
        </w:tc>
        <w:tc>
          <w:tcPr>
            <w:tcW w:w="480" w:type="dxa"/>
            <w:vAlign w:val="bottom"/>
          </w:tcPr>
          <w:p>
            <w:pPr>
              <w:rPr>
                <w:sz w:val="24"/>
                <w:szCs w:val="24"/>
              </w:rPr>
            </w:pPr>
          </w:p>
        </w:tc>
        <w:tc>
          <w:tcPr>
            <w:tcW w:w="240" w:type="dxa"/>
            <w:vAlign w:val="bottom"/>
          </w:tcPr>
          <w:p>
            <w:pPr>
              <w:rPr>
                <w:sz w:val="24"/>
                <w:szCs w:val="24"/>
              </w:rPr>
            </w:pPr>
          </w:p>
        </w:tc>
        <w:tc>
          <w:tcPr>
            <w:tcW w:w="1320" w:type="dxa"/>
            <w:vAlign w:val="bottom"/>
          </w:tcPr>
          <w:p>
            <w:pPr>
              <w:rPr>
                <w:sz w:val="24"/>
                <w:szCs w:val="24"/>
              </w:rPr>
            </w:pPr>
          </w:p>
        </w:tc>
        <w:tc>
          <w:tcPr>
            <w:tcW w:w="120" w:type="dxa"/>
            <w:vAlign w:val="bottom"/>
          </w:tcPr>
          <w:p>
            <w:pPr>
              <w:rPr>
                <w:sz w:val="24"/>
                <w:szCs w:val="24"/>
              </w:rPr>
            </w:pPr>
          </w:p>
        </w:tc>
        <w:tc>
          <w:tcPr>
            <w:tcW w:w="2400" w:type="dxa"/>
            <w:gridSpan w:val="5"/>
            <w:vAlign w:val="bottom"/>
          </w:tcPr>
          <w:p>
            <w:pPr>
              <w:spacing w:line="366" w:lineRule="exact"/>
              <w:ind w:left="300"/>
              <w:rPr>
                <w:sz w:val="20"/>
                <w:szCs w:val="20"/>
              </w:rPr>
            </w:pPr>
            <w:r>
              <w:rPr>
                <w:rFonts w:ascii="宋体" w:hAnsi="宋体" w:eastAsia="宋体" w:cs="宋体"/>
                <w:b/>
                <w:bCs/>
                <w:sz w:val="32"/>
                <w:szCs w:val="32"/>
              </w:rPr>
              <w:t>质疑函范本</w:t>
            </w: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739" w:hRule="atLeast"/>
        </w:trPr>
        <w:tc>
          <w:tcPr>
            <w:tcW w:w="3600" w:type="dxa"/>
            <w:gridSpan w:val="10"/>
            <w:vAlign w:val="bottom"/>
          </w:tcPr>
          <w:p>
            <w:pPr>
              <w:spacing w:line="274" w:lineRule="exact"/>
              <w:rPr>
                <w:sz w:val="20"/>
                <w:szCs w:val="20"/>
              </w:rPr>
            </w:pPr>
            <w:r>
              <w:rPr>
                <w:rFonts w:ascii="宋体" w:hAnsi="宋体" w:eastAsia="宋体" w:cs="宋体"/>
                <w:sz w:val="24"/>
                <w:szCs w:val="24"/>
              </w:rPr>
              <w:t>一、质疑供应商基本信息</w:t>
            </w:r>
          </w:p>
        </w:tc>
        <w:tc>
          <w:tcPr>
            <w:tcW w:w="96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480" w:type="dxa"/>
            <w:vAlign w:val="bottom"/>
          </w:tcPr>
          <w:p>
            <w:pPr>
              <w:rPr>
                <w:sz w:val="24"/>
                <w:szCs w:val="24"/>
              </w:rPr>
            </w:pPr>
          </w:p>
        </w:tc>
        <w:tc>
          <w:tcPr>
            <w:tcW w:w="48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468" w:hRule="atLeast"/>
        </w:trPr>
        <w:tc>
          <w:tcPr>
            <w:tcW w:w="3600" w:type="dxa"/>
            <w:gridSpan w:val="10"/>
            <w:vAlign w:val="bottom"/>
          </w:tcPr>
          <w:p>
            <w:pPr>
              <w:spacing w:line="274" w:lineRule="exact"/>
              <w:rPr>
                <w:sz w:val="20"/>
                <w:szCs w:val="20"/>
              </w:rPr>
            </w:pPr>
            <w:r>
              <w:rPr>
                <w:rFonts w:ascii="宋体" w:hAnsi="宋体" w:eastAsia="宋体" w:cs="宋体"/>
                <w:sz w:val="24"/>
                <w:szCs w:val="24"/>
              </w:rPr>
              <w:t>质疑供应商：</w:t>
            </w:r>
          </w:p>
        </w:tc>
        <w:tc>
          <w:tcPr>
            <w:tcW w:w="96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480" w:type="dxa"/>
            <w:vAlign w:val="bottom"/>
          </w:tcPr>
          <w:p>
            <w:pPr>
              <w:rPr>
                <w:sz w:val="24"/>
                <w:szCs w:val="24"/>
              </w:rPr>
            </w:pPr>
          </w:p>
        </w:tc>
        <w:tc>
          <w:tcPr>
            <w:tcW w:w="48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447" w:hRule="atLeast"/>
        </w:trPr>
        <w:tc>
          <w:tcPr>
            <w:tcW w:w="1440" w:type="dxa"/>
            <w:gridSpan w:val="6"/>
            <w:vAlign w:val="bottom"/>
          </w:tcPr>
          <w:p>
            <w:pPr>
              <w:spacing w:line="274" w:lineRule="exact"/>
              <w:rPr>
                <w:sz w:val="20"/>
                <w:szCs w:val="20"/>
              </w:rPr>
            </w:pPr>
            <w:r>
              <w:rPr>
                <w:rFonts w:ascii="宋体" w:hAnsi="宋体" w:eastAsia="宋体" w:cs="宋体"/>
                <w:sz w:val="24"/>
                <w:szCs w:val="24"/>
              </w:rPr>
              <w:t>地址：</w:t>
            </w:r>
          </w:p>
        </w:tc>
        <w:tc>
          <w:tcPr>
            <w:tcW w:w="2160" w:type="dxa"/>
            <w:gridSpan w:val="4"/>
            <w:tcBorders>
              <w:top w:val="single" w:color="auto" w:sz="8" w:space="0"/>
            </w:tcBorders>
            <w:vAlign w:val="bottom"/>
          </w:tcPr>
          <w:p>
            <w:pPr>
              <w:rPr>
                <w:sz w:val="24"/>
                <w:szCs w:val="24"/>
              </w:rPr>
            </w:pPr>
          </w:p>
        </w:tc>
        <w:tc>
          <w:tcPr>
            <w:tcW w:w="2400" w:type="dxa"/>
            <w:gridSpan w:val="5"/>
            <w:tcBorders>
              <w:top w:val="single" w:color="auto" w:sz="8" w:space="0"/>
            </w:tcBorders>
            <w:vAlign w:val="bottom"/>
          </w:tcPr>
          <w:p>
            <w:pPr>
              <w:spacing w:line="274" w:lineRule="exact"/>
              <w:ind w:left="240"/>
              <w:rPr>
                <w:sz w:val="20"/>
                <w:szCs w:val="20"/>
              </w:rPr>
            </w:pPr>
            <w:r>
              <w:rPr>
                <w:rFonts w:ascii="宋体" w:hAnsi="宋体" w:eastAsia="宋体" w:cs="宋体"/>
                <w:sz w:val="24"/>
                <w:szCs w:val="24"/>
              </w:rPr>
              <w:t>邮编：</w:t>
            </w: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20" w:hRule="atLeast"/>
        </w:trPr>
        <w:tc>
          <w:tcPr>
            <w:tcW w:w="720" w:type="dxa"/>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240" w:type="dxa"/>
            <w:shd w:val="clear" w:color="auto" w:fill="000000"/>
            <w:vAlign w:val="bottom"/>
          </w:tcPr>
          <w:p>
            <w:pPr>
              <w:spacing w:line="20" w:lineRule="exact"/>
              <w:rPr>
                <w:sz w:val="1"/>
                <w:szCs w:val="1"/>
              </w:rPr>
            </w:pPr>
          </w:p>
        </w:tc>
        <w:tc>
          <w:tcPr>
            <w:tcW w:w="180" w:type="dxa"/>
            <w:shd w:val="clear" w:color="auto" w:fill="000000"/>
            <w:vAlign w:val="bottom"/>
          </w:tcPr>
          <w:p>
            <w:pPr>
              <w:spacing w:line="20" w:lineRule="exact"/>
              <w:rPr>
                <w:sz w:val="1"/>
                <w:szCs w:val="1"/>
              </w:rPr>
            </w:pPr>
          </w:p>
        </w:tc>
        <w:tc>
          <w:tcPr>
            <w:tcW w:w="540" w:type="dxa"/>
            <w:gridSpan w:val="2"/>
            <w:shd w:val="clear" w:color="auto" w:fill="000000"/>
            <w:vAlign w:val="bottom"/>
          </w:tcPr>
          <w:p>
            <w:pPr>
              <w:spacing w:line="20" w:lineRule="exact"/>
              <w:rPr>
                <w:sz w:val="1"/>
                <w:szCs w:val="1"/>
              </w:rPr>
            </w:pPr>
          </w:p>
        </w:tc>
        <w:tc>
          <w:tcPr>
            <w:tcW w:w="240" w:type="dxa"/>
            <w:shd w:val="clear" w:color="auto" w:fill="000000"/>
            <w:vAlign w:val="bottom"/>
          </w:tcPr>
          <w:p>
            <w:pPr>
              <w:spacing w:line="20" w:lineRule="exact"/>
              <w:rPr>
                <w:sz w:val="1"/>
                <w:szCs w:val="1"/>
              </w:rPr>
            </w:pPr>
          </w:p>
        </w:tc>
        <w:tc>
          <w:tcPr>
            <w:tcW w:w="132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960" w:type="dxa"/>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360" w:type="dxa"/>
            <w:shd w:val="clear" w:color="auto" w:fill="000000"/>
            <w:vAlign w:val="bottom"/>
          </w:tcPr>
          <w:p>
            <w:pPr>
              <w:spacing w:line="20" w:lineRule="exact"/>
              <w:rPr>
                <w:sz w:val="1"/>
                <w:szCs w:val="1"/>
              </w:rPr>
            </w:pPr>
          </w:p>
        </w:tc>
        <w:tc>
          <w:tcPr>
            <w:tcW w:w="480" w:type="dxa"/>
            <w:shd w:val="clear" w:color="auto" w:fill="000000"/>
            <w:vAlign w:val="bottom"/>
          </w:tcPr>
          <w:p>
            <w:pPr>
              <w:spacing w:line="20" w:lineRule="exact"/>
              <w:rPr>
                <w:sz w:val="1"/>
                <w:szCs w:val="1"/>
              </w:rPr>
            </w:pPr>
          </w:p>
        </w:tc>
        <w:tc>
          <w:tcPr>
            <w:tcW w:w="48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120" w:type="dxa"/>
            <w:vAlign w:val="bottom"/>
          </w:tcPr>
          <w:p>
            <w:pPr>
              <w:spacing w:line="20" w:lineRule="exact"/>
              <w:rPr>
                <w:sz w:val="1"/>
                <w:szCs w:val="1"/>
              </w:rPr>
            </w:pPr>
          </w:p>
        </w:tc>
        <w:tc>
          <w:tcPr>
            <w:tcW w:w="120" w:type="dxa"/>
            <w:vAlign w:val="bottom"/>
          </w:tcPr>
          <w:p>
            <w:pPr>
              <w:spacing w:line="20" w:lineRule="exact"/>
              <w:rPr>
                <w:sz w:val="1"/>
                <w:szCs w:val="1"/>
              </w:rPr>
            </w:pPr>
          </w:p>
        </w:tc>
        <w:tc>
          <w:tcPr>
            <w:tcW w:w="120" w:type="dxa"/>
            <w:vAlign w:val="bottom"/>
          </w:tcPr>
          <w:p>
            <w:pPr>
              <w:spacing w:line="20" w:lineRule="exact"/>
              <w:rPr>
                <w:sz w:val="1"/>
                <w:szCs w:val="1"/>
              </w:rPr>
            </w:pPr>
          </w:p>
        </w:tc>
        <w:tc>
          <w:tcPr>
            <w:tcW w:w="120" w:type="dxa"/>
            <w:vAlign w:val="bottom"/>
          </w:tcPr>
          <w:p>
            <w:pPr>
              <w:spacing w:line="20" w:lineRule="exact"/>
              <w:rPr>
                <w:sz w:val="1"/>
                <w:szCs w:val="1"/>
              </w:rPr>
            </w:pPr>
          </w:p>
        </w:tc>
        <w:tc>
          <w:tcPr>
            <w:tcW w:w="360" w:type="dxa"/>
            <w:vAlign w:val="bottom"/>
          </w:tcPr>
          <w:p>
            <w:pPr>
              <w:spacing w:line="20" w:lineRule="exact"/>
              <w:rPr>
                <w:sz w:val="1"/>
                <w:szCs w:val="1"/>
              </w:rPr>
            </w:pPr>
          </w:p>
        </w:tc>
        <w:tc>
          <w:tcPr>
            <w:tcW w:w="120" w:type="dxa"/>
            <w:vAlign w:val="bottom"/>
          </w:tcPr>
          <w:p>
            <w:pPr>
              <w:spacing w:line="20" w:lineRule="exact"/>
              <w:rPr>
                <w:sz w:val="1"/>
                <w:szCs w:val="1"/>
              </w:rPr>
            </w:pPr>
          </w:p>
        </w:tc>
        <w:tc>
          <w:tcPr>
            <w:tcW w:w="1800" w:type="dxa"/>
            <w:vAlign w:val="bottom"/>
          </w:tcPr>
          <w:p>
            <w:pPr>
              <w:spacing w:line="20" w:lineRule="exact"/>
              <w:rPr>
                <w:sz w:val="1"/>
                <w:szCs w:val="1"/>
              </w:rPr>
            </w:pPr>
          </w:p>
        </w:tc>
      </w:tr>
      <w:tr>
        <w:tblPrEx>
          <w:tblCellMar>
            <w:top w:w="0" w:type="dxa"/>
            <w:left w:w="0" w:type="dxa"/>
            <w:bottom w:w="0" w:type="dxa"/>
            <w:right w:w="0" w:type="dxa"/>
          </w:tblCellMar>
        </w:tblPrEx>
        <w:trPr>
          <w:trHeight w:val="447" w:hRule="atLeast"/>
        </w:trPr>
        <w:tc>
          <w:tcPr>
            <w:tcW w:w="3600" w:type="dxa"/>
            <w:gridSpan w:val="10"/>
            <w:vAlign w:val="bottom"/>
          </w:tcPr>
          <w:p>
            <w:pPr>
              <w:spacing w:line="274" w:lineRule="exact"/>
              <w:rPr>
                <w:sz w:val="20"/>
                <w:szCs w:val="20"/>
              </w:rPr>
            </w:pPr>
            <w:r>
              <w:rPr>
                <w:rFonts w:ascii="宋体" w:hAnsi="宋体" w:eastAsia="宋体" w:cs="宋体"/>
                <w:sz w:val="24"/>
                <w:szCs w:val="24"/>
              </w:rPr>
              <w:t>联系人：</w:t>
            </w:r>
          </w:p>
        </w:tc>
        <w:tc>
          <w:tcPr>
            <w:tcW w:w="2400" w:type="dxa"/>
            <w:gridSpan w:val="5"/>
            <w:vAlign w:val="bottom"/>
          </w:tcPr>
          <w:p>
            <w:pPr>
              <w:spacing w:line="274" w:lineRule="exact"/>
              <w:ind w:left="240"/>
              <w:rPr>
                <w:sz w:val="20"/>
                <w:szCs w:val="20"/>
              </w:rPr>
            </w:pPr>
            <w:r>
              <w:rPr>
                <w:rFonts w:ascii="宋体" w:hAnsi="宋体" w:eastAsia="宋体" w:cs="宋体"/>
                <w:sz w:val="24"/>
                <w:szCs w:val="24"/>
              </w:rPr>
              <w:t>联系电话：</w:t>
            </w: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20" w:hRule="atLeast"/>
        </w:trPr>
        <w:tc>
          <w:tcPr>
            <w:tcW w:w="840" w:type="dxa"/>
            <w:gridSpan w:val="2"/>
            <w:vAlign w:val="bottom"/>
          </w:tcPr>
          <w:p>
            <w:pPr>
              <w:spacing w:line="20" w:lineRule="exact"/>
              <w:rPr>
                <w:sz w:val="1"/>
                <w:szCs w:val="1"/>
              </w:rPr>
            </w:pPr>
          </w:p>
        </w:tc>
        <w:tc>
          <w:tcPr>
            <w:tcW w:w="120" w:type="dxa"/>
            <w:vAlign w:val="bottom"/>
          </w:tcPr>
          <w:p>
            <w:pPr>
              <w:spacing w:line="20" w:lineRule="exact"/>
              <w:rPr>
                <w:sz w:val="1"/>
                <w:szCs w:val="1"/>
              </w:rPr>
            </w:pPr>
          </w:p>
        </w:tc>
        <w:tc>
          <w:tcPr>
            <w:tcW w:w="240" w:type="dxa"/>
            <w:shd w:val="clear" w:color="auto" w:fill="000000"/>
            <w:vAlign w:val="bottom"/>
          </w:tcPr>
          <w:p>
            <w:pPr>
              <w:spacing w:line="20" w:lineRule="exact"/>
              <w:rPr>
                <w:sz w:val="1"/>
                <w:szCs w:val="1"/>
              </w:rPr>
            </w:pPr>
          </w:p>
        </w:tc>
        <w:tc>
          <w:tcPr>
            <w:tcW w:w="180" w:type="dxa"/>
            <w:shd w:val="clear" w:color="auto" w:fill="000000"/>
            <w:vAlign w:val="bottom"/>
          </w:tcPr>
          <w:p>
            <w:pPr>
              <w:spacing w:line="20" w:lineRule="exact"/>
              <w:rPr>
                <w:sz w:val="1"/>
                <w:szCs w:val="1"/>
              </w:rPr>
            </w:pPr>
          </w:p>
        </w:tc>
        <w:tc>
          <w:tcPr>
            <w:tcW w:w="540" w:type="dxa"/>
            <w:gridSpan w:val="2"/>
            <w:shd w:val="clear" w:color="auto" w:fill="000000"/>
            <w:vAlign w:val="bottom"/>
          </w:tcPr>
          <w:p>
            <w:pPr>
              <w:spacing w:line="20" w:lineRule="exact"/>
              <w:rPr>
                <w:sz w:val="1"/>
                <w:szCs w:val="1"/>
              </w:rPr>
            </w:pPr>
          </w:p>
        </w:tc>
        <w:tc>
          <w:tcPr>
            <w:tcW w:w="240" w:type="dxa"/>
            <w:shd w:val="clear" w:color="auto" w:fill="000000"/>
            <w:vAlign w:val="bottom"/>
          </w:tcPr>
          <w:p>
            <w:pPr>
              <w:spacing w:line="20" w:lineRule="exact"/>
              <w:rPr>
                <w:sz w:val="1"/>
                <w:szCs w:val="1"/>
              </w:rPr>
            </w:pPr>
          </w:p>
        </w:tc>
        <w:tc>
          <w:tcPr>
            <w:tcW w:w="1320" w:type="dxa"/>
            <w:shd w:val="clear" w:color="auto" w:fill="000000"/>
            <w:vAlign w:val="bottom"/>
          </w:tcPr>
          <w:p>
            <w:pPr>
              <w:spacing w:line="20" w:lineRule="exact"/>
              <w:rPr>
                <w:sz w:val="1"/>
                <w:szCs w:val="1"/>
              </w:rPr>
            </w:pPr>
          </w:p>
        </w:tc>
        <w:tc>
          <w:tcPr>
            <w:tcW w:w="120" w:type="dxa"/>
            <w:vAlign w:val="bottom"/>
          </w:tcPr>
          <w:p>
            <w:pPr>
              <w:spacing w:line="20" w:lineRule="exact"/>
              <w:rPr>
                <w:sz w:val="1"/>
                <w:szCs w:val="1"/>
              </w:rPr>
            </w:pPr>
          </w:p>
        </w:tc>
        <w:tc>
          <w:tcPr>
            <w:tcW w:w="960" w:type="dxa"/>
            <w:vAlign w:val="bottom"/>
          </w:tcPr>
          <w:p>
            <w:pPr>
              <w:spacing w:line="20" w:lineRule="exact"/>
              <w:rPr>
                <w:sz w:val="1"/>
                <w:szCs w:val="1"/>
              </w:rPr>
            </w:pPr>
          </w:p>
        </w:tc>
        <w:tc>
          <w:tcPr>
            <w:tcW w:w="120" w:type="dxa"/>
            <w:vAlign w:val="bottom"/>
          </w:tcPr>
          <w:p>
            <w:pPr>
              <w:spacing w:line="20" w:lineRule="exact"/>
              <w:rPr>
                <w:sz w:val="1"/>
                <w:szCs w:val="1"/>
              </w:rPr>
            </w:pPr>
          </w:p>
        </w:tc>
        <w:tc>
          <w:tcPr>
            <w:tcW w:w="360" w:type="dxa"/>
            <w:vAlign w:val="bottom"/>
          </w:tcPr>
          <w:p>
            <w:pPr>
              <w:spacing w:line="20" w:lineRule="exact"/>
              <w:rPr>
                <w:sz w:val="1"/>
                <w:szCs w:val="1"/>
              </w:rPr>
            </w:pPr>
          </w:p>
        </w:tc>
        <w:tc>
          <w:tcPr>
            <w:tcW w:w="480" w:type="dxa"/>
            <w:shd w:val="clear" w:color="auto" w:fill="000000"/>
            <w:vAlign w:val="bottom"/>
          </w:tcPr>
          <w:p>
            <w:pPr>
              <w:spacing w:line="20" w:lineRule="exact"/>
              <w:rPr>
                <w:sz w:val="1"/>
                <w:szCs w:val="1"/>
              </w:rPr>
            </w:pPr>
          </w:p>
        </w:tc>
        <w:tc>
          <w:tcPr>
            <w:tcW w:w="48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120" w:type="dxa"/>
            <w:tcBorders>
              <w:right w:val="single" w:color="auto" w:sz="8" w:space="0"/>
            </w:tcBorders>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36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1800" w:type="dxa"/>
            <w:vAlign w:val="bottom"/>
          </w:tcPr>
          <w:p>
            <w:pPr>
              <w:spacing w:line="20" w:lineRule="exact"/>
              <w:rPr>
                <w:sz w:val="1"/>
                <w:szCs w:val="1"/>
              </w:rPr>
            </w:pPr>
          </w:p>
        </w:tc>
      </w:tr>
      <w:tr>
        <w:tblPrEx>
          <w:tblCellMar>
            <w:top w:w="0" w:type="dxa"/>
            <w:left w:w="0" w:type="dxa"/>
            <w:bottom w:w="0" w:type="dxa"/>
            <w:right w:w="0" w:type="dxa"/>
          </w:tblCellMar>
        </w:tblPrEx>
        <w:trPr>
          <w:trHeight w:val="447" w:hRule="atLeast"/>
        </w:trPr>
        <w:tc>
          <w:tcPr>
            <w:tcW w:w="3600" w:type="dxa"/>
            <w:gridSpan w:val="10"/>
            <w:vAlign w:val="bottom"/>
          </w:tcPr>
          <w:p>
            <w:pPr>
              <w:spacing w:line="274" w:lineRule="exact"/>
              <w:rPr>
                <w:sz w:val="20"/>
                <w:szCs w:val="20"/>
              </w:rPr>
            </w:pPr>
            <w:r>
              <w:rPr>
                <w:rFonts w:ascii="宋体" w:hAnsi="宋体" w:eastAsia="宋体" w:cs="宋体"/>
                <w:sz w:val="24"/>
                <w:szCs w:val="24"/>
              </w:rPr>
              <w:t>授权代表：</w:t>
            </w:r>
          </w:p>
        </w:tc>
        <w:tc>
          <w:tcPr>
            <w:tcW w:w="96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480" w:type="dxa"/>
            <w:vAlign w:val="bottom"/>
          </w:tcPr>
          <w:p>
            <w:pPr>
              <w:rPr>
                <w:sz w:val="24"/>
                <w:szCs w:val="24"/>
              </w:rPr>
            </w:pPr>
          </w:p>
        </w:tc>
        <w:tc>
          <w:tcPr>
            <w:tcW w:w="48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20" w:hRule="atLeast"/>
        </w:trPr>
        <w:tc>
          <w:tcPr>
            <w:tcW w:w="840" w:type="dxa"/>
            <w:gridSpan w:val="2"/>
            <w:vAlign w:val="bottom"/>
          </w:tcPr>
          <w:p>
            <w:pPr>
              <w:spacing w:line="20" w:lineRule="exact"/>
              <w:rPr>
                <w:sz w:val="1"/>
                <w:szCs w:val="1"/>
              </w:rPr>
            </w:pPr>
          </w:p>
        </w:tc>
        <w:tc>
          <w:tcPr>
            <w:tcW w:w="360" w:type="dxa"/>
            <w:gridSpan w:val="2"/>
            <w:vAlign w:val="bottom"/>
          </w:tcPr>
          <w:p>
            <w:pPr>
              <w:spacing w:line="20" w:lineRule="exact"/>
              <w:rPr>
                <w:sz w:val="1"/>
                <w:szCs w:val="1"/>
              </w:rPr>
            </w:pPr>
          </w:p>
        </w:tc>
        <w:tc>
          <w:tcPr>
            <w:tcW w:w="180" w:type="dxa"/>
            <w:shd w:val="clear" w:color="auto" w:fill="000000"/>
            <w:vAlign w:val="bottom"/>
          </w:tcPr>
          <w:p>
            <w:pPr>
              <w:spacing w:line="20" w:lineRule="exact"/>
              <w:rPr>
                <w:sz w:val="1"/>
                <w:szCs w:val="1"/>
              </w:rPr>
            </w:pPr>
          </w:p>
        </w:tc>
        <w:tc>
          <w:tcPr>
            <w:tcW w:w="540" w:type="dxa"/>
            <w:gridSpan w:val="2"/>
            <w:shd w:val="clear" w:color="auto" w:fill="000000"/>
            <w:vAlign w:val="bottom"/>
          </w:tcPr>
          <w:p>
            <w:pPr>
              <w:spacing w:line="20" w:lineRule="exact"/>
              <w:rPr>
                <w:sz w:val="1"/>
                <w:szCs w:val="1"/>
              </w:rPr>
            </w:pPr>
          </w:p>
        </w:tc>
        <w:tc>
          <w:tcPr>
            <w:tcW w:w="240" w:type="dxa"/>
            <w:shd w:val="clear" w:color="auto" w:fill="000000"/>
            <w:vAlign w:val="bottom"/>
          </w:tcPr>
          <w:p>
            <w:pPr>
              <w:spacing w:line="20" w:lineRule="exact"/>
              <w:rPr>
                <w:sz w:val="1"/>
                <w:szCs w:val="1"/>
              </w:rPr>
            </w:pPr>
          </w:p>
        </w:tc>
        <w:tc>
          <w:tcPr>
            <w:tcW w:w="1440" w:type="dxa"/>
            <w:gridSpan w:val="2"/>
            <w:shd w:val="clear" w:color="auto" w:fill="000000"/>
            <w:vAlign w:val="bottom"/>
          </w:tcPr>
          <w:p>
            <w:pPr>
              <w:spacing w:line="20" w:lineRule="exact"/>
              <w:rPr>
                <w:sz w:val="1"/>
                <w:szCs w:val="1"/>
              </w:rPr>
            </w:pPr>
          </w:p>
        </w:tc>
        <w:tc>
          <w:tcPr>
            <w:tcW w:w="96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360" w:type="dxa"/>
            <w:shd w:val="clear" w:color="auto" w:fill="000000"/>
            <w:vAlign w:val="bottom"/>
          </w:tcPr>
          <w:p>
            <w:pPr>
              <w:spacing w:line="20" w:lineRule="exact"/>
              <w:rPr>
                <w:sz w:val="1"/>
                <w:szCs w:val="1"/>
              </w:rPr>
            </w:pPr>
          </w:p>
        </w:tc>
        <w:tc>
          <w:tcPr>
            <w:tcW w:w="480" w:type="dxa"/>
            <w:shd w:val="clear" w:color="auto" w:fill="000000"/>
            <w:vAlign w:val="bottom"/>
          </w:tcPr>
          <w:p>
            <w:pPr>
              <w:spacing w:line="20" w:lineRule="exact"/>
              <w:rPr>
                <w:sz w:val="1"/>
                <w:szCs w:val="1"/>
              </w:rPr>
            </w:pPr>
          </w:p>
        </w:tc>
        <w:tc>
          <w:tcPr>
            <w:tcW w:w="48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120" w:type="dxa"/>
            <w:vAlign w:val="bottom"/>
          </w:tcPr>
          <w:p>
            <w:pPr>
              <w:spacing w:line="20" w:lineRule="exact"/>
              <w:rPr>
                <w:sz w:val="1"/>
                <w:szCs w:val="1"/>
              </w:rPr>
            </w:pPr>
          </w:p>
        </w:tc>
        <w:tc>
          <w:tcPr>
            <w:tcW w:w="120" w:type="dxa"/>
            <w:vAlign w:val="bottom"/>
          </w:tcPr>
          <w:p>
            <w:pPr>
              <w:spacing w:line="20" w:lineRule="exact"/>
              <w:rPr>
                <w:sz w:val="1"/>
                <w:szCs w:val="1"/>
              </w:rPr>
            </w:pPr>
          </w:p>
        </w:tc>
        <w:tc>
          <w:tcPr>
            <w:tcW w:w="120" w:type="dxa"/>
            <w:vAlign w:val="bottom"/>
          </w:tcPr>
          <w:p>
            <w:pPr>
              <w:spacing w:line="20" w:lineRule="exact"/>
              <w:rPr>
                <w:sz w:val="1"/>
                <w:szCs w:val="1"/>
              </w:rPr>
            </w:pPr>
          </w:p>
        </w:tc>
        <w:tc>
          <w:tcPr>
            <w:tcW w:w="360" w:type="dxa"/>
            <w:vAlign w:val="bottom"/>
          </w:tcPr>
          <w:p>
            <w:pPr>
              <w:spacing w:line="20" w:lineRule="exact"/>
              <w:rPr>
                <w:sz w:val="1"/>
                <w:szCs w:val="1"/>
              </w:rPr>
            </w:pPr>
          </w:p>
        </w:tc>
        <w:tc>
          <w:tcPr>
            <w:tcW w:w="120" w:type="dxa"/>
            <w:vAlign w:val="bottom"/>
          </w:tcPr>
          <w:p>
            <w:pPr>
              <w:spacing w:line="20" w:lineRule="exact"/>
              <w:rPr>
                <w:sz w:val="1"/>
                <w:szCs w:val="1"/>
              </w:rPr>
            </w:pPr>
          </w:p>
        </w:tc>
        <w:tc>
          <w:tcPr>
            <w:tcW w:w="1800" w:type="dxa"/>
            <w:vAlign w:val="bottom"/>
          </w:tcPr>
          <w:p>
            <w:pPr>
              <w:spacing w:line="20" w:lineRule="exact"/>
              <w:rPr>
                <w:sz w:val="1"/>
                <w:szCs w:val="1"/>
              </w:rPr>
            </w:pPr>
          </w:p>
        </w:tc>
      </w:tr>
      <w:tr>
        <w:tblPrEx>
          <w:tblCellMar>
            <w:top w:w="0" w:type="dxa"/>
            <w:left w:w="0" w:type="dxa"/>
            <w:bottom w:w="0" w:type="dxa"/>
            <w:right w:w="0" w:type="dxa"/>
          </w:tblCellMar>
        </w:tblPrEx>
        <w:trPr>
          <w:trHeight w:val="447" w:hRule="atLeast"/>
        </w:trPr>
        <w:tc>
          <w:tcPr>
            <w:tcW w:w="3600" w:type="dxa"/>
            <w:gridSpan w:val="10"/>
            <w:vAlign w:val="bottom"/>
          </w:tcPr>
          <w:p>
            <w:pPr>
              <w:spacing w:line="274" w:lineRule="exact"/>
              <w:rPr>
                <w:sz w:val="20"/>
                <w:szCs w:val="20"/>
              </w:rPr>
            </w:pPr>
            <w:r>
              <w:rPr>
                <w:rFonts w:ascii="宋体" w:hAnsi="宋体" w:eastAsia="宋体" w:cs="宋体"/>
                <w:sz w:val="24"/>
                <w:szCs w:val="24"/>
              </w:rPr>
              <w:t>联系电话：</w:t>
            </w:r>
          </w:p>
        </w:tc>
        <w:tc>
          <w:tcPr>
            <w:tcW w:w="96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480" w:type="dxa"/>
            <w:vAlign w:val="bottom"/>
          </w:tcPr>
          <w:p>
            <w:pPr>
              <w:rPr>
                <w:sz w:val="24"/>
                <w:szCs w:val="24"/>
              </w:rPr>
            </w:pPr>
          </w:p>
        </w:tc>
        <w:tc>
          <w:tcPr>
            <w:tcW w:w="48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447" w:hRule="atLeast"/>
        </w:trPr>
        <w:tc>
          <w:tcPr>
            <w:tcW w:w="840" w:type="dxa"/>
            <w:gridSpan w:val="2"/>
            <w:vAlign w:val="bottom"/>
          </w:tcPr>
          <w:p>
            <w:pPr>
              <w:spacing w:line="274" w:lineRule="exact"/>
              <w:rPr>
                <w:sz w:val="20"/>
                <w:szCs w:val="20"/>
              </w:rPr>
            </w:pPr>
            <w:r>
              <w:rPr>
                <w:rFonts w:ascii="宋体" w:hAnsi="宋体" w:eastAsia="宋体" w:cs="宋体"/>
                <w:sz w:val="24"/>
                <w:szCs w:val="24"/>
              </w:rPr>
              <w:t>地址：</w:t>
            </w:r>
          </w:p>
        </w:tc>
        <w:tc>
          <w:tcPr>
            <w:tcW w:w="360" w:type="dxa"/>
            <w:gridSpan w:val="2"/>
            <w:vAlign w:val="bottom"/>
          </w:tcPr>
          <w:p>
            <w:pPr>
              <w:rPr>
                <w:sz w:val="24"/>
                <w:szCs w:val="24"/>
              </w:rPr>
            </w:pPr>
          </w:p>
        </w:tc>
        <w:tc>
          <w:tcPr>
            <w:tcW w:w="2400" w:type="dxa"/>
            <w:gridSpan w:val="6"/>
            <w:tcBorders>
              <w:top w:val="single" w:color="auto" w:sz="8" w:space="0"/>
            </w:tcBorders>
            <w:vAlign w:val="bottom"/>
          </w:tcPr>
          <w:p>
            <w:pPr>
              <w:rPr>
                <w:sz w:val="24"/>
                <w:szCs w:val="24"/>
              </w:rPr>
            </w:pPr>
          </w:p>
        </w:tc>
        <w:tc>
          <w:tcPr>
            <w:tcW w:w="2400" w:type="dxa"/>
            <w:gridSpan w:val="5"/>
            <w:tcBorders>
              <w:top w:val="single" w:color="auto" w:sz="8" w:space="0"/>
            </w:tcBorders>
            <w:vAlign w:val="bottom"/>
          </w:tcPr>
          <w:p>
            <w:pPr>
              <w:spacing w:line="274" w:lineRule="exact"/>
              <w:ind w:left="240"/>
              <w:rPr>
                <w:sz w:val="20"/>
                <w:szCs w:val="20"/>
              </w:rPr>
            </w:pPr>
            <w:r>
              <w:rPr>
                <w:rFonts w:ascii="宋体" w:hAnsi="宋体" w:eastAsia="宋体" w:cs="宋体"/>
                <w:sz w:val="24"/>
                <w:szCs w:val="24"/>
              </w:rPr>
              <w:t>邮编：</w:t>
            </w:r>
          </w:p>
        </w:tc>
        <w:tc>
          <w:tcPr>
            <w:tcW w:w="120" w:type="dxa"/>
            <w:tcBorders>
              <w:top w:val="single" w:color="auto" w:sz="8" w:space="0"/>
            </w:tcBorders>
            <w:vAlign w:val="bottom"/>
          </w:tcPr>
          <w:p>
            <w:pPr>
              <w:rPr>
                <w:sz w:val="24"/>
                <w:szCs w:val="24"/>
              </w:rPr>
            </w:pPr>
          </w:p>
        </w:tc>
        <w:tc>
          <w:tcPr>
            <w:tcW w:w="120" w:type="dxa"/>
            <w:tcBorders>
              <w:top w:val="single" w:color="auto" w:sz="8" w:space="0"/>
            </w:tcBorders>
            <w:vAlign w:val="bottom"/>
          </w:tcPr>
          <w:p>
            <w:pPr>
              <w:rPr>
                <w:sz w:val="24"/>
                <w:szCs w:val="24"/>
              </w:rPr>
            </w:pPr>
          </w:p>
        </w:tc>
        <w:tc>
          <w:tcPr>
            <w:tcW w:w="120" w:type="dxa"/>
            <w:tcBorders>
              <w:top w:val="single" w:color="auto" w:sz="8" w:space="0"/>
            </w:tcBorders>
            <w:vAlign w:val="bottom"/>
          </w:tcPr>
          <w:p>
            <w:pPr>
              <w:rPr>
                <w:sz w:val="24"/>
                <w:szCs w:val="24"/>
              </w:rPr>
            </w:pPr>
          </w:p>
        </w:tc>
        <w:tc>
          <w:tcPr>
            <w:tcW w:w="120" w:type="dxa"/>
            <w:tcBorders>
              <w:top w:val="single" w:color="auto" w:sz="8" w:space="0"/>
            </w:tcBorders>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20" w:hRule="atLeast"/>
        </w:trPr>
        <w:tc>
          <w:tcPr>
            <w:tcW w:w="840" w:type="dxa"/>
            <w:gridSpan w:val="2"/>
            <w:vAlign w:val="bottom"/>
          </w:tcPr>
          <w:p>
            <w:pPr>
              <w:spacing w:line="20" w:lineRule="exact"/>
              <w:rPr>
                <w:sz w:val="1"/>
                <w:szCs w:val="1"/>
              </w:rPr>
            </w:pPr>
          </w:p>
        </w:tc>
        <w:tc>
          <w:tcPr>
            <w:tcW w:w="540" w:type="dxa"/>
            <w:gridSpan w:val="3"/>
            <w:shd w:val="clear" w:color="auto" w:fill="000000"/>
            <w:vAlign w:val="bottom"/>
          </w:tcPr>
          <w:p>
            <w:pPr>
              <w:spacing w:line="20" w:lineRule="exact"/>
              <w:rPr>
                <w:sz w:val="1"/>
                <w:szCs w:val="1"/>
              </w:rPr>
            </w:pPr>
          </w:p>
        </w:tc>
        <w:tc>
          <w:tcPr>
            <w:tcW w:w="540" w:type="dxa"/>
            <w:gridSpan w:val="2"/>
            <w:shd w:val="clear" w:color="auto" w:fill="000000"/>
            <w:vAlign w:val="bottom"/>
          </w:tcPr>
          <w:p>
            <w:pPr>
              <w:spacing w:line="20" w:lineRule="exact"/>
              <w:rPr>
                <w:sz w:val="1"/>
                <w:szCs w:val="1"/>
              </w:rPr>
            </w:pPr>
          </w:p>
        </w:tc>
        <w:tc>
          <w:tcPr>
            <w:tcW w:w="240" w:type="dxa"/>
            <w:shd w:val="clear" w:color="auto" w:fill="000000"/>
            <w:vAlign w:val="bottom"/>
          </w:tcPr>
          <w:p>
            <w:pPr>
              <w:spacing w:line="20" w:lineRule="exact"/>
              <w:rPr>
                <w:sz w:val="1"/>
                <w:szCs w:val="1"/>
              </w:rPr>
            </w:pPr>
          </w:p>
        </w:tc>
        <w:tc>
          <w:tcPr>
            <w:tcW w:w="1440" w:type="dxa"/>
            <w:gridSpan w:val="2"/>
            <w:shd w:val="clear" w:color="auto" w:fill="000000"/>
            <w:vAlign w:val="bottom"/>
          </w:tcPr>
          <w:p>
            <w:pPr>
              <w:spacing w:line="20" w:lineRule="exact"/>
              <w:rPr>
                <w:sz w:val="1"/>
                <w:szCs w:val="1"/>
              </w:rPr>
            </w:pPr>
          </w:p>
        </w:tc>
        <w:tc>
          <w:tcPr>
            <w:tcW w:w="960" w:type="dxa"/>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360" w:type="dxa"/>
            <w:shd w:val="clear" w:color="auto" w:fill="000000"/>
            <w:vAlign w:val="bottom"/>
          </w:tcPr>
          <w:p>
            <w:pPr>
              <w:spacing w:line="20" w:lineRule="exact"/>
              <w:rPr>
                <w:sz w:val="1"/>
                <w:szCs w:val="1"/>
              </w:rPr>
            </w:pPr>
          </w:p>
        </w:tc>
        <w:tc>
          <w:tcPr>
            <w:tcW w:w="480" w:type="dxa"/>
            <w:shd w:val="clear" w:color="auto" w:fill="000000"/>
            <w:vAlign w:val="bottom"/>
          </w:tcPr>
          <w:p>
            <w:pPr>
              <w:spacing w:line="20" w:lineRule="exact"/>
              <w:rPr>
                <w:sz w:val="1"/>
                <w:szCs w:val="1"/>
              </w:rPr>
            </w:pPr>
          </w:p>
        </w:tc>
        <w:tc>
          <w:tcPr>
            <w:tcW w:w="48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120" w:type="dxa"/>
            <w:tcBorders>
              <w:right w:val="single" w:color="auto" w:sz="8" w:space="0"/>
            </w:tcBorders>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360" w:type="dxa"/>
            <w:shd w:val="clear" w:color="auto" w:fill="000000"/>
            <w:vAlign w:val="bottom"/>
          </w:tcPr>
          <w:p>
            <w:pPr>
              <w:spacing w:line="20" w:lineRule="exact"/>
              <w:rPr>
                <w:sz w:val="1"/>
                <w:szCs w:val="1"/>
              </w:rPr>
            </w:pPr>
          </w:p>
        </w:tc>
        <w:tc>
          <w:tcPr>
            <w:tcW w:w="120" w:type="dxa"/>
            <w:vAlign w:val="bottom"/>
          </w:tcPr>
          <w:p>
            <w:pPr>
              <w:spacing w:line="20" w:lineRule="exact"/>
              <w:rPr>
                <w:sz w:val="1"/>
                <w:szCs w:val="1"/>
              </w:rPr>
            </w:pPr>
          </w:p>
        </w:tc>
        <w:tc>
          <w:tcPr>
            <w:tcW w:w="1800" w:type="dxa"/>
            <w:vAlign w:val="bottom"/>
          </w:tcPr>
          <w:p>
            <w:pPr>
              <w:spacing w:line="20" w:lineRule="exact"/>
              <w:rPr>
                <w:sz w:val="1"/>
                <w:szCs w:val="1"/>
              </w:rPr>
            </w:pPr>
          </w:p>
        </w:tc>
      </w:tr>
      <w:tr>
        <w:tblPrEx>
          <w:tblCellMar>
            <w:top w:w="0" w:type="dxa"/>
            <w:left w:w="0" w:type="dxa"/>
            <w:bottom w:w="0" w:type="dxa"/>
            <w:right w:w="0" w:type="dxa"/>
          </w:tblCellMar>
        </w:tblPrEx>
        <w:trPr>
          <w:trHeight w:val="446" w:hRule="atLeast"/>
        </w:trPr>
        <w:tc>
          <w:tcPr>
            <w:tcW w:w="3600" w:type="dxa"/>
            <w:gridSpan w:val="10"/>
            <w:vAlign w:val="bottom"/>
          </w:tcPr>
          <w:p>
            <w:pPr>
              <w:spacing w:line="274" w:lineRule="exact"/>
              <w:rPr>
                <w:sz w:val="20"/>
                <w:szCs w:val="20"/>
              </w:rPr>
            </w:pPr>
            <w:r>
              <w:rPr>
                <w:rFonts w:ascii="宋体" w:hAnsi="宋体" w:eastAsia="宋体" w:cs="宋体"/>
                <w:sz w:val="24"/>
                <w:szCs w:val="24"/>
              </w:rPr>
              <w:t>二、质疑项目基本情况</w:t>
            </w:r>
          </w:p>
        </w:tc>
        <w:tc>
          <w:tcPr>
            <w:tcW w:w="96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480" w:type="dxa"/>
            <w:vAlign w:val="bottom"/>
          </w:tcPr>
          <w:p>
            <w:pPr>
              <w:rPr>
                <w:sz w:val="24"/>
                <w:szCs w:val="24"/>
              </w:rPr>
            </w:pPr>
          </w:p>
        </w:tc>
        <w:tc>
          <w:tcPr>
            <w:tcW w:w="48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468" w:hRule="atLeast"/>
        </w:trPr>
        <w:tc>
          <w:tcPr>
            <w:tcW w:w="3600" w:type="dxa"/>
            <w:gridSpan w:val="10"/>
            <w:vAlign w:val="bottom"/>
          </w:tcPr>
          <w:p>
            <w:pPr>
              <w:spacing w:line="274" w:lineRule="exact"/>
              <w:rPr>
                <w:sz w:val="20"/>
                <w:szCs w:val="20"/>
              </w:rPr>
            </w:pPr>
            <w:r>
              <w:rPr>
                <w:rFonts w:ascii="宋体" w:hAnsi="宋体" w:eastAsia="宋体" w:cs="宋体"/>
                <w:sz w:val="24"/>
                <w:szCs w:val="24"/>
              </w:rPr>
              <w:t>质疑项目的名称：</w:t>
            </w:r>
          </w:p>
        </w:tc>
        <w:tc>
          <w:tcPr>
            <w:tcW w:w="96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480" w:type="dxa"/>
            <w:vAlign w:val="bottom"/>
          </w:tcPr>
          <w:p>
            <w:pPr>
              <w:rPr>
                <w:sz w:val="24"/>
                <w:szCs w:val="24"/>
              </w:rPr>
            </w:pPr>
          </w:p>
        </w:tc>
        <w:tc>
          <w:tcPr>
            <w:tcW w:w="48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20" w:hRule="atLeast"/>
        </w:trPr>
        <w:tc>
          <w:tcPr>
            <w:tcW w:w="1380" w:type="dxa"/>
            <w:gridSpan w:val="5"/>
            <w:vAlign w:val="bottom"/>
          </w:tcPr>
          <w:p>
            <w:pPr>
              <w:spacing w:line="20" w:lineRule="exact"/>
              <w:rPr>
                <w:sz w:val="1"/>
                <w:szCs w:val="1"/>
              </w:rPr>
            </w:pPr>
          </w:p>
        </w:tc>
        <w:tc>
          <w:tcPr>
            <w:tcW w:w="540" w:type="dxa"/>
            <w:gridSpan w:val="2"/>
            <w:vAlign w:val="bottom"/>
          </w:tcPr>
          <w:p>
            <w:pPr>
              <w:spacing w:line="20" w:lineRule="exact"/>
              <w:rPr>
                <w:sz w:val="1"/>
                <w:szCs w:val="1"/>
              </w:rPr>
            </w:pPr>
          </w:p>
        </w:tc>
        <w:tc>
          <w:tcPr>
            <w:tcW w:w="240" w:type="dxa"/>
            <w:shd w:val="clear" w:color="auto" w:fill="000000"/>
            <w:vAlign w:val="bottom"/>
          </w:tcPr>
          <w:p>
            <w:pPr>
              <w:spacing w:line="20" w:lineRule="exact"/>
              <w:rPr>
                <w:sz w:val="1"/>
                <w:szCs w:val="1"/>
              </w:rPr>
            </w:pPr>
          </w:p>
        </w:tc>
        <w:tc>
          <w:tcPr>
            <w:tcW w:w="1440" w:type="dxa"/>
            <w:gridSpan w:val="2"/>
            <w:shd w:val="clear" w:color="auto" w:fill="000000"/>
            <w:vAlign w:val="bottom"/>
          </w:tcPr>
          <w:p>
            <w:pPr>
              <w:spacing w:line="20" w:lineRule="exact"/>
              <w:rPr>
                <w:sz w:val="1"/>
                <w:szCs w:val="1"/>
              </w:rPr>
            </w:pPr>
          </w:p>
        </w:tc>
        <w:tc>
          <w:tcPr>
            <w:tcW w:w="1080" w:type="dxa"/>
            <w:gridSpan w:val="2"/>
            <w:shd w:val="clear" w:color="auto" w:fill="000000"/>
            <w:vAlign w:val="bottom"/>
          </w:tcPr>
          <w:p>
            <w:pPr>
              <w:spacing w:line="20" w:lineRule="exact"/>
              <w:rPr>
                <w:sz w:val="1"/>
                <w:szCs w:val="1"/>
              </w:rPr>
            </w:pPr>
          </w:p>
        </w:tc>
        <w:tc>
          <w:tcPr>
            <w:tcW w:w="840" w:type="dxa"/>
            <w:gridSpan w:val="2"/>
            <w:shd w:val="clear" w:color="auto" w:fill="000000"/>
            <w:vAlign w:val="bottom"/>
          </w:tcPr>
          <w:p>
            <w:pPr>
              <w:spacing w:line="20" w:lineRule="exact"/>
              <w:rPr>
                <w:sz w:val="1"/>
                <w:szCs w:val="1"/>
              </w:rPr>
            </w:pPr>
          </w:p>
        </w:tc>
        <w:tc>
          <w:tcPr>
            <w:tcW w:w="48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120" w:type="dxa"/>
            <w:tcBorders>
              <w:right w:val="single" w:color="auto" w:sz="8" w:space="0"/>
            </w:tcBorders>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120" w:type="dxa"/>
            <w:vAlign w:val="bottom"/>
          </w:tcPr>
          <w:p>
            <w:pPr>
              <w:spacing w:line="20" w:lineRule="exact"/>
              <w:rPr>
                <w:sz w:val="1"/>
                <w:szCs w:val="1"/>
              </w:rPr>
            </w:pPr>
          </w:p>
        </w:tc>
        <w:tc>
          <w:tcPr>
            <w:tcW w:w="360" w:type="dxa"/>
            <w:vAlign w:val="bottom"/>
          </w:tcPr>
          <w:p>
            <w:pPr>
              <w:spacing w:line="20" w:lineRule="exact"/>
              <w:rPr>
                <w:sz w:val="1"/>
                <w:szCs w:val="1"/>
              </w:rPr>
            </w:pPr>
          </w:p>
        </w:tc>
        <w:tc>
          <w:tcPr>
            <w:tcW w:w="120" w:type="dxa"/>
            <w:vAlign w:val="bottom"/>
          </w:tcPr>
          <w:p>
            <w:pPr>
              <w:spacing w:line="20" w:lineRule="exact"/>
              <w:rPr>
                <w:sz w:val="1"/>
                <w:szCs w:val="1"/>
              </w:rPr>
            </w:pPr>
          </w:p>
        </w:tc>
        <w:tc>
          <w:tcPr>
            <w:tcW w:w="1800" w:type="dxa"/>
            <w:vAlign w:val="bottom"/>
          </w:tcPr>
          <w:p>
            <w:pPr>
              <w:spacing w:line="20" w:lineRule="exact"/>
              <w:rPr>
                <w:sz w:val="1"/>
                <w:szCs w:val="1"/>
              </w:rPr>
            </w:pPr>
          </w:p>
        </w:tc>
      </w:tr>
      <w:tr>
        <w:tblPrEx>
          <w:tblCellMar>
            <w:top w:w="0" w:type="dxa"/>
            <w:left w:w="0" w:type="dxa"/>
            <w:bottom w:w="0" w:type="dxa"/>
            <w:right w:w="0" w:type="dxa"/>
          </w:tblCellMar>
        </w:tblPrEx>
        <w:trPr>
          <w:trHeight w:val="448" w:hRule="atLeast"/>
        </w:trPr>
        <w:tc>
          <w:tcPr>
            <w:tcW w:w="3600" w:type="dxa"/>
            <w:gridSpan w:val="10"/>
            <w:vAlign w:val="bottom"/>
          </w:tcPr>
          <w:p>
            <w:pPr>
              <w:spacing w:line="274" w:lineRule="exact"/>
              <w:rPr>
                <w:sz w:val="20"/>
                <w:szCs w:val="20"/>
              </w:rPr>
            </w:pPr>
            <w:r>
              <w:rPr>
                <w:rFonts w:ascii="宋体" w:hAnsi="宋体" w:eastAsia="宋体" w:cs="宋体"/>
                <w:sz w:val="24"/>
                <w:szCs w:val="24"/>
              </w:rPr>
              <w:t>质疑项目的编号：</w:t>
            </w:r>
          </w:p>
        </w:tc>
        <w:tc>
          <w:tcPr>
            <w:tcW w:w="2400" w:type="dxa"/>
            <w:gridSpan w:val="5"/>
            <w:vAlign w:val="bottom"/>
          </w:tcPr>
          <w:p>
            <w:pPr>
              <w:spacing w:line="274" w:lineRule="exact"/>
              <w:ind w:left="240"/>
              <w:rPr>
                <w:sz w:val="20"/>
                <w:szCs w:val="20"/>
              </w:rPr>
            </w:pPr>
            <w:r>
              <w:rPr>
                <w:rFonts w:ascii="宋体" w:hAnsi="宋体" w:eastAsia="宋体" w:cs="宋体"/>
                <w:sz w:val="24"/>
                <w:szCs w:val="24"/>
              </w:rPr>
              <w:t>包号：</w:t>
            </w: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447" w:hRule="atLeast"/>
        </w:trPr>
        <w:tc>
          <w:tcPr>
            <w:tcW w:w="1920" w:type="dxa"/>
            <w:gridSpan w:val="7"/>
            <w:vAlign w:val="bottom"/>
          </w:tcPr>
          <w:p>
            <w:pPr>
              <w:spacing w:line="274" w:lineRule="exact"/>
              <w:rPr>
                <w:sz w:val="20"/>
                <w:szCs w:val="20"/>
              </w:rPr>
            </w:pPr>
            <w:r>
              <w:rPr>
                <w:rFonts w:ascii="宋体" w:hAnsi="宋体" w:eastAsia="宋体" w:cs="宋体"/>
                <w:sz w:val="24"/>
                <w:szCs w:val="24"/>
              </w:rPr>
              <w:t>采购人名称：</w:t>
            </w:r>
          </w:p>
        </w:tc>
        <w:tc>
          <w:tcPr>
            <w:tcW w:w="1680" w:type="dxa"/>
            <w:gridSpan w:val="3"/>
            <w:tcBorders>
              <w:top w:val="single" w:color="auto" w:sz="8" w:space="0"/>
            </w:tcBorders>
            <w:vAlign w:val="bottom"/>
          </w:tcPr>
          <w:p>
            <w:pPr>
              <w:rPr>
                <w:sz w:val="24"/>
                <w:szCs w:val="24"/>
              </w:rPr>
            </w:pPr>
          </w:p>
        </w:tc>
        <w:tc>
          <w:tcPr>
            <w:tcW w:w="960" w:type="dxa"/>
            <w:vAlign w:val="bottom"/>
          </w:tcPr>
          <w:p>
            <w:pPr>
              <w:rPr>
                <w:sz w:val="24"/>
                <w:szCs w:val="24"/>
              </w:rPr>
            </w:pPr>
          </w:p>
        </w:tc>
        <w:tc>
          <w:tcPr>
            <w:tcW w:w="120" w:type="dxa"/>
            <w:tcBorders>
              <w:top w:val="single" w:color="auto" w:sz="8" w:space="0"/>
            </w:tcBorders>
            <w:vAlign w:val="bottom"/>
          </w:tcPr>
          <w:p>
            <w:pPr>
              <w:rPr>
                <w:sz w:val="24"/>
                <w:szCs w:val="24"/>
              </w:rPr>
            </w:pPr>
          </w:p>
        </w:tc>
        <w:tc>
          <w:tcPr>
            <w:tcW w:w="360" w:type="dxa"/>
            <w:tcBorders>
              <w:top w:val="single" w:color="auto" w:sz="8" w:space="0"/>
            </w:tcBorders>
            <w:vAlign w:val="bottom"/>
          </w:tcPr>
          <w:p>
            <w:pPr>
              <w:rPr>
                <w:sz w:val="24"/>
                <w:szCs w:val="24"/>
              </w:rPr>
            </w:pPr>
          </w:p>
        </w:tc>
        <w:tc>
          <w:tcPr>
            <w:tcW w:w="480" w:type="dxa"/>
            <w:tcBorders>
              <w:top w:val="single" w:color="auto" w:sz="8" w:space="0"/>
            </w:tcBorders>
            <w:vAlign w:val="bottom"/>
          </w:tcPr>
          <w:p>
            <w:pPr>
              <w:rPr>
                <w:sz w:val="24"/>
                <w:szCs w:val="24"/>
              </w:rPr>
            </w:pPr>
          </w:p>
        </w:tc>
        <w:tc>
          <w:tcPr>
            <w:tcW w:w="480" w:type="dxa"/>
            <w:tcBorders>
              <w:top w:val="single" w:color="auto" w:sz="8" w:space="0"/>
            </w:tcBorders>
            <w:vAlign w:val="bottom"/>
          </w:tcPr>
          <w:p>
            <w:pPr>
              <w:rPr>
                <w:sz w:val="24"/>
                <w:szCs w:val="24"/>
              </w:rPr>
            </w:pPr>
          </w:p>
        </w:tc>
        <w:tc>
          <w:tcPr>
            <w:tcW w:w="120" w:type="dxa"/>
            <w:tcBorders>
              <w:top w:val="single" w:color="auto" w:sz="8" w:space="0"/>
            </w:tcBorders>
            <w:vAlign w:val="bottom"/>
          </w:tcPr>
          <w:p>
            <w:pPr>
              <w:rPr>
                <w:sz w:val="24"/>
                <w:szCs w:val="24"/>
              </w:rPr>
            </w:pPr>
          </w:p>
        </w:tc>
        <w:tc>
          <w:tcPr>
            <w:tcW w:w="120" w:type="dxa"/>
            <w:tcBorders>
              <w:top w:val="single" w:color="auto" w:sz="8" w:space="0"/>
            </w:tcBorders>
            <w:vAlign w:val="bottom"/>
          </w:tcPr>
          <w:p>
            <w:pPr>
              <w:rPr>
                <w:sz w:val="24"/>
                <w:szCs w:val="24"/>
              </w:rPr>
            </w:pPr>
          </w:p>
        </w:tc>
        <w:tc>
          <w:tcPr>
            <w:tcW w:w="120" w:type="dxa"/>
            <w:tcBorders>
              <w:top w:val="single" w:color="auto" w:sz="8" w:space="0"/>
            </w:tcBorders>
            <w:vAlign w:val="bottom"/>
          </w:tcPr>
          <w:p>
            <w:pPr>
              <w:rPr>
                <w:sz w:val="24"/>
                <w:szCs w:val="24"/>
              </w:rPr>
            </w:pPr>
          </w:p>
        </w:tc>
        <w:tc>
          <w:tcPr>
            <w:tcW w:w="120" w:type="dxa"/>
            <w:tcBorders>
              <w:top w:val="single" w:color="auto" w:sz="8" w:space="0"/>
            </w:tcBorders>
            <w:vAlign w:val="bottom"/>
          </w:tcPr>
          <w:p>
            <w:pPr>
              <w:rPr>
                <w:sz w:val="24"/>
                <w:szCs w:val="24"/>
              </w:rPr>
            </w:pPr>
          </w:p>
        </w:tc>
        <w:tc>
          <w:tcPr>
            <w:tcW w:w="120" w:type="dxa"/>
            <w:tcBorders>
              <w:top w:val="single" w:color="auto" w:sz="8" w:space="0"/>
            </w:tcBorders>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20" w:hRule="atLeast"/>
        </w:trPr>
        <w:tc>
          <w:tcPr>
            <w:tcW w:w="1380" w:type="dxa"/>
            <w:gridSpan w:val="5"/>
            <w:vAlign w:val="bottom"/>
          </w:tcPr>
          <w:p>
            <w:pPr>
              <w:spacing w:line="20" w:lineRule="exact"/>
              <w:rPr>
                <w:sz w:val="1"/>
                <w:szCs w:val="1"/>
              </w:rPr>
            </w:pPr>
          </w:p>
        </w:tc>
        <w:tc>
          <w:tcPr>
            <w:tcW w:w="60" w:type="dxa"/>
            <w:vAlign w:val="bottom"/>
          </w:tcPr>
          <w:p>
            <w:pPr>
              <w:spacing w:line="20" w:lineRule="exact"/>
              <w:rPr>
                <w:sz w:val="1"/>
                <w:szCs w:val="1"/>
              </w:rPr>
            </w:pPr>
          </w:p>
        </w:tc>
        <w:tc>
          <w:tcPr>
            <w:tcW w:w="720" w:type="dxa"/>
            <w:gridSpan w:val="2"/>
            <w:shd w:val="clear" w:color="auto" w:fill="000000"/>
            <w:vAlign w:val="bottom"/>
          </w:tcPr>
          <w:p>
            <w:pPr>
              <w:spacing w:line="20" w:lineRule="exact"/>
              <w:rPr>
                <w:sz w:val="1"/>
                <w:szCs w:val="1"/>
              </w:rPr>
            </w:pPr>
          </w:p>
        </w:tc>
        <w:tc>
          <w:tcPr>
            <w:tcW w:w="1440" w:type="dxa"/>
            <w:gridSpan w:val="2"/>
            <w:shd w:val="clear" w:color="auto" w:fill="000000"/>
            <w:vAlign w:val="bottom"/>
          </w:tcPr>
          <w:p>
            <w:pPr>
              <w:spacing w:line="20" w:lineRule="exact"/>
              <w:rPr>
                <w:sz w:val="1"/>
                <w:szCs w:val="1"/>
              </w:rPr>
            </w:pPr>
          </w:p>
        </w:tc>
        <w:tc>
          <w:tcPr>
            <w:tcW w:w="96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360" w:type="dxa"/>
            <w:shd w:val="clear" w:color="auto" w:fill="000000"/>
            <w:vAlign w:val="bottom"/>
          </w:tcPr>
          <w:p>
            <w:pPr>
              <w:spacing w:line="20" w:lineRule="exact"/>
              <w:rPr>
                <w:sz w:val="1"/>
                <w:szCs w:val="1"/>
              </w:rPr>
            </w:pPr>
          </w:p>
        </w:tc>
        <w:tc>
          <w:tcPr>
            <w:tcW w:w="480" w:type="dxa"/>
            <w:shd w:val="clear" w:color="auto" w:fill="000000"/>
            <w:vAlign w:val="bottom"/>
          </w:tcPr>
          <w:p>
            <w:pPr>
              <w:spacing w:line="20" w:lineRule="exact"/>
              <w:rPr>
                <w:sz w:val="1"/>
                <w:szCs w:val="1"/>
              </w:rPr>
            </w:pPr>
          </w:p>
        </w:tc>
        <w:tc>
          <w:tcPr>
            <w:tcW w:w="480" w:type="dxa"/>
            <w:vAlign w:val="bottom"/>
          </w:tcPr>
          <w:p>
            <w:pPr>
              <w:spacing w:line="20" w:lineRule="exact"/>
              <w:rPr>
                <w:sz w:val="1"/>
                <w:szCs w:val="1"/>
              </w:rPr>
            </w:pPr>
          </w:p>
        </w:tc>
        <w:tc>
          <w:tcPr>
            <w:tcW w:w="120" w:type="dxa"/>
            <w:vAlign w:val="bottom"/>
          </w:tcPr>
          <w:p>
            <w:pPr>
              <w:spacing w:line="20" w:lineRule="exact"/>
              <w:rPr>
                <w:sz w:val="1"/>
                <w:szCs w:val="1"/>
              </w:rPr>
            </w:pPr>
          </w:p>
        </w:tc>
        <w:tc>
          <w:tcPr>
            <w:tcW w:w="120" w:type="dxa"/>
            <w:vAlign w:val="bottom"/>
          </w:tcPr>
          <w:p>
            <w:pPr>
              <w:spacing w:line="20" w:lineRule="exact"/>
              <w:rPr>
                <w:sz w:val="1"/>
                <w:szCs w:val="1"/>
              </w:rPr>
            </w:pPr>
          </w:p>
        </w:tc>
        <w:tc>
          <w:tcPr>
            <w:tcW w:w="120" w:type="dxa"/>
            <w:vAlign w:val="bottom"/>
          </w:tcPr>
          <w:p>
            <w:pPr>
              <w:spacing w:line="20" w:lineRule="exact"/>
              <w:rPr>
                <w:sz w:val="1"/>
                <w:szCs w:val="1"/>
              </w:rPr>
            </w:pPr>
          </w:p>
        </w:tc>
        <w:tc>
          <w:tcPr>
            <w:tcW w:w="120" w:type="dxa"/>
            <w:vAlign w:val="bottom"/>
          </w:tcPr>
          <w:p>
            <w:pPr>
              <w:spacing w:line="20" w:lineRule="exact"/>
              <w:rPr>
                <w:sz w:val="1"/>
                <w:szCs w:val="1"/>
              </w:rPr>
            </w:pPr>
          </w:p>
        </w:tc>
        <w:tc>
          <w:tcPr>
            <w:tcW w:w="120" w:type="dxa"/>
            <w:vAlign w:val="bottom"/>
          </w:tcPr>
          <w:p>
            <w:pPr>
              <w:spacing w:line="20" w:lineRule="exact"/>
              <w:rPr>
                <w:sz w:val="1"/>
                <w:szCs w:val="1"/>
              </w:rPr>
            </w:pPr>
          </w:p>
        </w:tc>
        <w:tc>
          <w:tcPr>
            <w:tcW w:w="360" w:type="dxa"/>
            <w:vAlign w:val="bottom"/>
          </w:tcPr>
          <w:p>
            <w:pPr>
              <w:spacing w:line="20" w:lineRule="exact"/>
              <w:rPr>
                <w:sz w:val="1"/>
                <w:szCs w:val="1"/>
              </w:rPr>
            </w:pPr>
          </w:p>
        </w:tc>
        <w:tc>
          <w:tcPr>
            <w:tcW w:w="120" w:type="dxa"/>
            <w:vAlign w:val="bottom"/>
          </w:tcPr>
          <w:p>
            <w:pPr>
              <w:spacing w:line="20" w:lineRule="exact"/>
              <w:rPr>
                <w:sz w:val="1"/>
                <w:szCs w:val="1"/>
              </w:rPr>
            </w:pPr>
          </w:p>
        </w:tc>
        <w:tc>
          <w:tcPr>
            <w:tcW w:w="1800" w:type="dxa"/>
            <w:vAlign w:val="bottom"/>
          </w:tcPr>
          <w:p>
            <w:pPr>
              <w:spacing w:line="20" w:lineRule="exact"/>
              <w:rPr>
                <w:sz w:val="1"/>
                <w:szCs w:val="1"/>
              </w:rPr>
            </w:pPr>
          </w:p>
        </w:tc>
      </w:tr>
      <w:tr>
        <w:tblPrEx>
          <w:tblCellMar>
            <w:top w:w="0" w:type="dxa"/>
            <w:left w:w="0" w:type="dxa"/>
            <w:bottom w:w="0" w:type="dxa"/>
            <w:right w:w="0" w:type="dxa"/>
          </w:tblCellMar>
        </w:tblPrEx>
        <w:trPr>
          <w:trHeight w:val="447" w:hRule="atLeast"/>
        </w:trPr>
        <w:tc>
          <w:tcPr>
            <w:tcW w:w="3600" w:type="dxa"/>
            <w:gridSpan w:val="10"/>
            <w:vAlign w:val="bottom"/>
          </w:tcPr>
          <w:p>
            <w:pPr>
              <w:spacing w:line="274" w:lineRule="exact"/>
              <w:rPr>
                <w:sz w:val="20"/>
                <w:szCs w:val="20"/>
              </w:rPr>
            </w:pPr>
            <w:r>
              <w:rPr>
                <w:rFonts w:ascii="宋体" w:hAnsi="宋体" w:eastAsia="宋体" w:cs="宋体"/>
                <w:sz w:val="24"/>
                <w:szCs w:val="24"/>
              </w:rPr>
              <w:t>采购文件获取日期：</w:t>
            </w:r>
          </w:p>
        </w:tc>
        <w:tc>
          <w:tcPr>
            <w:tcW w:w="96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480" w:type="dxa"/>
            <w:vAlign w:val="bottom"/>
          </w:tcPr>
          <w:p>
            <w:pPr>
              <w:rPr>
                <w:sz w:val="24"/>
                <w:szCs w:val="24"/>
              </w:rPr>
            </w:pPr>
          </w:p>
        </w:tc>
        <w:tc>
          <w:tcPr>
            <w:tcW w:w="48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20" w:hRule="atLeast"/>
        </w:trPr>
        <w:tc>
          <w:tcPr>
            <w:tcW w:w="1380" w:type="dxa"/>
            <w:gridSpan w:val="5"/>
            <w:vAlign w:val="bottom"/>
          </w:tcPr>
          <w:p>
            <w:pPr>
              <w:spacing w:line="20" w:lineRule="exact"/>
              <w:rPr>
                <w:sz w:val="1"/>
                <w:szCs w:val="1"/>
              </w:rPr>
            </w:pPr>
          </w:p>
        </w:tc>
        <w:tc>
          <w:tcPr>
            <w:tcW w:w="780" w:type="dxa"/>
            <w:gridSpan w:val="3"/>
            <w:vAlign w:val="bottom"/>
          </w:tcPr>
          <w:p>
            <w:pPr>
              <w:spacing w:line="20" w:lineRule="exact"/>
              <w:rPr>
                <w:sz w:val="1"/>
                <w:szCs w:val="1"/>
              </w:rPr>
            </w:pPr>
          </w:p>
        </w:tc>
        <w:tc>
          <w:tcPr>
            <w:tcW w:w="1440" w:type="dxa"/>
            <w:gridSpan w:val="2"/>
            <w:shd w:val="clear" w:color="auto" w:fill="000000"/>
            <w:vAlign w:val="bottom"/>
          </w:tcPr>
          <w:p>
            <w:pPr>
              <w:spacing w:line="20" w:lineRule="exact"/>
              <w:rPr>
                <w:sz w:val="1"/>
                <w:szCs w:val="1"/>
              </w:rPr>
            </w:pPr>
          </w:p>
        </w:tc>
        <w:tc>
          <w:tcPr>
            <w:tcW w:w="96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360" w:type="dxa"/>
            <w:vAlign w:val="bottom"/>
          </w:tcPr>
          <w:p>
            <w:pPr>
              <w:spacing w:line="20" w:lineRule="exact"/>
              <w:rPr>
                <w:sz w:val="1"/>
                <w:szCs w:val="1"/>
              </w:rPr>
            </w:pPr>
          </w:p>
        </w:tc>
        <w:tc>
          <w:tcPr>
            <w:tcW w:w="480" w:type="dxa"/>
            <w:vAlign w:val="bottom"/>
          </w:tcPr>
          <w:p>
            <w:pPr>
              <w:spacing w:line="20" w:lineRule="exact"/>
              <w:rPr>
                <w:sz w:val="1"/>
                <w:szCs w:val="1"/>
              </w:rPr>
            </w:pPr>
          </w:p>
        </w:tc>
        <w:tc>
          <w:tcPr>
            <w:tcW w:w="480" w:type="dxa"/>
            <w:vAlign w:val="bottom"/>
          </w:tcPr>
          <w:p>
            <w:pPr>
              <w:spacing w:line="20" w:lineRule="exact"/>
              <w:rPr>
                <w:sz w:val="1"/>
                <w:szCs w:val="1"/>
              </w:rPr>
            </w:pPr>
          </w:p>
        </w:tc>
        <w:tc>
          <w:tcPr>
            <w:tcW w:w="120" w:type="dxa"/>
            <w:vAlign w:val="bottom"/>
          </w:tcPr>
          <w:p>
            <w:pPr>
              <w:spacing w:line="20" w:lineRule="exact"/>
              <w:rPr>
                <w:sz w:val="1"/>
                <w:szCs w:val="1"/>
              </w:rPr>
            </w:pPr>
          </w:p>
        </w:tc>
        <w:tc>
          <w:tcPr>
            <w:tcW w:w="120" w:type="dxa"/>
            <w:vAlign w:val="bottom"/>
          </w:tcPr>
          <w:p>
            <w:pPr>
              <w:spacing w:line="20" w:lineRule="exact"/>
              <w:rPr>
                <w:sz w:val="1"/>
                <w:szCs w:val="1"/>
              </w:rPr>
            </w:pPr>
          </w:p>
        </w:tc>
        <w:tc>
          <w:tcPr>
            <w:tcW w:w="120" w:type="dxa"/>
            <w:vAlign w:val="bottom"/>
          </w:tcPr>
          <w:p>
            <w:pPr>
              <w:spacing w:line="20" w:lineRule="exact"/>
              <w:rPr>
                <w:sz w:val="1"/>
                <w:szCs w:val="1"/>
              </w:rPr>
            </w:pPr>
          </w:p>
        </w:tc>
        <w:tc>
          <w:tcPr>
            <w:tcW w:w="120" w:type="dxa"/>
            <w:vAlign w:val="bottom"/>
          </w:tcPr>
          <w:p>
            <w:pPr>
              <w:spacing w:line="20" w:lineRule="exact"/>
              <w:rPr>
                <w:sz w:val="1"/>
                <w:szCs w:val="1"/>
              </w:rPr>
            </w:pPr>
          </w:p>
        </w:tc>
        <w:tc>
          <w:tcPr>
            <w:tcW w:w="120" w:type="dxa"/>
            <w:vAlign w:val="bottom"/>
          </w:tcPr>
          <w:p>
            <w:pPr>
              <w:spacing w:line="20" w:lineRule="exact"/>
              <w:rPr>
                <w:sz w:val="1"/>
                <w:szCs w:val="1"/>
              </w:rPr>
            </w:pPr>
          </w:p>
        </w:tc>
        <w:tc>
          <w:tcPr>
            <w:tcW w:w="360" w:type="dxa"/>
            <w:vAlign w:val="bottom"/>
          </w:tcPr>
          <w:p>
            <w:pPr>
              <w:spacing w:line="20" w:lineRule="exact"/>
              <w:rPr>
                <w:sz w:val="1"/>
                <w:szCs w:val="1"/>
              </w:rPr>
            </w:pPr>
          </w:p>
        </w:tc>
        <w:tc>
          <w:tcPr>
            <w:tcW w:w="120" w:type="dxa"/>
            <w:vAlign w:val="bottom"/>
          </w:tcPr>
          <w:p>
            <w:pPr>
              <w:spacing w:line="20" w:lineRule="exact"/>
              <w:rPr>
                <w:sz w:val="1"/>
                <w:szCs w:val="1"/>
              </w:rPr>
            </w:pPr>
          </w:p>
        </w:tc>
        <w:tc>
          <w:tcPr>
            <w:tcW w:w="1800" w:type="dxa"/>
            <w:vAlign w:val="bottom"/>
          </w:tcPr>
          <w:p>
            <w:pPr>
              <w:spacing w:line="20" w:lineRule="exact"/>
              <w:rPr>
                <w:sz w:val="1"/>
                <w:szCs w:val="1"/>
              </w:rPr>
            </w:pPr>
          </w:p>
        </w:tc>
      </w:tr>
      <w:tr>
        <w:tblPrEx>
          <w:tblCellMar>
            <w:top w:w="0" w:type="dxa"/>
            <w:left w:w="0" w:type="dxa"/>
            <w:bottom w:w="0" w:type="dxa"/>
            <w:right w:w="0" w:type="dxa"/>
          </w:tblCellMar>
        </w:tblPrEx>
        <w:trPr>
          <w:trHeight w:val="446" w:hRule="atLeast"/>
        </w:trPr>
        <w:tc>
          <w:tcPr>
            <w:tcW w:w="3600" w:type="dxa"/>
            <w:gridSpan w:val="10"/>
            <w:vAlign w:val="bottom"/>
          </w:tcPr>
          <w:p>
            <w:pPr>
              <w:spacing w:line="274" w:lineRule="exact"/>
              <w:rPr>
                <w:sz w:val="20"/>
                <w:szCs w:val="20"/>
              </w:rPr>
            </w:pPr>
            <w:r>
              <w:rPr>
                <w:rFonts w:ascii="宋体" w:hAnsi="宋体" w:eastAsia="宋体" w:cs="宋体"/>
                <w:sz w:val="24"/>
                <w:szCs w:val="24"/>
              </w:rPr>
              <w:t>三、质疑事项具体内容</w:t>
            </w:r>
          </w:p>
        </w:tc>
        <w:tc>
          <w:tcPr>
            <w:tcW w:w="96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480" w:type="dxa"/>
            <w:vAlign w:val="bottom"/>
          </w:tcPr>
          <w:p>
            <w:pPr>
              <w:rPr>
                <w:sz w:val="24"/>
                <w:szCs w:val="24"/>
              </w:rPr>
            </w:pPr>
          </w:p>
        </w:tc>
        <w:tc>
          <w:tcPr>
            <w:tcW w:w="48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468" w:hRule="atLeast"/>
        </w:trPr>
        <w:tc>
          <w:tcPr>
            <w:tcW w:w="3600" w:type="dxa"/>
            <w:gridSpan w:val="10"/>
            <w:vAlign w:val="bottom"/>
          </w:tcPr>
          <w:p>
            <w:pPr>
              <w:spacing w:line="274" w:lineRule="exact"/>
              <w:rPr>
                <w:sz w:val="20"/>
                <w:szCs w:val="20"/>
              </w:rPr>
            </w:pPr>
            <w:r>
              <w:rPr>
                <w:rFonts w:ascii="宋体" w:hAnsi="宋体" w:eastAsia="宋体" w:cs="宋体"/>
                <w:sz w:val="24"/>
                <w:szCs w:val="24"/>
              </w:rPr>
              <w:t>质疑事项 1：</w:t>
            </w:r>
          </w:p>
        </w:tc>
        <w:tc>
          <w:tcPr>
            <w:tcW w:w="96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480" w:type="dxa"/>
            <w:vAlign w:val="bottom"/>
          </w:tcPr>
          <w:p>
            <w:pPr>
              <w:rPr>
                <w:sz w:val="24"/>
                <w:szCs w:val="24"/>
              </w:rPr>
            </w:pPr>
          </w:p>
        </w:tc>
        <w:tc>
          <w:tcPr>
            <w:tcW w:w="48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447" w:hRule="atLeast"/>
        </w:trPr>
        <w:tc>
          <w:tcPr>
            <w:tcW w:w="1380" w:type="dxa"/>
            <w:gridSpan w:val="5"/>
            <w:vAlign w:val="bottom"/>
          </w:tcPr>
          <w:p>
            <w:pPr>
              <w:spacing w:line="274" w:lineRule="exact"/>
              <w:rPr>
                <w:sz w:val="20"/>
                <w:szCs w:val="20"/>
              </w:rPr>
            </w:pPr>
            <w:r>
              <w:rPr>
                <w:rFonts w:ascii="宋体" w:hAnsi="宋体" w:eastAsia="宋体" w:cs="宋体"/>
                <w:sz w:val="24"/>
                <w:szCs w:val="24"/>
              </w:rPr>
              <w:t>事实依据：</w:t>
            </w:r>
          </w:p>
        </w:tc>
        <w:tc>
          <w:tcPr>
            <w:tcW w:w="2220" w:type="dxa"/>
            <w:gridSpan w:val="5"/>
            <w:tcBorders>
              <w:top w:val="single" w:color="auto" w:sz="8" w:space="0"/>
            </w:tcBorders>
            <w:vAlign w:val="bottom"/>
          </w:tcPr>
          <w:p>
            <w:pPr>
              <w:rPr>
                <w:sz w:val="24"/>
                <w:szCs w:val="24"/>
              </w:rPr>
            </w:pPr>
          </w:p>
        </w:tc>
        <w:tc>
          <w:tcPr>
            <w:tcW w:w="960" w:type="dxa"/>
            <w:tcBorders>
              <w:top w:val="single" w:color="auto" w:sz="8" w:space="0"/>
            </w:tcBorders>
            <w:vAlign w:val="bottom"/>
          </w:tcPr>
          <w:p>
            <w:pPr>
              <w:rPr>
                <w:sz w:val="24"/>
                <w:szCs w:val="24"/>
              </w:rPr>
            </w:pPr>
          </w:p>
        </w:tc>
        <w:tc>
          <w:tcPr>
            <w:tcW w:w="120" w:type="dxa"/>
            <w:tcBorders>
              <w:top w:val="single" w:color="auto" w:sz="8" w:space="0"/>
            </w:tcBorders>
            <w:vAlign w:val="bottom"/>
          </w:tcPr>
          <w:p>
            <w:pPr>
              <w:rPr>
                <w:sz w:val="24"/>
                <w:szCs w:val="24"/>
              </w:rPr>
            </w:pPr>
          </w:p>
        </w:tc>
        <w:tc>
          <w:tcPr>
            <w:tcW w:w="360" w:type="dxa"/>
            <w:tcBorders>
              <w:top w:val="single" w:color="auto" w:sz="8" w:space="0"/>
            </w:tcBorders>
            <w:vAlign w:val="bottom"/>
          </w:tcPr>
          <w:p>
            <w:pPr>
              <w:rPr>
                <w:sz w:val="24"/>
                <w:szCs w:val="24"/>
              </w:rPr>
            </w:pPr>
          </w:p>
        </w:tc>
        <w:tc>
          <w:tcPr>
            <w:tcW w:w="480" w:type="dxa"/>
            <w:tcBorders>
              <w:top w:val="single" w:color="auto" w:sz="8" w:space="0"/>
            </w:tcBorders>
            <w:vAlign w:val="bottom"/>
          </w:tcPr>
          <w:p>
            <w:pPr>
              <w:rPr>
                <w:sz w:val="24"/>
                <w:szCs w:val="24"/>
              </w:rPr>
            </w:pPr>
          </w:p>
        </w:tc>
        <w:tc>
          <w:tcPr>
            <w:tcW w:w="480" w:type="dxa"/>
            <w:tcBorders>
              <w:top w:val="single" w:color="auto" w:sz="8" w:space="0"/>
            </w:tcBorders>
            <w:vAlign w:val="bottom"/>
          </w:tcPr>
          <w:p>
            <w:pPr>
              <w:rPr>
                <w:sz w:val="24"/>
                <w:szCs w:val="24"/>
              </w:rPr>
            </w:pPr>
          </w:p>
        </w:tc>
        <w:tc>
          <w:tcPr>
            <w:tcW w:w="120" w:type="dxa"/>
            <w:tcBorders>
              <w:top w:val="single" w:color="auto" w:sz="8" w:space="0"/>
            </w:tcBorders>
            <w:vAlign w:val="bottom"/>
          </w:tcPr>
          <w:p>
            <w:pPr>
              <w:rPr>
                <w:sz w:val="24"/>
                <w:szCs w:val="24"/>
              </w:rPr>
            </w:pPr>
          </w:p>
        </w:tc>
        <w:tc>
          <w:tcPr>
            <w:tcW w:w="120" w:type="dxa"/>
            <w:tcBorders>
              <w:top w:val="single" w:color="auto" w:sz="8" w:space="0"/>
            </w:tcBorders>
            <w:vAlign w:val="bottom"/>
          </w:tcPr>
          <w:p>
            <w:pPr>
              <w:rPr>
                <w:sz w:val="24"/>
                <w:szCs w:val="24"/>
              </w:rPr>
            </w:pPr>
          </w:p>
        </w:tc>
        <w:tc>
          <w:tcPr>
            <w:tcW w:w="120" w:type="dxa"/>
            <w:tcBorders>
              <w:top w:val="single" w:color="auto" w:sz="8" w:space="0"/>
            </w:tcBorders>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448" w:hRule="atLeast"/>
        </w:trPr>
        <w:tc>
          <w:tcPr>
            <w:tcW w:w="1200" w:type="dxa"/>
            <w:gridSpan w:val="4"/>
            <w:tcBorders>
              <w:bottom w:val="single" w:color="auto" w:sz="8" w:space="0"/>
            </w:tcBorders>
            <w:vAlign w:val="bottom"/>
          </w:tcPr>
          <w:p>
            <w:pPr>
              <w:rPr>
                <w:sz w:val="24"/>
                <w:szCs w:val="24"/>
              </w:rPr>
            </w:pPr>
          </w:p>
        </w:tc>
        <w:tc>
          <w:tcPr>
            <w:tcW w:w="2400" w:type="dxa"/>
            <w:gridSpan w:val="6"/>
            <w:tcBorders>
              <w:top w:val="single" w:color="auto" w:sz="8" w:space="0"/>
              <w:bottom w:val="single" w:color="auto" w:sz="8" w:space="0"/>
            </w:tcBorders>
            <w:vAlign w:val="bottom"/>
          </w:tcPr>
          <w:p>
            <w:pPr>
              <w:rPr>
                <w:sz w:val="24"/>
                <w:szCs w:val="24"/>
              </w:rPr>
            </w:pPr>
          </w:p>
        </w:tc>
        <w:tc>
          <w:tcPr>
            <w:tcW w:w="960" w:type="dxa"/>
            <w:tcBorders>
              <w:top w:val="single" w:color="auto" w:sz="8" w:space="0"/>
              <w:bottom w:val="single" w:color="auto" w:sz="8" w:space="0"/>
            </w:tcBorders>
            <w:vAlign w:val="bottom"/>
          </w:tcPr>
          <w:p>
            <w:pPr>
              <w:rPr>
                <w:sz w:val="24"/>
                <w:szCs w:val="24"/>
              </w:rPr>
            </w:pPr>
          </w:p>
        </w:tc>
        <w:tc>
          <w:tcPr>
            <w:tcW w:w="120" w:type="dxa"/>
            <w:tcBorders>
              <w:top w:val="single" w:color="auto" w:sz="8" w:space="0"/>
              <w:bottom w:val="single" w:color="auto" w:sz="8" w:space="0"/>
            </w:tcBorders>
            <w:vAlign w:val="bottom"/>
          </w:tcPr>
          <w:p>
            <w:pPr>
              <w:rPr>
                <w:sz w:val="24"/>
                <w:szCs w:val="24"/>
              </w:rPr>
            </w:pPr>
          </w:p>
        </w:tc>
        <w:tc>
          <w:tcPr>
            <w:tcW w:w="360" w:type="dxa"/>
            <w:tcBorders>
              <w:top w:val="single" w:color="auto" w:sz="8" w:space="0"/>
              <w:bottom w:val="single" w:color="auto" w:sz="8" w:space="0"/>
            </w:tcBorders>
            <w:vAlign w:val="bottom"/>
          </w:tcPr>
          <w:p>
            <w:pPr>
              <w:rPr>
                <w:sz w:val="24"/>
                <w:szCs w:val="24"/>
              </w:rPr>
            </w:pPr>
          </w:p>
        </w:tc>
        <w:tc>
          <w:tcPr>
            <w:tcW w:w="480" w:type="dxa"/>
            <w:tcBorders>
              <w:top w:val="single" w:color="auto" w:sz="8" w:space="0"/>
              <w:bottom w:val="single" w:color="auto" w:sz="8" w:space="0"/>
            </w:tcBorders>
            <w:vAlign w:val="bottom"/>
          </w:tcPr>
          <w:p>
            <w:pPr>
              <w:rPr>
                <w:sz w:val="24"/>
                <w:szCs w:val="24"/>
              </w:rPr>
            </w:pPr>
          </w:p>
        </w:tc>
        <w:tc>
          <w:tcPr>
            <w:tcW w:w="480" w:type="dxa"/>
            <w:tcBorders>
              <w:top w:val="single" w:color="auto" w:sz="8" w:space="0"/>
              <w:bottom w:val="single" w:color="auto" w:sz="8" w:space="0"/>
            </w:tcBorders>
            <w:vAlign w:val="bottom"/>
          </w:tcPr>
          <w:p>
            <w:pPr>
              <w:rPr>
                <w:sz w:val="24"/>
                <w:szCs w:val="24"/>
              </w:rPr>
            </w:pPr>
          </w:p>
        </w:tc>
        <w:tc>
          <w:tcPr>
            <w:tcW w:w="120" w:type="dxa"/>
            <w:tcBorders>
              <w:top w:val="single" w:color="auto" w:sz="8" w:space="0"/>
              <w:bottom w:val="single" w:color="auto" w:sz="8" w:space="0"/>
            </w:tcBorders>
            <w:vAlign w:val="bottom"/>
          </w:tcPr>
          <w:p>
            <w:pPr>
              <w:rPr>
                <w:sz w:val="24"/>
                <w:szCs w:val="24"/>
              </w:rPr>
            </w:pPr>
          </w:p>
        </w:tc>
        <w:tc>
          <w:tcPr>
            <w:tcW w:w="120" w:type="dxa"/>
            <w:tcBorders>
              <w:top w:val="single" w:color="auto" w:sz="8" w:space="0"/>
              <w:bottom w:val="single" w:color="auto" w:sz="8" w:space="0"/>
            </w:tcBorders>
            <w:vAlign w:val="bottom"/>
          </w:tcPr>
          <w:p>
            <w:pPr>
              <w:rPr>
                <w:sz w:val="24"/>
                <w:szCs w:val="24"/>
              </w:rPr>
            </w:pPr>
          </w:p>
        </w:tc>
        <w:tc>
          <w:tcPr>
            <w:tcW w:w="120" w:type="dxa"/>
            <w:tcBorders>
              <w:top w:val="single" w:color="auto" w:sz="8" w:space="0"/>
              <w:bottom w:val="single" w:color="auto" w:sz="8" w:space="0"/>
            </w:tcBorders>
            <w:vAlign w:val="bottom"/>
          </w:tcPr>
          <w:p>
            <w:pPr>
              <w:rPr>
                <w:sz w:val="24"/>
                <w:szCs w:val="24"/>
              </w:rPr>
            </w:pPr>
          </w:p>
        </w:tc>
        <w:tc>
          <w:tcPr>
            <w:tcW w:w="120" w:type="dxa"/>
            <w:tcBorders>
              <w:top w:val="single" w:color="auto" w:sz="8" w:space="0"/>
              <w:bottom w:val="single" w:color="auto" w:sz="8" w:space="0"/>
            </w:tcBorders>
            <w:vAlign w:val="bottom"/>
          </w:tcPr>
          <w:p>
            <w:pPr>
              <w:rPr>
                <w:sz w:val="24"/>
                <w:szCs w:val="24"/>
              </w:rPr>
            </w:pPr>
          </w:p>
        </w:tc>
        <w:tc>
          <w:tcPr>
            <w:tcW w:w="120" w:type="dxa"/>
            <w:tcBorders>
              <w:top w:val="single" w:color="auto" w:sz="8" w:space="0"/>
              <w:bottom w:val="single" w:color="auto" w:sz="8" w:space="0"/>
            </w:tcBorders>
            <w:vAlign w:val="bottom"/>
          </w:tcPr>
          <w:p>
            <w:pPr>
              <w:rPr>
                <w:sz w:val="24"/>
                <w:szCs w:val="24"/>
              </w:rPr>
            </w:pPr>
          </w:p>
        </w:tc>
        <w:tc>
          <w:tcPr>
            <w:tcW w:w="360" w:type="dxa"/>
            <w:tcBorders>
              <w:top w:val="single" w:color="auto" w:sz="8" w:space="0"/>
            </w:tcBorders>
            <w:vAlign w:val="bottom"/>
          </w:tcPr>
          <w:p>
            <w:pPr>
              <w:rPr>
                <w:sz w:val="24"/>
                <w:szCs w:val="24"/>
              </w:rPr>
            </w:pPr>
          </w:p>
        </w:tc>
        <w:tc>
          <w:tcPr>
            <w:tcW w:w="120" w:type="dxa"/>
            <w:tcBorders>
              <w:top w:val="single" w:color="auto" w:sz="8" w:space="0"/>
            </w:tcBorders>
            <w:vAlign w:val="bottom"/>
          </w:tcPr>
          <w:p>
            <w:pPr>
              <w:rPr>
                <w:sz w:val="24"/>
                <w:szCs w:val="24"/>
              </w:rPr>
            </w:pPr>
          </w:p>
        </w:tc>
        <w:tc>
          <w:tcPr>
            <w:tcW w:w="1800" w:type="dxa"/>
            <w:tcBorders>
              <w:top w:val="single" w:color="auto" w:sz="8" w:space="0"/>
            </w:tcBorders>
            <w:vAlign w:val="bottom"/>
          </w:tcPr>
          <w:p>
            <w:pPr>
              <w:rPr>
                <w:sz w:val="24"/>
                <w:szCs w:val="24"/>
              </w:rPr>
            </w:pPr>
          </w:p>
        </w:tc>
      </w:tr>
      <w:tr>
        <w:tblPrEx>
          <w:tblCellMar>
            <w:top w:w="0" w:type="dxa"/>
            <w:left w:w="0" w:type="dxa"/>
            <w:bottom w:w="0" w:type="dxa"/>
            <w:right w:w="0" w:type="dxa"/>
          </w:tblCellMar>
        </w:tblPrEx>
        <w:trPr>
          <w:trHeight w:val="446" w:hRule="atLeast"/>
        </w:trPr>
        <w:tc>
          <w:tcPr>
            <w:tcW w:w="3600" w:type="dxa"/>
            <w:gridSpan w:val="10"/>
            <w:vAlign w:val="bottom"/>
          </w:tcPr>
          <w:p>
            <w:pPr>
              <w:spacing w:line="274" w:lineRule="exact"/>
              <w:rPr>
                <w:sz w:val="20"/>
                <w:szCs w:val="20"/>
              </w:rPr>
            </w:pPr>
            <w:r>
              <w:rPr>
                <w:rFonts w:ascii="宋体" w:hAnsi="宋体" w:eastAsia="宋体" w:cs="宋体"/>
                <w:sz w:val="24"/>
                <w:szCs w:val="24"/>
              </w:rPr>
              <w:t>法律依据：</w:t>
            </w:r>
          </w:p>
        </w:tc>
        <w:tc>
          <w:tcPr>
            <w:tcW w:w="96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480" w:type="dxa"/>
            <w:vAlign w:val="bottom"/>
          </w:tcPr>
          <w:p>
            <w:pPr>
              <w:rPr>
                <w:sz w:val="24"/>
                <w:szCs w:val="24"/>
              </w:rPr>
            </w:pPr>
          </w:p>
        </w:tc>
        <w:tc>
          <w:tcPr>
            <w:tcW w:w="48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448" w:hRule="atLeast"/>
        </w:trPr>
        <w:tc>
          <w:tcPr>
            <w:tcW w:w="1200" w:type="dxa"/>
            <w:gridSpan w:val="4"/>
            <w:tcBorders>
              <w:bottom w:val="single" w:color="auto" w:sz="8" w:space="0"/>
            </w:tcBorders>
            <w:vAlign w:val="bottom"/>
          </w:tcPr>
          <w:p>
            <w:pPr>
              <w:rPr>
                <w:sz w:val="24"/>
                <w:szCs w:val="24"/>
              </w:rPr>
            </w:pPr>
          </w:p>
        </w:tc>
        <w:tc>
          <w:tcPr>
            <w:tcW w:w="2400" w:type="dxa"/>
            <w:gridSpan w:val="6"/>
            <w:tcBorders>
              <w:top w:val="single" w:color="auto" w:sz="8" w:space="0"/>
              <w:bottom w:val="single" w:color="auto" w:sz="8" w:space="0"/>
            </w:tcBorders>
            <w:vAlign w:val="bottom"/>
          </w:tcPr>
          <w:p>
            <w:pPr>
              <w:rPr>
                <w:sz w:val="24"/>
                <w:szCs w:val="24"/>
              </w:rPr>
            </w:pPr>
          </w:p>
        </w:tc>
        <w:tc>
          <w:tcPr>
            <w:tcW w:w="960" w:type="dxa"/>
            <w:tcBorders>
              <w:top w:val="single" w:color="auto" w:sz="8" w:space="0"/>
              <w:bottom w:val="single" w:color="auto" w:sz="8" w:space="0"/>
            </w:tcBorders>
            <w:vAlign w:val="bottom"/>
          </w:tcPr>
          <w:p>
            <w:pPr>
              <w:rPr>
                <w:sz w:val="24"/>
                <w:szCs w:val="24"/>
              </w:rPr>
            </w:pPr>
          </w:p>
        </w:tc>
        <w:tc>
          <w:tcPr>
            <w:tcW w:w="120" w:type="dxa"/>
            <w:tcBorders>
              <w:top w:val="single" w:color="auto" w:sz="8" w:space="0"/>
              <w:bottom w:val="single" w:color="auto" w:sz="8" w:space="0"/>
            </w:tcBorders>
            <w:vAlign w:val="bottom"/>
          </w:tcPr>
          <w:p>
            <w:pPr>
              <w:rPr>
                <w:sz w:val="24"/>
                <w:szCs w:val="24"/>
              </w:rPr>
            </w:pPr>
          </w:p>
        </w:tc>
        <w:tc>
          <w:tcPr>
            <w:tcW w:w="360" w:type="dxa"/>
            <w:tcBorders>
              <w:top w:val="single" w:color="auto" w:sz="8" w:space="0"/>
              <w:bottom w:val="single" w:color="auto" w:sz="8" w:space="0"/>
            </w:tcBorders>
            <w:vAlign w:val="bottom"/>
          </w:tcPr>
          <w:p>
            <w:pPr>
              <w:rPr>
                <w:sz w:val="24"/>
                <w:szCs w:val="24"/>
              </w:rPr>
            </w:pPr>
          </w:p>
        </w:tc>
        <w:tc>
          <w:tcPr>
            <w:tcW w:w="480" w:type="dxa"/>
            <w:tcBorders>
              <w:top w:val="single" w:color="auto" w:sz="8" w:space="0"/>
              <w:bottom w:val="single" w:color="auto" w:sz="8" w:space="0"/>
            </w:tcBorders>
            <w:vAlign w:val="bottom"/>
          </w:tcPr>
          <w:p>
            <w:pPr>
              <w:rPr>
                <w:sz w:val="24"/>
                <w:szCs w:val="24"/>
              </w:rPr>
            </w:pPr>
          </w:p>
        </w:tc>
        <w:tc>
          <w:tcPr>
            <w:tcW w:w="480" w:type="dxa"/>
            <w:tcBorders>
              <w:top w:val="single" w:color="auto" w:sz="8" w:space="0"/>
              <w:bottom w:val="single" w:color="auto" w:sz="8" w:space="0"/>
            </w:tcBorders>
            <w:vAlign w:val="bottom"/>
          </w:tcPr>
          <w:p>
            <w:pPr>
              <w:rPr>
                <w:sz w:val="24"/>
                <w:szCs w:val="24"/>
              </w:rPr>
            </w:pPr>
          </w:p>
        </w:tc>
        <w:tc>
          <w:tcPr>
            <w:tcW w:w="120" w:type="dxa"/>
            <w:tcBorders>
              <w:top w:val="single" w:color="auto" w:sz="8" w:space="0"/>
              <w:bottom w:val="single" w:color="auto" w:sz="8" w:space="0"/>
            </w:tcBorders>
            <w:vAlign w:val="bottom"/>
          </w:tcPr>
          <w:p>
            <w:pPr>
              <w:rPr>
                <w:sz w:val="24"/>
                <w:szCs w:val="24"/>
              </w:rPr>
            </w:pPr>
          </w:p>
        </w:tc>
        <w:tc>
          <w:tcPr>
            <w:tcW w:w="120" w:type="dxa"/>
            <w:tcBorders>
              <w:top w:val="single" w:color="auto" w:sz="8" w:space="0"/>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445" w:hRule="atLeast"/>
        </w:trPr>
        <w:tc>
          <w:tcPr>
            <w:tcW w:w="3600" w:type="dxa"/>
            <w:gridSpan w:val="10"/>
            <w:vAlign w:val="bottom"/>
          </w:tcPr>
          <w:p>
            <w:pPr>
              <w:spacing w:line="274" w:lineRule="exact"/>
              <w:rPr>
                <w:sz w:val="20"/>
                <w:szCs w:val="20"/>
              </w:rPr>
            </w:pPr>
            <w:r>
              <w:rPr>
                <w:rFonts w:ascii="宋体" w:hAnsi="宋体" w:eastAsia="宋体" w:cs="宋体"/>
                <w:sz w:val="24"/>
                <w:szCs w:val="24"/>
              </w:rPr>
              <w:t>质疑事项 2</w:t>
            </w:r>
          </w:p>
        </w:tc>
        <w:tc>
          <w:tcPr>
            <w:tcW w:w="96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480" w:type="dxa"/>
            <w:vAlign w:val="bottom"/>
          </w:tcPr>
          <w:p>
            <w:pPr>
              <w:rPr>
                <w:sz w:val="24"/>
                <w:szCs w:val="24"/>
              </w:rPr>
            </w:pPr>
          </w:p>
        </w:tc>
        <w:tc>
          <w:tcPr>
            <w:tcW w:w="48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467" w:hRule="atLeast"/>
        </w:trPr>
        <w:tc>
          <w:tcPr>
            <w:tcW w:w="3600" w:type="dxa"/>
            <w:gridSpan w:val="10"/>
            <w:vAlign w:val="bottom"/>
          </w:tcPr>
          <w:p>
            <w:pPr>
              <w:spacing w:line="274" w:lineRule="exact"/>
              <w:rPr>
                <w:sz w:val="20"/>
                <w:szCs w:val="20"/>
              </w:rPr>
            </w:pPr>
            <w:r>
              <w:rPr>
                <w:rFonts w:ascii="宋体" w:hAnsi="宋体" w:eastAsia="宋体" w:cs="宋体"/>
                <w:sz w:val="24"/>
                <w:szCs w:val="24"/>
              </w:rPr>
              <w:t>……</w:t>
            </w:r>
          </w:p>
        </w:tc>
        <w:tc>
          <w:tcPr>
            <w:tcW w:w="96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480" w:type="dxa"/>
            <w:vAlign w:val="bottom"/>
          </w:tcPr>
          <w:p>
            <w:pPr>
              <w:rPr>
                <w:sz w:val="24"/>
                <w:szCs w:val="24"/>
              </w:rPr>
            </w:pPr>
          </w:p>
        </w:tc>
        <w:tc>
          <w:tcPr>
            <w:tcW w:w="48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467" w:hRule="atLeast"/>
        </w:trPr>
        <w:tc>
          <w:tcPr>
            <w:tcW w:w="3600" w:type="dxa"/>
            <w:gridSpan w:val="10"/>
            <w:vAlign w:val="bottom"/>
          </w:tcPr>
          <w:p>
            <w:pPr>
              <w:spacing w:line="274" w:lineRule="exact"/>
              <w:rPr>
                <w:sz w:val="20"/>
                <w:szCs w:val="20"/>
              </w:rPr>
            </w:pPr>
            <w:r>
              <w:rPr>
                <w:rFonts w:ascii="宋体" w:hAnsi="宋体" w:eastAsia="宋体" w:cs="宋体"/>
                <w:sz w:val="24"/>
                <w:szCs w:val="24"/>
              </w:rPr>
              <w:t>四、与质疑事项相关的质疑请求</w:t>
            </w:r>
          </w:p>
        </w:tc>
        <w:tc>
          <w:tcPr>
            <w:tcW w:w="96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480" w:type="dxa"/>
            <w:vAlign w:val="bottom"/>
          </w:tcPr>
          <w:p>
            <w:pPr>
              <w:rPr>
                <w:sz w:val="24"/>
                <w:szCs w:val="24"/>
              </w:rPr>
            </w:pPr>
          </w:p>
        </w:tc>
        <w:tc>
          <w:tcPr>
            <w:tcW w:w="48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468" w:hRule="atLeast"/>
        </w:trPr>
        <w:tc>
          <w:tcPr>
            <w:tcW w:w="3600" w:type="dxa"/>
            <w:gridSpan w:val="10"/>
            <w:vAlign w:val="bottom"/>
          </w:tcPr>
          <w:p>
            <w:pPr>
              <w:spacing w:line="274" w:lineRule="exact"/>
              <w:rPr>
                <w:sz w:val="20"/>
                <w:szCs w:val="20"/>
              </w:rPr>
            </w:pPr>
            <w:r>
              <w:rPr>
                <w:rFonts w:ascii="宋体" w:hAnsi="宋体" w:eastAsia="宋体" w:cs="宋体"/>
                <w:sz w:val="24"/>
                <w:szCs w:val="24"/>
              </w:rPr>
              <w:t>请求：</w:t>
            </w:r>
          </w:p>
        </w:tc>
        <w:tc>
          <w:tcPr>
            <w:tcW w:w="96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480" w:type="dxa"/>
            <w:vAlign w:val="bottom"/>
          </w:tcPr>
          <w:p>
            <w:pPr>
              <w:rPr>
                <w:sz w:val="24"/>
                <w:szCs w:val="24"/>
              </w:rPr>
            </w:pPr>
          </w:p>
        </w:tc>
        <w:tc>
          <w:tcPr>
            <w:tcW w:w="48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20" w:hRule="atLeast"/>
        </w:trPr>
        <w:tc>
          <w:tcPr>
            <w:tcW w:w="720" w:type="dxa"/>
            <w:vAlign w:val="bottom"/>
          </w:tcPr>
          <w:p>
            <w:pPr>
              <w:spacing w:line="20" w:lineRule="exact"/>
              <w:rPr>
                <w:sz w:val="1"/>
                <w:szCs w:val="1"/>
              </w:rPr>
            </w:pPr>
          </w:p>
        </w:tc>
        <w:tc>
          <w:tcPr>
            <w:tcW w:w="2880" w:type="dxa"/>
            <w:gridSpan w:val="9"/>
            <w:shd w:val="clear" w:color="auto" w:fill="000000"/>
            <w:vAlign w:val="bottom"/>
          </w:tcPr>
          <w:p>
            <w:pPr>
              <w:spacing w:line="20" w:lineRule="exact"/>
              <w:rPr>
                <w:sz w:val="1"/>
                <w:szCs w:val="1"/>
              </w:rPr>
            </w:pPr>
          </w:p>
        </w:tc>
        <w:tc>
          <w:tcPr>
            <w:tcW w:w="2400" w:type="dxa"/>
            <w:gridSpan w:val="5"/>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120" w:type="dxa"/>
            <w:shd w:val="clear" w:color="auto" w:fill="000000"/>
            <w:vAlign w:val="bottom"/>
          </w:tcPr>
          <w:p>
            <w:pPr>
              <w:spacing w:line="20" w:lineRule="exact"/>
              <w:rPr>
                <w:sz w:val="1"/>
                <w:szCs w:val="1"/>
              </w:rPr>
            </w:pPr>
          </w:p>
        </w:tc>
        <w:tc>
          <w:tcPr>
            <w:tcW w:w="120" w:type="dxa"/>
            <w:tcBorders>
              <w:right w:val="single" w:color="auto" w:sz="8" w:space="0"/>
            </w:tcBorders>
            <w:shd w:val="clear" w:color="auto" w:fill="000000"/>
            <w:vAlign w:val="bottom"/>
          </w:tcPr>
          <w:p>
            <w:pPr>
              <w:spacing w:line="20" w:lineRule="exact"/>
              <w:rPr>
                <w:sz w:val="1"/>
                <w:szCs w:val="1"/>
              </w:rPr>
            </w:pPr>
          </w:p>
        </w:tc>
        <w:tc>
          <w:tcPr>
            <w:tcW w:w="120" w:type="dxa"/>
            <w:vAlign w:val="bottom"/>
          </w:tcPr>
          <w:p>
            <w:pPr>
              <w:spacing w:line="20" w:lineRule="exact"/>
              <w:rPr>
                <w:sz w:val="1"/>
                <w:szCs w:val="1"/>
              </w:rPr>
            </w:pPr>
          </w:p>
        </w:tc>
        <w:tc>
          <w:tcPr>
            <w:tcW w:w="120" w:type="dxa"/>
            <w:vAlign w:val="bottom"/>
          </w:tcPr>
          <w:p>
            <w:pPr>
              <w:spacing w:line="20" w:lineRule="exact"/>
              <w:rPr>
                <w:sz w:val="1"/>
                <w:szCs w:val="1"/>
              </w:rPr>
            </w:pPr>
          </w:p>
        </w:tc>
        <w:tc>
          <w:tcPr>
            <w:tcW w:w="360" w:type="dxa"/>
            <w:vAlign w:val="bottom"/>
          </w:tcPr>
          <w:p>
            <w:pPr>
              <w:spacing w:line="20" w:lineRule="exact"/>
              <w:rPr>
                <w:sz w:val="1"/>
                <w:szCs w:val="1"/>
              </w:rPr>
            </w:pPr>
          </w:p>
        </w:tc>
        <w:tc>
          <w:tcPr>
            <w:tcW w:w="120" w:type="dxa"/>
            <w:vAlign w:val="bottom"/>
          </w:tcPr>
          <w:p>
            <w:pPr>
              <w:spacing w:line="20" w:lineRule="exact"/>
              <w:rPr>
                <w:sz w:val="1"/>
                <w:szCs w:val="1"/>
              </w:rPr>
            </w:pPr>
          </w:p>
        </w:tc>
        <w:tc>
          <w:tcPr>
            <w:tcW w:w="1800" w:type="dxa"/>
            <w:vAlign w:val="bottom"/>
          </w:tcPr>
          <w:p>
            <w:pPr>
              <w:spacing w:line="20" w:lineRule="exact"/>
              <w:rPr>
                <w:sz w:val="1"/>
                <w:szCs w:val="1"/>
              </w:rPr>
            </w:pPr>
          </w:p>
        </w:tc>
      </w:tr>
      <w:tr>
        <w:tblPrEx>
          <w:tblCellMar>
            <w:top w:w="0" w:type="dxa"/>
            <w:left w:w="0" w:type="dxa"/>
            <w:bottom w:w="0" w:type="dxa"/>
            <w:right w:w="0" w:type="dxa"/>
          </w:tblCellMar>
        </w:tblPrEx>
        <w:trPr>
          <w:trHeight w:val="446" w:hRule="atLeast"/>
        </w:trPr>
        <w:tc>
          <w:tcPr>
            <w:tcW w:w="3600" w:type="dxa"/>
            <w:gridSpan w:val="10"/>
            <w:vAlign w:val="bottom"/>
          </w:tcPr>
          <w:p>
            <w:pPr>
              <w:spacing w:line="274" w:lineRule="exact"/>
              <w:rPr>
                <w:sz w:val="20"/>
                <w:szCs w:val="20"/>
              </w:rPr>
            </w:pPr>
            <w:r>
              <w:rPr>
                <w:rFonts w:ascii="宋体" w:hAnsi="宋体" w:eastAsia="宋体" w:cs="宋体"/>
                <w:sz w:val="24"/>
                <w:szCs w:val="24"/>
              </w:rPr>
              <w:t>签字(签章)：</w:t>
            </w:r>
          </w:p>
        </w:tc>
        <w:tc>
          <w:tcPr>
            <w:tcW w:w="2400" w:type="dxa"/>
            <w:gridSpan w:val="5"/>
            <w:vAlign w:val="bottom"/>
          </w:tcPr>
          <w:p>
            <w:pPr>
              <w:spacing w:line="274" w:lineRule="exact"/>
              <w:ind w:left="120"/>
              <w:rPr>
                <w:sz w:val="20"/>
                <w:szCs w:val="20"/>
              </w:rPr>
            </w:pPr>
            <w:r>
              <w:rPr>
                <w:rFonts w:ascii="宋体" w:hAnsi="宋体" w:eastAsia="宋体" w:cs="宋体"/>
                <w:sz w:val="24"/>
                <w:szCs w:val="24"/>
              </w:rPr>
              <w:t>公章：</w:t>
            </w: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r>
        <w:tblPrEx>
          <w:tblCellMar>
            <w:top w:w="0" w:type="dxa"/>
            <w:left w:w="0" w:type="dxa"/>
            <w:bottom w:w="0" w:type="dxa"/>
            <w:right w:w="0" w:type="dxa"/>
          </w:tblCellMar>
        </w:tblPrEx>
        <w:trPr>
          <w:trHeight w:val="312" w:hRule="atLeast"/>
        </w:trPr>
        <w:tc>
          <w:tcPr>
            <w:tcW w:w="3600" w:type="dxa"/>
            <w:gridSpan w:val="10"/>
            <w:vAlign w:val="bottom"/>
          </w:tcPr>
          <w:p>
            <w:pPr>
              <w:spacing w:line="274" w:lineRule="exact"/>
              <w:rPr>
                <w:sz w:val="20"/>
                <w:szCs w:val="20"/>
              </w:rPr>
            </w:pPr>
            <w:r>
              <w:rPr>
                <w:rFonts w:ascii="宋体" w:hAnsi="宋体" w:eastAsia="宋体" w:cs="宋体"/>
                <w:sz w:val="24"/>
                <w:szCs w:val="24"/>
              </w:rPr>
              <w:t>日期：</w:t>
            </w:r>
          </w:p>
        </w:tc>
        <w:tc>
          <w:tcPr>
            <w:tcW w:w="96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480" w:type="dxa"/>
            <w:vAlign w:val="bottom"/>
          </w:tcPr>
          <w:p>
            <w:pPr>
              <w:rPr>
                <w:sz w:val="24"/>
                <w:szCs w:val="24"/>
              </w:rPr>
            </w:pPr>
          </w:p>
        </w:tc>
        <w:tc>
          <w:tcPr>
            <w:tcW w:w="48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120" w:type="dxa"/>
            <w:vAlign w:val="bottom"/>
          </w:tcPr>
          <w:p>
            <w:pPr>
              <w:rPr>
                <w:sz w:val="24"/>
                <w:szCs w:val="24"/>
              </w:rPr>
            </w:pPr>
          </w:p>
        </w:tc>
        <w:tc>
          <w:tcPr>
            <w:tcW w:w="360" w:type="dxa"/>
            <w:vAlign w:val="bottom"/>
          </w:tcPr>
          <w:p>
            <w:pPr>
              <w:rPr>
                <w:sz w:val="24"/>
                <w:szCs w:val="24"/>
              </w:rPr>
            </w:pPr>
          </w:p>
        </w:tc>
        <w:tc>
          <w:tcPr>
            <w:tcW w:w="120" w:type="dxa"/>
            <w:vAlign w:val="bottom"/>
          </w:tcPr>
          <w:p>
            <w:pPr>
              <w:rPr>
                <w:sz w:val="24"/>
                <w:szCs w:val="24"/>
              </w:rPr>
            </w:pPr>
          </w:p>
        </w:tc>
        <w:tc>
          <w:tcPr>
            <w:tcW w:w="1800" w:type="dxa"/>
            <w:vAlign w:val="bottom"/>
          </w:tcPr>
          <w:p>
            <w:pPr>
              <w:rPr>
                <w:sz w:val="24"/>
                <w:szCs w:val="24"/>
              </w:rPr>
            </w:pPr>
          </w:p>
        </w:tc>
      </w:tr>
    </w:tbl>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52" w:lineRule="exact"/>
        <w:rPr>
          <w:sz w:val="20"/>
          <w:szCs w:val="20"/>
        </w:rPr>
      </w:pPr>
    </w:p>
    <w:p>
      <w:pPr>
        <w:spacing w:line="317" w:lineRule="exact"/>
        <w:rPr>
          <w:sz w:val="20"/>
          <w:szCs w:val="20"/>
        </w:rPr>
      </w:pPr>
      <w:bookmarkStart w:id="67" w:name="page39"/>
      <w:bookmarkEnd w:id="67"/>
    </w:p>
    <w:p>
      <w:pPr>
        <w:spacing w:line="274" w:lineRule="exact"/>
        <w:rPr>
          <w:sz w:val="20"/>
          <w:szCs w:val="20"/>
        </w:rPr>
      </w:pPr>
      <w:r>
        <w:rPr>
          <w:rFonts w:ascii="宋体" w:hAnsi="宋体" w:eastAsia="宋体" w:cs="宋体"/>
          <w:sz w:val="24"/>
          <w:szCs w:val="24"/>
        </w:rPr>
        <w:t>说明：</w:t>
      </w:r>
    </w:p>
    <w:p>
      <w:pPr>
        <w:spacing w:line="197" w:lineRule="exact"/>
        <w:rPr>
          <w:sz w:val="20"/>
          <w:szCs w:val="20"/>
        </w:rPr>
      </w:pPr>
    </w:p>
    <w:p>
      <w:pPr>
        <w:spacing w:line="274" w:lineRule="exact"/>
        <w:ind w:left="480"/>
        <w:rPr>
          <w:sz w:val="20"/>
          <w:szCs w:val="20"/>
        </w:rPr>
      </w:pPr>
      <w:r>
        <w:rPr>
          <w:rFonts w:ascii="宋体" w:hAnsi="宋体" w:eastAsia="宋体" w:cs="宋体"/>
          <w:sz w:val="24"/>
          <w:szCs w:val="24"/>
        </w:rPr>
        <w:t>1、供应商提出质疑时，应提交质疑函和必要的证明材料。</w:t>
      </w:r>
    </w:p>
    <w:p>
      <w:pPr>
        <w:spacing w:line="238" w:lineRule="exact"/>
        <w:rPr>
          <w:sz w:val="20"/>
          <w:szCs w:val="20"/>
        </w:rPr>
      </w:pPr>
    </w:p>
    <w:p>
      <w:pPr>
        <w:spacing w:line="263" w:lineRule="exact"/>
        <w:ind w:left="480"/>
        <w:rPr>
          <w:sz w:val="20"/>
          <w:szCs w:val="20"/>
        </w:rPr>
      </w:pPr>
      <w:r>
        <w:rPr>
          <w:rFonts w:ascii="宋体" w:hAnsi="宋体" w:eastAsia="宋体" w:cs="宋体"/>
          <w:sz w:val="23"/>
          <w:szCs w:val="23"/>
        </w:rPr>
        <w:t>2、质疑供应商若委托代理人进行质疑的，质疑函应按要求列明“授权代表”的有关内</w:t>
      </w:r>
    </w:p>
    <w:p>
      <w:pPr>
        <w:spacing w:line="225" w:lineRule="exact"/>
        <w:rPr>
          <w:sz w:val="20"/>
          <w:szCs w:val="20"/>
        </w:rPr>
      </w:pPr>
    </w:p>
    <w:p>
      <w:pPr>
        <w:spacing w:line="274" w:lineRule="exact"/>
        <w:rPr>
          <w:sz w:val="20"/>
          <w:szCs w:val="20"/>
        </w:rPr>
      </w:pPr>
      <w:r>
        <w:rPr>
          <w:rFonts w:ascii="宋体" w:hAnsi="宋体" w:eastAsia="宋体" w:cs="宋体"/>
          <w:sz w:val="24"/>
          <w:szCs w:val="24"/>
        </w:rPr>
        <w:t>容，并在附件中提交由质疑供应商签署的授权委托书。授权委托书应载明代理人的姓名或</w:t>
      </w:r>
    </w:p>
    <w:p>
      <w:pPr>
        <w:spacing w:line="227" w:lineRule="exact"/>
        <w:rPr>
          <w:sz w:val="20"/>
          <w:szCs w:val="20"/>
        </w:rPr>
      </w:pPr>
    </w:p>
    <w:p>
      <w:pPr>
        <w:spacing w:line="274" w:lineRule="exact"/>
        <w:rPr>
          <w:sz w:val="20"/>
          <w:szCs w:val="20"/>
        </w:rPr>
      </w:pPr>
      <w:r>
        <w:rPr>
          <w:rFonts w:ascii="宋体" w:hAnsi="宋体" w:eastAsia="宋体" w:cs="宋体"/>
          <w:sz w:val="24"/>
          <w:szCs w:val="24"/>
        </w:rPr>
        <w:t>者名称、代理事项、具体权限、期限和相关事项。</w:t>
      </w:r>
    </w:p>
    <w:p>
      <w:pPr>
        <w:spacing w:line="227" w:lineRule="exact"/>
        <w:rPr>
          <w:sz w:val="20"/>
          <w:szCs w:val="20"/>
        </w:rPr>
      </w:pPr>
    </w:p>
    <w:p>
      <w:pPr>
        <w:spacing w:line="274" w:lineRule="exact"/>
        <w:ind w:left="480"/>
        <w:rPr>
          <w:sz w:val="20"/>
          <w:szCs w:val="20"/>
        </w:rPr>
      </w:pPr>
      <w:r>
        <w:rPr>
          <w:rFonts w:ascii="宋体" w:hAnsi="宋体" w:eastAsia="宋体" w:cs="宋体"/>
          <w:sz w:val="24"/>
          <w:szCs w:val="24"/>
        </w:rPr>
        <w:t>3、质疑供应商若对项目的某一分包进行质疑，质疑函中应列明具体分包号。</w:t>
      </w:r>
    </w:p>
    <w:p>
      <w:pPr>
        <w:spacing w:line="225" w:lineRule="exact"/>
        <w:rPr>
          <w:sz w:val="20"/>
          <w:szCs w:val="20"/>
        </w:rPr>
      </w:pPr>
    </w:p>
    <w:p>
      <w:pPr>
        <w:spacing w:line="274" w:lineRule="exact"/>
        <w:ind w:left="480"/>
        <w:rPr>
          <w:sz w:val="20"/>
          <w:szCs w:val="20"/>
        </w:rPr>
      </w:pPr>
      <w:r>
        <w:rPr>
          <w:rFonts w:ascii="宋体" w:hAnsi="宋体" w:eastAsia="宋体" w:cs="宋体"/>
          <w:sz w:val="24"/>
          <w:szCs w:val="24"/>
        </w:rPr>
        <w:t>4、质疑函的质疑事项应具体、明确，并有必要的事实依据和法律依据。</w:t>
      </w:r>
    </w:p>
    <w:p>
      <w:pPr>
        <w:spacing w:line="227" w:lineRule="exact"/>
        <w:rPr>
          <w:sz w:val="20"/>
          <w:szCs w:val="20"/>
        </w:rPr>
      </w:pPr>
    </w:p>
    <w:p>
      <w:pPr>
        <w:spacing w:line="274" w:lineRule="exact"/>
        <w:ind w:left="480"/>
        <w:rPr>
          <w:sz w:val="20"/>
          <w:szCs w:val="20"/>
        </w:rPr>
      </w:pPr>
      <w:r>
        <w:rPr>
          <w:rFonts w:ascii="宋体" w:hAnsi="宋体" w:eastAsia="宋体" w:cs="宋体"/>
          <w:sz w:val="24"/>
          <w:szCs w:val="24"/>
        </w:rPr>
        <w:t>5、质疑函的质疑请求应与质疑事项相关。</w:t>
      </w:r>
    </w:p>
    <w:p>
      <w:pPr>
        <w:spacing w:line="238" w:lineRule="exact"/>
        <w:rPr>
          <w:sz w:val="20"/>
          <w:szCs w:val="20"/>
        </w:rPr>
      </w:pPr>
    </w:p>
    <w:p>
      <w:pPr>
        <w:spacing w:line="263" w:lineRule="exact"/>
        <w:ind w:left="480"/>
        <w:rPr>
          <w:sz w:val="20"/>
          <w:szCs w:val="20"/>
        </w:rPr>
      </w:pPr>
      <w:r>
        <w:rPr>
          <w:rFonts w:ascii="宋体" w:hAnsi="宋体" w:eastAsia="宋体" w:cs="宋体"/>
          <w:sz w:val="23"/>
          <w:szCs w:val="23"/>
        </w:rPr>
        <w:t>6、质疑供应商为自然人的，质疑函应由本人签字；质疑供应商为法人或者其他组织的，</w:t>
      </w:r>
    </w:p>
    <w:p>
      <w:pPr>
        <w:spacing w:line="225" w:lineRule="exact"/>
        <w:rPr>
          <w:sz w:val="20"/>
          <w:szCs w:val="20"/>
        </w:rPr>
      </w:pPr>
    </w:p>
    <w:p>
      <w:pPr>
        <w:spacing w:line="274" w:lineRule="exact"/>
        <w:rPr>
          <w:sz w:val="20"/>
          <w:szCs w:val="20"/>
        </w:rPr>
      </w:pPr>
      <w:r>
        <w:rPr>
          <w:rFonts w:ascii="宋体" w:hAnsi="宋体" w:eastAsia="宋体" w:cs="宋体"/>
          <w:sz w:val="24"/>
          <w:szCs w:val="24"/>
        </w:rPr>
        <w:t>质疑函应由法定代表人、主要负责人，或者其授权代表签字或者盖章，并加盖公章。</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jc w:val="both"/>
        <w:rPr>
          <w:rFonts w:ascii="宋体" w:hAnsi="宋体" w:eastAsia="宋体"/>
          <w:sz w:val="24"/>
          <w:szCs w:val="24"/>
        </w:rPr>
      </w:pPr>
    </w:p>
    <w:sectPr>
      <w:footerReference r:id="rId3" w:type="default"/>
      <w:pgSz w:w="11900" w:h="16838"/>
      <w:pgMar w:top="1440" w:right="1246" w:bottom="653" w:left="1240" w:header="0" w:footer="0" w:gutter="0"/>
      <w:cols w:equalWidth="0" w:num="1">
        <w:col w:w="94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monospace">
    <w:altName w:val="Segoe Print"/>
    <w:panose1 w:val="00000000000000000000"/>
    <w:charset w:val="00"/>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SimSun,Bold">
    <w:altName w:val="宋体"/>
    <w:panose1 w:val="00000000000000000000"/>
    <w:charset w:val="86"/>
    <w:family w:val="auto"/>
    <w:pitch w:val="default"/>
    <w:sig w:usb0="00000000" w:usb1="00000000" w:usb2="0000001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3B05B3"/>
    <w:multiLevelType w:val="singleLevel"/>
    <w:tmpl w:val="A43B05B3"/>
    <w:lvl w:ilvl="0" w:tentative="0">
      <w:start w:val="4"/>
      <w:numFmt w:val="chineseCounting"/>
      <w:suff w:val="nothing"/>
      <w:lvlText w:val="%1、"/>
      <w:lvlJc w:val="left"/>
      <w:rPr>
        <w:rFonts w:hint="eastAsia"/>
      </w:rPr>
    </w:lvl>
  </w:abstractNum>
  <w:abstractNum w:abstractNumId="1">
    <w:nsid w:val="BDD322D3"/>
    <w:multiLevelType w:val="singleLevel"/>
    <w:tmpl w:val="BDD322D3"/>
    <w:lvl w:ilvl="0" w:tentative="0">
      <w:start w:val="1"/>
      <w:numFmt w:val="decimal"/>
      <w:lvlText w:val="%1."/>
      <w:lvlJc w:val="left"/>
      <w:pPr>
        <w:tabs>
          <w:tab w:val="left" w:pos="312"/>
        </w:tabs>
      </w:pPr>
    </w:lvl>
  </w:abstractNum>
  <w:abstractNum w:abstractNumId="2">
    <w:nsid w:val="00000120"/>
    <w:multiLevelType w:val="singleLevel"/>
    <w:tmpl w:val="00000120"/>
    <w:lvl w:ilvl="0" w:tentative="0">
      <w:start w:val="14"/>
      <w:numFmt w:val="decimal"/>
      <w:lvlText w:val="%1."/>
      <w:lvlJc w:val="left"/>
    </w:lvl>
  </w:abstractNum>
  <w:abstractNum w:abstractNumId="3">
    <w:nsid w:val="0000030A"/>
    <w:multiLevelType w:val="singleLevel"/>
    <w:tmpl w:val="0000030A"/>
    <w:lvl w:ilvl="0" w:tentative="0">
      <w:start w:val="10"/>
      <w:numFmt w:val="decimal"/>
      <w:lvlText w:val="%1."/>
      <w:lvlJc w:val="left"/>
    </w:lvl>
  </w:abstractNum>
  <w:abstractNum w:abstractNumId="4">
    <w:nsid w:val="00000732"/>
    <w:multiLevelType w:val="singleLevel"/>
    <w:tmpl w:val="00000732"/>
    <w:lvl w:ilvl="0" w:tentative="0">
      <w:start w:val="13"/>
      <w:numFmt w:val="decimal"/>
      <w:lvlText w:val="%1."/>
      <w:lvlJc w:val="left"/>
    </w:lvl>
  </w:abstractNum>
  <w:abstractNum w:abstractNumId="5">
    <w:nsid w:val="00000DDC"/>
    <w:multiLevelType w:val="singleLevel"/>
    <w:tmpl w:val="00000DDC"/>
    <w:lvl w:ilvl="0" w:tentative="0">
      <w:start w:val="30"/>
      <w:numFmt w:val="decimal"/>
      <w:lvlText w:val="%1."/>
      <w:lvlJc w:val="left"/>
    </w:lvl>
  </w:abstractNum>
  <w:abstractNum w:abstractNumId="6">
    <w:nsid w:val="00001366"/>
    <w:multiLevelType w:val="singleLevel"/>
    <w:tmpl w:val="00001366"/>
    <w:lvl w:ilvl="0" w:tentative="0">
      <w:start w:val="1"/>
      <w:numFmt w:val="decimal"/>
      <w:lvlText w:val="%1."/>
      <w:lvlJc w:val="left"/>
    </w:lvl>
  </w:abstractNum>
  <w:abstractNum w:abstractNumId="7">
    <w:nsid w:val="00001A49"/>
    <w:multiLevelType w:val="singleLevel"/>
    <w:tmpl w:val="00001A49"/>
    <w:lvl w:ilvl="0" w:tentative="0">
      <w:start w:val="24"/>
      <w:numFmt w:val="decimal"/>
      <w:lvlText w:val="%1."/>
      <w:lvlJc w:val="left"/>
    </w:lvl>
  </w:abstractNum>
  <w:abstractNum w:abstractNumId="8">
    <w:nsid w:val="00001CD0"/>
    <w:multiLevelType w:val="singleLevel"/>
    <w:tmpl w:val="00001CD0"/>
    <w:lvl w:ilvl="0" w:tentative="0">
      <w:start w:val="2"/>
      <w:numFmt w:val="decimal"/>
      <w:lvlText w:val="%1."/>
      <w:lvlJc w:val="left"/>
    </w:lvl>
  </w:abstractNum>
  <w:abstractNum w:abstractNumId="9">
    <w:nsid w:val="00002213"/>
    <w:multiLevelType w:val="singleLevel"/>
    <w:tmpl w:val="00002213"/>
    <w:lvl w:ilvl="0" w:tentative="0">
      <w:start w:val="7"/>
      <w:numFmt w:val="decimal"/>
      <w:lvlText w:val="%1."/>
      <w:lvlJc w:val="left"/>
    </w:lvl>
  </w:abstractNum>
  <w:abstractNum w:abstractNumId="10">
    <w:nsid w:val="000022EE"/>
    <w:multiLevelType w:val="singleLevel"/>
    <w:tmpl w:val="000022EE"/>
    <w:lvl w:ilvl="0" w:tentative="0">
      <w:start w:val="17"/>
      <w:numFmt w:val="decimal"/>
      <w:lvlText w:val="%1."/>
      <w:lvlJc w:val="left"/>
    </w:lvl>
  </w:abstractNum>
  <w:abstractNum w:abstractNumId="11">
    <w:nsid w:val="00002350"/>
    <w:multiLevelType w:val="singleLevel"/>
    <w:tmpl w:val="00002350"/>
    <w:lvl w:ilvl="0" w:tentative="0">
      <w:start w:val="16"/>
      <w:numFmt w:val="decimal"/>
      <w:lvlText w:val="%1."/>
      <w:lvlJc w:val="left"/>
    </w:lvl>
  </w:abstractNum>
  <w:abstractNum w:abstractNumId="12">
    <w:nsid w:val="0000260D"/>
    <w:multiLevelType w:val="singleLevel"/>
    <w:tmpl w:val="0000260D"/>
    <w:lvl w:ilvl="0" w:tentative="0">
      <w:start w:val="8"/>
      <w:numFmt w:val="decimal"/>
      <w:lvlText w:val="%1."/>
      <w:lvlJc w:val="left"/>
    </w:lvl>
  </w:abstractNum>
  <w:abstractNum w:abstractNumId="13">
    <w:nsid w:val="0000323B"/>
    <w:multiLevelType w:val="singleLevel"/>
    <w:tmpl w:val="0000323B"/>
    <w:lvl w:ilvl="0" w:tentative="0">
      <w:start w:val="6"/>
      <w:numFmt w:val="decimal"/>
      <w:lvlText w:val="%1."/>
      <w:lvlJc w:val="left"/>
    </w:lvl>
  </w:abstractNum>
  <w:abstractNum w:abstractNumId="14">
    <w:nsid w:val="0000366B"/>
    <w:multiLevelType w:val="singleLevel"/>
    <w:tmpl w:val="0000366B"/>
    <w:lvl w:ilvl="0" w:tentative="0">
      <w:start w:val="1"/>
      <w:numFmt w:val="decimal"/>
      <w:lvlText w:val="%1."/>
      <w:lvlJc w:val="left"/>
    </w:lvl>
  </w:abstractNum>
  <w:abstractNum w:abstractNumId="15">
    <w:nsid w:val="00003A9E"/>
    <w:multiLevelType w:val="singleLevel"/>
    <w:tmpl w:val="00003A9E"/>
    <w:lvl w:ilvl="0" w:tentative="0">
      <w:start w:val="27"/>
      <w:numFmt w:val="decimal"/>
      <w:lvlText w:val="%1."/>
      <w:lvlJc w:val="left"/>
    </w:lvl>
  </w:abstractNum>
  <w:abstractNum w:abstractNumId="16">
    <w:nsid w:val="00003BF6"/>
    <w:multiLevelType w:val="singleLevel"/>
    <w:tmpl w:val="00003BF6"/>
    <w:lvl w:ilvl="0" w:tentative="0">
      <w:start w:val="26"/>
      <w:numFmt w:val="decimal"/>
      <w:lvlText w:val="%1."/>
      <w:lvlJc w:val="left"/>
    </w:lvl>
  </w:abstractNum>
  <w:abstractNum w:abstractNumId="17">
    <w:nsid w:val="00003E12"/>
    <w:multiLevelType w:val="singleLevel"/>
    <w:tmpl w:val="00003E12"/>
    <w:lvl w:ilvl="0" w:tentative="0">
      <w:start w:val="23"/>
      <w:numFmt w:val="decimal"/>
      <w:lvlText w:val="%1."/>
      <w:lvlJc w:val="left"/>
    </w:lvl>
  </w:abstractNum>
  <w:abstractNum w:abstractNumId="18">
    <w:nsid w:val="00004230"/>
    <w:multiLevelType w:val="multilevel"/>
    <w:tmpl w:val="00004230"/>
    <w:lvl w:ilvl="0" w:tentative="0">
      <w:start w:val="1"/>
      <w:numFmt w:val="decimal"/>
      <w:lvlText w:val="%1."/>
      <w:lvlJc w:val="left"/>
    </w:lvl>
    <w:lvl w:ilvl="1" w:tentative="0">
      <w:start w:val="3"/>
      <w:numFmt w:val="decimal"/>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00004944"/>
    <w:multiLevelType w:val="multilevel"/>
    <w:tmpl w:val="00004944"/>
    <w:lvl w:ilvl="0" w:tentative="0">
      <w:start w:val="1"/>
      <w:numFmt w:val="decimal"/>
      <w:lvlText w:val="%1"/>
      <w:lvlJc w:val="left"/>
    </w:lvl>
    <w:lvl w:ilvl="1" w:tentative="0">
      <w:start w:val="5"/>
      <w:numFmt w:val="decimal"/>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00004B40"/>
    <w:multiLevelType w:val="singleLevel"/>
    <w:tmpl w:val="00004B40"/>
    <w:lvl w:ilvl="0" w:tentative="0">
      <w:start w:val="18"/>
      <w:numFmt w:val="decimal"/>
      <w:lvlText w:val="%1."/>
      <w:lvlJc w:val="left"/>
    </w:lvl>
  </w:abstractNum>
  <w:abstractNum w:abstractNumId="21">
    <w:nsid w:val="00004CAD"/>
    <w:multiLevelType w:val="singleLevel"/>
    <w:tmpl w:val="00004CAD"/>
    <w:lvl w:ilvl="0" w:tentative="0">
      <w:start w:val="31"/>
      <w:numFmt w:val="decimal"/>
      <w:lvlText w:val="%1."/>
      <w:lvlJc w:val="left"/>
    </w:lvl>
  </w:abstractNum>
  <w:abstractNum w:abstractNumId="22">
    <w:nsid w:val="00004DF2"/>
    <w:multiLevelType w:val="multilevel"/>
    <w:tmpl w:val="00004DF2"/>
    <w:lvl w:ilvl="0" w:tentative="0">
      <w:start w:val="2"/>
      <w:numFmt w:val="decimal"/>
      <w:lvlText w:val="%1."/>
      <w:lvlJc w:val="left"/>
    </w:lvl>
    <w:lvl w:ilvl="1" w:tentative="0">
      <w:start w:val="3"/>
      <w:numFmt w:val="decimal"/>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3">
    <w:nsid w:val="00004E45"/>
    <w:multiLevelType w:val="singleLevel"/>
    <w:tmpl w:val="00004E45"/>
    <w:lvl w:ilvl="0" w:tentative="0">
      <w:start w:val="5"/>
      <w:numFmt w:val="decimal"/>
      <w:lvlText w:val="%1."/>
      <w:lvlJc w:val="left"/>
    </w:lvl>
  </w:abstractNum>
  <w:abstractNum w:abstractNumId="24">
    <w:nsid w:val="000056AE"/>
    <w:multiLevelType w:val="singleLevel"/>
    <w:tmpl w:val="000056AE"/>
    <w:lvl w:ilvl="0" w:tentative="0">
      <w:start w:val="12"/>
      <w:numFmt w:val="decimal"/>
      <w:lvlText w:val="%1."/>
      <w:lvlJc w:val="left"/>
    </w:lvl>
  </w:abstractNum>
  <w:abstractNum w:abstractNumId="25">
    <w:nsid w:val="00005878"/>
    <w:multiLevelType w:val="singleLevel"/>
    <w:tmpl w:val="00005878"/>
    <w:lvl w:ilvl="0" w:tentative="0">
      <w:start w:val="19"/>
      <w:numFmt w:val="decimal"/>
      <w:lvlText w:val="%1."/>
      <w:lvlJc w:val="left"/>
    </w:lvl>
  </w:abstractNum>
  <w:abstractNum w:abstractNumId="26">
    <w:nsid w:val="00005CFD"/>
    <w:multiLevelType w:val="singleLevel"/>
    <w:tmpl w:val="00005CFD"/>
    <w:lvl w:ilvl="0" w:tentative="0">
      <w:start w:val="22"/>
      <w:numFmt w:val="decimal"/>
      <w:lvlText w:val="%1."/>
      <w:lvlJc w:val="left"/>
    </w:lvl>
  </w:abstractNum>
  <w:abstractNum w:abstractNumId="27">
    <w:nsid w:val="00005E14"/>
    <w:multiLevelType w:val="multilevel"/>
    <w:tmpl w:val="00005E14"/>
    <w:lvl w:ilvl="0" w:tentative="0">
      <w:start w:val="1"/>
      <w:numFmt w:val="decimal"/>
      <w:lvlText w:val="%1"/>
      <w:lvlJc w:val="left"/>
    </w:lvl>
    <w:lvl w:ilvl="1" w:tentative="0">
      <w:start w:val="1"/>
      <w:numFmt w:val="decimal"/>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8">
    <w:nsid w:val="00005F32"/>
    <w:multiLevelType w:val="singleLevel"/>
    <w:tmpl w:val="00005F32"/>
    <w:lvl w:ilvl="0" w:tentative="0">
      <w:start w:val="25"/>
      <w:numFmt w:val="decimal"/>
      <w:lvlText w:val="%1."/>
      <w:lvlJc w:val="left"/>
    </w:lvl>
  </w:abstractNum>
  <w:abstractNum w:abstractNumId="29">
    <w:nsid w:val="00005F49"/>
    <w:multiLevelType w:val="singleLevel"/>
    <w:tmpl w:val="00005F49"/>
    <w:lvl w:ilvl="0" w:tentative="0">
      <w:start w:val="29"/>
      <w:numFmt w:val="decimal"/>
      <w:lvlText w:val="%1."/>
      <w:lvlJc w:val="left"/>
    </w:lvl>
  </w:abstractNum>
  <w:abstractNum w:abstractNumId="30">
    <w:nsid w:val="00006032"/>
    <w:multiLevelType w:val="singleLevel"/>
    <w:tmpl w:val="00006032"/>
    <w:lvl w:ilvl="0" w:tentative="0">
      <w:start w:val="1"/>
      <w:numFmt w:val="decimal"/>
      <w:lvlText w:val="%1."/>
      <w:lvlJc w:val="left"/>
    </w:lvl>
  </w:abstractNum>
  <w:abstractNum w:abstractNumId="31">
    <w:nsid w:val="000063CB"/>
    <w:multiLevelType w:val="singleLevel"/>
    <w:tmpl w:val="000063CB"/>
    <w:lvl w:ilvl="0" w:tentative="0">
      <w:start w:val="1"/>
      <w:numFmt w:val="decimal"/>
      <w:lvlText w:val="%1."/>
      <w:lvlJc w:val="left"/>
    </w:lvl>
  </w:abstractNum>
  <w:abstractNum w:abstractNumId="32">
    <w:nsid w:val="000066C4"/>
    <w:multiLevelType w:val="multilevel"/>
    <w:tmpl w:val="000066C4"/>
    <w:lvl w:ilvl="0" w:tentative="0">
      <w:start w:val="1"/>
      <w:numFmt w:val="decimal"/>
      <w:lvlText w:val="%1"/>
      <w:lvlJc w:val="left"/>
    </w:lvl>
    <w:lvl w:ilvl="1" w:tentative="0">
      <w:start w:val="2"/>
      <w:numFmt w:val="decimal"/>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3">
    <w:nsid w:val="00006B36"/>
    <w:multiLevelType w:val="singleLevel"/>
    <w:tmpl w:val="00006B36"/>
    <w:lvl w:ilvl="0" w:tentative="0">
      <w:start w:val="20"/>
      <w:numFmt w:val="decimal"/>
      <w:lvlText w:val="%1."/>
      <w:lvlJc w:val="left"/>
    </w:lvl>
  </w:abstractNum>
  <w:abstractNum w:abstractNumId="34">
    <w:nsid w:val="00006B89"/>
    <w:multiLevelType w:val="singleLevel"/>
    <w:tmpl w:val="00006B89"/>
    <w:lvl w:ilvl="0" w:tentative="0">
      <w:start w:val="9"/>
      <w:numFmt w:val="decimal"/>
      <w:lvlText w:val="%1."/>
      <w:lvlJc w:val="left"/>
    </w:lvl>
  </w:abstractNum>
  <w:abstractNum w:abstractNumId="35">
    <w:nsid w:val="00006BFC"/>
    <w:multiLevelType w:val="singleLevel"/>
    <w:tmpl w:val="00006BFC"/>
    <w:lvl w:ilvl="0" w:tentative="0">
      <w:start w:val="2"/>
      <w:numFmt w:val="decimal"/>
      <w:lvlText w:val="%1."/>
      <w:lvlJc w:val="left"/>
    </w:lvl>
  </w:abstractNum>
  <w:abstractNum w:abstractNumId="36">
    <w:nsid w:val="0000759A"/>
    <w:multiLevelType w:val="singleLevel"/>
    <w:tmpl w:val="0000759A"/>
    <w:lvl w:ilvl="0" w:tentative="0">
      <w:start w:val="15"/>
      <w:numFmt w:val="decimal"/>
      <w:lvlText w:val="%1."/>
      <w:lvlJc w:val="left"/>
    </w:lvl>
  </w:abstractNum>
  <w:abstractNum w:abstractNumId="37">
    <w:nsid w:val="0000797D"/>
    <w:multiLevelType w:val="singleLevel"/>
    <w:tmpl w:val="0000797D"/>
    <w:lvl w:ilvl="0" w:tentative="0">
      <w:start w:val="28"/>
      <w:numFmt w:val="decimal"/>
      <w:lvlText w:val="%1."/>
      <w:lvlJc w:val="left"/>
    </w:lvl>
  </w:abstractNum>
  <w:abstractNum w:abstractNumId="38">
    <w:nsid w:val="00007EB7"/>
    <w:multiLevelType w:val="singleLevel"/>
    <w:tmpl w:val="00007EB7"/>
    <w:lvl w:ilvl="0" w:tentative="0">
      <w:start w:val="1"/>
      <w:numFmt w:val="decimal"/>
      <w:lvlText w:val="%1."/>
      <w:lvlJc w:val="left"/>
    </w:lvl>
  </w:abstractNum>
  <w:abstractNum w:abstractNumId="39">
    <w:nsid w:val="00007F96"/>
    <w:multiLevelType w:val="singleLevel"/>
    <w:tmpl w:val="00007F96"/>
    <w:lvl w:ilvl="0" w:tentative="0">
      <w:start w:val="3"/>
      <w:numFmt w:val="decimal"/>
      <w:lvlText w:val="%1."/>
      <w:lvlJc w:val="left"/>
    </w:lvl>
  </w:abstractNum>
  <w:abstractNum w:abstractNumId="40">
    <w:nsid w:val="00007FF5"/>
    <w:multiLevelType w:val="singleLevel"/>
    <w:tmpl w:val="00007FF5"/>
    <w:lvl w:ilvl="0" w:tentative="0">
      <w:start w:val="4"/>
      <w:numFmt w:val="decimal"/>
      <w:lvlText w:val="%1."/>
      <w:lvlJc w:val="left"/>
    </w:lvl>
  </w:abstractNum>
  <w:abstractNum w:abstractNumId="41">
    <w:nsid w:val="2CB8F823"/>
    <w:multiLevelType w:val="singleLevel"/>
    <w:tmpl w:val="2CB8F823"/>
    <w:lvl w:ilvl="0" w:tentative="0">
      <w:start w:val="6"/>
      <w:numFmt w:val="decimal"/>
      <w:suff w:val="nothing"/>
      <w:lvlText w:val="（%1）"/>
      <w:lvlJc w:val="left"/>
    </w:lvl>
  </w:abstractNum>
  <w:num w:numId="1">
    <w:abstractNumId w:val="0"/>
  </w:num>
  <w:num w:numId="2">
    <w:abstractNumId w:val="31"/>
  </w:num>
  <w:num w:numId="3">
    <w:abstractNumId w:val="35"/>
  </w:num>
  <w:num w:numId="4">
    <w:abstractNumId w:val="39"/>
  </w:num>
  <w:num w:numId="5">
    <w:abstractNumId w:val="40"/>
  </w:num>
  <w:num w:numId="6">
    <w:abstractNumId w:val="23"/>
  </w:num>
  <w:num w:numId="7">
    <w:abstractNumId w:val="13"/>
  </w:num>
  <w:num w:numId="8">
    <w:abstractNumId w:val="9"/>
  </w:num>
  <w:num w:numId="9">
    <w:abstractNumId w:val="12"/>
  </w:num>
  <w:num w:numId="10">
    <w:abstractNumId w:val="34"/>
  </w:num>
  <w:num w:numId="11">
    <w:abstractNumId w:val="3"/>
  </w:num>
  <w:num w:numId="12">
    <w:abstractNumId w:val="41"/>
  </w:num>
  <w:num w:numId="13">
    <w:abstractNumId w:val="24"/>
  </w:num>
  <w:num w:numId="14">
    <w:abstractNumId w:val="4"/>
  </w:num>
  <w:num w:numId="15">
    <w:abstractNumId w:val="2"/>
  </w:num>
  <w:num w:numId="16">
    <w:abstractNumId w:val="36"/>
  </w:num>
  <w:num w:numId="17">
    <w:abstractNumId w:val="11"/>
  </w:num>
  <w:num w:numId="18">
    <w:abstractNumId w:val="10"/>
  </w:num>
  <w:num w:numId="19">
    <w:abstractNumId w:val="20"/>
  </w:num>
  <w:num w:numId="20">
    <w:abstractNumId w:val="25"/>
  </w:num>
  <w:num w:numId="21">
    <w:abstractNumId w:val="33"/>
  </w:num>
  <w:num w:numId="22">
    <w:abstractNumId w:val="26"/>
  </w:num>
  <w:num w:numId="23">
    <w:abstractNumId w:val="17"/>
  </w:num>
  <w:num w:numId="24">
    <w:abstractNumId w:val="7"/>
  </w:num>
  <w:num w:numId="25">
    <w:abstractNumId w:val="28"/>
  </w:num>
  <w:num w:numId="26">
    <w:abstractNumId w:val="16"/>
  </w:num>
  <w:num w:numId="27">
    <w:abstractNumId w:val="15"/>
  </w:num>
  <w:num w:numId="28">
    <w:abstractNumId w:val="37"/>
  </w:num>
  <w:num w:numId="29">
    <w:abstractNumId w:val="29"/>
  </w:num>
  <w:num w:numId="30">
    <w:abstractNumId w:val="5"/>
  </w:num>
  <w:num w:numId="31">
    <w:abstractNumId w:val="21"/>
  </w:num>
  <w:num w:numId="32">
    <w:abstractNumId w:val="1"/>
  </w:num>
  <w:num w:numId="33">
    <w:abstractNumId w:val="27"/>
  </w:num>
  <w:num w:numId="34">
    <w:abstractNumId w:val="22"/>
  </w:num>
  <w:num w:numId="35">
    <w:abstractNumId w:val="19"/>
  </w:num>
  <w:num w:numId="36">
    <w:abstractNumId w:val="6"/>
  </w:num>
  <w:num w:numId="37">
    <w:abstractNumId w:val="8"/>
  </w:num>
  <w:num w:numId="38">
    <w:abstractNumId w:val="14"/>
  </w:num>
  <w:num w:numId="39">
    <w:abstractNumId w:val="32"/>
  </w:num>
  <w:num w:numId="40">
    <w:abstractNumId w:val="18"/>
  </w:num>
  <w:num w:numId="41">
    <w:abstractNumId w:val="3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AF4E3E"/>
    <w:rsid w:val="00033AD2"/>
    <w:rsid w:val="0005157B"/>
    <w:rsid w:val="001B0F43"/>
    <w:rsid w:val="00231472"/>
    <w:rsid w:val="00241CE8"/>
    <w:rsid w:val="00242D32"/>
    <w:rsid w:val="0030017C"/>
    <w:rsid w:val="00306ADF"/>
    <w:rsid w:val="0032656B"/>
    <w:rsid w:val="003C3BDD"/>
    <w:rsid w:val="005275BC"/>
    <w:rsid w:val="00534E2E"/>
    <w:rsid w:val="00597E20"/>
    <w:rsid w:val="005D32F8"/>
    <w:rsid w:val="006140B1"/>
    <w:rsid w:val="006457F2"/>
    <w:rsid w:val="00687F7D"/>
    <w:rsid w:val="006D01A9"/>
    <w:rsid w:val="006E184B"/>
    <w:rsid w:val="00795E7F"/>
    <w:rsid w:val="007B6378"/>
    <w:rsid w:val="009616F0"/>
    <w:rsid w:val="009679CC"/>
    <w:rsid w:val="009A2F78"/>
    <w:rsid w:val="00AF4E3E"/>
    <w:rsid w:val="00BC38AD"/>
    <w:rsid w:val="00C766AD"/>
    <w:rsid w:val="00C81228"/>
    <w:rsid w:val="00D64B2E"/>
    <w:rsid w:val="00D90975"/>
    <w:rsid w:val="00D91B8A"/>
    <w:rsid w:val="00E23E1D"/>
    <w:rsid w:val="00E83FE3"/>
    <w:rsid w:val="00F11990"/>
    <w:rsid w:val="0164241B"/>
    <w:rsid w:val="01F07C03"/>
    <w:rsid w:val="0257479E"/>
    <w:rsid w:val="02E14E16"/>
    <w:rsid w:val="047B6243"/>
    <w:rsid w:val="06D27479"/>
    <w:rsid w:val="071D0EB8"/>
    <w:rsid w:val="07967AD2"/>
    <w:rsid w:val="0857105E"/>
    <w:rsid w:val="09376011"/>
    <w:rsid w:val="0A1B46BD"/>
    <w:rsid w:val="0A8402CD"/>
    <w:rsid w:val="0C2F15A0"/>
    <w:rsid w:val="0CA05994"/>
    <w:rsid w:val="0CB04E17"/>
    <w:rsid w:val="0CB23BD3"/>
    <w:rsid w:val="0E100915"/>
    <w:rsid w:val="0EDD67BD"/>
    <w:rsid w:val="0F76022D"/>
    <w:rsid w:val="11FC76EB"/>
    <w:rsid w:val="12447E9B"/>
    <w:rsid w:val="12954BED"/>
    <w:rsid w:val="12EB5A73"/>
    <w:rsid w:val="13296C19"/>
    <w:rsid w:val="13A3360D"/>
    <w:rsid w:val="142173C8"/>
    <w:rsid w:val="151C3BB1"/>
    <w:rsid w:val="178B169C"/>
    <w:rsid w:val="1A8F4974"/>
    <w:rsid w:val="1B793A17"/>
    <w:rsid w:val="1D264AC1"/>
    <w:rsid w:val="1D820AC1"/>
    <w:rsid w:val="1E593D64"/>
    <w:rsid w:val="1FCE795B"/>
    <w:rsid w:val="205F58C1"/>
    <w:rsid w:val="20911F5B"/>
    <w:rsid w:val="20B45E0B"/>
    <w:rsid w:val="217713BC"/>
    <w:rsid w:val="21A462AE"/>
    <w:rsid w:val="23D11967"/>
    <w:rsid w:val="24287218"/>
    <w:rsid w:val="24D1123D"/>
    <w:rsid w:val="25627490"/>
    <w:rsid w:val="25CE51DA"/>
    <w:rsid w:val="26936574"/>
    <w:rsid w:val="26972EC9"/>
    <w:rsid w:val="26C70811"/>
    <w:rsid w:val="28B96EC0"/>
    <w:rsid w:val="28C80F3C"/>
    <w:rsid w:val="29A80167"/>
    <w:rsid w:val="29DC7DC1"/>
    <w:rsid w:val="2AE1201A"/>
    <w:rsid w:val="2B2D228C"/>
    <w:rsid w:val="2D6075C5"/>
    <w:rsid w:val="30747B7A"/>
    <w:rsid w:val="32510943"/>
    <w:rsid w:val="35657EB3"/>
    <w:rsid w:val="378245C5"/>
    <w:rsid w:val="393D4ACB"/>
    <w:rsid w:val="3B405D21"/>
    <w:rsid w:val="3B624859"/>
    <w:rsid w:val="3DF11C25"/>
    <w:rsid w:val="3ED912DE"/>
    <w:rsid w:val="3F710FE5"/>
    <w:rsid w:val="3FC25C8A"/>
    <w:rsid w:val="40B83470"/>
    <w:rsid w:val="416F6DD2"/>
    <w:rsid w:val="42253039"/>
    <w:rsid w:val="42E82C1A"/>
    <w:rsid w:val="43267A58"/>
    <w:rsid w:val="432F45C7"/>
    <w:rsid w:val="43716976"/>
    <w:rsid w:val="43A4208B"/>
    <w:rsid w:val="45F3716B"/>
    <w:rsid w:val="4AEF5318"/>
    <w:rsid w:val="4C3F2086"/>
    <w:rsid w:val="4D0B5D82"/>
    <w:rsid w:val="4D75484F"/>
    <w:rsid w:val="4DCC3A7C"/>
    <w:rsid w:val="4E7A066A"/>
    <w:rsid w:val="4F25064D"/>
    <w:rsid w:val="4F630181"/>
    <w:rsid w:val="50086C6F"/>
    <w:rsid w:val="50824A75"/>
    <w:rsid w:val="511848D7"/>
    <w:rsid w:val="51A8767D"/>
    <w:rsid w:val="562922B2"/>
    <w:rsid w:val="564029B8"/>
    <w:rsid w:val="56891FE6"/>
    <w:rsid w:val="57681C91"/>
    <w:rsid w:val="578843CD"/>
    <w:rsid w:val="58A406EE"/>
    <w:rsid w:val="58AF3D78"/>
    <w:rsid w:val="59530617"/>
    <w:rsid w:val="5976751A"/>
    <w:rsid w:val="5B503A1B"/>
    <w:rsid w:val="5C6C1CA5"/>
    <w:rsid w:val="5E3E59F9"/>
    <w:rsid w:val="5E5A5B70"/>
    <w:rsid w:val="5EFD03F7"/>
    <w:rsid w:val="60102424"/>
    <w:rsid w:val="61B97F43"/>
    <w:rsid w:val="61FC5B16"/>
    <w:rsid w:val="620F51D0"/>
    <w:rsid w:val="667A3434"/>
    <w:rsid w:val="66F25493"/>
    <w:rsid w:val="670A469F"/>
    <w:rsid w:val="68EB5E7A"/>
    <w:rsid w:val="694019BA"/>
    <w:rsid w:val="69DC50A6"/>
    <w:rsid w:val="6A1D456A"/>
    <w:rsid w:val="6A694A73"/>
    <w:rsid w:val="6B7872E4"/>
    <w:rsid w:val="6BC70E82"/>
    <w:rsid w:val="6C520CBE"/>
    <w:rsid w:val="6D0E1E42"/>
    <w:rsid w:val="6E3411FF"/>
    <w:rsid w:val="70506013"/>
    <w:rsid w:val="72E3225A"/>
    <w:rsid w:val="73634167"/>
    <w:rsid w:val="7444633D"/>
    <w:rsid w:val="7504241D"/>
    <w:rsid w:val="75382E3E"/>
    <w:rsid w:val="76891AED"/>
    <w:rsid w:val="79707C8A"/>
    <w:rsid w:val="79920884"/>
    <w:rsid w:val="7A6A103E"/>
    <w:rsid w:val="7A7377AB"/>
    <w:rsid w:val="7AEE50C1"/>
    <w:rsid w:val="7B2B0445"/>
    <w:rsid w:val="7C667516"/>
    <w:rsid w:val="7D7D13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sz w:val="22"/>
      <w:szCs w:val="22"/>
      <w:lang w:val="en-US" w:eastAsia="zh-CN" w:bidi="ar-SA"/>
    </w:rPr>
  </w:style>
  <w:style w:type="paragraph" w:styleId="3">
    <w:name w:val="heading 1"/>
    <w:basedOn w:val="1"/>
    <w:next w:val="1"/>
    <w:qFormat/>
    <w:uiPriority w:val="0"/>
    <w:pPr>
      <w:keepNext/>
      <w:keepLines/>
      <w:spacing w:line="360" w:lineRule="auto"/>
      <w:outlineLvl w:val="0"/>
    </w:pPr>
    <w:rPr>
      <w:rFonts w:ascii="Arial Black" w:hAnsi="Arial Black"/>
      <w:b/>
      <w:spacing w:val="20"/>
      <w:sz w:val="44"/>
      <w:szCs w:val="20"/>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pPr>
    <w:rPr>
      <w:sz w:val="18"/>
    </w:rPr>
  </w:style>
  <w:style w:type="paragraph" w:styleId="5">
    <w:name w:val="Body Text"/>
    <w:basedOn w:val="1"/>
    <w:next w:val="1"/>
    <w:qFormat/>
    <w:uiPriority w:val="0"/>
    <w:pPr>
      <w:spacing w:after="120"/>
    </w:pPr>
  </w:style>
  <w:style w:type="paragraph" w:styleId="6">
    <w:name w:val="Plain Text"/>
    <w:basedOn w:val="1"/>
    <w:link w:val="23"/>
    <w:qFormat/>
    <w:uiPriority w:val="0"/>
    <w:rPr>
      <w:rFonts w:ascii="宋体" w:hAnsi="Courier New"/>
      <w:szCs w:val="20"/>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0"/>
    <w:pPr>
      <w:spacing w:before="100" w:beforeAutospacing="1" w:after="100" w:afterAutospacing="1"/>
    </w:pPr>
    <w:rPr>
      <w:rFonts w:ascii="宋体" w:hAnsi="宋体" w:cs="宋体"/>
      <w:sz w:val="24"/>
    </w:rPr>
  </w:style>
  <w:style w:type="character" w:styleId="11">
    <w:name w:val="Strong"/>
    <w:basedOn w:val="10"/>
    <w:qFormat/>
    <w:uiPriority w:val="22"/>
  </w:style>
  <w:style w:type="character" w:styleId="12">
    <w:name w:val="FollowedHyperlink"/>
    <w:basedOn w:val="10"/>
    <w:semiHidden/>
    <w:unhideWhenUsed/>
    <w:qFormat/>
    <w:uiPriority w:val="99"/>
    <w:rPr>
      <w:color w:val="800080"/>
      <w:u w:val="none"/>
    </w:rPr>
  </w:style>
  <w:style w:type="character" w:styleId="13">
    <w:name w:val="Emphasis"/>
    <w:basedOn w:val="10"/>
    <w:qFormat/>
    <w:uiPriority w:val="20"/>
  </w:style>
  <w:style w:type="character" w:styleId="14">
    <w:name w:val="HTML Definition"/>
    <w:basedOn w:val="10"/>
    <w:semiHidden/>
    <w:unhideWhenUsed/>
    <w:qFormat/>
    <w:uiPriority w:val="99"/>
  </w:style>
  <w:style w:type="character" w:styleId="15">
    <w:name w:val="HTML Typewriter"/>
    <w:basedOn w:val="10"/>
    <w:semiHidden/>
    <w:unhideWhenUsed/>
    <w:qFormat/>
    <w:uiPriority w:val="99"/>
    <w:rPr>
      <w:rFonts w:ascii="monospace" w:hAnsi="monospace" w:eastAsia="monospace" w:cs="monospace"/>
      <w:sz w:val="20"/>
    </w:rPr>
  </w:style>
  <w:style w:type="character" w:styleId="16">
    <w:name w:val="HTML Acronym"/>
    <w:basedOn w:val="10"/>
    <w:semiHidden/>
    <w:unhideWhenUsed/>
    <w:qFormat/>
    <w:uiPriority w:val="99"/>
  </w:style>
  <w:style w:type="character" w:styleId="17">
    <w:name w:val="HTML Variable"/>
    <w:basedOn w:val="10"/>
    <w:semiHidden/>
    <w:unhideWhenUsed/>
    <w:qFormat/>
    <w:uiPriority w:val="99"/>
  </w:style>
  <w:style w:type="character" w:styleId="18">
    <w:name w:val="Hyperlink"/>
    <w:qFormat/>
    <w:uiPriority w:val="0"/>
    <w:rPr>
      <w:color w:val="0000FF"/>
      <w:u w:val="none"/>
    </w:rPr>
  </w:style>
  <w:style w:type="character" w:styleId="19">
    <w:name w:val="HTML Code"/>
    <w:basedOn w:val="10"/>
    <w:semiHidden/>
    <w:unhideWhenUsed/>
    <w:qFormat/>
    <w:uiPriority w:val="99"/>
    <w:rPr>
      <w:rFonts w:hint="default" w:ascii="monospace" w:hAnsi="monospace" w:eastAsia="monospace" w:cs="monospace"/>
      <w:sz w:val="20"/>
    </w:rPr>
  </w:style>
  <w:style w:type="character" w:styleId="20">
    <w:name w:val="HTML Cite"/>
    <w:basedOn w:val="10"/>
    <w:semiHidden/>
    <w:unhideWhenUsed/>
    <w:qFormat/>
    <w:uiPriority w:val="99"/>
  </w:style>
  <w:style w:type="character" w:styleId="21">
    <w:name w:val="HTML Keyboard"/>
    <w:basedOn w:val="10"/>
    <w:semiHidden/>
    <w:unhideWhenUsed/>
    <w:qFormat/>
    <w:uiPriority w:val="99"/>
    <w:rPr>
      <w:rFonts w:hint="default" w:ascii="monospace" w:hAnsi="monospace" w:eastAsia="monospace" w:cs="monospace"/>
      <w:sz w:val="20"/>
    </w:rPr>
  </w:style>
  <w:style w:type="character" w:styleId="22">
    <w:name w:val="HTML Sample"/>
    <w:basedOn w:val="10"/>
    <w:semiHidden/>
    <w:unhideWhenUsed/>
    <w:qFormat/>
    <w:uiPriority w:val="99"/>
    <w:rPr>
      <w:rFonts w:hint="default" w:ascii="monospace" w:hAnsi="monospace" w:eastAsia="monospace" w:cs="monospace"/>
    </w:rPr>
  </w:style>
  <w:style w:type="character" w:customStyle="1" w:styleId="23">
    <w:name w:val="纯文本 Char"/>
    <w:link w:val="6"/>
    <w:qFormat/>
    <w:uiPriority w:val="0"/>
    <w:rPr>
      <w:rFonts w:ascii="宋体" w:hAnsi="Courier New" w:eastAsiaTheme="minorEastAsia" w:cstheme="minorBidi"/>
      <w:sz w:val="22"/>
    </w:rPr>
  </w:style>
  <w:style w:type="paragraph" w:customStyle="1" w:styleId="24">
    <w:name w:val="无间隔1"/>
    <w:basedOn w:val="1"/>
    <w:qFormat/>
    <w:uiPriority w:val="99"/>
    <w:pPr>
      <w:widowControl w:val="0"/>
      <w:jc w:val="both"/>
    </w:pPr>
    <w:rPr>
      <w:rFonts w:ascii="Times New Roman" w:hAnsi="Times New Roman" w:eastAsia="宋体" w:cs="宋体"/>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45"/>
    <customShpInfo spid="_x0000_s1046"/>
    <customShpInfo spid="_x0000_s1047"/>
    <customShpInfo spid="_x0000_s1026"/>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44</Pages>
  <Words>28485</Words>
  <Characters>30805</Characters>
  <Lines>246</Lines>
  <Paragraphs>69</Paragraphs>
  <TotalTime>0</TotalTime>
  <ScaleCrop>false</ScaleCrop>
  <LinksUpToDate>false</LinksUpToDate>
  <CharactersWithSpaces>31219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2020-10-30T07:44:00Z</dcterms:created>
  <dc:creator>Windows User</dc:creator>
  <cp:lastModifiedBy>执念。</cp:lastModifiedBy>
  <cp:lastPrinted>2020-11-09T01:17:00Z</cp:lastPrinted>
  <dcterms:modified xsi:type="dcterms:W3CDTF">2020-11-09T06:55:52Z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