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20" w:after="120" w:line="360" w:lineRule="auto"/>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186170" cy="8751570"/>
            <wp:effectExtent l="0" t="0" r="5080" b="11430"/>
            <wp:docPr id="10" name="图片 10" descr="签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签章页"/>
                    <pic:cNvPicPr>
                      <a:picLocks noChangeAspect="1"/>
                    </pic:cNvPicPr>
                  </pic:nvPicPr>
                  <pic:blipFill>
                    <a:blip r:embed="rId7"/>
                    <a:stretch>
                      <a:fillRect/>
                    </a:stretch>
                  </pic:blipFill>
                  <pic:spPr>
                    <a:xfrm>
                      <a:off x="0" y="0"/>
                      <a:ext cx="6186170" cy="8751570"/>
                    </a:xfrm>
                    <a:prstGeom prst="rect">
                      <a:avLst/>
                    </a:prstGeom>
                  </pic:spPr>
                </pic:pic>
              </a:graphicData>
            </a:graphic>
          </wp:inline>
        </w:drawing>
      </w:r>
    </w:p>
    <w:p>
      <w:pPr>
        <w:pStyle w:val="21"/>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rPr>
        <w:sectPr>
          <w:headerReference r:id="rId3"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p>
    <w:p>
      <w:pPr>
        <w:pStyle w:val="21"/>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目 录</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"_Toc6583" </w:instrText>
      </w:r>
      <w:r>
        <w:rPr>
          <w:rFonts w:hint="eastAsia" w:ascii="宋体" w:hAnsi="宋体" w:eastAsia="宋体" w:cs="宋体"/>
        </w:rPr>
        <w:fldChar w:fldCharType="separate"/>
      </w:r>
      <w:r>
        <w:rPr>
          <w:rFonts w:hint="eastAsia" w:ascii="宋体" w:hAnsi="宋体" w:eastAsia="宋体" w:cs="宋体"/>
          <w:b/>
          <w:bCs/>
          <w:sz w:val="24"/>
          <w:szCs w:val="24"/>
        </w:rPr>
        <w:t>第一章</w:t>
      </w:r>
      <w:r>
        <w:rPr>
          <w:rFonts w:hint="eastAsia" w:ascii="宋体" w:hAnsi="宋体" w:eastAsia="宋体" w:cs="宋体"/>
          <w:sz w:val="24"/>
          <w:szCs w:val="24"/>
        </w:rPr>
        <w:t xml:space="preserve">  </w:t>
      </w:r>
      <w:r>
        <w:rPr>
          <w:rFonts w:hint="eastAsia" w:ascii="宋体" w:hAnsi="宋体" w:eastAsia="宋体" w:cs="宋体"/>
          <w:b/>
          <w:bCs/>
          <w:sz w:val="24"/>
          <w:szCs w:val="24"/>
          <w:lang w:eastAsia="zh-CN"/>
        </w:rPr>
        <w:t>公开</w:t>
      </w:r>
      <w:r>
        <w:rPr>
          <w:rStyle w:val="48"/>
          <w:rFonts w:hint="eastAsia" w:ascii="宋体" w:hAnsi="宋体" w:eastAsia="宋体" w:cs="宋体"/>
          <w:b/>
          <w:bCs/>
          <w:color w:val="auto"/>
          <w:sz w:val="24"/>
          <w:szCs w:val="24"/>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"_Toc29089" </w:instrText>
      </w:r>
      <w:r>
        <w:rPr>
          <w:rFonts w:hint="eastAsia" w:ascii="宋体" w:hAnsi="宋体" w:eastAsia="宋体" w:cs="宋体"/>
        </w:rPr>
        <w:fldChar w:fldCharType="separate"/>
      </w:r>
      <w:r>
        <w:rPr>
          <w:rFonts w:hint="eastAsia" w:ascii="宋体" w:hAnsi="宋体" w:eastAsia="宋体" w:cs="宋体"/>
          <w:b/>
          <w:bCs/>
          <w:sz w:val="24"/>
          <w:szCs w:val="24"/>
        </w:rPr>
        <w:t>第二章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投标人须知</w:t>
      </w:r>
      <w:r>
        <w:rPr>
          <w:rStyle w:val="48"/>
          <w:rFonts w:hint="eastAsia" w:ascii="宋体" w:hAnsi="宋体" w:eastAsia="宋体" w:cs="宋体"/>
          <w:b/>
          <w:bCs/>
          <w:color w:val="auto"/>
          <w:sz w:val="24"/>
          <w:szCs w:val="24"/>
          <w:lang w:eastAsia="zh-CN"/>
        </w:rPr>
        <w:t>及前附表</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"_Toc25254"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一、总则</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"_Toc9192"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二、招标文件</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"_Toc14176"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三、投标文件</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fldChar w:fldCharType="end"/>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"_Toc17132"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四、投标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"_Toc11105"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五、开标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"_Toc31209"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评标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七、</w:t>
      </w:r>
      <w:r>
        <w:rPr>
          <w:rFonts w:hint="eastAsia" w:ascii="宋体" w:hAnsi="宋体" w:eastAsia="宋体" w:cs="宋体"/>
          <w:b w:val="0"/>
          <w:bCs w:val="0"/>
          <w:sz w:val="24"/>
          <w:szCs w:val="24"/>
          <w:lang w:eastAsia="zh-CN"/>
        </w:rPr>
        <w:t>签订合同</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33"/>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lang w:eastAsia="zh-CN"/>
        </w:rPr>
        <w:t>八</w:t>
      </w:r>
      <w:r>
        <w:rPr>
          <w:rFonts w:hint="eastAsia" w:ascii="宋体" w:hAnsi="宋体" w:eastAsia="宋体" w:cs="宋体"/>
          <w:b w:val="0"/>
          <w:bCs w:val="0"/>
          <w:sz w:val="24"/>
          <w:szCs w:val="24"/>
        </w:rPr>
        <w:t>、其他事项</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5</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"_Toc4914" </w:instrText>
      </w:r>
      <w:r>
        <w:rPr>
          <w:rFonts w:hint="eastAsia" w:ascii="宋体" w:hAnsi="宋体" w:eastAsia="宋体" w:cs="宋体"/>
        </w:rPr>
        <w:fldChar w:fldCharType="separate"/>
      </w:r>
      <w:r>
        <w:rPr>
          <w:rFonts w:hint="eastAsia" w:ascii="宋体" w:hAnsi="宋体" w:eastAsia="宋体" w:cs="宋体"/>
          <w:b/>
          <w:bCs/>
          <w:sz w:val="24"/>
          <w:szCs w:val="24"/>
        </w:rPr>
        <w:t>第三章</w:t>
      </w:r>
      <w:r>
        <w:rPr>
          <w:rFonts w:hint="eastAsia" w:ascii="宋体" w:hAnsi="宋体" w:eastAsia="宋体" w:cs="宋体"/>
          <w:sz w:val="24"/>
          <w:szCs w:val="24"/>
        </w:rPr>
        <w:t xml:space="preserve">  </w:t>
      </w:r>
      <w:r>
        <w:rPr>
          <w:rFonts w:hint="eastAsia" w:ascii="宋体" w:hAnsi="宋体" w:eastAsia="宋体" w:cs="宋体"/>
          <w:b/>
          <w:bCs/>
          <w:color w:val="000000"/>
          <w:sz w:val="24"/>
          <w:szCs w:val="24"/>
          <w:lang w:eastAsia="zh-CN"/>
        </w:rPr>
        <w:t>货物需求一览表</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"_Toc1861" </w:instrText>
      </w:r>
      <w:r>
        <w:rPr>
          <w:rFonts w:hint="eastAsia" w:ascii="宋体" w:hAnsi="宋体" w:eastAsia="宋体" w:cs="宋体"/>
        </w:rPr>
        <w:fldChar w:fldCharType="separate"/>
      </w:r>
      <w:r>
        <w:rPr>
          <w:rFonts w:hint="eastAsia" w:ascii="宋体" w:hAnsi="宋体" w:eastAsia="宋体" w:cs="宋体"/>
          <w:b/>
          <w:bCs/>
          <w:sz w:val="24"/>
          <w:szCs w:val="24"/>
        </w:rPr>
        <w:t>第四章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评标办法</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27</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"_Toc25626" </w:instrText>
      </w:r>
      <w:r>
        <w:rPr>
          <w:rFonts w:hint="eastAsia" w:ascii="宋体" w:hAnsi="宋体" w:eastAsia="宋体" w:cs="宋体"/>
        </w:rPr>
        <w:fldChar w:fldCharType="separate"/>
      </w:r>
      <w:r>
        <w:rPr>
          <w:rFonts w:hint="eastAsia" w:ascii="宋体" w:hAnsi="宋体" w:eastAsia="宋体" w:cs="宋体"/>
          <w:b/>
          <w:bCs/>
          <w:sz w:val="24"/>
          <w:szCs w:val="24"/>
        </w:rPr>
        <w:t>第五章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合同</w:t>
      </w:r>
      <w:r>
        <w:rPr>
          <w:rStyle w:val="48"/>
          <w:rFonts w:hint="eastAsia" w:ascii="宋体" w:hAnsi="宋体" w:eastAsia="宋体" w:cs="宋体"/>
          <w:b/>
          <w:bCs/>
          <w:color w:val="auto"/>
          <w:sz w:val="24"/>
          <w:szCs w:val="24"/>
          <w:lang w:eastAsia="zh-CN"/>
        </w:rPr>
        <w:t>主要条款及格式</w:t>
      </w:r>
      <w:r>
        <w:rPr>
          <w:rFonts w:hint="eastAsia" w:ascii="宋体" w:hAnsi="宋体" w:eastAsia="宋体" w:cs="宋体"/>
          <w:sz w:val="24"/>
          <w:szCs w:val="24"/>
        </w:rPr>
        <w:tab/>
      </w: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0</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"_Toc2934" </w:instrText>
      </w:r>
      <w:r>
        <w:rPr>
          <w:rFonts w:hint="eastAsia" w:ascii="宋体" w:hAnsi="宋体" w:eastAsia="宋体" w:cs="宋体"/>
        </w:rPr>
        <w:fldChar w:fldCharType="separate"/>
      </w:r>
      <w:r>
        <w:rPr>
          <w:rFonts w:hint="eastAsia" w:ascii="宋体" w:hAnsi="宋体" w:eastAsia="宋体" w:cs="宋体"/>
          <w:b/>
          <w:bCs/>
          <w:sz w:val="24"/>
          <w:szCs w:val="24"/>
        </w:rPr>
        <w:t>第六章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37</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sectPr>
          <w:footerReference r:id="rId4"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rPr>
        <w:t xml:space="preserve"> </w:t>
      </w:r>
    </w:p>
    <w:p>
      <w:pPr>
        <w:pStyle w:val="3"/>
        <w:numPr>
          <w:ilvl w:val="0"/>
          <w:numId w:val="0"/>
        </w:numPr>
        <w:spacing w:line="460" w:lineRule="exact"/>
        <w:ind w:right="210" w:rightChars="0"/>
        <w:jc w:val="center"/>
        <w:rPr>
          <w:rFonts w:hint="eastAsia" w:ascii="宋体" w:hAnsi="宋体" w:eastAsia="宋体" w:cs="宋体"/>
          <w:sz w:val="30"/>
          <w:szCs w:val="30"/>
        </w:rPr>
      </w:pPr>
      <w:bookmarkStart w:id="0" w:name="_Toc254970489"/>
      <w:bookmarkStart w:id="1" w:name="_Toc254970630"/>
      <w:bookmarkStart w:id="2" w:name="_Toc374350393"/>
      <w:bookmarkStart w:id="3" w:name="_Toc374350402"/>
      <w:bookmarkStart w:id="4" w:name="_Toc374350398"/>
      <w:bookmarkStart w:id="5" w:name="_Toc361123105"/>
      <w:bookmarkStart w:id="6" w:name="_Toc254970548"/>
      <w:bookmarkStart w:id="7" w:name="_Toc374350410"/>
      <w:bookmarkStart w:id="8" w:name="_Toc374350422"/>
      <w:bookmarkStart w:id="9" w:name="_Toc254970689"/>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0"/>
      <w:bookmarkEnd w:id="1"/>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马山县中医医院消毒供应室医疗设备采购</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MSZC2020-G1-00516-GXSYH</w:t>
      </w:r>
      <w:r>
        <w:rPr>
          <w:rFonts w:hint="eastAsia" w:ascii="宋体" w:hAnsi="宋体" w:eastAsia="宋体" w:cs="宋体"/>
          <w:b/>
          <w:bCs/>
          <w:sz w:val="30"/>
          <w:szCs w:val="30"/>
          <w:lang w:eastAsia="zh-CN"/>
        </w:rPr>
        <w:t>）</w:t>
      </w:r>
      <w:r>
        <w:rPr>
          <w:rFonts w:hint="eastAsia" w:ascii="宋体" w:hAnsi="宋体" w:eastAsia="宋体" w:cs="宋体"/>
          <w:b/>
          <w:bCs/>
          <w:sz w:val="30"/>
          <w:szCs w:val="30"/>
        </w:rPr>
        <w:t>公开招标公告</w:t>
      </w:r>
      <w:bookmarkEnd w:id="2"/>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hAnsi="宋体" w:cs="宋体"/>
          <w:b w:val="0"/>
          <w:bCs/>
          <w:color w:val="000000"/>
          <w:sz w:val="21"/>
          <w:szCs w:val="21"/>
          <w:u w:val="single"/>
          <w:lang w:val="en-US" w:eastAsia="zh-CN"/>
        </w:rPr>
        <w:t>马山县中医医院消毒供应室医疗设备采购</w:t>
      </w:r>
      <w:r>
        <w:rPr>
          <w:rFonts w:hint="eastAsia" w:hAnsi="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w:t>
      </w:r>
      <w:r>
        <w:rPr>
          <w:rFonts w:hint="eastAsia" w:ascii="宋体" w:hAnsi="宋体" w:cs="宋体"/>
          <w:sz w:val="21"/>
          <w:szCs w:val="21"/>
          <w:lang w:eastAsia="zh-CN"/>
        </w:rPr>
        <w:t>，</w:t>
      </w:r>
      <w:r>
        <w:rPr>
          <w:rFonts w:hint="eastAsia" w:ascii="宋体" w:hAnsi="宋体" w:eastAsia="宋体" w:cs="宋体"/>
          <w:sz w:val="21"/>
          <w:szCs w:val="21"/>
        </w:rPr>
        <w:t>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11</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19</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0" w:name="_Toc28359002"/>
      <w:bookmarkStart w:id="11" w:name="_Toc35393790"/>
      <w:bookmarkStart w:id="12" w:name="_Toc28359079"/>
      <w:bookmarkStart w:id="13" w:name="_Toc35393621"/>
      <w:bookmarkStart w:id="14" w:name="_Hlk24379207"/>
      <w:r>
        <w:rPr>
          <w:rFonts w:hint="eastAsia" w:ascii="宋体" w:hAnsi="宋体" w:eastAsia="宋体" w:cs="宋体"/>
          <w:b/>
          <w:bCs w:val="0"/>
          <w:sz w:val="21"/>
          <w:szCs w:val="21"/>
        </w:rPr>
        <w:t>一、项目基本情况</w:t>
      </w:r>
      <w:bookmarkEnd w:id="10"/>
      <w:bookmarkEnd w:id="11"/>
      <w:bookmarkEnd w:id="12"/>
      <w:bookmarkEnd w:id="13"/>
    </w:p>
    <w:p>
      <w:pPr>
        <w:spacing w:line="380" w:lineRule="exact"/>
        <w:ind w:firstLine="420" w:firstLineChars="200"/>
        <w:rPr>
          <w:rFonts w:hint="default" w:ascii="宋体" w:hAnsi="宋体" w:eastAsia="宋体" w:cs="宋体"/>
          <w:color w:val="FF0000"/>
          <w:sz w:val="21"/>
          <w:szCs w:val="21"/>
          <w:lang w:val="en-US"/>
        </w:rPr>
      </w:pPr>
      <w:r>
        <w:rPr>
          <w:rFonts w:hint="eastAsia" w:ascii="宋体" w:hAnsi="宋体" w:eastAsia="宋体" w:cs="宋体"/>
          <w:sz w:val="21"/>
          <w:szCs w:val="21"/>
        </w:rPr>
        <w:t>项目编号：</w:t>
      </w:r>
      <w:r>
        <w:rPr>
          <w:rFonts w:hint="eastAsia" w:ascii="宋体" w:hAnsi="宋体" w:cs="宋体"/>
          <w:b w:val="0"/>
          <w:bCs/>
          <w:color w:val="000000"/>
          <w:sz w:val="21"/>
          <w:szCs w:val="21"/>
          <w:lang w:val="en-US" w:eastAsia="zh-CN"/>
        </w:rPr>
        <w:t>MSZC2020-G1-00516-GXSYH</w:t>
      </w:r>
      <w:r>
        <w:rPr>
          <w:rFonts w:hint="eastAsia" w:ascii="宋体" w:hAnsi="宋体" w:eastAsia="宋体" w:cs="宋体"/>
          <w:sz w:val="21"/>
          <w:szCs w:val="21"/>
        </w:rPr>
        <w:t>，政府采购计划编号：</w:t>
      </w:r>
      <w:r>
        <w:rPr>
          <w:rFonts w:hint="eastAsia" w:ascii="宋体" w:hAnsi="宋体" w:cs="宋体"/>
          <w:b w:val="0"/>
          <w:bCs/>
          <w:color w:val="000000"/>
          <w:sz w:val="21"/>
          <w:szCs w:val="21"/>
          <w:lang w:val="en-US" w:eastAsia="zh-CN"/>
        </w:rPr>
        <w:t>MSZC2020-G1-00516</w:t>
      </w:r>
    </w:p>
    <w:bookmarkEnd w:id="14"/>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hAnsi="宋体" w:cs="宋体"/>
          <w:b w:val="0"/>
          <w:bCs/>
          <w:color w:val="000000"/>
          <w:sz w:val="21"/>
          <w:szCs w:val="21"/>
          <w:lang w:val="en-US" w:eastAsia="zh-CN"/>
        </w:rPr>
        <w:t>马山县中医医院消毒供应室医疗设备采购</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cs="宋体"/>
          <w:sz w:val="21"/>
          <w:szCs w:val="21"/>
          <w:u w:val="single"/>
          <w:lang w:val="en-US" w:eastAsia="zh-CN"/>
        </w:rPr>
        <w:t>322</w:t>
      </w:r>
      <w:r>
        <w:rPr>
          <w:rFonts w:hint="eastAsia" w:ascii="宋体" w:hAnsi="宋体" w:eastAsia="宋体" w:cs="宋体"/>
          <w:sz w:val="21"/>
          <w:szCs w:val="21"/>
        </w:rPr>
        <w:t>万元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最高限价：与预算金额一致</w:t>
      </w:r>
    </w:p>
    <w:p>
      <w:pPr>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采购需求：</w:t>
      </w:r>
      <w:r>
        <w:rPr>
          <w:rFonts w:hint="eastAsia" w:ascii="宋体" w:hAnsi="宋体" w:cs="宋体"/>
          <w:color w:val="000000"/>
          <w:szCs w:val="21"/>
          <w:u w:val="none"/>
          <w:lang w:eastAsia="zh-CN"/>
        </w:rPr>
        <w:t>马山县中医医院消毒供应室医疗设备采购一批</w:t>
      </w:r>
      <w:r>
        <w:rPr>
          <w:rFonts w:hint="eastAsia" w:ascii="宋体" w:hAnsi="宋体" w:cs="宋体"/>
          <w:color w:val="auto"/>
          <w:szCs w:val="21"/>
          <w:u w:val="none"/>
        </w:rPr>
        <w:t>，具体详见</w:t>
      </w:r>
      <w:r>
        <w:rPr>
          <w:rFonts w:hint="eastAsia" w:ascii="宋体" w:hAnsi="宋体" w:cs="宋体"/>
          <w:color w:val="auto"/>
          <w:szCs w:val="21"/>
          <w:u w:val="none"/>
          <w:lang w:eastAsia="zh-CN"/>
        </w:rPr>
        <w:t>招标</w:t>
      </w:r>
      <w:r>
        <w:rPr>
          <w:rFonts w:hint="eastAsia" w:ascii="宋体" w:hAnsi="宋体" w:cs="宋体"/>
          <w:color w:val="auto"/>
          <w:szCs w:val="21"/>
          <w:u w:val="none"/>
        </w:rPr>
        <w:t>文件</w:t>
      </w:r>
      <w:r>
        <w:rPr>
          <w:rFonts w:hint="eastAsia" w:ascii="宋体" w:hAnsi="宋体" w:cs="宋体"/>
          <w:color w:val="auto"/>
          <w:szCs w:val="21"/>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签订合同之日起30个工作日内</w:t>
      </w:r>
      <w:r>
        <w:rPr>
          <w:rFonts w:hint="eastAsia" w:ascii="宋体" w:hAnsi="宋体" w:eastAsia="宋体" w:cs="宋体"/>
          <w:color w:val="auto"/>
        </w:rPr>
        <w:t>。</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5" w:name="_Toc35393622"/>
      <w:bookmarkStart w:id="16" w:name="_Toc35393791"/>
      <w:bookmarkStart w:id="17" w:name="_Toc28359003"/>
      <w:bookmarkStart w:id="18" w:name="_Toc28359080"/>
      <w:r>
        <w:rPr>
          <w:rFonts w:hint="eastAsia" w:ascii="宋体" w:hAnsi="宋体" w:eastAsia="宋体" w:cs="宋体"/>
          <w:b/>
          <w:bCs w:val="0"/>
          <w:sz w:val="21"/>
          <w:szCs w:val="21"/>
        </w:rPr>
        <w:t>二、申请人的资格要求</w:t>
      </w:r>
      <w:bookmarkEnd w:id="15"/>
      <w:bookmarkEnd w:id="16"/>
      <w:bookmarkEnd w:id="17"/>
      <w:bookmarkEnd w:id="18"/>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19" w:name="_Toc28359004"/>
      <w:bookmarkStart w:id="20" w:name="_Toc28359081"/>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pacing w:val="6"/>
          <w:kern w:val="48"/>
          <w:sz w:val="21"/>
          <w:szCs w:val="21"/>
          <w:highlight w:val="none"/>
          <w:lang w:eastAsia="zh-CN"/>
        </w:rPr>
        <w:t>投</w:t>
      </w:r>
      <w:r>
        <w:rPr>
          <w:rFonts w:hint="eastAsia" w:ascii="宋体" w:hAnsi="宋体" w:eastAsia="宋体" w:cs="宋体"/>
          <w:color w:val="auto"/>
          <w:spacing w:val="6"/>
          <w:kern w:val="48"/>
          <w:sz w:val="21"/>
          <w:szCs w:val="21"/>
          <w:highlight w:val="none"/>
        </w:rPr>
        <w:t>标人须具有国家主管部门颁发的有效的医疗器械生产许可证，或按《医疗器械经营监督管理办法》（国家食品药品监督管理总局第8号令）医疗器械分类管理要求具有有效的医疗器械经营备案凭证或许可证</w:t>
      </w:r>
      <w:r>
        <w:rPr>
          <w:rFonts w:hint="eastAsia" w:ascii="宋体" w:hAnsi="宋体" w:cs="宋体"/>
          <w:szCs w:val="21"/>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1" w:name="_Toc35393792"/>
      <w:bookmarkStart w:id="22" w:name="_Toc35393623"/>
      <w:r>
        <w:rPr>
          <w:rFonts w:hint="eastAsia" w:ascii="宋体" w:hAnsi="宋体" w:eastAsia="宋体" w:cs="宋体"/>
          <w:b/>
          <w:bCs w:val="0"/>
          <w:sz w:val="21"/>
          <w:szCs w:val="21"/>
        </w:rPr>
        <w:t>三、获取招标文件</w:t>
      </w:r>
      <w:bookmarkEnd w:id="19"/>
      <w:bookmarkEnd w:id="20"/>
      <w:bookmarkEnd w:id="21"/>
      <w:bookmarkEnd w:id="22"/>
    </w:p>
    <w:p>
      <w:pPr>
        <w:spacing w:line="380" w:lineRule="exact"/>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rPr>
        <w:t>时间：</w:t>
      </w:r>
      <w:r>
        <w:rPr>
          <w:rFonts w:hint="eastAsia" w:ascii="宋体" w:hAnsi="宋体" w:eastAsia="宋体" w:cs="宋体"/>
          <w:sz w:val="21"/>
          <w:szCs w:val="21"/>
          <w:u w:val="none"/>
        </w:rPr>
        <w:t>2020年</w:t>
      </w:r>
      <w:r>
        <w:rPr>
          <w:rFonts w:hint="eastAsia" w:ascii="宋体" w:hAnsi="宋体" w:cs="宋体"/>
          <w:sz w:val="21"/>
          <w:szCs w:val="21"/>
          <w:u w:val="none"/>
          <w:lang w:val="en-US" w:eastAsia="zh-CN"/>
        </w:rPr>
        <w:t>10</w:t>
      </w:r>
      <w:r>
        <w:rPr>
          <w:rFonts w:hint="eastAsia" w:ascii="宋体" w:hAnsi="宋体" w:eastAsia="宋体" w:cs="宋体"/>
          <w:sz w:val="21"/>
          <w:szCs w:val="21"/>
          <w:u w:val="none"/>
        </w:rPr>
        <w:t>月</w:t>
      </w:r>
      <w:r>
        <w:rPr>
          <w:rFonts w:hint="eastAsia" w:ascii="宋体" w:hAnsi="宋体" w:cs="宋体"/>
          <w:sz w:val="21"/>
          <w:szCs w:val="21"/>
          <w:u w:val="none"/>
          <w:lang w:val="en-US" w:eastAsia="zh-CN"/>
        </w:rPr>
        <w:t>30</w:t>
      </w:r>
      <w:r>
        <w:rPr>
          <w:rFonts w:hint="eastAsia" w:ascii="宋体" w:hAnsi="宋体" w:eastAsia="宋体" w:cs="宋体"/>
          <w:sz w:val="21"/>
          <w:szCs w:val="21"/>
          <w:u w:val="none"/>
        </w:rPr>
        <w:t>日公告发布之时起</w:t>
      </w:r>
      <w:r>
        <w:rPr>
          <w:rFonts w:hint="eastAsia" w:ascii="宋体" w:hAnsi="宋体" w:eastAsia="宋体" w:cs="宋体"/>
          <w:sz w:val="21"/>
          <w:szCs w:val="21"/>
          <w:u w:val="non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u w:val="none"/>
          <w:lang w:val="en-US" w:eastAsia="zh-CN"/>
        </w:rPr>
      </w:pPr>
      <w:bookmarkStart w:id="23" w:name="_Toc28359005"/>
      <w:bookmarkStart w:id="24" w:name="_Toc28359082"/>
      <w:bookmarkStart w:id="25" w:name="_Toc35393624"/>
      <w:bookmarkStart w:id="26" w:name="_Toc35393793"/>
      <w:r>
        <w:rPr>
          <w:rFonts w:hint="eastAsia" w:ascii="宋体" w:hAnsi="宋体" w:eastAsia="宋体" w:cs="宋体"/>
          <w:sz w:val="21"/>
          <w:szCs w:val="21"/>
          <w:u w:val="none"/>
          <w:lang w:val="en-US" w:eastAsia="zh-CN"/>
        </w:rPr>
        <w:t>地点：</w:t>
      </w:r>
      <w:r>
        <w:rPr>
          <w:rFonts w:hint="eastAsia" w:ascii="宋体" w:hAnsi="宋体" w:eastAsia="宋体" w:cs="宋体"/>
          <w:sz w:val="21"/>
          <w:szCs w:val="21"/>
          <w:u w:val="non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p>
    <w:p>
      <w:pPr>
        <w:spacing w:line="38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方式：网上下载。本项目不</w:t>
      </w:r>
      <w:r>
        <w:rPr>
          <w:rFonts w:hint="eastAsia" w:ascii="宋体" w:hAnsi="宋体" w:eastAsia="宋体" w:cs="宋体"/>
          <w:sz w:val="21"/>
          <w:szCs w:val="21"/>
          <w:u w:val="none"/>
          <w:lang w:eastAsia="zh-CN"/>
        </w:rPr>
        <w:t>需报名、不</w:t>
      </w:r>
      <w:r>
        <w:rPr>
          <w:rFonts w:hint="eastAsia" w:ascii="宋体" w:hAnsi="宋体" w:eastAsia="宋体" w:cs="宋体"/>
          <w:sz w:val="21"/>
          <w:szCs w:val="21"/>
          <w:u w:val="none"/>
        </w:rPr>
        <w:t>发放纸质文件，由潜在投标人登录南宁市公共资源交易平台（https://</w:t>
      </w:r>
      <w:r>
        <w:rPr>
          <w:rFonts w:hint="eastAsia" w:ascii="宋体" w:hAnsi="宋体" w:eastAsia="宋体" w:cs="宋体"/>
          <w:sz w:val="21"/>
          <w:szCs w:val="21"/>
          <w:u w:val="none"/>
          <w:lang w:eastAsia="zh-CN"/>
        </w:rPr>
        <w:t>www.ggzy.nanning.gov.cn</w:t>
      </w:r>
      <w:r>
        <w:rPr>
          <w:rFonts w:hint="eastAsia" w:ascii="宋体" w:hAnsi="宋体" w:eastAsia="宋体" w:cs="宋体"/>
          <w:sz w:val="21"/>
          <w:szCs w:val="21"/>
          <w:u w:val="none"/>
        </w:rPr>
        <w:t>）在对应的公告下方自行下载电子版本。</w:t>
      </w:r>
    </w:p>
    <w:p>
      <w:pPr>
        <w:adjustRightInd w:val="0"/>
        <w:snapToGrid w:val="0"/>
        <w:spacing w:line="500" w:lineRule="atLeast"/>
        <w:rPr>
          <w:rFonts w:hint="default" w:eastAsia="宋体"/>
          <w:lang w:val="en-US" w:eastAsia="zh-CN"/>
        </w:rPr>
      </w:pPr>
      <w:r>
        <w:rPr>
          <w:rFonts w:hint="eastAsia" w:ascii="宋体" w:hAnsi="宋体" w:cs="宋体"/>
          <w:sz w:val="21"/>
          <w:szCs w:val="21"/>
          <w:lang w:val="en-US" w:eastAsia="zh-CN"/>
        </w:rPr>
        <w:t xml:space="preserve">    </w:t>
      </w:r>
      <w:r>
        <w:rPr>
          <w:rFonts w:hint="eastAsia" w:ascii="宋体" w:hAnsi="宋体" w:cs="宋体"/>
          <w:b/>
          <w:bCs/>
          <w:kern w:val="0"/>
          <w:sz w:val="21"/>
          <w:szCs w:val="21"/>
          <w:lang w:eastAsia="zh-CN"/>
        </w:rPr>
        <w:t>注：</w:t>
      </w:r>
      <w:r>
        <w:rPr>
          <w:rFonts w:hint="eastAsia" w:ascii="宋体" w:hAnsi="宋体" w:cs="宋体"/>
          <w:b w:val="0"/>
          <w:bCs w:val="0"/>
          <w:kern w:val="0"/>
          <w:sz w:val="21"/>
          <w:szCs w:val="21"/>
          <w:lang w:val="en-US" w:eastAsia="zh-CN"/>
        </w:rPr>
        <w:t>为配合采购人执行政府采购项目及备案，未在政采云入驻为“正式供应商”的，请登录政采云平台（网址：http://www.zcygov.cn）进行注册，如在操作过程中遇到问题或需技术支持，请致电政采云客服热线：400-881-7190。</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3"/>
      <w:bookmarkEnd w:id="24"/>
      <w:r>
        <w:rPr>
          <w:rFonts w:hint="eastAsia" w:ascii="宋体" w:hAnsi="宋体" w:eastAsia="宋体" w:cs="宋体"/>
          <w:b/>
          <w:bCs w:val="0"/>
          <w:sz w:val="21"/>
          <w:szCs w:val="21"/>
        </w:rPr>
        <w:t>截止时间、开标时间和地点</w:t>
      </w:r>
      <w:bookmarkEnd w:id="25"/>
      <w:bookmarkEnd w:id="26"/>
    </w:p>
    <w:p>
      <w:pPr>
        <w:spacing w:line="400" w:lineRule="exact"/>
        <w:ind w:firstLine="420"/>
        <w:rPr>
          <w:rFonts w:hint="eastAsia" w:ascii="宋体" w:hAnsi="宋体" w:eastAsia="宋体" w:cs="Arial"/>
          <w:bCs/>
          <w:color w:val="auto"/>
          <w:kern w:val="1"/>
          <w:szCs w:val="21"/>
          <w:lang w:eastAsia="zh-CN"/>
        </w:rPr>
      </w:pPr>
      <w:r>
        <w:rPr>
          <w:rFonts w:ascii="宋体" w:hAnsi="宋体" w:cs="Arial"/>
          <w:bCs/>
          <w:color w:val="auto"/>
          <w:kern w:val="1"/>
          <w:szCs w:val="21"/>
        </w:rPr>
        <w:t>1.投标截止时间：</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11</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19</w:t>
      </w:r>
      <w:r>
        <w:rPr>
          <w:rFonts w:hint="eastAsia" w:ascii="宋体" w:hAnsi="宋体" w:eastAsia="宋体" w:cs="宋体"/>
          <w:bCs/>
          <w:sz w:val="21"/>
          <w:szCs w:val="21"/>
          <w:u w:val="single"/>
        </w:rPr>
        <w:t>日9点30分（北京时间）</w:t>
      </w:r>
      <w:r>
        <w:rPr>
          <w:rFonts w:hint="eastAsia" w:ascii="宋体" w:hAnsi="宋体" w:cs="宋体"/>
          <w:bCs/>
          <w:sz w:val="21"/>
          <w:szCs w:val="21"/>
          <w:u w:val="none"/>
          <w:lang w:eastAsia="zh-CN"/>
        </w:rPr>
        <w:t>。</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pPr>
        <w:spacing w:line="400" w:lineRule="exact"/>
        <w:ind w:firstLine="420"/>
        <w:rPr>
          <w:rFonts w:ascii="宋体" w:hAnsi="宋体" w:cs="Arial"/>
          <w:bCs/>
          <w:color w:val="auto"/>
          <w:kern w:val="1"/>
          <w:szCs w:val="21"/>
        </w:rPr>
      </w:pPr>
      <w:r>
        <w:rPr>
          <w:rFonts w:ascii="宋体" w:hAnsi="宋体" w:cs="Arial"/>
          <w:bCs/>
          <w:color w:val="auto"/>
          <w:kern w:val="1"/>
          <w:szCs w:val="21"/>
        </w:rPr>
        <w:t>2.3投标人按照招标文件要求装订密封好投标文件后，</w:t>
      </w:r>
      <w:r>
        <w:rPr>
          <w:rFonts w:hint="eastAsia" w:ascii="宋体" w:hAnsi="宋体" w:eastAsia="宋体" w:cs="宋体"/>
          <w:spacing w:val="6"/>
          <w:szCs w:val="21"/>
        </w:rPr>
        <w:t>附加盖公章的营业执照或事业单位法人证副本复印件一份（方便代理机构现场完成签到工作）</w:t>
      </w:r>
      <w:r>
        <w:rPr>
          <w:rFonts w:hint="eastAsia" w:ascii="宋体" w:hAnsi="宋体" w:cs="宋体"/>
          <w:spacing w:val="6"/>
          <w:szCs w:val="21"/>
          <w:lang w:eastAsia="zh-CN"/>
        </w:rPr>
        <w:t>，</w:t>
      </w:r>
      <w:r>
        <w:rPr>
          <w:rFonts w:hint="eastAsia" w:ascii="宋体" w:hAnsi="宋体" w:cs="Arial"/>
          <w:bCs/>
          <w:color w:val="auto"/>
          <w:kern w:val="1"/>
          <w:szCs w:val="21"/>
          <w:lang w:eastAsia="zh-CN"/>
        </w:rPr>
        <w:t>然后</w:t>
      </w:r>
      <w:r>
        <w:rPr>
          <w:rFonts w:ascii="宋体" w:hAnsi="宋体" w:cs="Arial"/>
          <w:bCs/>
          <w:color w:val="auto"/>
          <w:kern w:val="1"/>
          <w:szCs w:val="21"/>
        </w:rPr>
        <w:t>使用不透明、防水的邮寄袋或箱子再次包裹已密封的投标文件，并在邮寄袋或箱子上粘牢注明项目名称、项目编号、</w:t>
      </w:r>
      <w:r>
        <w:rPr>
          <w:rFonts w:hint="eastAsia" w:ascii="宋体" w:hAnsi="宋体" w:cs="Arial"/>
          <w:bCs/>
          <w:color w:val="auto"/>
          <w:kern w:val="1"/>
          <w:szCs w:val="21"/>
          <w:lang w:eastAsia="zh-CN"/>
        </w:rPr>
        <w:t>项目开标时间、</w:t>
      </w:r>
      <w:r>
        <w:rPr>
          <w:rFonts w:ascii="宋体" w:hAnsi="宋体" w:cs="Arial"/>
          <w:bCs/>
          <w:color w:val="auto"/>
          <w:kern w:val="1"/>
          <w:szCs w:val="21"/>
        </w:rPr>
        <w:t>有效的电子邮箱、联系人及联系方式的纸质表格。</w:t>
      </w:r>
    </w:p>
    <w:p>
      <w:pPr>
        <w:spacing w:line="400" w:lineRule="exact"/>
        <w:ind w:firstLine="422"/>
        <w:jc w:val="left"/>
        <w:rPr>
          <w:rFonts w:ascii="宋体" w:hAnsi="宋体" w:cs="Arial"/>
          <w:bCs/>
          <w:color w:val="auto"/>
          <w:kern w:val="1"/>
          <w:szCs w:val="21"/>
        </w:rPr>
      </w:pPr>
      <w:r>
        <w:rPr>
          <w:rFonts w:ascii="宋体" w:hAnsi="宋体" w:cs="Arial"/>
          <w:bCs/>
          <w:color w:val="auto"/>
          <w:kern w:val="1"/>
          <w:szCs w:val="21"/>
        </w:rPr>
        <w:t>2.4投标文件邮寄地址：</w:t>
      </w:r>
      <w:r>
        <w:rPr>
          <w:rFonts w:hint="eastAsia" w:ascii="宋体" w:hAnsi="宋体" w:eastAsia="宋体" w:cs="宋体"/>
          <w:spacing w:val="6"/>
          <w:szCs w:val="21"/>
          <w:lang w:eastAsia="zh-CN"/>
        </w:rPr>
        <w:t>南宁市青秀区纬武路</w:t>
      </w:r>
      <w:r>
        <w:rPr>
          <w:rFonts w:hint="eastAsia" w:ascii="宋体" w:hAnsi="宋体" w:eastAsia="宋体" w:cs="宋体"/>
          <w:spacing w:val="6"/>
          <w:szCs w:val="21"/>
          <w:lang w:val="en-US" w:eastAsia="zh-CN"/>
        </w:rPr>
        <w:t>165号502室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收件人：</w:t>
      </w:r>
      <w:r>
        <w:rPr>
          <w:rFonts w:hint="eastAsia" w:ascii="宋体" w:hAnsi="宋体" w:cs="宋体"/>
          <w:sz w:val="21"/>
          <w:szCs w:val="21"/>
          <w:lang w:val="en-US" w:eastAsia="zh-CN"/>
        </w:rPr>
        <w:t>黄群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联系电话：0771-2846860</w:t>
      </w:r>
      <w:r>
        <w:rPr>
          <w:rFonts w:ascii="宋体" w:hAnsi="宋体" w:cs="Arial"/>
          <w:bCs/>
          <w:color w:val="auto"/>
          <w:kern w:val="1"/>
          <w:szCs w:val="21"/>
        </w:rPr>
        <w:t>。</w:t>
      </w:r>
    </w:p>
    <w:p>
      <w:pPr>
        <w:spacing w:line="400" w:lineRule="exact"/>
        <w:ind w:firstLine="422"/>
        <w:rPr>
          <w:rFonts w:hint="eastAsia" w:ascii="宋体" w:hAnsi="宋体" w:cs="Arial"/>
          <w:bCs/>
          <w:color w:val="auto"/>
          <w:kern w:val="1"/>
          <w:szCs w:val="21"/>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1本次招标将于2020年1</w:t>
      </w:r>
      <w:r>
        <w:rPr>
          <w:rFonts w:hint="eastAsia" w:ascii="宋体" w:hAnsi="宋体" w:cs="Arial"/>
          <w:bCs/>
          <w:color w:val="auto"/>
          <w:kern w:val="1"/>
          <w:szCs w:val="21"/>
          <w:lang w:val="en-US" w:eastAsia="zh-CN"/>
        </w:rPr>
        <w:t>1</w:t>
      </w:r>
      <w:r>
        <w:rPr>
          <w:rFonts w:ascii="宋体" w:hAnsi="宋体" w:cs="Arial"/>
          <w:bCs/>
          <w:color w:val="auto"/>
          <w:kern w:val="1"/>
          <w:szCs w:val="21"/>
        </w:rPr>
        <w:t>月</w:t>
      </w:r>
      <w:r>
        <w:rPr>
          <w:rFonts w:hint="eastAsia" w:ascii="宋体" w:hAnsi="宋体" w:cs="Arial"/>
          <w:bCs/>
          <w:color w:val="auto"/>
          <w:kern w:val="1"/>
          <w:szCs w:val="21"/>
          <w:lang w:val="en-US" w:eastAsia="zh-CN"/>
        </w:rPr>
        <w:t>19</w:t>
      </w:r>
      <w:r>
        <w:rPr>
          <w:rFonts w:ascii="宋体" w:hAnsi="宋体" w:cs="Arial"/>
          <w:bCs/>
          <w:color w:val="auto"/>
          <w:kern w:val="1"/>
          <w:szCs w:val="21"/>
        </w:rPr>
        <w:t>日上午9时30分在</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ascii="宋体" w:hAnsi="宋体" w:cs="Arial"/>
          <w:bCs/>
          <w:color w:val="auto"/>
          <w:kern w:val="1"/>
          <w:szCs w:val="21"/>
        </w:rPr>
        <w:t>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2投标人不参加现场开标活动。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4关于投标人的报价：由采购代理机构根据投标人的投标报价情况填写开标记录表，交由</w:t>
      </w:r>
      <w:r>
        <w:rPr>
          <w:rFonts w:hint="eastAsia" w:ascii="宋体" w:hAnsi="宋体" w:cs="Arial"/>
          <w:bCs/>
          <w:color w:val="auto"/>
          <w:kern w:val="1"/>
          <w:szCs w:val="21"/>
          <w:lang w:eastAsia="zh-CN"/>
        </w:rPr>
        <w:t>采购</w:t>
      </w:r>
      <w:r>
        <w:rPr>
          <w:rFonts w:hint="eastAsia" w:ascii="宋体" w:hAnsi="宋体" w:cs="Arial"/>
          <w:bCs/>
          <w:color w:val="auto"/>
          <w:kern w:val="1"/>
          <w:szCs w:val="21"/>
        </w:rPr>
        <w:t>人、监督人当场见证</w:t>
      </w:r>
      <w:r>
        <w:rPr>
          <w:rFonts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w:t>
      </w:r>
      <w:r>
        <w:rPr>
          <w:rFonts w:hint="eastAsia" w:ascii="宋体" w:hAnsi="宋体" w:cs="Arial"/>
          <w:bCs/>
          <w:color w:val="auto"/>
          <w:kern w:val="1"/>
          <w:szCs w:val="21"/>
          <w:lang w:eastAsia="zh-CN"/>
        </w:rPr>
        <w:t>六</w:t>
      </w:r>
      <w:r>
        <w:rPr>
          <w:rFonts w:ascii="宋体" w:hAnsi="宋体" w:cs="Arial"/>
          <w:bCs/>
          <w:color w:val="auto"/>
          <w:kern w:val="1"/>
          <w:szCs w:val="21"/>
        </w:rPr>
        <w:t>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宋体"/>
          <w:b/>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keepLines/>
        <w:spacing w:line="380" w:lineRule="exact"/>
        <w:outlineLvl w:val="1"/>
        <w:rPr>
          <w:rFonts w:hint="eastAsia" w:ascii="宋体" w:hAnsi="宋体" w:eastAsia="宋体" w:cs="宋体"/>
          <w:b/>
          <w:bCs w:val="0"/>
          <w:sz w:val="21"/>
          <w:szCs w:val="21"/>
        </w:rPr>
      </w:pPr>
      <w:bookmarkStart w:id="27" w:name="_Toc35393625"/>
      <w:bookmarkStart w:id="28" w:name="_Toc35393794"/>
      <w:bookmarkStart w:id="29" w:name="_Toc28359084"/>
      <w:bookmarkStart w:id="30" w:name="_Toc28359007"/>
      <w:r>
        <w:rPr>
          <w:rFonts w:hint="eastAsia" w:ascii="宋体" w:hAnsi="宋体" w:eastAsia="宋体" w:cs="宋体"/>
          <w:b/>
          <w:bCs w:val="0"/>
          <w:sz w:val="21"/>
          <w:szCs w:val="21"/>
        </w:rPr>
        <w:t>五、公告期限</w:t>
      </w:r>
      <w:bookmarkEnd w:id="27"/>
      <w:bookmarkEnd w:id="28"/>
      <w:bookmarkEnd w:id="29"/>
      <w:bookmarkEnd w:id="30"/>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1" w:name="_Toc35393795"/>
      <w:bookmarkStart w:id="32" w:name="_Toc35393626"/>
      <w:r>
        <w:rPr>
          <w:rFonts w:hint="eastAsia" w:ascii="宋体" w:hAnsi="宋体" w:eastAsia="宋体" w:cs="宋体"/>
          <w:b/>
          <w:bCs w:val="0"/>
          <w:sz w:val="21"/>
          <w:szCs w:val="21"/>
        </w:rPr>
        <w:t>六、其他补充事宜</w:t>
      </w:r>
      <w:bookmarkEnd w:id="31"/>
      <w:bookmarkEnd w:id="32"/>
    </w:p>
    <w:p>
      <w:pPr>
        <w:keepNext/>
        <w:keepLines/>
        <w:spacing w:line="380" w:lineRule="exact"/>
        <w:ind w:firstLine="444" w:firstLineChars="200"/>
        <w:outlineLvl w:val="1"/>
        <w:rPr>
          <w:rFonts w:hint="eastAsia" w:ascii="宋体" w:hAnsi="宋体" w:eastAsia="宋体" w:cs="宋体"/>
          <w:color w:val="auto"/>
          <w:spacing w:val="6"/>
          <w:kern w:val="48"/>
          <w:sz w:val="21"/>
          <w:szCs w:val="21"/>
          <w:highlight w:val="none"/>
          <w:lang w:val="en-US" w:eastAsia="zh-CN"/>
        </w:rPr>
      </w:pPr>
      <w:bookmarkStart w:id="33" w:name="_Toc35393627"/>
      <w:bookmarkStart w:id="34" w:name="_Toc28359008"/>
      <w:bookmarkStart w:id="35" w:name="_Toc28359085"/>
      <w:bookmarkStart w:id="36" w:name="_Toc35393796"/>
      <w:r>
        <w:rPr>
          <w:rFonts w:hint="eastAsia" w:ascii="宋体" w:hAnsi="宋体" w:eastAsia="宋体" w:cs="宋体"/>
          <w:color w:val="auto"/>
          <w:spacing w:val="6"/>
          <w:kern w:val="48"/>
          <w:sz w:val="21"/>
          <w:szCs w:val="21"/>
          <w:highlight w:val="none"/>
          <w:lang w:val="en-US" w:eastAsia="zh-CN"/>
        </w:rPr>
        <w:t>1.网上查询：</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cs="宋体"/>
          <w:i w:val="0"/>
          <w:iCs w:val="0"/>
          <w:color w:val="auto"/>
          <w:sz w:val="21"/>
          <w:szCs w:val="21"/>
          <w:lang w:eastAsia="zh-CN"/>
        </w:rPr>
        <w:t>。</w:t>
      </w:r>
    </w:p>
    <w:p>
      <w:pPr>
        <w:keepNext/>
        <w:keepLines/>
        <w:numPr>
          <w:ilvl w:val="0"/>
          <w:numId w:val="0"/>
        </w:numPr>
        <w:spacing w:line="380" w:lineRule="exact"/>
        <w:ind w:firstLine="444" w:firstLineChars="200"/>
        <w:outlineLvl w:val="1"/>
        <w:rPr>
          <w:rFonts w:hint="eastAsia" w:ascii="宋体" w:hAnsi="宋体" w:eastAsia="宋体" w:cs="宋体"/>
          <w:b/>
          <w:bCs w:val="0"/>
          <w:sz w:val="21"/>
          <w:szCs w:val="21"/>
        </w:rPr>
      </w:pPr>
      <w:r>
        <w:rPr>
          <w:rFonts w:hint="eastAsia" w:ascii="宋体" w:hAnsi="宋体" w:eastAsia="宋体" w:cs="宋体"/>
          <w:color w:val="auto"/>
          <w:spacing w:val="6"/>
          <w:kern w:val="48"/>
          <w:sz w:val="21"/>
          <w:szCs w:val="21"/>
          <w:highlight w:val="none"/>
          <w:lang w:val="en-US" w:eastAsia="zh-CN"/>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七、对本次招标提出询问，请按以下方式联系。</w:t>
      </w:r>
      <w:bookmarkEnd w:id="33"/>
      <w:bookmarkEnd w:id="34"/>
      <w:bookmarkEnd w:id="35"/>
      <w:bookmarkEnd w:id="36"/>
    </w:p>
    <w:p>
      <w:pPr>
        <w:widowControl/>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pPr>
        <w:widowControl/>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马山县中医医院</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rPr>
        <w:t>马山县白山镇金伦大道603号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color w:val="auto"/>
          <w:sz w:val="21"/>
          <w:szCs w:val="21"/>
        </w:rPr>
        <w:t>联系方式：</w:t>
      </w:r>
      <w:r>
        <w:rPr>
          <w:rFonts w:hint="eastAsia" w:ascii="宋体" w:hAnsi="宋体" w:cs="宋体"/>
          <w:color w:val="auto"/>
          <w:sz w:val="21"/>
          <w:szCs w:val="21"/>
          <w:lang w:val="en-US" w:eastAsia="zh-CN"/>
        </w:rPr>
        <w:t>黄晓琴，</w:t>
      </w:r>
      <w:r>
        <w:rPr>
          <w:rFonts w:hint="eastAsia" w:ascii="宋体" w:hAnsi="宋体"/>
          <w:b w:val="0"/>
          <w:bCs/>
          <w:color w:val="000000"/>
          <w:spacing w:val="-2"/>
          <w:sz w:val="21"/>
          <w:szCs w:val="21"/>
          <w:lang w:val="en-US" w:eastAsia="zh-CN"/>
        </w:rPr>
        <w:t>0771-</w:t>
      </w:r>
      <w:r>
        <w:rPr>
          <w:rFonts w:hint="eastAsia" w:ascii="宋 体" w:hAnsi="宋 体" w:eastAsia="宋 体" w:cs="宋 体"/>
          <w:color w:val="auto"/>
          <w:sz w:val="21"/>
          <w:szCs w:val="21"/>
          <w:lang w:val="en-US" w:eastAsia="zh-CN"/>
        </w:rPr>
        <w:t>6822245</w:t>
      </w:r>
      <w:r>
        <w:rPr>
          <w:rFonts w:hint="eastAsia" w:ascii="宋体" w:hAnsi="宋体" w:cs="宋体"/>
          <w:color w:val="auto"/>
          <w:sz w:val="21"/>
          <w:szCs w:val="21"/>
          <w:lang w:val="en-US" w:eastAsia="zh-CN"/>
        </w:rPr>
        <w:t xml:space="preserve">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w:t>
      </w:r>
      <w:r>
        <w:rPr>
          <w:rFonts w:hint="eastAsia" w:ascii="宋体" w:hAnsi="宋体" w:eastAsia="宋体" w:cs="宋体"/>
          <w:sz w:val="21"/>
          <w:szCs w:val="21"/>
        </w:rPr>
        <w:t xml:space="preserve">　　　　　　　　　 </w:t>
      </w:r>
      <w:bookmarkStart w:id="37" w:name="_Toc28359009"/>
      <w:bookmarkStart w:id="38" w:name="_Toc28359086"/>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37"/>
      <w:bookmarkEnd w:id="38"/>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lang w:eastAsia="zh-CN"/>
        </w:rPr>
        <w:t>南宁市良庆区凯旋路18号广西合景国际金融广场28层</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联系方式：</w:t>
      </w:r>
      <w:bookmarkStart w:id="39" w:name="_Toc28359010"/>
      <w:bookmarkStart w:id="40" w:name="_Toc28359087"/>
      <w:r>
        <w:rPr>
          <w:rFonts w:hint="eastAsia" w:ascii="宋体" w:hAnsi="宋体" w:cs="宋体"/>
          <w:sz w:val="21"/>
          <w:szCs w:val="21"/>
          <w:lang w:val="en-US" w:eastAsia="zh-CN"/>
        </w:rPr>
        <w:t>黄群</w:t>
      </w:r>
      <w:r>
        <w:rPr>
          <w:rFonts w:hint="eastAsia" w:ascii="宋体" w:hAnsi="宋体" w:cs="宋体"/>
          <w:color w:val="auto"/>
          <w:sz w:val="21"/>
          <w:szCs w:val="21"/>
          <w:lang w:val="en-US" w:eastAsia="zh-CN"/>
        </w:rPr>
        <w:t>，</w:t>
      </w:r>
      <w:r>
        <w:rPr>
          <w:rFonts w:hint="eastAsia" w:ascii="宋体" w:hAnsi="宋体" w:eastAsia="宋体" w:cs="宋体"/>
          <w:color w:val="000000"/>
          <w:sz w:val="21"/>
          <w:szCs w:val="21"/>
          <w:lang w:val="en-US" w:eastAsia="zh-CN"/>
        </w:rPr>
        <w:t>0771-2846860</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39"/>
      <w:bookmarkEnd w:id="40"/>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黄群</w:t>
      </w:r>
    </w:p>
    <w:p>
      <w:pPr>
        <w:spacing w:line="380" w:lineRule="exact"/>
        <w:ind w:firstLine="630" w:firstLineChars="300"/>
        <w:rPr>
          <w:rFonts w:hint="eastAsia" w:ascii="宋体" w:hAnsi="宋体" w:eastAsia="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0771-2846860</w:t>
      </w:r>
    </w:p>
    <w:p>
      <w:pPr>
        <w:numPr>
          <w:ilvl w:val="0"/>
          <w:numId w:val="0"/>
        </w:numPr>
        <w:spacing w:line="380" w:lineRule="exact"/>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4.监管部门：</w:t>
      </w:r>
      <w:r>
        <w:rPr>
          <w:rFonts w:hint="eastAsia" w:ascii="宋体" w:hAnsi="宋体" w:eastAsia="宋体" w:cs="宋体"/>
          <w:color w:val="000000"/>
          <w:sz w:val="21"/>
          <w:szCs w:val="21"/>
        </w:rPr>
        <w:t>马山县政府采购监督管理办公室</w:t>
      </w:r>
    </w:p>
    <w:p>
      <w:pPr>
        <w:numPr>
          <w:ilvl w:val="0"/>
          <w:numId w:val="0"/>
        </w:numPr>
        <w:spacing w:line="380" w:lineRule="exact"/>
        <w:ind w:firstLine="630" w:firstLineChars="300"/>
        <w:rPr>
          <w:rFonts w:hint="default" w:ascii="宋体" w:hAnsi="宋体" w:eastAsia="宋体" w:cs="宋体"/>
          <w:sz w:val="21"/>
          <w:szCs w:val="21"/>
          <w:lang w:val="en-US" w:eastAsia="zh-CN"/>
        </w:rPr>
      </w:pPr>
      <w:r>
        <w:rPr>
          <w:rFonts w:hint="eastAsia" w:ascii="宋体" w:hAnsi="宋体" w:cs="宋体"/>
          <w:sz w:val="21"/>
          <w:szCs w:val="21"/>
          <w:lang w:val="en-US" w:eastAsia="zh-CN"/>
        </w:rPr>
        <w:t>电 话：</w:t>
      </w:r>
      <w:r>
        <w:rPr>
          <w:rFonts w:hint="eastAsia" w:ascii="宋体" w:hAnsi="宋体" w:eastAsia="宋体" w:cs="宋体"/>
          <w:color w:val="000000"/>
          <w:sz w:val="21"/>
          <w:szCs w:val="21"/>
        </w:rPr>
        <w:t>0771-6825986</w:t>
      </w:r>
    </w:p>
    <w:p>
      <w:pPr>
        <w:widowControl/>
        <w:spacing w:line="380" w:lineRule="exact"/>
        <w:ind w:firstLine="4538"/>
        <w:jc w:val="right"/>
        <w:rPr>
          <w:rFonts w:hint="eastAsia" w:ascii="宋体" w:hAnsi="宋体" w:eastAsia="宋体" w:cs="宋体"/>
          <w:color w:val="000000"/>
          <w:sz w:val="21"/>
          <w:szCs w:val="21"/>
          <w:lang w:eastAsia="zh-CN"/>
        </w:rPr>
      </w:pPr>
    </w:p>
    <w:p>
      <w:pPr>
        <w:pStyle w:val="39"/>
        <w:ind w:left="0" w:leftChars="0" w:firstLine="0" w:firstLineChars="0"/>
        <w:rPr>
          <w:rFonts w:hint="eastAsia"/>
          <w:lang w:eastAsia="zh-CN"/>
        </w:rPr>
      </w:pP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right"/>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10</w:t>
      </w:r>
      <w:r>
        <w:rPr>
          <w:rFonts w:hint="eastAsia" w:ascii="宋体" w:hAnsi="宋体" w:eastAsia="宋体" w:cs="宋体"/>
          <w:sz w:val="21"/>
          <w:szCs w:val="21"/>
        </w:rPr>
        <w:t>月</w:t>
      </w:r>
      <w:r>
        <w:rPr>
          <w:rFonts w:hint="eastAsia" w:ascii="宋体" w:hAnsi="宋体" w:cs="宋体"/>
          <w:sz w:val="21"/>
          <w:szCs w:val="21"/>
          <w:lang w:val="en-US" w:eastAsia="zh-CN"/>
        </w:rPr>
        <w:t>30</w:t>
      </w:r>
      <w:r>
        <w:rPr>
          <w:rFonts w:hint="eastAsia" w:ascii="宋体" w:hAnsi="宋体" w:eastAsia="宋体" w:cs="宋体"/>
          <w:sz w:val="21"/>
          <w:szCs w:val="21"/>
        </w:rPr>
        <w:t>日</w:t>
      </w:r>
    </w:p>
    <w:p>
      <w:pPr>
        <w:pStyle w:val="17"/>
        <w:tabs>
          <w:tab w:val="left" w:pos="3420"/>
        </w:tabs>
        <w:spacing w:line="360" w:lineRule="exact"/>
        <w:ind w:firstLine="444" w:firstLineChars="200"/>
        <w:rPr>
          <w:rFonts w:hint="eastAsia" w:ascii="宋体" w:hAnsi="宋体" w:eastAsia="宋体" w:cs="宋体"/>
          <w:spacing w:val="6"/>
          <w:kern w:val="48"/>
          <w:sz w:val="21"/>
          <w:szCs w:val="21"/>
        </w:rPr>
      </w:pPr>
    </w:p>
    <w:p>
      <w:pPr>
        <w:pStyle w:val="17"/>
        <w:tabs>
          <w:tab w:val="left" w:pos="3420"/>
        </w:tabs>
        <w:spacing w:line="360" w:lineRule="exact"/>
        <w:ind w:firstLine="444" w:firstLineChars="200"/>
        <w:rPr>
          <w:rFonts w:hint="eastAsia" w:ascii="宋体" w:hAnsi="宋体" w:eastAsia="宋体" w:cs="宋体"/>
          <w:spacing w:val="6"/>
          <w:kern w:val="48"/>
          <w:sz w:val="21"/>
          <w:szCs w:val="21"/>
        </w:rPr>
      </w:pP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 w:val="21"/>
          <w:szCs w:val="21"/>
          <w:lang w:eastAsia="zh-CN"/>
        </w:rPr>
      </w:pPr>
    </w:p>
    <w:p>
      <w:pPr>
        <w:tabs>
          <w:tab w:val="left" w:pos="2577"/>
          <w:tab w:val="center" w:pos="4880"/>
        </w:tabs>
        <w:jc w:val="center"/>
        <w:rPr>
          <w:rFonts w:hint="eastAsia" w:ascii="宋体" w:hAnsi="宋体" w:eastAsia="宋体" w:cs="宋体"/>
          <w:b/>
          <w:color w:val="000000"/>
          <w:sz w:val="30"/>
          <w:szCs w:val="30"/>
        </w:rPr>
      </w:pPr>
    </w:p>
    <w:p>
      <w:pPr>
        <w:tabs>
          <w:tab w:val="left" w:pos="2577"/>
          <w:tab w:val="center" w:pos="4880"/>
        </w:tabs>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第二章 </w:t>
      </w:r>
      <w:r>
        <w:rPr>
          <w:rFonts w:hint="eastAsia" w:ascii="宋体" w:hAnsi="宋体" w:cs="宋体"/>
          <w:b/>
          <w:color w:val="000000"/>
          <w:sz w:val="30"/>
          <w:szCs w:val="30"/>
          <w:lang w:val="en-US" w:eastAsia="zh-CN"/>
        </w:rPr>
        <w:t xml:space="preserve"> </w:t>
      </w:r>
      <w:r>
        <w:rPr>
          <w:rStyle w:val="48"/>
          <w:rFonts w:hint="eastAsia" w:ascii="宋体" w:hAnsi="宋体" w:eastAsia="宋体" w:cs="宋体"/>
          <w:b/>
          <w:bCs/>
          <w:color w:val="auto"/>
          <w:sz w:val="30"/>
          <w:szCs w:val="30"/>
          <w:u w:val="none"/>
        </w:rPr>
        <w:t>投标人须知及前附表</w:t>
      </w:r>
    </w:p>
    <w:p>
      <w:pPr>
        <w:tabs>
          <w:tab w:val="left" w:pos="1065"/>
          <w:tab w:val="center" w:pos="4411"/>
        </w:tabs>
        <w:spacing w:line="440" w:lineRule="atLeast"/>
        <w:jc w:val="center"/>
        <w:rPr>
          <w:rFonts w:hint="eastAsia" w:ascii="宋体" w:hAnsi="宋体" w:eastAsia="宋体" w:cs="宋体"/>
          <w:b/>
          <w:color w:val="000000"/>
          <w:sz w:val="24"/>
        </w:rPr>
      </w:pPr>
      <w:r>
        <w:rPr>
          <w:rFonts w:hint="eastAsia" w:ascii="宋体" w:hAnsi="宋体" w:eastAsia="宋体" w:cs="宋体"/>
          <w:b/>
          <w:color w:val="000000"/>
          <w:sz w:val="24"/>
        </w:rPr>
        <w:t>投标人须知前附表</w:t>
      </w:r>
    </w:p>
    <w:tbl>
      <w:tblPr>
        <w:tblStyle w:val="40"/>
        <w:tblW w:w="972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0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项目名称：</w:t>
            </w:r>
            <w:r>
              <w:rPr>
                <w:rFonts w:hint="eastAsia" w:ascii="宋体" w:hAnsi="宋体" w:cs="宋体"/>
                <w:b w:val="0"/>
                <w:bCs/>
                <w:color w:val="000000"/>
                <w:sz w:val="21"/>
                <w:szCs w:val="21"/>
                <w:lang w:val="en-US" w:eastAsia="zh-CN"/>
              </w:rPr>
              <w:t>马山县中医医院消毒供应室医疗设备采购</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项目编号</w:t>
            </w:r>
            <w:r>
              <w:rPr>
                <w:rFonts w:hint="eastAsia" w:ascii="宋体" w:hAnsi="宋体" w:eastAsia="宋体" w:cs="宋体"/>
                <w:bCs/>
                <w:i w:val="0"/>
                <w:iCs w:val="0"/>
                <w:color w:val="auto"/>
                <w:sz w:val="21"/>
                <w:szCs w:val="21"/>
              </w:rPr>
              <w:t>：</w:t>
            </w:r>
            <w:r>
              <w:rPr>
                <w:rFonts w:hint="eastAsia" w:ascii="宋体" w:hAnsi="宋体" w:cs="宋体"/>
                <w:b w:val="0"/>
                <w:bCs/>
                <w:color w:val="000000"/>
                <w:sz w:val="21"/>
                <w:szCs w:val="21"/>
                <w:lang w:val="en-US" w:eastAsia="zh-CN"/>
              </w:rPr>
              <w:t>MSZC2020-G1-00516-GXSYH</w:t>
            </w:r>
            <w:r>
              <w:rPr>
                <w:rFonts w:hint="eastAsia" w:ascii="宋体" w:hAnsi="宋体" w:eastAsia="宋体" w:cs="宋体"/>
                <w:i w:val="0"/>
                <w:iCs w:val="0"/>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投标报价及费用：</w:t>
            </w: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、投标人须对《</w:t>
            </w:r>
            <w:r>
              <w:rPr>
                <w:rFonts w:hint="eastAsia" w:ascii="宋体" w:hAnsi="宋体" w:cs="宋体"/>
                <w:i w:val="0"/>
                <w:iCs w:val="0"/>
                <w:color w:val="auto"/>
                <w:sz w:val="21"/>
                <w:szCs w:val="21"/>
                <w:lang w:eastAsia="zh-CN"/>
              </w:rPr>
              <w:t>货物需求一览表</w:t>
            </w:r>
            <w:r>
              <w:rPr>
                <w:rFonts w:hint="eastAsia" w:ascii="宋体" w:hAnsi="宋体" w:eastAsia="宋体" w:cs="宋体"/>
                <w:i w:val="0"/>
                <w:iCs w:val="0"/>
                <w:color w:val="auto"/>
                <w:sz w:val="21"/>
                <w:szCs w:val="21"/>
              </w:rPr>
              <w:t>》中的货物和服务内容作完整唯一报价。2、本项目投标应以人民币报价</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履约</w:t>
            </w:r>
            <w:r>
              <w:rPr>
                <w:rFonts w:hint="eastAsia" w:ascii="宋体" w:hAnsi="宋体" w:eastAsia="宋体" w:cs="宋体"/>
                <w:b w:val="0"/>
                <w:bCs w:val="0"/>
                <w:i w:val="0"/>
                <w:iCs w:val="0"/>
                <w:color w:val="auto"/>
                <w:sz w:val="21"/>
                <w:szCs w:val="21"/>
              </w:rPr>
              <w:t>保证金：</w:t>
            </w:r>
            <w:r>
              <w:rPr>
                <w:rFonts w:hint="eastAsia" w:ascii="宋体" w:hAnsi="宋体" w:eastAsia="宋体" w:cs="宋体"/>
                <w:color w:val="auto"/>
                <w:sz w:val="21"/>
                <w:szCs w:val="21"/>
              </w:rPr>
              <w:t>根据《南宁市财政局关于推进政府采购“放管服”工作和深化改革有关内容的通知》（南财采[2019]27号）规定，本项目不需要提交履约保证金</w:t>
            </w:r>
            <w:r>
              <w:rPr>
                <w:rFonts w:hint="eastAsia" w:ascii="宋体" w:hAnsi="宋体" w:eastAsia="宋体" w:cs="宋体"/>
                <w:b w:val="0"/>
                <w:bCs w:val="0"/>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现场踏勘（如有）：无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演示时间及地点（如有）：无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90"/>
              </w:tabs>
              <w:kinsoku/>
              <w:wordWrap/>
              <w:overflowPunct/>
              <w:topLinePunct w:val="0"/>
              <w:autoSpaceDE/>
              <w:autoSpaceDN/>
              <w:bidi w:val="0"/>
              <w:spacing w:line="440" w:lineRule="exact"/>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答疑与澄清：</w:t>
            </w:r>
            <w:r>
              <w:rPr>
                <w:rFonts w:hint="eastAsia" w:ascii="宋体" w:hAnsi="宋体" w:eastAsia="宋体" w:cs="宋体"/>
                <w:color w:val="000000"/>
                <w:sz w:val="21"/>
                <w:szCs w:val="21"/>
              </w:rPr>
              <w:t>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rPr>
              <w:t>投标文件组成：</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资格审查</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商务</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投标文件电子版。投标人在递交投标文件时，同时递交投标文件电子版。</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投标文件电子版份数：1份。</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投标文件电子版形式：可编辑的word文档格式。</w:t>
            </w:r>
          </w:p>
          <w:p>
            <w:pPr>
              <w:pStyle w:val="2"/>
              <w:ind w:left="0" w:leftChars="0" w:firstLine="0" w:firstLineChars="0"/>
              <w:jc w:val="both"/>
              <w:rPr>
                <w:rFonts w:hint="eastAsia"/>
              </w:rPr>
            </w:pPr>
            <w:r>
              <w:rPr>
                <w:rFonts w:hint="eastAsia" w:ascii="宋体" w:hAnsi="宋体" w:eastAsia="宋体" w:cs="宋体"/>
                <w:i w:val="0"/>
                <w:iCs w:val="0"/>
                <w:color w:val="auto"/>
                <w:sz w:val="21"/>
                <w:szCs w:val="21"/>
              </w:rPr>
              <w:t>投标文件电子版密封方式：投标文件电子版U盘与纸质版投标文件一并</w:t>
            </w:r>
            <w:r>
              <w:rPr>
                <w:rFonts w:hint="eastAsia" w:ascii="宋体" w:hAnsi="宋体" w:eastAsia="宋体" w:cs="宋体"/>
                <w:i w:val="0"/>
                <w:iCs w:val="0"/>
                <w:color w:val="auto"/>
                <w:sz w:val="21"/>
                <w:szCs w:val="21"/>
                <w:lang w:eastAsia="zh-CN"/>
              </w:rPr>
              <w:t>密封包装</w:t>
            </w:r>
            <w:r>
              <w:rPr>
                <w:rFonts w:hint="eastAsia" w:ascii="宋体" w:hAnsi="宋体" w:eastAsia="宋体" w:cs="宋体"/>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投标截止时间及地点</w:t>
            </w:r>
            <w:r>
              <w:rPr>
                <w:rFonts w:hint="eastAsia" w:ascii="宋体" w:hAnsi="宋体" w:eastAsia="宋体" w:cs="宋体"/>
                <w:i w:val="0"/>
                <w:iCs w:val="0"/>
                <w:color w:val="auto"/>
                <w:sz w:val="21"/>
                <w:szCs w:val="21"/>
              </w:rPr>
              <w:t>：</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11</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19</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开标时间及地点：</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11</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19</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评标办法及评分标准：综合评分法</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中标公告及中标通知书：本公司在采购人依法确</w:t>
            </w:r>
            <w:r>
              <w:rPr>
                <w:rFonts w:hint="eastAsia" w:ascii="宋体" w:hAnsi="宋体" w:eastAsia="宋体" w:cs="宋体"/>
                <w:i w:val="0"/>
                <w:iCs w:val="0"/>
                <w:color w:val="auto"/>
                <w:sz w:val="21"/>
                <w:szCs w:val="21"/>
                <w:lang w:eastAsia="zh-CN"/>
              </w:rPr>
              <w:t>定</w:t>
            </w:r>
            <w:r>
              <w:rPr>
                <w:rFonts w:hint="eastAsia" w:ascii="宋体" w:hAnsi="宋体" w:eastAsia="宋体" w:cs="宋体"/>
                <w:i w:val="0"/>
                <w:iCs w:val="0"/>
                <w:color w:val="auto"/>
                <w:sz w:val="21"/>
                <w:szCs w:val="21"/>
              </w:rPr>
              <w:t>中标人后</w:t>
            </w:r>
            <w:r>
              <w:rPr>
                <w:rFonts w:hint="eastAsia" w:ascii="宋体" w:hAnsi="宋体" w:eastAsia="宋体" w:cs="宋体"/>
                <w:i w:val="0"/>
                <w:iCs w:val="0"/>
                <w:color w:val="auto"/>
                <w:sz w:val="21"/>
                <w:szCs w:val="21"/>
                <w:lang w:eastAsia="zh-CN"/>
              </w:rPr>
              <w:t>两</w:t>
            </w:r>
            <w:r>
              <w:rPr>
                <w:rFonts w:hint="eastAsia" w:ascii="宋体" w:hAnsi="宋体" w:eastAsia="宋体" w:cs="宋体"/>
                <w:i w:val="0"/>
                <w:iCs w:val="0"/>
                <w:color w:val="auto"/>
                <w:sz w:val="21"/>
                <w:szCs w:val="21"/>
              </w:rPr>
              <w:t>个工作日内发布中标公告和中标通知书。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签订合同时间：</w:t>
            </w:r>
            <w:r>
              <w:rPr>
                <w:rFonts w:hint="eastAsia" w:ascii="宋体" w:hAnsi="宋体" w:eastAsia="宋体" w:cs="宋体"/>
                <w:color w:val="auto"/>
                <w:sz w:val="21"/>
                <w:szCs w:val="21"/>
                <w:lang w:val="en-US" w:eastAsia="zh-CN"/>
              </w:rPr>
              <w:t>签订合同之日起30个工作日内</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i w:val="0"/>
                <w:iCs w:val="0"/>
                <w:color w:val="auto"/>
                <w:sz w:val="21"/>
                <w:szCs w:val="21"/>
                <w:lang w:eastAsia="zh-CN"/>
              </w:rPr>
            </w:pPr>
            <w:r>
              <w:rPr>
                <w:rFonts w:hint="eastAsia" w:ascii="宋体" w:hAnsi="宋体" w:eastAsia="宋体" w:cs="宋体"/>
                <w:color w:val="auto"/>
                <w:sz w:val="21"/>
                <w:szCs w:val="21"/>
              </w:rPr>
              <w:t>付款</w:t>
            </w:r>
            <w:r>
              <w:rPr>
                <w:rFonts w:hint="eastAsia" w:ascii="宋体" w:hAnsi="宋体" w:eastAsia="宋体" w:cs="宋体"/>
                <w:color w:val="auto"/>
                <w:sz w:val="21"/>
                <w:szCs w:val="21"/>
                <w:lang w:eastAsia="zh-CN"/>
              </w:rPr>
              <w:t>方式</w:t>
            </w:r>
            <w:r>
              <w:rPr>
                <w:rFonts w:hint="eastAsia" w:ascii="宋体" w:hAnsi="宋体" w:eastAsia="宋体" w:cs="宋体"/>
                <w:color w:val="auto"/>
                <w:sz w:val="21"/>
                <w:szCs w:val="21"/>
              </w:rPr>
              <w:t>：全部设备到达现场待设备安装、调试、验收合格后30日内采购人</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支付</w:t>
            </w:r>
            <w:r>
              <w:rPr>
                <w:rFonts w:hint="eastAsia" w:ascii="宋体" w:hAnsi="宋体" w:eastAsia="宋体" w:cs="宋体"/>
                <w:color w:val="auto"/>
                <w:sz w:val="21"/>
                <w:szCs w:val="21"/>
                <w:lang w:eastAsia="zh-CN"/>
              </w:rPr>
              <w:t>完</w:t>
            </w:r>
            <w:r>
              <w:rPr>
                <w:rFonts w:hint="eastAsia" w:ascii="宋体" w:hAnsi="宋体" w:eastAsia="宋体" w:cs="宋体"/>
                <w:color w:val="auto"/>
                <w:sz w:val="21"/>
                <w:szCs w:val="21"/>
              </w:rPr>
              <w:t>合同款</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投标文件有效期：</w:t>
            </w:r>
            <w:r>
              <w:rPr>
                <w:rFonts w:hint="eastAsia" w:ascii="宋体" w:hAnsi="宋体" w:eastAsia="宋体" w:cs="宋体"/>
                <w:color w:val="000000"/>
                <w:sz w:val="21"/>
                <w:szCs w:val="21"/>
              </w:rPr>
              <w:t>投标截止时间之日起60天</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本招标采购文件最终解释权属于</w:t>
            </w:r>
            <w:r>
              <w:rPr>
                <w:rFonts w:hint="eastAsia" w:ascii="宋体" w:hAnsi="宋体" w:eastAsia="宋体" w:cs="宋体"/>
                <w:i w:val="0"/>
                <w:iCs w:val="0"/>
                <w:color w:val="auto"/>
                <w:sz w:val="21"/>
                <w:szCs w:val="21"/>
                <w:lang w:eastAsia="zh-CN"/>
              </w:rPr>
              <w:t>广西盛元华工程咨询有限公司。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16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采购代理机构应在采购项目开标会现场登陆开标系统并输入</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全称、社会统一信用代码、联系电话等信息，完成响应签到，</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自行提前准备准确的信息材料（如：有效的营业执照</w:t>
            </w:r>
            <w:r>
              <w:rPr>
                <w:rFonts w:hint="eastAsia" w:ascii="宋体" w:hAnsi="宋体" w:eastAsia="宋体" w:cs="宋体"/>
                <w:spacing w:val="6"/>
                <w:szCs w:val="21"/>
              </w:rPr>
              <w:t>或事业单位法人证副本</w:t>
            </w:r>
            <w:r>
              <w:rPr>
                <w:rFonts w:hint="eastAsia" w:ascii="宋体" w:hAnsi="宋体" w:eastAsia="宋体" w:cs="宋体"/>
                <w:b w:val="0"/>
                <w:bCs w:val="0"/>
                <w:kern w:val="0"/>
                <w:sz w:val="21"/>
                <w:szCs w:val="21"/>
              </w:rPr>
              <w:t>复印件），如因</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提供信息不准确导致信息错误的，</w:t>
            </w:r>
            <w:r>
              <w:rPr>
                <w:rFonts w:hint="eastAsia" w:ascii="宋体" w:hAnsi="宋体" w:eastAsia="宋体" w:cs="宋体"/>
                <w:spacing w:val="6"/>
                <w:szCs w:val="21"/>
              </w:rPr>
              <w:t>后果由</w:t>
            </w:r>
            <w:r>
              <w:rPr>
                <w:rFonts w:hint="eastAsia" w:ascii="宋体" w:hAnsi="宋体" w:eastAsia="宋体" w:cs="宋体"/>
                <w:spacing w:val="6"/>
                <w:szCs w:val="21"/>
                <w:lang w:eastAsia="zh-CN"/>
              </w:rPr>
              <w:t>投标人</w:t>
            </w:r>
            <w:r>
              <w:rPr>
                <w:rFonts w:hint="eastAsia" w:ascii="宋体" w:hAnsi="宋体" w:eastAsia="宋体" w:cs="宋体"/>
                <w:spacing w:val="6"/>
                <w:szCs w:val="21"/>
              </w:rPr>
              <w:t>自行承担</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i w:val="0"/>
                <w:iCs w:val="0"/>
                <w:color w:val="auto"/>
                <w:sz w:val="21"/>
                <w:szCs w:val="21"/>
              </w:rPr>
            </w:pPr>
            <w:r>
              <w:rPr>
                <w:rFonts w:hint="eastAsia" w:ascii="宋体" w:hAnsi="宋体" w:eastAsia="宋体" w:cs="宋体"/>
                <w:color w:val="auto"/>
                <w:sz w:val="21"/>
                <w:szCs w:val="21"/>
              </w:rPr>
              <w:t>政府采购信用融资制度</w:t>
            </w:r>
            <w:r>
              <w:rPr>
                <w:rFonts w:hint="eastAsia" w:ascii="宋体" w:hAnsi="宋体" w:eastAsia="宋体" w:cs="宋体"/>
                <w:color w:val="auto"/>
                <w:sz w:val="21"/>
                <w:szCs w:val="21"/>
                <w:lang w:eastAsia="zh-CN"/>
              </w:rPr>
              <w:t>：</w:t>
            </w:r>
            <w:r>
              <w:rPr>
                <w:rFonts w:hint="eastAsia" w:ascii="宋体" w:hAnsi="宋体" w:eastAsia="宋体" w:cs="宋体"/>
                <w:b w:val="0"/>
                <w:bCs w:val="0"/>
                <w:kern w:val="0"/>
                <w:sz w:val="21"/>
                <w:szCs w:val="21"/>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keepNext w:val="0"/>
        <w:keepLines w:val="0"/>
        <w:pageBreakBefore w:val="0"/>
        <w:widowControl w:val="0"/>
        <w:kinsoku/>
        <w:wordWrap/>
        <w:overflowPunct/>
        <w:topLinePunct w:val="0"/>
        <w:bidi w:val="0"/>
        <w:spacing w:line="380" w:lineRule="exact"/>
        <w:ind w:firstLine="413" w:firstLineChars="196"/>
        <w:jc w:val="center"/>
        <w:outlineLvl w:val="9"/>
        <w:rPr>
          <w:rFonts w:hint="eastAsia" w:ascii="宋体" w:hAnsi="宋体" w:eastAsia="宋体" w:cs="宋体"/>
          <w:b/>
          <w:i w:val="0"/>
          <w:iCs w:val="0"/>
          <w:color w:val="auto"/>
          <w:sz w:val="21"/>
          <w:szCs w:val="21"/>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000000"/>
          <w:sz w:val="24"/>
          <w:szCs w:val="24"/>
        </w:rPr>
      </w:pPr>
    </w:p>
    <w:p>
      <w:pPr>
        <w:spacing w:line="400" w:lineRule="exact"/>
        <w:ind w:firstLine="472" w:firstLineChars="196"/>
        <w:jc w:val="center"/>
        <w:rPr>
          <w:rFonts w:hint="eastAsia" w:ascii="宋体" w:hAnsi="宋体" w:eastAsia="宋体" w:cs="宋体"/>
          <w:b/>
          <w:color w:val="000000"/>
          <w:sz w:val="24"/>
          <w:szCs w:val="24"/>
        </w:rPr>
      </w:pPr>
    </w:p>
    <w:p>
      <w:pPr>
        <w:spacing w:line="400" w:lineRule="exact"/>
        <w:ind w:firstLine="472" w:firstLineChars="196"/>
        <w:jc w:val="center"/>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pStyle w:val="26"/>
        <w:rPr>
          <w:rFonts w:hint="eastAsia" w:ascii="宋体" w:hAnsi="宋体" w:eastAsia="宋体" w:cs="宋体"/>
          <w:b/>
          <w:color w:val="000000"/>
          <w:sz w:val="24"/>
          <w:szCs w:val="24"/>
        </w:rPr>
      </w:pPr>
    </w:p>
    <w:p>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outlineLvl w:val="1"/>
        <w:rPr>
          <w:rFonts w:hint="eastAsia" w:ascii="宋体" w:hAnsi="宋体" w:eastAsia="宋体" w:cs="宋体"/>
          <w:b/>
          <w:sz w:val="21"/>
          <w:szCs w:val="21"/>
        </w:rPr>
      </w:pPr>
      <w:bookmarkStart w:id="41" w:name="_Toc254970668"/>
      <w:bookmarkStart w:id="42" w:name="_Toc254970527"/>
      <w:r>
        <w:rPr>
          <w:rFonts w:hint="eastAsia" w:ascii="宋体" w:hAnsi="宋体" w:eastAsia="宋体" w:cs="宋体"/>
          <w:b/>
          <w:sz w:val="21"/>
          <w:szCs w:val="21"/>
        </w:rPr>
        <w:t>（一）适用范围</w:t>
      </w:r>
      <w:bookmarkEnd w:id="41"/>
      <w:bookmarkEnd w:id="42"/>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本招标文件适用于</w:t>
      </w:r>
      <w:r>
        <w:rPr>
          <w:rFonts w:hint="eastAsia" w:ascii="宋体" w:hAnsi="宋体" w:eastAsia="宋体" w:cs="宋体"/>
          <w:bCs/>
          <w:color w:val="000000"/>
          <w:sz w:val="21"/>
          <w:szCs w:val="21"/>
          <w:lang w:val="en-US" w:eastAsia="zh-CN"/>
        </w:rPr>
        <w:t>本</w:t>
      </w:r>
      <w:r>
        <w:rPr>
          <w:rFonts w:hint="eastAsia" w:ascii="宋体" w:hAnsi="宋体" w:eastAsia="宋体" w:cs="宋体"/>
          <w:bCs/>
          <w:sz w:val="21"/>
          <w:szCs w:val="21"/>
        </w:rPr>
        <w:t>项目</w:t>
      </w:r>
      <w:r>
        <w:rPr>
          <w:rFonts w:hint="eastAsia" w:ascii="宋体" w:hAnsi="宋体" w:eastAsia="宋体" w:cs="宋体"/>
          <w:sz w:val="21"/>
          <w:szCs w:val="21"/>
        </w:rPr>
        <w:t>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43" w:name="_Toc254970528"/>
      <w:bookmarkStart w:id="44" w:name="_Toc254970669"/>
      <w:r>
        <w:rPr>
          <w:rFonts w:hint="eastAsia" w:ascii="宋体" w:hAnsi="宋体" w:eastAsia="宋体" w:cs="宋体"/>
          <w:b/>
          <w:sz w:val="21"/>
          <w:szCs w:val="21"/>
        </w:rPr>
        <w:t>（二）定义</w:t>
      </w:r>
      <w:bookmarkEnd w:id="43"/>
      <w:bookmarkEnd w:id="44"/>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1.招标采购单位系指组织本次招标的采购人和代理机构。</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2.“投标人”系指向招标方提交投标文件的单位或自然人。</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4.“服务”系指招标文件规定投标人须承担的安装、调试、技术协助、校准、培训、技术指导以及其他类似的义务。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5.“项目”系指投标人按招标文件规定向采购人提供的产品和服务。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6.“书面形式”包括信函、传真、电报等。</w:t>
      </w:r>
      <w:bookmarkStart w:id="45" w:name="_Toc254970670"/>
      <w:bookmarkStart w:id="46" w:name="_Toc254970529"/>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（三）招标方式</w:t>
      </w:r>
      <w:bookmarkEnd w:id="45"/>
      <w:bookmarkEnd w:id="46"/>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公开招标方式。</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7" w:name="_Toc254970530"/>
      <w:bookmarkStart w:id="48" w:name="_Toc254970671"/>
      <w:r>
        <w:rPr>
          <w:rFonts w:hint="eastAsia" w:ascii="宋体" w:hAnsi="宋体" w:eastAsia="宋体" w:cs="宋体"/>
          <w:b/>
          <w:bCs/>
          <w:sz w:val="21"/>
          <w:szCs w:val="21"/>
        </w:rPr>
        <w:t>（四）投标委托</w:t>
      </w:r>
      <w:bookmarkEnd w:id="47"/>
      <w:bookmarkEnd w:id="48"/>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投标人代表须</w:t>
      </w:r>
      <w:r>
        <w:rPr>
          <w:rFonts w:hint="eastAsia" w:ascii="宋体" w:hAnsi="宋体" w:eastAsia="宋体" w:cs="宋体"/>
          <w:sz w:val="21"/>
          <w:szCs w:val="21"/>
          <w:lang w:eastAsia="zh-CN"/>
        </w:rPr>
        <w:t>附</w:t>
      </w:r>
      <w:r>
        <w:rPr>
          <w:rFonts w:hint="eastAsia" w:ascii="宋体" w:hAnsi="宋体" w:eastAsia="宋体" w:cs="宋体"/>
          <w:sz w:val="21"/>
          <w:szCs w:val="21"/>
        </w:rPr>
        <w:t>有效身份证件。如投标人代表不是法定代表人，须有法定代表人</w:t>
      </w:r>
      <w:r>
        <w:rPr>
          <w:rFonts w:hint="eastAsia" w:ascii="宋体" w:hAnsi="宋体" w:eastAsia="宋体" w:cs="宋体"/>
          <w:sz w:val="21"/>
          <w:szCs w:val="21"/>
          <w:lang w:eastAsia="zh-CN"/>
        </w:rPr>
        <w:t>证明</w:t>
      </w:r>
      <w:r>
        <w:rPr>
          <w:rFonts w:hint="eastAsia" w:ascii="宋体" w:hAnsi="宋体" w:eastAsia="宋体" w:cs="宋体"/>
          <w:sz w:val="21"/>
          <w:szCs w:val="21"/>
        </w:rPr>
        <w:t>的授权委托书。</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9" w:name="_Toc254970672"/>
      <w:bookmarkStart w:id="50" w:name="_Toc254970531"/>
      <w:r>
        <w:rPr>
          <w:rFonts w:hint="eastAsia" w:ascii="宋体" w:hAnsi="宋体" w:eastAsia="宋体" w:cs="宋体"/>
          <w:b/>
          <w:bCs/>
          <w:sz w:val="21"/>
          <w:szCs w:val="21"/>
        </w:rPr>
        <w:t>（五）投标费用</w:t>
      </w:r>
      <w:bookmarkEnd w:id="49"/>
      <w:bookmarkEnd w:id="50"/>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投标人均应自行承担所有与投标有关的全部费用（招标文件有相关的规定除外）。</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（六）联合体投标</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sz w:val="21"/>
          <w:szCs w:val="21"/>
        </w:rPr>
      </w:pPr>
      <w:r>
        <w:rPr>
          <w:rFonts w:hint="eastAsia" w:ascii="宋体" w:hAnsi="宋体" w:eastAsia="宋体" w:cs="宋体"/>
          <w:b/>
          <w:bCs/>
          <w:sz w:val="21"/>
          <w:szCs w:val="21"/>
        </w:rPr>
        <w:t xml:space="preserve">（七）转包与分包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1.本项目不允许转包。</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2.本项目不可以分包。</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51" w:name="_Toc254970532"/>
      <w:bookmarkStart w:id="52" w:name="_Toc254970673"/>
      <w:r>
        <w:rPr>
          <w:rFonts w:hint="eastAsia" w:ascii="宋体" w:hAnsi="宋体" w:eastAsia="宋体" w:cs="宋体"/>
          <w:b/>
          <w:sz w:val="21"/>
          <w:szCs w:val="21"/>
        </w:rPr>
        <w:t>（八）特别说明</w:t>
      </w:r>
      <w:bookmarkEnd w:id="51"/>
      <w:bookmarkEnd w:id="52"/>
    </w:p>
    <w:p>
      <w:pPr>
        <w:pStyle w:val="21"/>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hAnsi="宋体" w:cs="宋体"/>
          <w:sz w:val="21"/>
          <w:szCs w:val="21"/>
          <w:lang w:val="en-US" w:eastAsia="zh-CN"/>
        </w:rPr>
        <w:t>1</w:t>
      </w:r>
      <w:r>
        <w:rPr>
          <w:rFonts w:hint="eastAsia" w:ascii="宋体" w:hAnsi="宋体" w:eastAsia="宋体" w:cs="宋体"/>
          <w:sz w:val="21"/>
          <w:szCs w:val="21"/>
        </w:rPr>
        <w:t>.投标人应仔细阅读招标文件的所有内容，按照招标文件的要求提交投标文件，并对所提供的全部资料的真实性承担法律责任。</w:t>
      </w:r>
    </w:p>
    <w:p>
      <w:pPr>
        <w:pStyle w:val="21"/>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hAnsi="宋体" w:cs="宋体"/>
          <w:sz w:val="21"/>
          <w:szCs w:val="21"/>
          <w:lang w:val="en-US" w:eastAsia="zh-CN"/>
        </w:rPr>
        <w:t>2</w:t>
      </w:r>
      <w:r>
        <w:rPr>
          <w:rFonts w:hint="eastAsia" w:ascii="宋体" w:hAnsi="宋体" w:eastAsia="宋体" w:cs="宋体"/>
          <w:sz w:val="21"/>
          <w:szCs w:val="21"/>
        </w:rPr>
        <w:t>.投标人在投标活动中提供任何虚假材料，其投标无效，并报监管部门查处；中标后发现的</w:t>
      </w:r>
      <w:r>
        <w:rPr>
          <w:rFonts w:hint="eastAsia" w:ascii="宋体" w:hAnsi="宋体" w:eastAsia="宋体" w:cs="宋体"/>
          <w:sz w:val="21"/>
          <w:szCs w:val="21"/>
          <w:lang w:eastAsia="zh-CN"/>
        </w:rPr>
        <w:t>，</w:t>
      </w:r>
      <w:r>
        <w:rPr>
          <w:rFonts w:hint="eastAsia" w:ascii="宋体" w:hAnsi="宋体" w:eastAsia="宋体" w:cs="宋体"/>
          <w:sz w:val="21"/>
          <w:szCs w:val="21"/>
        </w:rPr>
        <w:t>中标人须依照《中华人民共和国消费者权益保护法》第49条之规定双倍赔偿采购人，且民事赔偿并不免除违法投标人的行政与刑事责任。</w:t>
      </w:r>
    </w:p>
    <w:p>
      <w:pPr>
        <w:pStyle w:val="21"/>
        <w:keepNext w:val="0"/>
        <w:keepLines w:val="0"/>
        <w:pageBreakBefore w:val="0"/>
        <w:kinsoku/>
        <w:wordWrap/>
        <w:overflowPunct/>
        <w:topLinePunct w:val="0"/>
        <w:autoSpaceDE/>
        <w:autoSpaceDN/>
        <w:bidi w:val="0"/>
        <w:adjustRightInd w:val="0"/>
        <w:snapToGrid w:val="0"/>
        <w:spacing w:line="440" w:lineRule="exact"/>
        <w:ind w:left="2" w:leftChars="1" w:firstLine="420" w:firstLineChars="20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3</w:t>
      </w:r>
      <w:r>
        <w:rPr>
          <w:rFonts w:hint="eastAsia" w:ascii="宋体" w:hAnsi="宋体" w:eastAsia="宋体" w:cs="宋体"/>
          <w:color w:val="000000"/>
          <w:sz w:val="21"/>
          <w:szCs w:val="21"/>
        </w:rPr>
        <w:t>.关于相同品牌产品的问题：</w:t>
      </w:r>
    </w:p>
    <w:p>
      <w:pPr>
        <w:pStyle w:val="21"/>
        <w:keepNext w:val="0"/>
        <w:keepLines w:val="0"/>
        <w:pageBreakBefore w:val="0"/>
        <w:kinsoku/>
        <w:wordWrap/>
        <w:overflowPunct/>
        <w:topLinePunct w:val="0"/>
        <w:autoSpaceDE/>
        <w:autoSpaceDN/>
        <w:bidi w:val="0"/>
        <w:adjustRightInd w:val="0"/>
        <w:snapToGrid w:val="0"/>
        <w:spacing w:line="44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此规定处理）。 </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hAnsi="宋体" w:cs="宋体"/>
          <w:color w:val="000000"/>
          <w:sz w:val="21"/>
          <w:szCs w:val="21"/>
          <w:lang w:val="en-US" w:eastAsia="zh-CN"/>
        </w:rPr>
        <w:t>4</w:t>
      </w:r>
      <w:r>
        <w:rPr>
          <w:rFonts w:hint="eastAsia" w:ascii="宋体" w:hAnsi="宋体" w:eastAsia="宋体" w:cs="宋体"/>
          <w:color w:val="000000"/>
          <w:sz w:val="21"/>
          <w:szCs w:val="21"/>
          <w:lang w:val="en-US" w:eastAsia="zh-CN"/>
        </w:rPr>
        <w:t>.关联供应商不得参加同一合同项下政府采购活动，否则投标文件将被视为无效：</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（1）单位负责人为同一人或者存在直接控股、管理关系的不同的供应商，不得参加同一合同项下的政府采购活动；</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（2）生产厂商授权给供应商后自己不得参加同一合同项下的政府采购活动；生产厂商对同一品牌同一型号的货物，仅能委托一个代理商参加投标。</w:t>
      </w:r>
    </w:p>
    <w:p>
      <w:pPr>
        <w:keepNext w:val="0"/>
        <w:keepLines w:val="0"/>
        <w:pageBreakBefore w:val="0"/>
        <w:kinsoku/>
        <w:wordWrap/>
        <w:overflowPunct/>
        <w:topLinePunct w:val="0"/>
        <w:autoSpaceDE/>
        <w:autoSpaceDN/>
        <w:bidi w:val="0"/>
        <w:snapToGrid w:val="0"/>
        <w:spacing w:before="120" w:beforeLines="50" w:line="440" w:lineRule="exact"/>
        <w:ind w:firstLine="211" w:firstLineChars="100"/>
        <w:jc w:val="left"/>
        <w:textAlignment w:val="auto"/>
        <w:outlineLvl w:val="0"/>
        <w:rPr>
          <w:rFonts w:hint="eastAsia" w:ascii="宋体" w:hAnsi="宋体" w:eastAsia="宋体" w:cs="宋体"/>
          <w:b/>
          <w:bCs/>
          <w:color w:val="000000"/>
          <w:kern w:val="2"/>
          <w:sz w:val="21"/>
          <w:szCs w:val="21"/>
          <w:lang w:val="en-US" w:eastAsia="zh-CN" w:bidi="ar-SA"/>
        </w:rPr>
      </w:pPr>
      <w:bookmarkStart w:id="53" w:name="_Toc254970533"/>
      <w:bookmarkStart w:id="54" w:name="_Toc254970674"/>
      <w:r>
        <w:rPr>
          <w:rFonts w:hint="eastAsia" w:ascii="宋体" w:hAnsi="宋体" w:eastAsia="宋体" w:cs="宋体"/>
          <w:b/>
          <w:bCs/>
          <w:color w:val="000000"/>
          <w:kern w:val="2"/>
          <w:sz w:val="21"/>
          <w:szCs w:val="21"/>
          <w:lang w:val="en-US" w:eastAsia="zh-CN" w:bidi="ar-SA"/>
        </w:rPr>
        <w:t>（九）</w:t>
      </w:r>
      <w:bookmarkEnd w:id="53"/>
      <w:bookmarkEnd w:id="54"/>
      <w:r>
        <w:rPr>
          <w:rFonts w:hint="eastAsia" w:ascii="宋体" w:hAnsi="宋体" w:eastAsia="宋体" w:cs="宋体"/>
          <w:b/>
          <w:bCs/>
          <w:color w:val="000000"/>
          <w:kern w:val="2"/>
          <w:sz w:val="21"/>
          <w:szCs w:val="21"/>
          <w:lang w:val="en-US" w:eastAsia="zh-CN" w:bidi="ar-SA"/>
        </w:rPr>
        <w:t>质疑和投诉</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投标人对政府采购活动事项有疑问的，可以向采购人、采购代理机构提出询问。采购人或者采购代理机构应当在3个工作日内对供应商依法提出的询问作出答复，但答复的内容不得涉及商业秘密。</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宋体"/>
          <w:color w:val="000000"/>
          <w:sz w:val="21"/>
          <w:szCs w:val="21"/>
          <w:u w:val="single"/>
        </w:rPr>
        <w:t>并在法定质疑期内一次性提出针对同一采购程序环节的质疑。</w:t>
      </w:r>
      <w:r>
        <w:rPr>
          <w:rFonts w:hint="eastAsia" w:ascii="宋体" w:hAnsi="宋体" w:eastAsia="宋体" w:cs="宋体"/>
          <w:color w:val="000000"/>
          <w:sz w:val="21"/>
          <w:szCs w:val="21"/>
        </w:rPr>
        <w:t>具体计算时间如下：</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（1）对可以质疑的招标采购文件提出质疑的，为收到招标采购文件之日或者招标公告期限届满之日；</w:t>
      </w:r>
    </w:p>
    <w:p>
      <w:pPr>
        <w:pStyle w:val="21"/>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（2）对招标采购过程提出质疑的，为各采购程序环节结束之日；</w:t>
      </w:r>
    </w:p>
    <w:p>
      <w:pPr>
        <w:pStyle w:val="2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（3）对中标结果提出质疑的，为中标结果公告期限届满之日。</w:t>
      </w:r>
    </w:p>
    <w:p>
      <w:pPr>
        <w:pStyle w:val="2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投标人对招标采购单位的质疑答复不满意或者招标采购单位未在规定时间内作出答复的，可以在答复期满后十五个工作日内向同级采购监管部门投诉。</w:t>
      </w:r>
    </w:p>
    <w:p>
      <w:pPr>
        <w:pStyle w:val="2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1"/>
        <w:keepNext w:val="0"/>
        <w:keepLines w:val="0"/>
        <w:pageBreakBefore w:val="0"/>
        <w:kinsoku/>
        <w:wordWrap/>
        <w:overflowPunct/>
        <w:topLinePunct w:val="0"/>
        <w:autoSpaceDE/>
        <w:autoSpaceDN/>
        <w:bidi w:val="0"/>
        <w:spacing w:after="120" w:line="44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质疑联系部门及电话为：</w:t>
      </w:r>
      <w:r>
        <w:rPr>
          <w:rFonts w:hint="eastAsia" w:ascii="宋体" w:hAnsi="宋体" w:eastAsia="宋体" w:cs="宋体"/>
          <w:bCs/>
          <w:color w:val="000000"/>
          <w:sz w:val="21"/>
          <w:szCs w:val="21"/>
          <w:lang w:eastAsia="zh-CN"/>
        </w:rPr>
        <w:t>广西盛元华工程咨询有限公司；</w:t>
      </w:r>
      <w:r>
        <w:rPr>
          <w:rFonts w:hint="eastAsia" w:ascii="宋体" w:hAnsi="宋体" w:eastAsia="宋体" w:cs="宋体"/>
          <w:bCs/>
          <w:color w:val="000000"/>
          <w:sz w:val="21"/>
          <w:szCs w:val="21"/>
          <w:lang w:val="en-US" w:eastAsia="zh-CN"/>
        </w:rPr>
        <w:t>0771-2846860。</w:t>
      </w:r>
    </w:p>
    <w:p>
      <w:pPr>
        <w:pStyle w:val="21"/>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bCs/>
          <w:color w:val="000000"/>
          <w:sz w:val="21"/>
          <w:szCs w:val="21"/>
        </w:rPr>
        <w:t>投诉联系部门及电话为：</w:t>
      </w:r>
      <w:r>
        <w:rPr>
          <w:rFonts w:hint="eastAsia" w:ascii="宋体" w:hAnsi="宋体" w:eastAsia="宋体" w:cs="宋体"/>
          <w:color w:val="000000"/>
          <w:sz w:val="21"/>
          <w:szCs w:val="21"/>
        </w:rPr>
        <w:t>马山县政府采购监督管理办公室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0771-6825986</w:t>
      </w:r>
      <w:r>
        <w:rPr>
          <w:rFonts w:hint="eastAsia" w:ascii="宋体" w:hAnsi="宋体" w:eastAsia="宋体" w:cs="宋体"/>
          <w:color w:val="000000"/>
          <w:sz w:val="21"/>
          <w:szCs w:val="21"/>
          <w:lang w:eastAsia="zh-CN"/>
        </w:rPr>
        <w:t>。</w:t>
      </w: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0</w:t>
      </w:r>
      <w:r>
        <w:rPr>
          <w:rFonts w:hint="eastAsia" w:ascii="宋体" w:hAnsi="宋体" w:eastAsia="宋体" w:cs="宋体"/>
          <w:b/>
          <w:color w:val="000000"/>
          <w:sz w:val="21"/>
          <w:szCs w:val="21"/>
        </w:rPr>
        <w:t>. 招标文件的构成</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（1）招标公告；</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（2）投标人须知及前附表；</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eastAsia="zh-CN"/>
        </w:rPr>
        <w:t>货物需求一览表</w:t>
      </w:r>
      <w:r>
        <w:rPr>
          <w:rFonts w:hint="eastAsia" w:ascii="宋体" w:hAnsi="宋体" w:eastAsia="宋体" w:cs="宋体"/>
          <w:color w:val="000000"/>
          <w:sz w:val="21"/>
          <w:szCs w:val="21"/>
        </w:rPr>
        <w:t>；</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（4）评标办法；</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（5）合同</w:t>
      </w:r>
      <w:r>
        <w:rPr>
          <w:rFonts w:hint="eastAsia" w:ascii="宋体" w:hAnsi="宋体" w:eastAsia="宋体" w:cs="宋体"/>
          <w:color w:val="000000"/>
          <w:sz w:val="21"/>
          <w:szCs w:val="21"/>
          <w:lang w:eastAsia="zh-CN"/>
        </w:rPr>
        <w:t>主要条款及</w:t>
      </w:r>
      <w:r>
        <w:rPr>
          <w:rFonts w:hint="eastAsia" w:ascii="宋体" w:hAnsi="宋体" w:eastAsia="宋体" w:cs="宋体"/>
          <w:color w:val="000000"/>
          <w:sz w:val="21"/>
          <w:szCs w:val="21"/>
        </w:rPr>
        <w:t>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（6）投标文件格式。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招标文件的澄清与修改</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.3供应商</w:t>
      </w:r>
      <w:r>
        <w:rPr>
          <w:rFonts w:hint="eastAsia" w:ascii="宋体" w:hAnsi="宋体" w:cs="宋体"/>
          <w:sz w:val="21"/>
          <w:szCs w:val="21"/>
          <w:lang w:eastAsia="zh-CN"/>
        </w:rPr>
        <w:t>下载</w:t>
      </w:r>
      <w:r>
        <w:rPr>
          <w:rFonts w:hint="eastAsia" w:ascii="宋体" w:hAnsi="宋体" w:eastAsia="宋体" w:cs="宋体"/>
          <w:sz w:val="21"/>
          <w:szCs w:val="21"/>
        </w:rPr>
        <w:t>招标文件后应实时关注相关网站了解澄清、修改等与项目有关的内容，如因供应商未及时登录相关网站了解澄清、修改等与项目有关的内容，从而导致投标无效的，由供应商自行承担责任。</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.4必要的澄清、修改的内容为招标文件的组成部分。当澄清、修改通知就同一内容的表述不一致时，以最后发出的文件为准。</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.5招标文件的澄清、修改都应该通过采购代理机构以法定形式发布，采购人非通过本机构，不得擅自澄清、修改招标文件。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三、投标文件</w:t>
      </w:r>
    </w:p>
    <w:p>
      <w:pPr>
        <w:pStyle w:val="21"/>
        <w:spacing w:line="44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 xml:space="preserve">12. </w:t>
      </w:r>
      <w:r>
        <w:rPr>
          <w:rFonts w:hint="eastAsia" w:ascii="宋体" w:hAnsi="宋体" w:eastAsia="宋体" w:cs="宋体"/>
          <w:b/>
          <w:bCs w:val="0"/>
          <w:sz w:val="21"/>
          <w:szCs w:val="21"/>
        </w:rPr>
        <w:t>投标文件的编制</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投标人应仔细阅读招标文件，在充分了解招标的内容、技术参数要求和商务条款以及实质性要求和条件后，编写投标文件。</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对招标文件的实质性要求和条件作出响应是指投标人必须对招标文件中标注为实质性要求和条件的技术参数要求、商务条款及其它内容</w:t>
      </w:r>
      <w:r>
        <w:rPr>
          <w:rFonts w:hint="eastAsia" w:ascii="宋体" w:hAnsi="宋体" w:eastAsia="宋体" w:cs="宋体"/>
          <w:b/>
          <w:sz w:val="21"/>
          <w:szCs w:val="21"/>
        </w:rPr>
        <w:t>作出满足或者优于原要求和条件的承诺</w:t>
      </w:r>
      <w:r>
        <w:rPr>
          <w:rFonts w:hint="eastAsia" w:ascii="宋体" w:hAnsi="宋体" w:eastAsia="宋体" w:cs="宋体"/>
          <w:sz w:val="21"/>
          <w:szCs w:val="21"/>
        </w:rPr>
        <w:t>。</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.3 招标文件中标注★号的内容为实质性要求和条件。</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 xml:space="preserve"> 投标文件应用不褪色的材料书写或打印，保证其清楚、工整，相关材料的复印件应清晰可辨认。投标文件字迹潦草、表达不清、模糊无法辨认而导致非唯一理解是投标人的风险，很可能导致该投标无效。</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.5 第</w:t>
      </w:r>
      <w:r>
        <w:rPr>
          <w:rFonts w:hint="eastAsia" w:ascii="宋体" w:hAnsi="宋体" w:eastAsia="宋体" w:cs="宋体"/>
          <w:sz w:val="21"/>
          <w:szCs w:val="21"/>
          <w:lang w:eastAsia="zh-CN"/>
        </w:rPr>
        <w:t>六</w:t>
      </w:r>
      <w:r>
        <w:rPr>
          <w:rFonts w:hint="eastAsia" w:ascii="宋体" w:hAnsi="宋体" w:eastAsia="宋体" w:cs="宋体"/>
          <w:sz w:val="21"/>
          <w:szCs w:val="21"/>
        </w:rPr>
        <w:t>章“投标文件格式”中规定了投标文件格式的，应按相应格式要求编写。</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.6 投标文件应由投标人的法定代表人或其委托代理人在凡规定签章处签字或盖章并加盖单位公章。投标文件应尽量避免涂改、行间插字或删除。如果出现上述情况，改动之处应加盖单位公章或由投标人的法定代表人或其委托代理人签字或盖章确认。</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.7 投标文件应编制目录，且页码清晰准确。</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.8 投标文件的正本和副本应分别装订成册，封面上应清楚地标记“正本”或“副本”字样，并标明项目名称、项目编号、投标人名称等内容。副本可以采用正本的复印件，当副本和正本不一致时，以正本为准。投标人应准备报价文件、资格</w:t>
      </w:r>
      <w:r>
        <w:rPr>
          <w:rFonts w:hint="eastAsia" w:ascii="宋体" w:hAnsi="宋体" w:eastAsia="宋体" w:cs="宋体"/>
          <w:sz w:val="21"/>
          <w:szCs w:val="21"/>
          <w:lang w:eastAsia="zh-CN"/>
        </w:rPr>
        <w:t>审查</w:t>
      </w:r>
      <w:r>
        <w:rPr>
          <w:rFonts w:hint="eastAsia" w:ascii="宋体" w:hAnsi="宋体" w:eastAsia="宋体" w:cs="宋体"/>
          <w:sz w:val="21"/>
          <w:szCs w:val="21"/>
        </w:rPr>
        <w:t>文件、商务文件</w:t>
      </w:r>
      <w:r>
        <w:rPr>
          <w:rFonts w:hint="eastAsia" w:ascii="宋体" w:hAnsi="宋体" w:eastAsia="宋体" w:cs="宋体"/>
          <w:sz w:val="21"/>
          <w:szCs w:val="21"/>
          <w:lang w:eastAsia="zh-CN"/>
        </w:rPr>
        <w:t>、</w:t>
      </w:r>
      <w:r>
        <w:rPr>
          <w:rFonts w:hint="eastAsia" w:ascii="宋体" w:hAnsi="宋体" w:eastAsia="宋体" w:cs="宋体"/>
          <w:sz w:val="21"/>
          <w:szCs w:val="21"/>
        </w:rPr>
        <w:t>技术文件正本各一份，副本份数见投标人须知前附表。</w:t>
      </w:r>
    </w:p>
    <w:p>
      <w:pPr>
        <w:pStyle w:val="21"/>
        <w:spacing w:line="44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 xml:space="preserve">13. </w:t>
      </w:r>
      <w:r>
        <w:rPr>
          <w:rFonts w:hint="eastAsia" w:ascii="宋体" w:hAnsi="宋体" w:eastAsia="宋体" w:cs="宋体"/>
          <w:b/>
          <w:bCs w:val="0"/>
          <w:sz w:val="21"/>
          <w:szCs w:val="21"/>
        </w:rPr>
        <w:t>投标语言文字及计量单位</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.1 投标人的投标文件以及投标人与采购人、采购代理机构就有关投标的所有往来函电统一使用中文（特别规定除外）。</w:t>
      </w:r>
    </w:p>
    <w:p>
      <w:pPr>
        <w:pStyle w:val="21"/>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.2 对不同文字文本投标文件的解释发生异议的，以中文文本为准。</w:t>
      </w:r>
    </w:p>
    <w:p>
      <w:pPr>
        <w:pStyle w:val="21"/>
        <w:spacing w:line="440" w:lineRule="exact"/>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投标文件使用的计量单位除招标文件中有特殊规定外，一律使用中华人民共和国法定计量单位。</w:t>
      </w:r>
    </w:p>
    <w:p>
      <w:pPr>
        <w:keepNext w:val="0"/>
        <w:keepLines w:val="0"/>
        <w:pageBreakBefore w:val="0"/>
        <w:kinsoku/>
        <w:wordWrap/>
        <w:overflowPunct/>
        <w:topLinePunct w:val="0"/>
        <w:autoSpaceDE/>
        <w:autoSpaceDN/>
        <w:bidi w:val="0"/>
        <w:snapToGrid w:val="0"/>
        <w:spacing w:line="440" w:lineRule="exact"/>
        <w:ind w:firstLine="413" w:firstLineChars="196"/>
        <w:jc w:val="left"/>
        <w:textAlignment w:val="auto"/>
        <w:outlineLvl w:val="0"/>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 xml:space="preserve">4. </w:t>
      </w:r>
      <w:r>
        <w:rPr>
          <w:rFonts w:hint="eastAsia" w:ascii="宋体" w:hAnsi="宋体" w:eastAsia="宋体" w:cs="宋体"/>
          <w:b/>
          <w:sz w:val="21"/>
          <w:szCs w:val="21"/>
        </w:rPr>
        <w:t>投标文件的组成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r>
        <w:rPr>
          <w:rFonts w:hint="eastAsia" w:ascii="宋体" w:hAnsi="宋体" w:eastAsia="宋体" w:cs="宋体"/>
          <w:sz w:val="21"/>
          <w:szCs w:val="21"/>
        </w:rPr>
        <w:t>投标文件由</w:t>
      </w:r>
      <w:r>
        <w:rPr>
          <w:rFonts w:hint="eastAsia" w:ascii="宋体" w:hAnsi="宋体" w:eastAsia="宋体" w:cs="宋体"/>
          <w:sz w:val="21"/>
          <w:szCs w:val="21"/>
          <w:lang w:eastAsia="zh-CN"/>
        </w:rPr>
        <w:t>报价</w:t>
      </w:r>
      <w:r>
        <w:rPr>
          <w:rFonts w:hint="eastAsia" w:ascii="宋体" w:hAnsi="宋体" w:eastAsia="宋体" w:cs="宋体"/>
          <w:sz w:val="21"/>
          <w:szCs w:val="21"/>
        </w:rPr>
        <w:t>文件、</w:t>
      </w:r>
      <w:r>
        <w:rPr>
          <w:rFonts w:hint="eastAsia" w:ascii="宋体" w:hAnsi="宋体" w:eastAsia="宋体" w:cs="宋体"/>
          <w:sz w:val="21"/>
          <w:szCs w:val="21"/>
          <w:lang w:eastAsia="zh-CN"/>
        </w:rPr>
        <w:t>资格审查文件</w:t>
      </w:r>
      <w:r>
        <w:rPr>
          <w:rFonts w:hint="eastAsia" w:ascii="宋体" w:hAnsi="宋体" w:eastAsia="宋体" w:cs="宋体"/>
          <w:sz w:val="21"/>
          <w:szCs w:val="21"/>
        </w:rPr>
        <w:t>、</w:t>
      </w:r>
      <w:r>
        <w:rPr>
          <w:rFonts w:hint="eastAsia" w:ascii="宋体" w:hAnsi="宋体" w:eastAsia="宋体" w:cs="宋体"/>
          <w:sz w:val="21"/>
          <w:szCs w:val="21"/>
          <w:lang w:eastAsia="zh-CN"/>
        </w:rPr>
        <w:t>商务</w:t>
      </w:r>
      <w:r>
        <w:rPr>
          <w:rFonts w:hint="eastAsia" w:ascii="宋体" w:hAnsi="宋体" w:eastAsia="宋体" w:cs="宋体"/>
          <w:sz w:val="21"/>
          <w:szCs w:val="21"/>
        </w:rPr>
        <w:t>文件、技术文件</w:t>
      </w:r>
      <w:r>
        <w:rPr>
          <w:rFonts w:hint="eastAsia" w:ascii="宋体" w:hAnsi="宋体" w:eastAsia="宋体" w:cs="宋体"/>
          <w:sz w:val="21"/>
          <w:szCs w:val="21"/>
          <w:lang w:eastAsia="zh-CN"/>
        </w:rPr>
        <w:t>及投标文件电子版</w:t>
      </w:r>
      <w:r>
        <w:rPr>
          <w:rFonts w:hint="eastAsia" w:ascii="宋体" w:hAnsi="宋体" w:eastAsia="宋体" w:cs="宋体"/>
          <w:sz w:val="21"/>
          <w:szCs w:val="21"/>
        </w:rPr>
        <w:t>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.1.1</w:t>
      </w:r>
      <w:r>
        <w:rPr>
          <w:rFonts w:hint="eastAsia" w:ascii="宋体" w:hAnsi="宋体" w:eastAsia="宋体" w:cs="宋体"/>
          <w:b w:val="0"/>
          <w:bCs/>
          <w:color w:val="000000"/>
          <w:sz w:val="21"/>
          <w:szCs w:val="21"/>
          <w:lang w:eastAsia="zh-CN"/>
        </w:rPr>
        <w:t>报价</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1"/>
        <w:spacing w:line="440" w:lineRule="exact"/>
        <w:ind w:firstLine="360"/>
        <w:rPr>
          <w:rFonts w:hint="eastAsia" w:ascii="宋体" w:hAnsi="宋体" w:eastAsia="宋体" w:cs="宋体"/>
          <w:b w:val="0"/>
          <w:bCs/>
          <w:sz w:val="21"/>
          <w:szCs w:val="21"/>
          <w:lang w:eastAsia="zh-CN"/>
        </w:rPr>
      </w:pPr>
      <w:r>
        <w:rPr>
          <w:rFonts w:hint="eastAsia" w:ascii="宋体" w:hAnsi="宋体" w:eastAsia="宋体" w:cs="宋体"/>
          <w:b w:val="0"/>
          <w:bCs/>
          <w:sz w:val="21"/>
          <w:szCs w:val="21"/>
        </w:rPr>
        <w:t>（1）投标函：按第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章“投标文件格式”提供的“投标函（格式）”的要求填写</w:t>
      </w:r>
      <w:r>
        <w:rPr>
          <w:rFonts w:hint="eastAsia" w:ascii="宋体" w:hAnsi="宋体" w:eastAsia="宋体" w:cs="宋体"/>
          <w:b w:val="0"/>
          <w:bCs/>
          <w:sz w:val="21"/>
          <w:szCs w:val="21"/>
          <w:lang w:eastAsia="zh-CN"/>
        </w:rPr>
        <w:t>。</w:t>
      </w:r>
    </w:p>
    <w:p>
      <w:pPr>
        <w:pStyle w:val="21"/>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（2）投标报价表：按第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章“投标文件格式”提供的“投标报价表（格式）”的要求填写。</w:t>
      </w:r>
    </w:p>
    <w:p>
      <w:pPr>
        <w:pStyle w:val="21"/>
        <w:spacing w:line="440" w:lineRule="exact"/>
        <w:ind w:firstLine="360"/>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）中小企业声明函：按第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章“投标文件格式”提供的“中小企业声明函（格式）”的要求填写</w:t>
      </w:r>
      <w:r>
        <w:rPr>
          <w:rFonts w:hint="eastAsia" w:ascii="宋体" w:hAnsi="宋体" w:eastAsia="宋体" w:cs="宋体"/>
          <w:b w:val="0"/>
          <w:bCs/>
          <w:sz w:val="21"/>
          <w:szCs w:val="21"/>
          <w:lang w:eastAsia="zh-CN"/>
        </w:rPr>
        <w:t>。</w:t>
      </w:r>
    </w:p>
    <w:p>
      <w:pPr>
        <w:pStyle w:val="21"/>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）监狱企业证明：提供由省级以上监狱管理局、戒毒管理局（含新疆生产建设兵团）出具的属于监狱企业的证明文件。</w:t>
      </w:r>
    </w:p>
    <w:p>
      <w:pPr>
        <w:pStyle w:val="21"/>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）残疾人福利性单位声明函：按第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章“投标文件格式”提供的“残疾人福利性单位声明函（格式）”的要求填写。</w:t>
      </w:r>
    </w:p>
    <w:p>
      <w:pPr>
        <w:pStyle w:val="21"/>
        <w:spacing w:line="440" w:lineRule="exact"/>
        <w:ind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u w:val="single"/>
        </w:rPr>
        <w:t>其中，报价文件组成要求的第（1）～（</w:t>
      </w:r>
      <w:r>
        <w:rPr>
          <w:rFonts w:hint="eastAsia" w:ascii="宋体" w:hAnsi="宋体" w:eastAsia="宋体" w:cs="宋体"/>
          <w:b w:val="0"/>
          <w:bCs/>
          <w:sz w:val="21"/>
          <w:szCs w:val="21"/>
          <w:u w:val="single"/>
          <w:lang w:val="en-US" w:eastAsia="zh-CN"/>
        </w:rPr>
        <w:t>2</w:t>
      </w:r>
      <w:r>
        <w:rPr>
          <w:rFonts w:hint="eastAsia" w:ascii="宋体" w:hAnsi="宋体" w:eastAsia="宋体" w:cs="宋体"/>
          <w:b w:val="0"/>
          <w:bCs/>
          <w:sz w:val="21"/>
          <w:szCs w:val="21"/>
          <w:u w:val="single"/>
        </w:rPr>
        <w:t>）项必须提交；第（</w:t>
      </w:r>
      <w:r>
        <w:rPr>
          <w:rFonts w:hint="eastAsia" w:ascii="宋体" w:hAnsi="宋体" w:eastAsia="宋体" w:cs="宋体"/>
          <w:b w:val="0"/>
          <w:bCs/>
          <w:sz w:val="21"/>
          <w:szCs w:val="21"/>
          <w:u w:val="single"/>
          <w:lang w:val="en-US" w:eastAsia="zh-CN"/>
        </w:rPr>
        <w:t>3</w:t>
      </w:r>
      <w:r>
        <w:rPr>
          <w:rFonts w:hint="eastAsia" w:ascii="宋体" w:hAnsi="宋体" w:eastAsia="宋体" w:cs="宋体"/>
          <w:b w:val="0"/>
          <w:bCs/>
          <w:sz w:val="21"/>
          <w:szCs w:val="21"/>
          <w:u w:val="single"/>
        </w:rPr>
        <w:t>）～（</w:t>
      </w:r>
      <w:r>
        <w:rPr>
          <w:rFonts w:hint="eastAsia" w:hAnsi="宋体" w:cs="宋体"/>
          <w:b w:val="0"/>
          <w:bCs/>
          <w:sz w:val="21"/>
          <w:szCs w:val="21"/>
          <w:u w:val="single"/>
          <w:lang w:val="en-US" w:eastAsia="zh-CN"/>
        </w:rPr>
        <w:t>5</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资格审查文件</w:t>
      </w:r>
      <w:r>
        <w:rPr>
          <w:rFonts w:hint="eastAsia" w:ascii="宋体" w:hAnsi="宋体" w:eastAsia="宋体" w:cs="宋体"/>
          <w:b w:val="0"/>
          <w:bCs/>
          <w:sz w:val="21"/>
          <w:szCs w:val="21"/>
        </w:rPr>
        <w:t>组成要求，包括：</w:t>
      </w:r>
    </w:p>
    <w:p>
      <w:pPr>
        <w:pStyle w:val="21"/>
        <w:spacing w:line="440" w:lineRule="exact"/>
        <w:ind w:firstLine="420" w:firstLineChars="200"/>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lang w:eastAsia="zh-CN"/>
        </w:rPr>
        <w:t>）</w:t>
      </w:r>
      <w:r>
        <w:rPr>
          <w:rFonts w:hint="eastAsia" w:hAnsi="宋体"/>
        </w:rPr>
        <w:t>信用声明函：</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hAnsi="宋体"/>
        </w:rPr>
        <w:t>信用声明函</w:t>
      </w:r>
      <w:r>
        <w:rPr>
          <w:rFonts w:hint="eastAsia" w:ascii="宋体" w:hAnsi="宋体" w:eastAsia="宋体" w:cs="宋体"/>
          <w:b w:val="0"/>
          <w:bCs/>
          <w:sz w:val="21"/>
          <w:szCs w:val="21"/>
        </w:rPr>
        <w:t>（格式）”的要求填写。</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hAnsi="宋体"/>
          <w:color w:val="auto"/>
          <w:sz w:val="21"/>
          <w:szCs w:val="21"/>
          <w:highlight w:val="none"/>
        </w:rPr>
        <w:t>或事业单位法人证书</w:t>
      </w:r>
      <w:r>
        <w:rPr>
          <w:rFonts w:hint="eastAsia" w:ascii="宋体" w:hAnsi="宋体" w:eastAsia="宋体" w:cs="宋体"/>
          <w:b w:val="0"/>
          <w:bCs/>
          <w:color w:val="000000"/>
          <w:sz w:val="21"/>
          <w:szCs w:val="21"/>
          <w:lang w:eastAsia="zh-CN"/>
        </w:rPr>
        <w:t>复印件。</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cs="Arial"/>
          <w:color w:val="000000" w:themeColor="text1"/>
          <w:lang w:val="zh-CN"/>
          <w14:textFill>
            <w14:solidFill>
              <w14:schemeClr w14:val="tx1"/>
            </w14:solidFill>
          </w14:textFill>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w:t>
      </w:r>
      <w:r>
        <w:rPr>
          <w:rFonts w:hint="eastAsia" w:ascii="宋体" w:hAnsi="宋体" w:eastAsia="宋体" w:cs="宋体"/>
          <w:color w:val="auto"/>
          <w:spacing w:val="6"/>
          <w:kern w:val="48"/>
          <w:sz w:val="21"/>
          <w:szCs w:val="21"/>
          <w:highlight w:val="none"/>
        </w:rPr>
        <w:t>有效的医疗器械生产许可证或有效的医疗器械经营备案凭证或许可证</w:t>
      </w:r>
      <w:r>
        <w:rPr>
          <w:rFonts w:hint="eastAsia" w:ascii="宋体" w:hAnsi="宋体" w:eastAsia="宋体" w:cs="宋体"/>
          <w:b w:val="0"/>
          <w:bCs/>
          <w:color w:val="000000"/>
          <w:sz w:val="21"/>
          <w:szCs w:val="21"/>
          <w:lang w:eastAsia="zh-CN"/>
        </w:rPr>
        <w:t>复印件</w:t>
      </w:r>
      <w:r>
        <w:rPr>
          <w:rFonts w:hint="eastAsia" w:ascii="宋体" w:hAnsi="宋体" w:eastAsia="宋体" w:cs="宋体"/>
          <w:b w:val="0"/>
          <w:bCs/>
          <w:color w:val="000000"/>
          <w:sz w:val="21"/>
          <w:szCs w:val="21"/>
          <w:lang w:val="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）投标截止时间前半年内任意连续三个月依法</w:t>
      </w:r>
      <w:r>
        <w:rPr>
          <w:rFonts w:hint="eastAsia"/>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000000"/>
          <w:sz w:val="21"/>
          <w:szCs w:val="21"/>
          <w:lang w:eastAsia="zh-CN"/>
        </w:rPr>
        <w:t>；</w:t>
      </w:r>
      <w:r>
        <w:rPr>
          <w:rFonts w:hint="eastAsia"/>
        </w:rPr>
        <w:t>无纳税记录的，应提供投标人所在地税务部门出具的依法纳税或依法免税证明</w:t>
      </w:r>
      <w:r>
        <w:rPr>
          <w:rFonts w:hint="eastAsia" w:ascii="宋体" w:hAnsi="宋体" w:eastAsia="宋体" w:cs="宋体"/>
          <w:b w:val="0"/>
          <w:bCs/>
          <w:color w:val="000000"/>
          <w:sz w:val="21"/>
          <w:szCs w:val="21"/>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）投标截止时间前半年内任意连续三个月依法缴纳社保费的缴费凭证复印件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000000"/>
          <w:sz w:val="21"/>
          <w:szCs w:val="21"/>
          <w:lang w:eastAsia="zh-CN"/>
        </w:rPr>
        <w:t>；无缴费记录的，应提供由投标人所在地社保部门出具的《依法缴纳或依法免缴社保费证明》复印件。</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u w:val="single"/>
        </w:rPr>
        <w:t>其中，</w:t>
      </w:r>
      <w:r>
        <w:rPr>
          <w:rFonts w:hint="eastAsia" w:ascii="宋体" w:hAnsi="宋体" w:eastAsia="宋体" w:cs="宋体"/>
          <w:b w:val="0"/>
          <w:bCs/>
          <w:color w:val="000000"/>
          <w:sz w:val="21"/>
          <w:szCs w:val="21"/>
          <w:u w:val="single"/>
          <w:lang w:eastAsia="zh-CN"/>
        </w:rPr>
        <w:t>资格审查文件</w:t>
      </w:r>
      <w:r>
        <w:rPr>
          <w:rFonts w:hint="eastAsia" w:ascii="宋体" w:hAnsi="宋体" w:eastAsia="宋体" w:cs="宋体"/>
          <w:b w:val="0"/>
          <w:bCs/>
          <w:sz w:val="21"/>
          <w:szCs w:val="21"/>
          <w:u w:val="single"/>
        </w:rPr>
        <w:t>组成要求的第（1）～（</w:t>
      </w:r>
      <w:r>
        <w:rPr>
          <w:rFonts w:hint="eastAsia" w:ascii="宋体" w:hAnsi="宋体" w:cs="宋体"/>
          <w:b w:val="0"/>
          <w:bCs/>
          <w:sz w:val="21"/>
          <w:szCs w:val="21"/>
          <w:u w:val="single"/>
          <w:lang w:val="en-US" w:eastAsia="zh-CN"/>
        </w:rPr>
        <w:t>5</w:t>
      </w:r>
      <w:r>
        <w:rPr>
          <w:rFonts w:hint="eastAsia" w:ascii="宋体" w:hAnsi="宋体" w:eastAsia="宋体" w:cs="宋体"/>
          <w:b w:val="0"/>
          <w:bCs/>
          <w:sz w:val="21"/>
          <w:szCs w:val="21"/>
          <w:u w:val="single"/>
        </w:rPr>
        <w:t>）项必须提交</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1"/>
        <w:spacing w:line="440" w:lineRule="exact"/>
        <w:ind w:firstLine="420" w:firstLineChars="200"/>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（1）法定代表人资格证明书原件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b w:val="0"/>
          <w:bCs/>
          <w:sz w:val="21"/>
          <w:szCs w:val="21"/>
        </w:rPr>
        <w:t>（格式）”的要求填写。</w:t>
      </w:r>
    </w:p>
    <w:p>
      <w:pPr>
        <w:pStyle w:val="21"/>
        <w:spacing w:line="440" w:lineRule="exact"/>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b w:val="0"/>
          <w:bCs/>
          <w:sz w:val="21"/>
          <w:szCs w:val="21"/>
        </w:rPr>
        <w:t>（格式）”的要求填写。</w:t>
      </w:r>
    </w:p>
    <w:p>
      <w:pPr>
        <w:pStyle w:val="21"/>
        <w:spacing w:line="44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kern w:val="0"/>
          <w:sz w:val="21"/>
          <w:szCs w:val="21"/>
        </w:rPr>
        <w:t>其他</w:t>
      </w:r>
      <w:r>
        <w:rPr>
          <w:rFonts w:hint="eastAsia" w:ascii="宋体" w:hAnsi="宋体" w:cs="宋体"/>
          <w:b w:val="0"/>
          <w:bCs/>
          <w:color w:val="000000"/>
          <w:kern w:val="0"/>
          <w:sz w:val="21"/>
          <w:szCs w:val="21"/>
          <w:lang w:eastAsia="zh-CN"/>
        </w:rPr>
        <w:t>：</w:t>
      </w:r>
      <w:r>
        <w:rPr>
          <w:rFonts w:hint="eastAsia" w:ascii="宋体" w:hAnsi="宋体" w:eastAsia="宋体" w:cs="宋体"/>
          <w:color w:val="auto"/>
          <w:highlight w:val="none"/>
        </w:rPr>
        <w:t>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r>
        <w:rPr>
          <w:rFonts w:hint="eastAsia" w:ascii="宋体" w:hAnsi="宋体" w:eastAsia="宋体" w:cs="宋体"/>
          <w:b w:val="0"/>
          <w:bCs/>
          <w:color w:val="000000"/>
          <w:kern w:val="0"/>
          <w:sz w:val="21"/>
          <w:szCs w:val="21"/>
          <w:lang w:eastAsia="zh-CN"/>
        </w:rPr>
        <w:t>。</w:t>
      </w:r>
    </w:p>
    <w:p>
      <w:pPr>
        <w:pStyle w:val="21"/>
        <w:spacing w:line="44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sz w:val="21"/>
          <w:szCs w:val="21"/>
          <w:u w:val="single"/>
        </w:rPr>
        <w:t>其中，</w:t>
      </w:r>
      <w:r>
        <w:rPr>
          <w:rFonts w:hint="eastAsia" w:ascii="宋体" w:hAnsi="宋体" w:eastAsia="宋体" w:cs="宋体"/>
          <w:b w:val="0"/>
          <w:bCs/>
          <w:sz w:val="21"/>
          <w:szCs w:val="21"/>
          <w:u w:val="single"/>
          <w:lang w:val="en-US" w:eastAsia="zh-CN"/>
        </w:rPr>
        <w:t>商务</w:t>
      </w:r>
      <w:r>
        <w:rPr>
          <w:rFonts w:hint="eastAsia" w:ascii="宋体" w:hAnsi="宋体" w:eastAsia="宋体" w:cs="宋体"/>
          <w:b w:val="0"/>
          <w:bCs/>
          <w:sz w:val="21"/>
          <w:szCs w:val="21"/>
          <w:u w:val="single"/>
        </w:rPr>
        <w:t>文件组成要求的第（1）项必须提交；</w:t>
      </w:r>
      <w:r>
        <w:rPr>
          <w:rFonts w:hint="eastAsia" w:hAnsi="宋体" w:cs="宋体"/>
          <w:b w:val="0"/>
          <w:bCs/>
          <w:color w:val="auto"/>
          <w:u w:val="single"/>
        </w:rPr>
        <w:t>第（</w:t>
      </w:r>
      <w:r>
        <w:rPr>
          <w:rFonts w:hint="eastAsia" w:hAnsi="宋体" w:cs="宋体"/>
          <w:b w:val="0"/>
          <w:bCs/>
          <w:color w:val="auto"/>
          <w:u w:val="single"/>
          <w:lang w:val="en-US" w:eastAsia="zh-CN"/>
        </w:rPr>
        <w:t>2</w:t>
      </w:r>
      <w:r>
        <w:rPr>
          <w:rFonts w:hint="eastAsia" w:hAnsi="宋体" w:cs="宋体"/>
          <w:b w:val="0"/>
          <w:bCs/>
          <w:color w:val="auto"/>
          <w:u w:val="single"/>
        </w:rPr>
        <w:t>）项在委托代理时必须提交；</w:t>
      </w:r>
      <w:r>
        <w:rPr>
          <w:rFonts w:hint="eastAsia" w:ascii="宋体" w:hAnsi="宋体" w:eastAsia="宋体" w:cs="宋体"/>
          <w:b w:val="0"/>
          <w:bCs/>
          <w:sz w:val="21"/>
          <w:szCs w:val="21"/>
          <w:u w:val="single"/>
        </w:rPr>
        <w:t>第（</w:t>
      </w:r>
      <w:r>
        <w:rPr>
          <w:rFonts w:hint="eastAsia" w:hAnsi="宋体" w:cs="宋体"/>
          <w:b w:val="0"/>
          <w:bCs/>
          <w:sz w:val="21"/>
          <w:szCs w:val="21"/>
          <w:u w:val="single"/>
          <w:lang w:val="en-US" w:eastAsia="zh-CN"/>
        </w:rPr>
        <w:t>3</w:t>
      </w:r>
      <w:r>
        <w:rPr>
          <w:rFonts w:hint="eastAsia" w:ascii="宋体" w:hAnsi="宋体" w:eastAsia="宋体" w:cs="宋体"/>
          <w:b w:val="0"/>
          <w:bCs/>
          <w:sz w:val="21"/>
          <w:szCs w:val="21"/>
          <w:u w:val="single"/>
        </w:rPr>
        <w:t>）～（</w:t>
      </w:r>
      <w:r>
        <w:rPr>
          <w:rFonts w:hint="eastAsia" w:hAnsi="宋体" w:cs="宋体"/>
          <w:b w:val="0"/>
          <w:bCs/>
          <w:sz w:val="21"/>
          <w:szCs w:val="21"/>
          <w:u w:val="single"/>
          <w:lang w:val="en-US" w:eastAsia="zh-CN"/>
        </w:rPr>
        <w:t>4</w:t>
      </w:r>
      <w:r>
        <w:rPr>
          <w:rFonts w:hint="eastAsia" w:ascii="宋体" w:hAnsi="宋体" w:eastAsia="宋体" w:cs="宋体"/>
          <w:b w:val="0"/>
          <w:bCs/>
          <w:sz w:val="21"/>
          <w:szCs w:val="21"/>
          <w:u w:val="single"/>
        </w:rPr>
        <w:t>）项必须提交；第（</w:t>
      </w:r>
      <w:r>
        <w:rPr>
          <w:rFonts w:hint="eastAsia" w:hAnsi="宋体" w:cs="宋体"/>
          <w:b w:val="0"/>
          <w:bCs/>
          <w:sz w:val="21"/>
          <w:szCs w:val="21"/>
          <w:u w:val="single"/>
          <w:lang w:val="en-US" w:eastAsia="zh-CN"/>
        </w:rPr>
        <w:t>5</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kinsoku/>
        <w:wordWrap/>
        <w:overflowPunct/>
        <w:topLinePunct w:val="0"/>
        <w:autoSpaceDE/>
        <w:autoSpaceDN/>
        <w:bidi w:val="0"/>
        <w:snapToGrid w:val="0"/>
        <w:spacing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技术文件</w:t>
      </w:r>
      <w:r>
        <w:rPr>
          <w:rFonts w:hint="eastAsia" w:ascii="宋体" w:hAnsi="宋体" w:eastAsia="宋体" w:cs="宋体"/>
          <w:b w:val="0"/>
          <w:bCs/>
          <w:sz w:val="21"/>
          <w:szCs w:val="21"/>
        </w:rPr>
        <w:t>组成要求，包括：</w:t>
      </w:r>
    </w:p>
    <w:p>
      <w:pPr>
        <w:pStyle w:val="21"/>
        <w:spacing w:line="44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1</w:t>
      </w:r>
      <w:r>
        <w:rPr>
          <w:rFonts w:hint="eastAsia" w:ascii="宋体" w:hAnsi="宋体" w:eastAsia="宋体" w:cs="宋体"/>
          <w:b w:val="0"/>
          <w:bCs/>
          <w:color w:val="000000"/>
          <w:kern w:val="0"/>
          <w:sz w:val="21"/>
          <w:szCs w:val="21"/>
          <w:lang w:eastAsia="zh-CN"/>
        </w:rPr>
        <w:t>）</w:t>
      </w:r>
      <w:r>
        <w:rPr>
          <w:rFonts w:hint="eastAsia" w:hAnsi="宋体" w:cs="宋体"/>
          <w:b w:val="0"/>
          <w:bCs/>
          <w:color w:val="000000"/>
          <w:kern w:val="0"/>
          <w:sz w:val="21"/>
          <w:szCs w:val="21"/>
          <w:lang w:eastAsia="zh-CN"/>
        </w:rPr>
        <w:t>投标产品技术资料表</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hAnsi="宋体" w:cs="宋体"/>
          <w:b w:val="0"/>
          <w:bCs/>
          <w:color w:val="000000"/>
          <w:kern w:val="0"/>
          <w:sz w:val="21"/>
          <w:szCs w:val="21"/>
          <w:lang w:eastAsia="zh-CN"/>
        </w:rPr>
        <w:t>投标产品技术资料表</w:t>
      </w:r>
      <w:r>
        <w:rPr>
          <w:rFonts w:hint="eastAsia" w:ascii="宋体" w:hAnsi="宋体" w:eastAsia="宋体" w:cs="宋体"/>
          <w:b w:val="0"/>
          <w:bCs/>
          <w:sz w:val="21"/>
          <w:szCs w:val="21"/>
        </w:rPr>
        <w:t>（格式）”的要求填写。</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2</w:t>
      </w:r>
      <w:r>
        <w:rPr>
          <w:rFonts w:hint="eastAsia" w:ascii="宋体" w:hAnsi="宋体" w:eastAsia="宋体" w:cs="宋体"/>
          <w:b w:val="0"/>
          <w:bCs/>
          <w:color w:val="000000"/>
          <w:sz w:val="21"/>
          <w:szCs w:val="21"/>
        </w:rPr>
        <w:t>）</w:t>
      </w:r>
      <w:r>
        <w:rPr>
          <w:rFonts w:hint="eastAsia" w:hAnsi="宋体" w:cs="宋体"/>
          <w:color w:val="auto"/>
        </w:rPr>
        <w:t>其它：</w:t>
      </w:r>
      <w:r>
        <w:rPr>
          <w:rFonts w:hint="eastAsia" w:ascii="宋体" w:hAnsi="宋体" w:eastAsia="宋体" w:cs="宋体"/>
          <w:color w:val="auto"/>
          <w:highlight w:val="none"/>
        </w:rPr>
        <w:t>针对本项目所投标货物的主要技术指标、参数及性能的详细说明，相关的图纸、图片，产品有效检测报告和鉴定证明复印件</w:t>
      </w:r>
      <w:r>
        <w:rPr>
          <w:rFonts w:hint="eastAsia" w:hAnsi="宋体" w:cs="宋体"/>
          <w:color w:val="auto"/>
        </w:rPr>
        <w:t>，</w:t>
      </w:r>
      <w:r>
        <w:rPr>
          <w:rFonts w:hint="eastAsia" w:hAnsi="宋体" w:cs="宋体"/>
          <w:color w:val="auto"/>
          <w:lang w:eastAsia="zh-CN"/>
        </w:rPr>
        <w:t>“货物需求一览表”中要求提供的以及与评审有关的其他内容</w:t>
      </w:r>
      <w:r>
        <w:rPr>
          <w:rFonts w:hint="eastAsia" w:hAnsi="宋体" w:cs="宋体"/>
          <w:color w:val="auto"/>
        </w:rPr>
        <w:t>等等</w:t>
      </w:r>
      <w:r>
        <w:rPr>
          <w:rFonts w:hint="eastAsia" w:hAnsi="宋体"/>
        </w:rPr>
        <w:t>。</w:t>
      </w:r>
    </w:p>
    <w:p>
      <w:pPr>
        <w:pStyle w:val="21"/>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u w:val="single"/>
        </w:rPr>
        <w:t>其中，</w:t>
      </w:r>
      <w:r>
        <w:rPr>
          <w:rFonts w:hint="eastAsia" w:ascii="宋体" w:hAnsi="宋体" w:eastAsia="宋体" w:cs="宋体"/>
          <w:b w:val="0"/>
          <w:bCs/>
          <w:sz w:val="21"/>
          <w:szCs w:val="21"/>
          <w:u w:val="single"/>
          <w:lang w:eastAsia="zh-CN"/>
        </w:rPr>
        <w:t>技术</w:t>
      </w:r>
      <w:r>
        <w:rPr>
          <w:rFonts w:hint="eastAsia" w:ascii="宋体" w:hAnsi="宋体" w:eastAsia="宋体" w:cs="宋体"/>
          <w:b w:val="0"/>
          <w:bCs/>
          <w:sz w:val="21"/>
          <w:szCs w:val="21"/>
          <w:u w:val="single"/>
        </w:rPr>
        <w:t>文件组成要求的第（1）项必须提交；第（</w:t>
      </w:r>
      <w:r>
        <w:rPr>
          <w:rFonts w:hint="eastAsia" w:hAnsi="宋体" w:cs="宋体"/>
          <w:b w:val="0"/>
          <w:bCs/>
          <w:sz w:val="21"/>
          <w:szCs w:val="21"/>
          <w:u w:val="single"/>
          <w:lang w:val="en-US" w:eastAsia="zh-CN"/>
        </w:rPr>
        <w:t>2</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 投标报价</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.1投标报价应按招标文件中第六章“投标文件格式”填写，投标报价超过采购</w:t>
      </w:r>
      <w:r>
        <w:rPr>
          <w:rFonts w:hint="eastAsia" w:ascii="宋体" w:hAnsi="宋体" w:eastAsia="宋体" w:cs="宋体"/>
          <w:color w:val="000000"/>
          <w:sz w:val="21"/>
          <w:szCs w:val="21"/>
          <w:lang w:eastAsia="zh-CN"/>
        </w:rPr>
        <w:t>服务价格有效范围</w:t>
      </w:r>
      <w:r>
        <w:rPr>
          <w:rFonts w:hint="eastAsia" w:ascii="宋体" w:hAnsi="宋体" w:eastAsia="宋体" w:cs="宋体"/>
          <w:color w:val="000000"/>
          <w:sz w:val="21"/>
          <w:szCs w:val="21"/>
        </w:rPr>
        <w:t>的，投标文件按无效处理。</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.2投标人须对《</w:t>
      </w:r>
      <w:r>
        <w:rPr>
          <w:rFonts w:hint="eastAsia" w:ascii="宋体" w:hAnsi="宋体" w:cs="宋体"/>
          <w:color w:val="000000"/>
          <w:sz w:val="21"/>
          <w:szCs w:val="21"/>
          <w:lang w:eastAsia="zh-CN"/>
        </w:rPr>
        <w:t>货物需求一览表</w:t>
      </w:r>
      <w:r>
        <w:rPr>
          <w:rFonts w:hint="eastAsia" w:ascii="宋体" w:hAnsi="宋体" w:eastAsia="宋体" w:cs="宋体"/>
          <w:color w:val="000000"/>
          <w:sz w:val="21"/>
          <w:szCs w:val="21"/>
        </w:rPr>
        <w:t>》中的</w:t>
      </w:r>
      <w:r>
        <w:rPr>
          <w:rFonts w:hint="eastAsia" w:ascii="宋体" w:hAnsi="宋体" w:cs="宋体"/>
          <w:color w:val="000000"/>
          <w:sz w:val="21"/>
          <w:szCs w:val="21"/>
          <w:lang w:eastAsia="zh-CN"/>
        </w:rPr>
        <w:t>货物和</w:t>
      </w:r>
      <w:r>
        <w:rPr>
          <w:rFonts w:hint="eastAsia" w:ascii="宋体" w:hAnsi="宋体" w:eastAsia="宋体" w:cs="宋体"/>
          <w:color w:val="000000"/>
          <w:sz w:val="21"/>
          <w:szCs w:val="21"/>
        </w:rPr>
        <w:t>服务内容作完整唯一报价。否则，其投标将被拒绝。投标文件只允许有一个报价。</w:t>
      </w:r>
    </w:p>
    <w:p>
      <w:pPr>
        <w:keepNext w:val="0"/>
        <w:keepLines w:val="0"/>
        <w:pageBreakBefore w:val="0"/>
        <w:kinsoku/>
        <w:wordWrap/>
        <w:overflowPunct/>
        <w:topLinePunct w:val="0"/>
        <w:autoSpaceDE/>
        <w:autoSpaceDN/>
        <w:bidi w:val="0"/>
        <w:adjustRightInd/>
        <w:spacing w:line="420" w:lineRule="exact"/>
        <w:ind w:left="420" w:hanging="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 投标有效期</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.1投标有效期：投标截止时间之日起60天。</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.2出现特殊情况，需要延长投标有效期的，采购代理机构以书面形式通知投标人延长投标有效期。投标人同意延长的，应相应延长其投标保证金的有效期，但不能修改投标文件。投标人拒绝延长的，其投标无效。</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7</w:t>
      </w:r>
      <w:r>
        <w:rPr>
          <w:rFonts w:hint="eastAsia" w:ascii="宋体" w:hAnsi="宋体" w:eastAsia="宋体" w:cs="宋体"/>
          <w:b/>
          <w:color w:val="000000"/>
          <w:sz w:val="21"/>
          <w:szCs w:val="21"/>
        </w:rPr>
        <w:t>. 投标保证金</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.1</w:t>
      </w:r>
      <w:r>
        <w:rPr>
          <w:rFonts w:hint="eastAsia" w:ascii="宋体" w:hAnsi="宋体" w:eastAsia="宋体" w:cs="宋体"/>
          <w:b/>
          <w:color w:val="000000"/>
          <w:sz w:val="21"/>
          <w:szCs w:val="21"/>
        </w:rPr>
        <w:t>投标保证金金额：</w:t>
      </w:r>
      <w:r>
        <w:rPr>
          <w:rFonts w:hint="eastAsia" w:ascii="宋体" w:hAnsi="宋体" w:eastAsia="宋体" w:cs="宋体"/>
          <w:color w:val="auto"/>
          <w:kern w:val="1"/>
          <w:sz w:val="21"/>
          <w:szCs w:val="21"/>
        </w:rPr>
        <w:t>根据《南宁市财政局关于推进政府采购“放管服”工作和深化改革有关内容的通知》（南财采[2019]27号）规定，本项目不需要提交投标保证金。</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四、</w:t>
      </w:r>
      <w:r>
        <w:rPr>
          <w:rFonts w:hint="eastAsia" w:ascii="宋体" w:hAnsi="宋体" w:eastAsia="宋体" w:cs="宋体"/>
          <w:b/>
          <w:color w:val="000000"/>
          <w:sz w:val="28"/>
          <w:szCs w:val="28"/>
          <w:lang w:eastAsia="zh-CN"/>
        </w:rPr>
        <w:t>投</w:t>
      </w:r>
      <w:r>
        <w:rPr>
          <w:rFonts w:hint="eastAsia" w:ascii="宋体" w:hAnsi="宋体" w:eastAsia="宋体" w:cs="宋体"/>
          <w:b/>
          <w:color w:val="000000"/>
          <w:sz w:val="28"/>
          <w:szCs w:val="28"/>
        </w:rPr>
        <w:t>标</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eastAsia" w:ascii="宋体" w:hAnsi="宋体" w:eastAsia="宋体" w:cs="宋体"/>
          <w:sz w:val="21"/>
          <w:szCs w:val="21"/>
          <w:lang w:val="en-US" w:eastAsia="zh-CN"/>
        </w:rPr>
      </w:pPr>
    </w:p>
    <w:p>
      <w:pPr>
        <w:pStyle w:val="21"/>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1</w:t>
      </w:r>
      <w:r>
        <w:rPr>
          <w:rFonts w:hint="eastAsia" w:ascii="宋体" w:hAnsi="宋体" w:eastAsia="宋体" w:cs="宋体"/>
          <w:b/>
          <w:bCs w:val="0"/>
          <w:sz w:val="21"/>
          <w:szCs w:val="21"/>
          <w:lang w:val="en-US" w:eastAsia="zh-CN"/>
        </w:rPr>
        <w:t>8</w:t>
      </w:r>
      <w:r>
        <w:rPr>
          <w:rFonts w:hint="eastAsia" w:ascii="宋体" w:hAnsi="宋体" w:eastAsia="宋体" w:cs="宋体"/>
          <w:b/>
          <w:bCs w:val="0"/>
          <w:sz w:val="21"/>
          <w:szCs w:val="21"/>
        </w:rPr>
        <w:t>. 投标文件的密封、递交、修改和撤回</w:t>
      </w:r>
    </w:p>
    <w:p>
      <w:pPr>
        <w:pStyle w:val="21"/>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 投标人应将投标正、副本文件进行密封包装。</w:t>
      </w:r>
    </w:p>
    <w:p>
      <w:pPr>
        <w:pStyle w:val="21"/>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投标人投标截止时间：见投标人须知前附表。</w:t>
      </w:r>
    </w:p>
    <w:p>
      <w:pPr>
        <w:pStyle w:val="21"/>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1"/>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4</w:t>
      </w:r>
      <w:r>
        <w:rPr>
          <w:rFonts w:hint="eastAsia" w:ascii="宋体" w:hAnsi="宋体" w:eastAsia="宋体" w:cs="宋体"/>
          <w:sz w:val="21"/>
          <w:szCs w:val="21"/>
        </w:rPr>
        <w:t xml:space="preserve"> 投标人递交投标文件地点：见投标人须知前附表。</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宋体"/>
          <w:b/>
          <w:color w:val="000000"/>
          <w:sz w:val="32"/>
          <w:szCs w:val="32"/>
        </w:rPr>
      </w:pPr>
      <w:r>
        <w:rPr>
          <w:rFonts w:hint="eastAsia" w:ascii="宋体" w:hAnsi="宋体" w:eastAsia="宋体" w:cs="宋体"/>
          <w:color w:val="auto"/>
          <w:highlight w:val="none"/>
          <w:lang w:val="en-US" w:eastAsia="zh-CN"/>
        </w:rPr>
        <w:t xml:space="preserve">18.5 </w:t>
      </w:r>
      <w:r>
        <w:rPr>
          <w:rFonts w:hint="eastAsia" w:ascii="宋体" w:hAnsi="宋体" w:eastAsia="宋体" w:cs="宋体"/>
          <w:color w:val="auto"/>
          <w:highlight w:val="none"/>
        </w:rPr>
        <w:t>其他要求：投标人应在递交投标文件的同时</w:t>
      </w:r>
      <w:r>
        <w:rPr>
          <w:rFonts w:hint="eastAsia" w:ascii="宋体" w:hAnsi="宋体" w:eastAsia="宋体" w:cs="宋体"/>
          <w:color w:val="auto"/>
          <w:highlight w:val="none"/>
          <w:lang w:eastAsia="zh-CN"/>
        </w:rPr>
        <w:t>附</w:t>
      </w:r>
      <w:r>
        <w:rPr>
          <w:rFonts w:hint="eastAsia" w:ascii="宋体" w:hAnsi="宋体" w:eastAsia="宋体" w:cs="宋体"/>
          <w:spacing w:val="6"/>
          <w:szCs w:val="21"/>
        </w:rPr>
        <w:t>加盖公章的营业执照或事业单位法人证副本复印件一份</w:t>
      </w:r>
      <w:r>
        <w:rPr>
          <w:rFonts w:hint="eastAsia" w:ascii="宋体" w:hAnsi="宋体" w:eastAsia="宋体" w:cs="宋体"/>
          <w:color w:val="auto"/>
          <w:highlight w:val="none"/>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498" w:firstLineChars="1600"/>
        <w:jc w:val="both"/>
        <w:textAlignment w:val="auto"/>
        <w:rPr>
          <w:rFonts w:hint="eastAsia" w:ascii="宋体" w:hAnsi="宋体" w:eastAsia="宋体" w:cs="宋体"/>
          <w:b/>
          <w:color w:val="000000"/>
          <w:sz w:val="28"/>
          <w:szCs w:val="28"/>
          <w:lang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498" w:firstLineChars="16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、开标</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19</w:t>
      </w:r>
      <w:r>
        <w:rPr>
          <w:rFonts w:hint="eastAsia" w:ascii="宋体" w:hAnsi="宋体" w:eastAsia="宋体" w:cs="宋体"/>
          <w:b/>
          <w:color w:val="000000"/>
          <w:sz w:val="21"/>
          <w:szCs w:val="21"/>
        </w:rPr>
        <w:t>. 开标时间及地点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.1开标时间及地点：</w:t>
      </w:r>
      <w:r>
        <w:rPr>
          <w:rFonts w:hint="eastAsia" w:ascii="宋体" w:hAnsi="宋体" w:eastAsia="宋体" w:cs="宋体"/>
          <w:sz w:val="21"/>
          <w:szCs w:val="21"/>
          <w:u w:val="none"/>
          <w:lang w:eastAsia="zh-CN"/>
        </w:rPr>
        <w:t>见投标人须知前附表</w:t>
      </w:r>
      <w:r>
        <w:rPr>
          <w:rFonts w:hint="eastAsia" w:ascii="宋体" w:hAnsi="宋体" w:eastAsia="宋体" w:cs="宋体"/>
          <w:sz w:val="21"/>
          <w:szCs w:val="21"/>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.2投标人少于3家的，不得开标，招标采购单位应当重新组织采购。</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0</w:t>
      </w:r>
      <w:r>
        <w:rPr>
          <w:rFonts w:hint="eastAsia" w:ascii="宋体" w:hAnsi="宋体" w:eastAsia="宋体" w:cs="宋体"/>
          <w:b/>
          <w:color w:val="000000"/>
          <w:sz w:val="21"/>
          <w:szCs w:val="21"/>
        </w:rPr>
        <w:t>. 开标程序</w:t>
      </w:r>
    </w:p>
    <w:p>
      <w:pPr>
        <w:pStyle w:val="21"/>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（1）开标会由采购代理机构主持，主持人宣布开标会议开始，</w:t>
      </w:r>
      <w:r>
        <w:rPr>
          <w:rFonts w:hint="eastAsia" w:hAnsi="宋体" w:cs="宋体"/>
          <w:lang w:eastAsia="zh-CN"/>
        </w:rPr>
        <w:t>宣读开标纪律并</w:t>
      </w:r>
      <w:r>
        <w:rPr>
          <w:rFonts w:hint="eastAsia" w:ascii="宋体" w:hAnsi="宋体" w:eastAsia="宋体" w:cs="宋体"/>
        </w:rPr>
        <w:t>介绍开标现场相关人员；</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（2）公布在投标截止时间前递交投标文件的投标人名称；</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（4）当众拆封投标文件，由唱标人宣读投标人名称、分标名称、投标文件正副本数量、投标报价、</w:t>
      </w:r>
      <w:r>
        <w:rPr>
          <w:rFonts w:hint="eastAsia" w:ascii="宋体" w:hAnsi="宋体" w:eastAsia="宋体"/>
          <w:color w:val="auto"/>
          <w:szCs w:val="21"/>
        </w:rPr>
        <w:t>服务时间</w:t>
      </w:r>
      <w:r>
        <w:rPr>
          <w:rFonts w:hint="eastAsia" w:ascii="宋体" w:hAnsi="宋体" w:eastAsia="宋体" w:cs="宋体"/>
          <w:color w:val="auto"/>
        </w:rPr>
        <w:t>等以</w:t>
      </w:r>
      <w:r>
        <w:rPr>
          <w:rFonts w:hint="eastAsia" w:ascii="宋体" w:hAnsi="宋体" w:eastAsia="宋体" w:cs="宋体"/>
        </w:rPr>
        <w:t>及采购代理机构认为有必要宣读的其他内容，开标过程由采购人或者采购代理机构负责记录；</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lang w:eastAsia="zh-CN"/>
        </w:rPr>
      </w:pPr>
      <w:r>
        <w:rPr>
          <w:rFonts w:hint="eastAsia" w:hAnsi="宋体" w:cs="宋体"/>
          <w:lang w:eastAsia="zh-CN"/>
        </w:rPr>
        <w:t>（</w:t>
      </w:r>
      <w:r>
        <w:rPr>
          <w:rFonts w:hint="eastAsia" w:hAnsi="宋体" w:cs="宋体"/>
          <w:lang w:val="en-US" w:eastAsia="zh-CN"/>
        </w:rPr>
        <w:t>5</w:t>
      </w:r>
      <w:r>
        <w:rPr>
          <w:rFonts w:hint="eastAsia" w:hAnsi="宋体" w:cs="宋体"/>
          <w:lang w:eastAsia="zh-CN"/>
        </w:rPr>
        <w:t>）采购人代表及监督人员对开标记录表进行监督确认</w:t>
      </w:r>
      <w:r>
        <w:rPr>
          <w:rFonts w:hint="eastAsia" w:ascii="宋体" w:hAnsi="宋体" w:eastAsia="宋体" w:cs="宋体"/>
        </w:rPr>
        <w:t>；</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6</w:t>
      </w:r>
      <w:r>
        <w:rPr>
          <w:rFonts w:hint="eastAsia" w:ascii="宋体" w:hAnsi="宋体" w:eastAsia="宋体" w:cs="宋体"/>
        </w:rPr>
        <w:t>）开标结束。</w:t>
      </w:r>
    </w:p>
    <w:p>
      <w:pPr>
        <w:pStyle w:val="26"/>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rPr>
      </w:pPr>
    </w:p>
    <w:p>
      <w:pPr>
        <w:keepNext w:val="0"/>
        <w:keepLines w:val="0"/>
        <w:pageBreakBefore w:val="0"/>
        <w:widowControl w:val="0"/>
        <w:tabs>
          <w:tab w:val="center" w:pos="4411"/>
          <w:tab w:val="left" w:pos="5475"/>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、评标</w:t>
      </w:r>
    </w:p>
    <w:p>
      <w:pPr>
        <w:keepNext w:val="0"/>
        <w:keepLines w:val="0"/>
        <w:pageBreakBefore w:val="0"/>
        <w:widowControl w:val="0"/>
        <w:tabs>
          <w:tab w:val="center" w:pos="4411"/>
          <w:tab w:val="left" w:pos="5475"/>
        </w:tabs>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评标委员会组成</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评标委员会由依法组成的评审专家、采购人代表组成，成员人数应当为五人（含）以上单数。其中，专家人数不得少于成员总数的三分之二。</w:t>
      </w:r>
      <w:r>
        <w:rPr>
          <w:rFonts w:hint="eastAsia" w:ascii="宋体" w:hAnsi="宋体" w:eastAsia="宋体" w:cs="宋体"/>
        </w:rPr>
        <w:t>采购项目符合下列情形之一的，评标委员会成员人数应当为7人以上单数：1.采购预算金额在1000万元以上；2.技术复杂；3.社会影响较大。</w:t>
      </w: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 评标原则和评标办法</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.1评标委员会必须坚持公平、公正、科学和择优的原则。</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.2评标办法：</w:t>
      </w:r>
      <w:r>
        <w:rPr>
          <w:rFonts w:hint="eastAsia" w:ascii="宋体" w:hAnsi="宋体" w:eastAsia="宋体" w:cs="宋体"/>
          <w:sz w:val="21"/>
          <w:szCs w:val="21"/>
        </w:rPr>
        <w:t>综合评分法</w:t>
      </w:r>
      <w:r>
        <w:rPr>
          <w:rFonts w:hint="eastAsia" w:ascii="宋体" w:hAnsi="宋体" w:eastAsia="宋体" w:cs="宋体"/>
          <w:color w:val="000000"/>
          <w:sz w:val="21"/>
          <w:szCs w:val="21"/>
        </w:rPr>
        <w:t>，具体评标内容及标准详见第四章：评标办法。</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.3评标委员会应按招标文件进行评标，不得擅自更改评标办法。</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.4在评标过程中，评标委员会任何人不得对某个投标人发表任何倾向性意见，不得向其他专家评委明示或者暗示自己的评审意见。</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.5评标委员会成员对需要共同认定的事项存在争议的，按照少数服从多数的原则作出结论。持不同意见的评标委员会成员应当在评标报告上签署不同意见并说明理由，否则视为同意。　　　　　　　　　　　　　　　　　　　　　　　　　　　　　　　　　　　　　　　　　　　　　　　　　　　　　　　　　　　　　　　　</w:t>
      </w:r>
    </w:p>
    <w:p>
      <w:pPr>
        <w:pStyle w:val="21"/>
        <w:keepNext w:val="0"/>
        <w:keepLines w:val="0"/>
        <w:pageBreakBefore w:val="0"/>
        <w:widowControl w:val="0"/>
        <w:kinsoku/>
        <w:wordWrap/>
        <w:overflowPunct/>
        <w:topLinePunct w:val="0"/>
        <w:autoSpaceDE/>
        <w:autoSpaceDN/>
        <w:bidi w:val="0"/>
        <w:spacing w:line="360" w:lineRule="exact"/>
        <w:ind w:firstLine="413"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23</w:t>
      </w:r>
      <w:r>
        <w:rPr>
          <w:rFonts w:hint="eastAsia" w:ascii="宋体" w:hAnsi="宋体" w:eastAsia="宋体" w:cs="宋体"/>
          <w:b/>
          <w:color w:val="000000"/>
          <w:sz w:val="21"/>
          <w:szCs w:val="21"/>
        </w:rPr>
        <w:t>. 评标过程的监控</w:t>
      </w:r>
    </w:p>
    <w:p>
      <w:pPr>
        <w:pStyle w:val="21"/>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本项目评标过程实行全程录像监控，投标人在评标过程中所进行的试图影响评标结果的不公正活动，可能导致其投标被拒绝。</w:t>
      </w: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 评标程序及要求</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.1组织评标专家、采购人代表及相关监督人员签到，核实身份并发放标识证件，告知回避要求，统一保管通讯工具或相关电子设备，宣布评标工作纪律和程序，推选评标委员会组长。</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采购人代表</w:t>
      </w:r>
      <w:r>
        <w:rPr>
          <w:rFonts w:hint="eastAsia" w:ascii="宋体" w:hAnsi="宋体" w:eastAsia="宋体" w:cs="宋体"/>
          <w:color w:val="000000"/>
          <w:sz w:val="21"/>
          <w:szCs w:val="21"/>
        </w:rPr>
        <w:t>依据法律法规和招标文件的规定，对投标文件进行资格性审查，以确定投标供应商是否具备投标资格。</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.3评标委员会依据招标文件的规定，从投标文件的有效性、完整性和对招标文件的响应程度进行符合性审查，以确定是否对招标文件的实质性要求作出响应。</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.4评标委员会按招标文件中规定的评标办法，对资格性审查和符合性审查合格的投标文件进行商务和技术评估，综合比较与评价。</w:t>
      </w:r>
    </w:p>
    <w:p>
      <w:pPr>
        <w:pStyle w:val="21"/>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.5采购代理机构对评标数据进行校对、核对，对畸高、畸低的重大差异评分提示评标委员会复核或书面说明理由。</w:t>
      </w:r>
    </w:p>
    <w:p>
      <w:pPr>
        <w:pStyle w:val="21"/>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.6采购代理机构发现评标委员会有明显的违规倾向或歧视现象，或不按评标办法进行，或其他不正常行为的，应当及时制止。如制止无效，应及时向马山县监督管理部门报告。</w:t>
      </w:r>
    </w:p>
    <w:p>
      <w:pPr>
        <w:pStyle w:val="21"/>
        <w:keepNext w:val="0"/>
        <w:keepLines w:val="0"/>
        <w:pageBreakBefore w:val="0"/>
        <w:widowControl w:val="0"/>
        <w:kinsoku/>
        <w:wordWrap/>
        <w:overflowPunct/>
        <w:topLinePunct w:val="0"/>
        <w:autoSpaceDE/>
        <w:autoSpaceDN/>
        <w:bidi w:val="0"/>
        <w:spacing w:line="360" w:lineRule="exact"/>
        <w:ind w:firstLine="413"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5</w:t>
      </w: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澄清问题的形式</w:t>
      </w:r>
    </w:p>
    <w:p>
      <w:pPr>
        <w:pStyle w:val="21"/>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投标文件中含义不明确、同类问题表述不一致或者有明显文字和计算错误的内容，评标委员会可以书面形式要求投标人作出必要的澄清、说明或者纠正。投标人的澄清、说明或者纠正应当采用书面形式，由法定代表人或</w:t>
      </w:r>
      <w:r>
        <w:rPr>
          <w:rFonts w:hint="eastAsia" w:ascii="宋体" w:hAnsi="宋体" w:eastAsia="宋体" w:cs="宋体"/>
          <w:color w:val="000000"/>
          <w:sz w:val="21"/>
          <w:szCs w:val="21"/>
          <w:lang w:eastAsia="zh-CN"/>
        </w:rPr>
        <w:t>其</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lang w:eastAsia="zh-CN"/>
        </w:rPr>
        <w:t>（签字或盖章）</w:t>
      </w:r>
      <w:r>
        <w:rPr>
          <w:rFonts w:hint="eastAsia" w:ascii="宋体" w:hAnsi="宋体" w:eastAsia="宋体" w:cs="宋体"/>
          <w:color w:val="000000"/>
          <w:sz w:val="21"/>
          <w:szCs w:val="21"/>
        </w:rPr>
        <w:t>确认，并不得超出投标文件的范围或者改变投标文件实质性内容。</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bCs/>
          <w:color w:val="000000"/>
          <w:sz w:val="21"/>
          <w:szCs w:val="21"/>
        </w:rPr>
        <w:t>2</w:t>
      </w:r>
      <w:r>
        <w:rPr>
          <w:rFonts w:hint="eastAsia" w:ascii="宋体" w:hAnsi="宋体" w:eastAsia="宋体" w:cs="宋体"/>
          <w:b/>
          <w:bCs/>
          <w:color w:val="000000"/>
          <w:sz w:val="21"/>
          <w:szCs w:val="21"/>
          <w:lang w:val="en-US" w:eastAsia="zh-CN"/>
        </w:rPr>
        <w:t>6</w:t>
      </w:r>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eastAsia="zh-CN"/>
        </w:rPr>
        <w:t>有下列情形之一的，评标委员会应当否决其投标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投标文件未经投标人盖章和法定代表人或其委托代理人（签字或盖章）</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投标联合体没有提交共同投标协议</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投标人不符合国家或者招标文件规定的资格条件</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同一个投标人提交两个以上不同的投标文件或者投标报价，但招标文件要求提交备选投标的除外；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（5）投标报价低于成本或者高于招标文件设定的采购预算金额或者最高投标限价；</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投标响应</w:t>
      </w:r>
      <w:r>
        <w:rPr>
          <w:rFonts w:hint="eastAsia" w:ascii="宋体" w:hAnsi="宋体" w:eastAsia="宋体" w:cs="宋体"/>
          <w:color w:val="000000"/>
          <w:sz w:val="21"/>
          <w:szCs w:val="21"/>
        </w:rPr>
        <w:t>有效期不足的</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文件将被否决</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投标文件未逐页盖章作出响应；</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（8）投标文件没有对招标文件的实质性要求和条件作出响应；</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（9）投标人有串通投标、弄虚作假、行贿等违法行为。</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 xml:space="preserve">27. </w:t>
      </w:r>
      <w:r>
        <w:rPr>
          <w:rFonts w:hint="eastAsia" w:ascii="宋体" w:hAnsi="宋体" w:eastAsia="宋体" w:cs="宋体"/>
          <w:b/>
          <w:color w:val="000000"/>
          <w:sz w:val="21"/>
          <w:szCs w:val="21"/>
        </w:rPr>
        <w:t>投标人有下列情形之一的，</w:t>
      </w:r>
      <w:r>
        <w:rPr>
          <w:rFonts w:hint="eastAsia" w:ascii="宋体" w:hAnsi="宋体" w:eastAsia="宋体" w:cs="宋体"/>
          <w:b/>
          <w:color w:val="000000"/>
          <w:sz w:val="21"/>
          <w:szCs w:val="21"/>
          <w:lang w:eastAsia="zh-CN"/>
        </w:rPr>
        <w:t>属于投标人相互串通投标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投标人之间协商投标报价等投标文件的实质性内容</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投标人之间约定中标人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投标人之间约定部分投标人放弃投标或者中标</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属于同一集团、协会、商会等组织成员的投标人按照该组织要求协同投标</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投标人之间为谋取中标或者排斥特定投标人而采取的其他联合行动</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 xml:space="preserve">28. </w:t>
      </w:r>
      <w:r>
        <w:rPr>
          <w:rFonts w:hint="eastAsia" w:ascii="宋体" w:hAnsi="宋体" w:eastAsia="宋体" w:cs="宋体"/>
          <w:b/>
          <w:color w:val="000000"/>
          <w:sz w:val="21"/>
          <w:szCs w:val="21"/>
        </w:rPr>
        <w:t>投标人有下列情形之一的，</w:t>
      </w:r>
      <w:r>
        <w:rPr>
          <w:rFonts w:hint="eastAsia" w:ascii="宋体" w:hAnsi="宋体" w:eastAsia="宋体" w:cs="宋体"/>
          <w:b/>
          <w:color w:val="000000"/>
          <w:sz w:val="21"/>
          <w:szCs w:val="21"/>
          <w:lang w:eastAsia="zh-CN"/>
        </w:rPr>
        <w:t>视为投标人相互串通投标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不同投标人的投标文件由同一单位或者个人编制</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不同投标人委托同一单位或者个人办理投标事宜</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不同投标人的投标文件载明的项目管理成员为同一人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 xml:space="preserve">）不同投标人的投标文件异常一致或者投标报价呈规律性差异；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）不同投标人的投标文件相互混装；</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（6）不同投标人的投标保证金从同一单位或者个人的账户转出。</w:t>
      </w:r>
    </w:p>
    <w:p>
      <w:pPr>
        <w:keepNext w:val="0"/>
        <w:keepLines w:val="0"/>
        <w:pageBreakBefore w:val="0"/>
        <w:widowControl w:val="0"/>
        <w:kinsoku/>
        <w:wordWrap/>
        <w:overflowPunct/>
        <w:topLinePunct w:val="0"/>
        <w:autoSpaceDE/>
        <w:autoSpaceDN/>
        <w:bidi w:val="0"/>
        <w:snapToGrid w:val="0"/>
        <w:spacing w:line="360" w:lineRule="exact"/>
        <w:ind w:firstLine="413" w:firstLineChars="196"/>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9</w:t>
      </w:r>
      <w:r>
        <w:rPr>
          <w:rFonts w:hint="eastAsia" w:ascii="宋体" w:hAnsi="宋体" w:eastAsia="宋体" w:cs="宋体"/>
          <w:b/>
          <w:color w:val="000000"/>
          <w:sz w:val="21"/>
          <w:szCs w:val="21"/>
        </w:rPr>
        <w:t>. 属于下列情形之一的，应予废标：</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（1）符合专业条件的供应商或者对招标文件作实质响应的供应商</w:t>
      </w:r>
      <w:r>
        <w:rPr>
          <w:rFonts w:hint="eastAsia" w:ascii="宋体" w:hAnsi="宋体" w:eastAsia="宋体" w:cs="宋体"/>
          <w:color w:val="auto"/>
          <w:sz w:val="21"/>
          <w:szCs w:val="21"/>
        </w:rPr>
        <w:t>不足</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家的</w:t>
      </w:r>
      <w:r>
        <w:rPr>
          <w:rFonts w:hint="eastAsia" w:ascii="宋体" w:hAnsi="宋体" w:eastAsia="宋体" w:cs="宋体"/>
          <w:color w:val="000000"/>
          <w:sz w:val="21"/>
          <w:szCs w:val="21"/>
        </w:rPr>
        <w:t>；</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（2）出现影响采购公正的违法、违规行为的；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（3）采购文件内容违反国家有关强制性规定的；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（4）因重大变故，采购任务取消的。</w:t>
      </w:r>
    </w:p>
    <w:p>
      <w:pPr>
        <w:pStyle w:val="21"/>
        <w:keepNext w:val="0"/>
        <w:keepLines w:val="0"/>
        <w:pageBreakBefore w:val="0"/>
        <w:widowControl w:val="0"/>
        <w:tabs>
          <w:tab w:val="left" w:pos="4214"/>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30</w:t>
      </w:r>
      <w:r>
        <w:rPr>
          <w:rFonts w:hint="eastAsia" w:ascii="宋体" w:hAnsi="宋体" w:eastAsia="宋体" w:cs="宋体"/>
          <w:b/>
          <w:color w:val="000000"/>
          <w:sz w:val="21"/>
          <w:szCs w:val="21"/>
        </w:rPr>
        <w:t>. 推荐中标候选供应商原则</w:t>
      </w:r>
    </w:p>
    <w:p>
      <w:pPr>
        <w:pStyle w:val="21"/>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（1）评标委员会根据综合得分由高到低排列次序，</w:t>
      </w:r>
      <w:r>
        <w:rPr>
          <w:rFonts w:hint="eastAsia" w:ascii="宋体" w:hAnsi="宋体" w:eastAsia="宋体" w:cs="宋体"/>
          <w:sz w:val="21"/>
          <w:szCs w:val="21"/>
        </w:rPr>
        <w:t>若得分相同时，</w:t>
      </w:r>
      <w:r>
        <w:rPr>
          <w:rFonts w:hint="eastAsia"/>
        </w:rPr>
        <w:t>依次按</w:t>
      </w:r>
      <w:r>
        <w:rPr>
          <w:rFonts w:hint="eastAsia" w:ascii="宋体" w:hAnsi="宋体" w:eastAsia="宋体" w:cs="宋体"/>
          <w:b w:val="0"/>
          <w:bCs/>
          <w:color w:val="auto"/>
          <w:sz w:val="21"/>
          <w:szCs w:val="21"/>
          <w:highlight w:val="none"/>
        </w:rPr>
        <w:t>投标报价低优先、技术分高优先、质量保证期长优先、交货期短优先、故障响应时间短优先</w:t>
      </w:r>
      <w:r>
        <w:rPr>
          <w:rFonts w:hint="eastAsia"/>
        </w:rPr>
        <w:t>的顺序排列</w:t>
      </w:r>
      <w:r>
        <w:rPr>
          <w:rFonts w:hint="eastAsia" w:ascii="宋体" w:hAnsi="宋体" w:eastAsia="宋体" w:cs="宋体"/>
          <w:sz w:val="21"/>
          <w:szCs w:val="21"/>
        </w:rPr>
        <w:t>并推荐中标候选供应商。</w:t>
      </w:r>
    </w:p>
    <w:p>
      <w:pPr>
        <w:pStyle w:val="21"/>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（2）进入详评的投标人为</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家以上(含</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家)的，评标委员会</w:t>
      </w:r>
      <w:r>
        <w:rPr>
          <w:rFonts w:hint="eastAsia" w:ascii="宋体" w:hAnsi="宋体" w:eastAsia="宋体" w:cs="宋体"/>
          <w:color w:val="000000"/>
          <w:sz w:val="21"/>
          <w:szCs w:val="21"/>
          <w:lang w:eastAsia="zh-CN"/>
        </w:rPr>
        <w:t>应当</w:t>
      </w:r>
      <w:r>
        <w:rPr>
          <w:rFonts w:hint="eastAsia" w:ascii="宋体" w:hAnsi="宋体" w:eastAsia="宋体" w:cs="宋体"/>
          <w:color w:val="000000"/>
          <w:sz w:val="21"/>
          <w:szCs w:val="21"/>
        </w:rPr>
        <w:t>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名为中标候选供应商。招标采购单位应当确定评标委员会推荐前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名的中标候选供应商为中标供应商。</w:t>
      </w:r>
    </w:p>
    <w:p>
      <w:pPr>
        <w:pStyle w:val="21"/>
        <w:keepNext w:val="0"/>
        <w:keepLines w:val="0"/>
        <w:pageBreakBefore w:val="0"/>
        <w:widowControl w:val="0"/>
        <w:kinsoku/>
        <w:wordWrap/>
        <w:overflowPunct/>
        <w:topLinePunct w:val="0"/>
        <w:autoSpaceDE/>
        <w:autoSpaceDN/>
        <w:bidi w:val="0"/>
        <w:spacing w:line="360" w:lineRule="exact"/>
        <w:ind w:firstLine="447" w:firstLineChars="213"/>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（3）排名</w:t>
      </w:r>
      <w:r>
        <w:rPr>
          <w:rFonts w:hint="eastAsia" w:ascii="宋体" w:hAnsi="宋体" w:eastAsia="宋体" w:cs="宋体"/>
          <w:color w:val="000000"/>
          <w:sz w:val="21"/>
          <w:szCs w:val="21"/>
          <w:lang w:eastAsia="zh-CN"/>
        </w:rPr>
        <w:t>在前三名</w:t>
      </w:r>
      <w:r>
        <w:rPr>
          <w:rFonts w:hint="eastAsia" w:ascii="宋体" w:hAnsi="宋体" w:eastAsia="宋体" w:cs="宋体"/>
          <w:color w:val="000000"/>
          <w:sz w:val="21"/>
          <w:szCs w:val="21"/>
        </w:rPr>
        <w:t>的中标候选供应商放弃中标、因不可抗力提出不能履行合同，或者招标文件规定应当提交履约保证金而在规定的期限内未能提交的，招标采购单位</w:t>
      </w:r>
      <w:r>
        <w:rPr>
          <w:rFonts w:hint="eastAsia" w:ascii="宋体" w:hAnsi="宋体" w:eastAsia="宋体" w:cs="宋体"/>
          <w:color w:val="000000"/>
          <w:sz w:val="21"/>
          <w:szCs w:val="21"/>
          <w:lang w:eastAsia="zh-CN"/>
        </w:rPr>
        <w:t>按照评标报告中推荐的中</w:t>
      </w:r>
      <w:r>
        <w:rPr>
          <w:rFonts w:hint="eastAsia" w:ascii="宋体" w:hAnsi="宋体" w:eastAsia="宋体" w:cs="宋体"/>
          <w:color w:val="000000"/>
          <w:sz w:val="21"/>
          <w:szCs w:val="21"/>
        </w:rPr>
        <w:t>标候选供应商</w:t>
      </w:r>
      <w:r>
        <w:rPr>
          <w:rFonts w:hint="eastAsia" w:ascii="宋体" w:hAnsi="宋体" w:eastAsia="宋体" w:cs="宋体"/>
          <w:color w:val="000000"/>
          <w:sz w:val="21"/>
          <w:szCs w:val="21"/>
          <w:lang w:eastAsia="zh-CN"/>
        </w:rPr>
        <w:t>顺序确定</w:t>
      </w:r>
      <w:r>
        <w:rPr>
          <w:rFonts w:hint="eastAsia" w:ascii="宋体" w:hAnsi="宋体" w:eastAsia="宋体" w:cs="宋体"/>
          <w:color w:val="000000"/>
          <w:sz w:val="21"/>
          <w:szCs w:val="21"/>
        </w:rPr>
        <w:t>中标供应商。</w:t>
      </w:r>
    </w:p>
    <w:p>
      <w:pPr>
        <w:pStyle w:val="21"/>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中标公告及中标通知书</w:t>
      </w:r>
    </w:p>
    <w:p>
      <w:pPr>
        <w:pStyle w:val="21"/>
        <w:keepNext w:val="0"/>
        <w:keepLines w:val="0"/>
        <w:pageBreakBefore w:val="0"/>
        <w:widowControl w:val="0"/>
        <w:tabs>
          <w:tab w:val="left" w:pos="455"/>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.3采购代理机构无义务向未中标投标人解释未中标原因和退还投标文件。</w:t>
      </w: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8"/>
          <w:szCs w:val="28"/>
          <w:lang w:eastAsia="zh-CN"/>
        </w:rPr>
      </w:pP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、签订合同</w:t>
      </w:r>
    </w:p>
    <w:p>
      <w:pPr>
        <w:pStyle w:val="21"/>
        <w:keepNext w:val="0"/>
        <w:keepLines w:val="0"/>
        <w:pageBreakBefore w:val="0"/>
        <w:widowControl w:val="0"/>
        <w:kinsoku/>
        <w:wordWrap/>
        <w:overflowPunct/>
        <w:topLinePunct w:val="0"/>
        <w:autoSpaceDE/>
        <w:autoSpaceDN/>
        <w:bidi w:val="0"/>
        <w:spacing w:line="360" w:lineRule="exact"/>
        <w:ind w:left="2" w:leftChars="1" w:firstLine="480" w:firstLineChars="200"/>
        <w:textAlignment w:val="auto"/>
        <w:rPr>
          <w:rFonts w:hint="eastAsia" w:ascii="宋体" w:hAnsi="宋体" w:eastAsia="宋体" w:cs="宋体"/>
          <w:color w:val="000000"/>
          <w:sz w:val="24"/>
          <w:szCs w:val="24"/>
        </w:rPr>
      </w:pP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 签订合同</w:t>
      </w:r>
    </w:p>
    <w:p>
      <w:pPr>
        <w:pStyle w:val="21"/>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.1签订合同时间：中标供应商领取中标通知书后，应按</w:t>
      </w:r>
      <w:r>
        <w:rPr>
          <w:rFonts w:hint="eastAsia" w:ascii="宋体" w:hAnsi="宋体" w:eastAsia="宋体" w:cs="宋体"/>
          <w:color w:val="000000"/>
          <w:sz w:val="21"/>
          <w:szCs w:val="21"/>
          <w:lang w:eastAsia="zh-CN"/>
        </w:rPr>
        <w:t>招标文件</w:t>
      </w:r>
      <w:r>
        <w:rPr>
          <w:rFonts w:hint="eastAsia" w:ascii="宋体" w:hAnsi="宋体" w:eastAsia="宋体" w:cs="宋体"/>
          <w:color w:val="000000"/>
          <w:sz w:val="21"/>
          <w:szCs w:val="21"/>
        </w:rPr>
        <w:t>规定与采购人签订合同。</w:t>
      </w:r>
    </w:p>
    <w:p>
      <w:pPr>
        <w:pStyle w:val="21"/>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.2如中标供应商有下列情形之一的，中标供应商</w:t>
      </w:r>
      <w:r>
        <w:rPr>
          <w:rFonts w:hint="eastAsia" w:hAnsi="宋体" w:cs="宋体"/>
          <w:color w:val="000000"/>
          <w:sz w:val="21"/>
          <w:szCs w:val="21"/>
          <w:lang w:eastAsia="zh-CN"/>
        </w:rPr>
        <w:t>承担相应责任</w:t>
      </w:r>
      <w:r>
        <w:rPr>
          <w:rFonts w:hint="eastAsia" w:ascii="宋体" w:hAnsi="宋体" w:eastAsia="宋体" w:cs="宋体"/>
          <w:color w:val="000000"/>
          <w:sz w:val="21"/>
          <w:szCs w:val="21"/>
        </w:rPr>
        <w:t>，情节严重的，由财政部门将其列入不良行为记录名单，在一至三年内禁止参加政府采购活动，并予以通报。招标采购单位可从评标委员会推荐的中标候选供应商中按顺序重新确定中标供应商或重新组织招标。</w:t>
      </w:r>
    </w:p>
    <w:p>
      <w:pPr>
        <w:pStyle w:val="21"/>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（1）中标后不与采购人签订合同的（不可抗力除外）；</w:t>
      </w:r>
    </w:p>
    <w:p>
      <w:pPr>
        <w:pStyle w:val="21"/>
        <w:keepNext w:val="0"/>
        <w:keepLines w:val="0"/>
        <w:pageBreakBefore w:val="0"/>
        <w:widowControl w:val="0"/>
        <w:kinsoku/>
        <w:wordWrap/>
        <w:overflowPunct/>
        <w:topLinePunct w:val="0"/>
        <w:autoSpaceDE/>
        <w:autoSpaceDN/>
        <w:bidi w:val="0"/>
        <w:spacing w:line="360" w:lineRule="exact"/>
        <w:ind w:left="2" w:leftChars="1"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（2）将中标项目转让给他人，或者在投标文件中未说明，且未经采购人同意，将中标项目分包给他人的；</w:t>
      </w:r>
    </w:p>
    <w:p>
      <w:pPr>
        <w:pStyle w:val="21"/>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（3）拒绝履行合同义务的。</w:t>
      </w:r>
    </w:p>
    <w:p>
      <w:pPr>
        <w:pStyle w:val="21"/>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合同备案存档：政府采购合同双方自签订之日起2个工作日内将合同原件两份交采购代理机构。采购代理机构将政府采购合同在省级以上人民政府财政部门指定媒体上公告并于合同签订之日起7个工作日内将一份合同原件送马山县政府采购监督管理办公室备案，一份由采购代理机构存档。</w:t>
      </w:r>
    </w:p>
    <w:p>
      <w:pPr>
        <w:pStyle w:val="21"/>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p>
    <w:p>
      <w:pPr>
        <w:pStyle w:val="21"/>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、其他事项</w:t>
      </w:r>
    </w:p>
    <w:p>
      <w:pPr>
        <w:pStyle w:val="21"/>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 招标代理服务费</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33.1</w:t>
      </w:r>
      <w:r>
        <w:rPr>
          <w:rFonts w:hint="eastAsia" w:ascii="宋体" w:hAnsi="宋体" w:eastAsia="宋体" w:cs="宋体"/>
          <w:color w:val="000000"/>
          <w:sz w:val="21"/>
          <w:szCs w:val="21"/>
        </w:rPr>
        <w:t>中标供应商领取中标通知书前，向</w:t>
      </w:r>
      <w:r>
        <w:rPr>
          <w:rFonts w:hint="eastAsia" w:ascii="宋体" w:hAnsi="宋体" w:eastAsia="宋体" w:cs="宋体"/>
          <w:sz w:val="21"/>
          <w:szCs w:val="21"/>
          <w:lang w:eastAsia="zh-CN"/>
        </w:rPr>
        <w:t>广西盛元华工程咨询有限公司</w:t>
      </w:r>
      <w:r>
        <w:rPr>
          <w:rFonts w:hint="eastAsia" w:ascii="宋体" w:hAnsi="宋体" w:eastAsia="宋体" w:cs="宋体"/>
          <w:color w:val="000000"/>
          <w:sz w:val="21"/>
          <w:szCs w:val="21"/>
        </w:rPr>
        <w:t>一次性付清招标代理服务费，本项目的招标代理服务收费标准参照计价格[2002]1980号《招标代理服务收费管理暂行办法》收费标准及发改价格[2011]534号文的规定标准向中标人收取。</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33.2</w:t>
      </w:r>
      <w:r>
        <w:rPr>
          <w:rFonts w:hint="eastAsia" w:ascii="宋体" w:hAnsi="宋体" w:eastAsia="宋体" w:cs="宋体"/>
          <w:color w:val="000000"/>
          <w:sz w:val="21"/>
          <w:szCs w:val="21"/>
        </w:rPr>
        <w:t>招标代理服务收费标准</w:t>
      </w:r>
    </w:p>
    <w:tbl>
      <w:tblPr>
        <w:tblStyle w:val="40"/>
        <w:tblW w:w="90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843"/>
        <w:gridCol w:w="199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26670</wp:posOffset>
                      </wp:positionV>
                      <wp:extent cx="1463675" cy="653415"/>
                      <wp:effectExtent l="1905" t="4445" r="20320" b="8890"/>
                      <wp:wrapNone/>
                      <wp:docPr id="1" name="直线 7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22.6pt;margin-top:2.1pt;height:51.45pt;width:115.25pt;z-index:251658240;mso-width-relative:page;mso-height-relative:page;" filled="f" stroked="t" coordsize="21600,21600" o:gfxdata="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JpxldYAAAAIAQAADwAAAAAAAAABACAAAAAi&#10;AAAAZHJzL2Rvd25yZXYueG1sUEsBAhQAFAAAAAgAh07iQEHNCknTAQAAkwMAAA4AAAAAAAAAAQAg&#10;AAAAJQEAAGRycy9lMm9Eb2MueG1sUEsFBgAAAAAGAAYAWQEAAGoFA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费率         服务类型</w:t>
            </w:r>
          </w:p>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8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5.4pt;margin-top:3.1pt;height:31.2pt;width:144pt;z-index:25165926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6vRNYAAAAIAQAADwAAAAAAAAABACAAAAAi&#10;AAAAZHJzL2Rvd25yZXYueG1sUEsBAhQAFAAAAAgAh07iQGSdOWTTAQAAkwMAAA4AAAAAAAAAAQAg&#10;AAAAJQEAAGRycy9lMm9Eb2MueG1sUEsFBgAAAAAGAAYAWQEAAGoFAAAAAA==&#10;">
                      <v:fill on="f" focussize="0,0"/>
                      <v:stroke color="#000000" joinstyle="round"/>
                      <v:imagedata o:title=""/>
                      <o:lock v:ext="edit" aspectratio="f"/>
                    </v:line>
                  </w:pict>
                </mc:Fallback>
              </mc:AlternateContent>
            </w:r>
          </w:p>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中标金额（万元）</w:t>
            </w:r>
          </w:p>
        </w:tc>
        <w:tc>
          <w:tcPr>
            <w:tcW w:w="1843" w:type="dxa"/>
            <w:noWrap w:val="0"/>
            <w:vAlign w:val="center"/>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货物招标</w:t>
            </w:r>
          </w:p>
        </w:tc>
        <w:tc>
          <w:tcPr>
            <w:tcW w:w="1994" w:type="dxa"/>
            <w:noWrap w:val="0"/>
            <w:vAlign w:val="center"/>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服务招标</w:t>
            </w:r>
          </w:p>
        </w:tc>
        <w:tc>
          <w:tcPr>
            <w:tcW w:w="2296" w:type="dxa"/>
            <w:noWrap w:val="0"/>
            <w:vAlign w:val="center"/>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100以下</w:t>
            </w:r>
          </w:p>
        </w:tc>
        <w:tc>
          <w:tcPr>
            <w:tcW w:w="1843"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99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96"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100-500</w:t>
            </w:r>
          </w:p>
        </w:tc>
        <w:tc>
          <w:tcPr>
            <w:tcW w:w="1843"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99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2296"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500-1000</w:t>
            </w:r>
          </w:p>
        </w:tc>
        <w:tc>
          <w:tcPr>
            <w:tcW w:w="1843"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99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0.45%</w:t>
            </w:r>
          </w:p>
        </w:tc>
        <w:tc>
          <w:tcPr>
            <w:tcW w:w="2296"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1000-5000</w:t>
            </w:r>
          </w:p>
        </w:tc>
        <w:tc>
          <w:tcPr>
            <w:tcW w:w="1843"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99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2296"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5000-10000</w:t>
            </w:r>
          </w:p>
        </w:tc>
        <w:tc>
          <w:tcPr>
            <w:tcW w:w="1843"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1994"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w:t>
            </w:r>
          </w:p>
        </w:tc>
        <w:tc>
          <w:tcPr>
            <w:tcW w:w="2296" w:type="dxa"/>
            <w:noWrap w:val="0"/>
            <w:vAlign w:val="top"/>
          </w:tcPr>
          <w:p>
            <w:pPr>
              <w:pStyle w:val="21"/>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w:t>
            </w:r>
          </w:p>
        </w:tc>
      </w:tr>
    </w:tbl>
    <w:p>
      <w:pPr>
        <w:pStyle w:val="21"/>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注：招标代理服务收费按差额定率累进法计算。例如：某货物招标代理业务中标金额为5000万元，计算招标代理服务收费额如下：</w:t>
      </w:r>
    </w:p>
    <w:p>
      <w:pPr>
        <w:pStyle w:val="21"/>
        <w:keepNext w:val="0"/>
        <w:keepLines w:val="0"/>
        <w:pageBreakBefore w:val="0"/>
        <w:widowControl w:val="0"/>
        <w:kinsoku/>
        <w:wordWrap/>
        <w:overflowPunct/>
        <w:topLinePunct w:val="0"/>
        <w:autoSpaceDE/>
        <w:autoSpaceDN/>
        <w:bidi w:val="0"/>
        <w:adjustRightInd w:val="0"/>
        <w:snapToGrid w:val="0"/>
        <w:spacing w:before="120" w:after="120"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100万元×1.5％＝1.5万元</w:t>
      </w:r>
    </w:p>
    <w:p>
      <w:pPr>
        <w:pStyle w:val="21"/>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（500一100）万元×1.1％＝4.4万元</w:t>
      </w:r>
    </w:p>
    <w:p>
      <w:pPr>
        <w:pStyle w:val="21"/>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（1000－500）万元×0.8％＝4.00万元</w:t>
      </w:r>
    </w:p>
    <w:p>
      <w:pPr>
        <w:pStyle w:val="21"/>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（5000—1000）万元×0.5％＝20万元</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合计收费=1.5十4.4＋4.00＋20＝29.90（万元）</w:t>
      </w:r>
    </w:p>
    <w:p>
      <w:pPr>
        <w:pStyle w:val="21"/>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．招标代理服务费缴纳账户：</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eastAsia="zh-CN"/>
        </w:rPr>
        <w:t>广西盛元华工程造价咨询有限公司</w:t>
      </w:r>
      <w:r>
        <w:rPr>
          <w:rFonts w:hint="eastAsia" w:ascii="宋体" w:hAnsi="宋体" w:eastAsia="宋体" w:cs="宋体"/>
          <w:sz w:val="21"/>
          <w:szCs w:val="21"/>
        </w:rPr>
        <w:t>马山分公司</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开户银行：中国农业银行股份有限公司马山新兴分理处</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开户帐号：2004 4801 0400 0390 6</w:t>
      </w:r>
    </w:p>
    <w:p>
      <w:pPr>
        <w:pStyle w:val="21"/>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 解释权：</w:t>
      </w:r>
      <w:r>
        <w:rPr>
          <w:rFonts w:hint="eastAsia" w:ascii="宋体" w:hAnsi="宋体" w:eastAsia="宋体" w:cs="宋体"/>
          <w:color w:val="000000"/>
          <w:sz w:val="21"/>
          <w:szCs w:val="21"/>
        </w:rPr>
        <w:t>本招标文件是根据《中华人民共和国政府采购法》、《中华人民共和国政府采购法实施条例》和政府采购管理有关规定编制，本招标文件的解释权属于采购代理机构。</w:t>
      </w:r>
    </w:p>
    <w:p>
      <w:pPr>
        <w:pStyle w:val="21"/>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 xml:space="preserve"> </w:t>
      </w:r>
      <w:r>
        <w:rPr>
          <w:rFonts w:hint="eastAsia" w:ascii="宋体" w:hAnsi="宋体" w:eastAsia="宋体" w:cs="宋体"/>
          <w:b/>
          <w:bCs/>
          <w:sz w:val="21"/>
          <w:szCs w:val="21"/>
        </w:rPr>
        <w:t>有关事宜</w:t>
      </w:r>
      <w:r>
        <w:rPr>
          <w:rFonts w:hint="eastAsia" w:ascii="宋体" w:hAnsi="宋体" w:eastAsia="宋体" w:cs="宋体"/>
          <w:b/>
          <w:bCs/>
          <w:sz w:val="21"/>
          <w:szCs w:val="21"/>
          <w:lang w:eastAsia="zh-CN"/>
        </w:rPr>
        <w:t>：</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.1所有与本采购文件有关的函电请按下列通讯地址联系：</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采购代理机构：</w:t>
      </w:r>
      <w:r>
        <w:rPr>
          <w:rFonts w:hint="eastAsia" w:ascii="宋体" w:hAnsi="宋体" w:eastAsia="宋体" w:cs="宋体"/>
          <w:sz w:val="21"/>
          <w:szCs w:val="21"/>
          <w:lang w:eastAsia="zh-CN"/>
        </w:rPr>
        <w:t>广西盛元华工程咨询有限公司</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通讯地址：</w:t>
      </w:r>
      <w:r>
        <w:rPr>
          <w:rFonts w:hint="eastAsia" w:hAnsi="宋体" w:cs="宋体"/>
          <w:color w:val="000000"/>
          <w:sz w:val="21"/>
          <w:szCs w:val="21"/>
          <w:lang w:eastAsia="zh-CN"/>
        </w:rPr>
        <w:t>南宁市良庆区凯旋路18号广西合景国际金融广场28层</w:t>
      </w:r>
      <w:r>
        <w:rPr>
          <w:rFonts w:hint="eastAsia" w:ascii="宋体" w:hAnsi="宋体" w:eastAsia="宋体" w:cs="宋体"/>
          <w:color w:val="000000"/>
          <w:sz w:val="21"/>
          <w:szCs w:val="21"/>
        </w:rPr>
        <w:t xml:space="preserve"> </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hAnsi="宋体" w:cs="宋体"/>
          <w:sz w:val="21"/>
          <w:szCs w:val="21"/>
          <w:lang w:eastAsia="zh-CN"/>
        </w:rPr>
        <w:t>黄群</w:t>
      </w:r>
    </w:p>
    <w:p>
      <w:pPr>
        <w:pStyle w:val="21"/>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0771-2846860</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eastAsia="宋体" w:cs="宋体"/>
          <w:bCs/>
          <w:sz w:val="21"/>
          <w:szCs w:val="21"/>
        </w:rPr>
        <w:t>监督管理部门：</w:t>
      </w:r>
      <w:r>
        <w:rPr>
          <w:rFonts w:hint="eastAsia" w:ascii="宋体" w:hAnsi="宋体" w:eastAsia="宋体" w:cs="宋体"/>
          <w:color w:val="000000"/>
          <w:sz w:val="21"/>
          <w:szCs w:val="21"/>
        </w:rPr>
        <w:t>马山县政府采购监督管理办公室</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color w:val="000000"/>
          <w:sz w:val="21"/>
          <w:szCs w:val="21"/>
        </w:rPr>
        <w:t>电</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话</w:t>
      </w:r>
      <w:r>
        <w:rPr>
          <w:rFonts w:hint="eastAsia" w:ascii="宋体" w:hAnsi="宋体" w:eastAsia="宋体" w:cs="宋体"/>
          <w:bCs/>
          <w:sz w:val="21"/>
          <w:szCs w:val="21"/>
        </w:rPr>
        <w:t>：</w:t>
      </w:r>
      <w:r>
        <w:rPr>
          <w:rFonts w:hint="eastAsia" w:ascii="宋体" w:hAnsi="宋体" w:eastAsia="宋体" w:cs="宋体"/>
          <w:color w:val="000000"/>
          <w:sz w:val="21"/>
          <w:szCs w:val="21"/>
        </w:rPr>
        <w:t>0771-6825986</w:t>
      </w:r>
      <w:bookmarkEnd w:id="3"/>
      <w:bookmarkEnd w:id="4"/>
      <w:bookmarkStart w:id="55" w:name="_Toc532546084"/>
    </w:p>
    <w:p>
      <w:pPr>
        <w:pStyle w:val="21"/>
        <w:keepNext w:val="0"/>
        <w:keepLines w:val="0"/>
        <w:pageBreakBefore w:val="0"/>
        <w:widowControl w:val="0"/>
        <w:kinsoku/>
        <w:wordWrap/>
        <w:overflowPunct/>
        <w:topLinePunct w:val="0"/>
        <w:autoSpaceDE/>
        <w:autoSpaceDN/>
        <w:bidi w:val="0"/>
        <w:spacing w:line="380" w:lineRule="exact"/>
        <w:jc w:val="center"/>
        <w:textAlignment w:val="auto"/>
        <w:outlineLvl w:val="0"/>
        <w:rPr>
          <w:rFonts w:hint="eastAsia" w:ascii="宋体" w:hAnsi="宋体" w:eastAsia="宋体" w:cs="宋体"/>
          <w:b/>
          <w:sz w:val="32"/>
          <w:szCs w:val="32"/>
        </w:rPr>
      </w:pPr>
    </w:p>
    <w:p>
      <w:pPr>
        <w:pStyle w:val="21"/>
        <w:jc w:val="center"/>
        <w:outlineLvl w:val="0"/>
        <w:rPr>
          <w:rFonts w:hint="eastAsia" w:ascii="宋体" w:hAnsi="宋体" w:eastAsia="宋体" w:cs="宋体"/>
          <w:b/>
          <w:sz w:val="30"/>
          <w:szCs w:val="30"/>
        </w:rPr>
      </w:pPr>
    </w:p>
    <w:p>
      <w:pPr>
        <w:pStyle w:val="21"/>
        <w:jc w:val="center"/>
        <w:outlineLvl w:val="0"/>
        <w:rPr>
          <w:rFonts w:hint="eastAsia" w:ascii="宋体" w:hAnsi="宋体" w:eastAsia="宋体" w:cs="宋体"/>
          <w:b/>
          <w:sz w:val="30"/>
          <w:szCs w:val="30"/>
        </w:rPr>
      </w:pPr>
    </w:p>
    <w:p>
      <w:pPr>
        <w:pStyle w:val="21"/>
        <w:jc w:val="center"/>
        <w:outlineLvl w:val="0"/>
        <w:rPr>
          <w:rFonts w:hint="eastAsia" w:ascii="宋体" w:hAnsi="宋体" w:eastAsia="宋体" w:cs="宋体"/>
          <w:b/>
          <w:sz w:val="30"/>
          <w:szCs w:val="30"/>
        </w:rPr>
      </w:pPr>
    </w:p>
    <w:p>
      <w:pPr>
        <w:pStyle w:val="6"/>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rPr>
          <w:rFonts w:hint="eastAsia" w:ascii="宋体" w:hAnsi="宋体" w:eastAsia="宋体" w:cs="宋体"/>
          <w:b/>
          <w:sz w:val="30"/>
          <w:szCs w:val="30"/>
        </w:rPr>
      </w:pPr>
    </w:p>
    <w:p>
      <w:pPr>
        <w:pStyle w:val="39"/>
        <w:rPr>
          <w:rFonts w:hint="eastAsia"/>
        </w:rPr>
      </w:pPr>
    </w:p>
    <w:p>
      <w:pPr>
        <w:rPr>
          <w:rFonts w:hint="eastAsia" w:ascii="宋体" w:hAnsi="宋体" w:eastAsia="宋体" w:cs="宋体"/>
          <w:b/>
          <w:sz w:val="30"/>
          <w:szCs w:val="30"/>
        </w:rPr>
      </w:pPr>
    </w:p>
    <w:p>
      <w:pPr>
        <w:pStyle w:val="39"/>
        <w:rPr>
          <w:rFonts w:hint="eastAsia" w:ascii="宋体" w:hAnsi="宋体" w:eastAsia="宋体" w:cs="宋体"/>
          <w:b/>
          <w:sz w:val="30"/>
          <w:szCs w:val="30"/>
        </w:rPr>
      </w:pPr>
    </w:p>
    <w:p>
      <w:pPr>
        <w:pStyle w:val="39"/>
        <w:ind w:left="0" w:leftChars="0" w:firstLine="0" w:firstLineChars="0"/>
        <w:rPr>
          <w:rFonts w:hint="eastAsia" w:ascii="宋体" w:hAnsi="宋体" w:eastAsia="宋体" w:cs="宋体"/>
          <w:b/>
          <w:sz w:val="30"/>
          <w:szCs w:val="30"/>
        </w:rPr>
      </w:pPr>
    </w:p>
    <w:p>
      <w:pPr>
        <w:pStyle w:val="39"/>
        <w:rPr>
          <w:rFonts w:hint="eastAsia" w:ascii="宋体" w:hAnsi="宋体" w:eastAsia="宋体" w:cs="宋体"/>
          <w:b/>
          <w:sz w:val="30"/>
          <w:szCs w:val="30"/>
        </w:rPr>
      </w:pPr>
    </w:p>
    <w:p>
      <w:pPr>
        <w:pStyle w:val="39"/>
        <w:rPr>
          <w:rFonts w:hint="eastAsia" w:ascii="宋体" w:hAnsi="宋体" w:eastAsia="宋体" w:cs="宋体"/>
          <w:b/>
          <w:sz w:val="30"/>
          <w:szCs w:val="30"/>
        </w:rPr>
      </w:pPr>
    </w:p>
    <w:p>
      <w:pPr>
        <w:pStyle w:val="52"/>
        <w:rPr>
          <w:rFonts w:hint="eastAsia" w:ascii="宋体" w:hAnsi="宋体" w:eastAsia="宋体" w:cs="宋体"/>
          <w:b/>
          <w:sz w:val="30"/>
          <w:szCs w:val="30"/>
        </w:rPr>
      </w:pPr>
    </w:p>
    <w:p>
      <w:pPr>
        <w:pStyle w:val="21"/>
        <w:jc w:val="center"/>
        <w:outlineLvl w:val="0"/>
        <w:rPr>
          <w:rFonts w:hint="eastAsia" w:ascii="宋体" w:hAnsi="宋体" w:eastAsia="宋体" w:cs="宋体"/>
          <w:b/>
          <w:szCs w:val="21"/>
        </w:rPr>
      </w:pPr>
      <w:r>
        <w:rPr>
          <w:rFonts w:hint="eastAsia" w:ascii="宋体" w:hAnsi="宋体" w:eastAsia="宋体" w:cs="宋体"/>
          <w:b/>
          <w:sz w:val="30"/>
          <w:szCs w:val="30"/>
        </w:rPr>
        <w:t>第</w:t>
      </w:r>
      <w:r>
        <w:rPr>
          <w:rFonts w:hint="eastAsia" w:ascii="宋体" w:hAnsi="宋体" w:eastAsia="宋体" w:cs="宋体"/>
          <w:b/>
          <w:sz w:val="30"/>
          <w:szCs w:val="30"/>
          <w:lang w:eastAsia="zh-CN"/>
        </w:rPr>
        <w:t>三</w:t>
      </w:r>
      <w:r>
        <w:rPr>
          <w:rFonts w:hint="eastAsia" w:ascii="宋体" w:hAnsi="宋体" w:eastAsia="宋体" w:cs="宋体"/>
          <w:b/>
          <w:sz w:val="30"/>
          <w:szCs w:val="30"/>
        </w:rPr>
        <w:t xml:space="preserve">章  </w:t>
      </w:r>
      <w:bookmarkEnd w:id="55"/>
      <w:r>
        <w:rPr>
          <w:rFonts w:hint="eastAsia" w:hAnsi="宋体" w:cs="宋体"/>
          <w:b/>
          <w:sz w:val="30"/>
          <w:szCs w:val="30"/>
          <w:lang w:eastAsia="zh-CN"/>
        </w:rPr>
        <w:t>货物需求一览表</w:t>
      </w:r>
    </w:p>
    <w:p>
      <w:pPr>
        <w:keepNext w:val="0"/>
        <w:keepLines w:val="0"/>
        <w:pageBreakBefore w:val="0"/>
        <w:kinsoku/>
        <w:wordWrap/>
        <w:overflowPunct/>
        <w:topLinePunct w:val="0"/>
        <w:autoSpaceDE/>
        <w:autoSpaceDN/>
        <w:bidi w:val="0"/>
        <w:adjustRightInd w:val="0"/>
        <w:snapToGrid/>
        <w:spacing w:line="380" w:lineRule="exact"/>
        <w:rPr>
          <w:rFonts w:hint="eastAsia" w:ascii="宋体" w:hAnsi="宋体" w:eastAsia="宋体" w:cs="宋体"/>
          <w:b/>
          <w:szCs w:val="21"/>
        </w:rPr>
      </w:pPr>
      <w:r>
        <w:rPr>
          <w:rFonts w:hint="eastAsia" w:ascii="宋体" w:hAnsi="宋体" w:eastAsia="宋体" w:cs="宋体"/>
          <w:b/>
          <w:szCs w:val="21"/>
        </w:rPr>
        <w:t>说明：</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rPr>
      </w:pPr>
      <w:r>
        <w:rPr>
          <w:rFonts w:hint="eastAsia" w:ascii="宋体" w:hAnsi="宋体" w:eastAsia="宋体" w:cs="宋体"/>
          <w:b w:val="0"/>
          <w:bCs/>
        </w:rPr>
        <w:t>1、本货物需求一览表中所列的品牌、型号仅起参考作用，投标人可选用其他品牌、型号替代。但替代的品牌、型号在实质性要求和条件上要相当于或优于参考品牌、型号。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rPr>
      </w:pPr>
      <w:r>
        <w:rPr>
          <w:rFonts w:hint="eastAsia" w:ascii="宋体" w:hAnsi="宋体" w:eastAsia="宋体" w:cs="宋体"/>
          <w:b w:val="0"/>
          <w:bCs/>
        </w:rPr>
        <w:t>2、凡在“</w:t>
      </w:r>
      <w:r>
        <w:rPr>
          <w:rFonts w:hint="eastAsia" w:ascii="宋体" w:hAnsi="宋体" w:eastAsia="宋体" w:cs="宋体"/>
          <w:b w:val="0"/>
          <w:bCs/>
          <w:kern w:val="0"/>
          <w:szCs w:val="21"/>
        </w:rPr>
        <w:t>技术参数要求</w:t>
      </w:r>
      <w:r>
        <w:rPr>
          <w:rFonts w:hint="eastAsia" w:ascii="宋体" w:hAnsi="宋体" w:eastAsia="宋体" w:cs="宋体"/>
          <w:b w:val="0"/>
          <w:bCs/>
        </w:rPr>
        <w:t>”中表述为“标配”或“标准配置”的设备，</w:t>
      </w:r>
      <w:r>
        <w:rPr>
          <w:rFonts w:hint="eastAsia" w:ascii="宋体" w:hAnsi="宋体" w:eastAsia="宋体" w:cs="宋体"/>
          <w:b w:val="0"/>
          <w:bCs/>
          <w:lang w:val="en-US" w:eastAsia="zh-CN"/>
        </w:rPr>
        <w:t>投</w:t>
      </w:r>
      <w:r>
        <w:rPr>
          <w:rFonts w:hint="eastAsia" w:ascii="宋体" w:hAnsi="宋体" w:eastAsia="宋体" w:cs="宋体"/>
          <w:b w:val="0"/>
          <w:bCs/>
        </w:rPr>
        <w:t>标人应按第</w:t>
      </w:r>
      <w:r>
        <w:rPr>
          <w:rFonts w:hint="eastAsia" w:ascii="宋体" w:hAnsi="宋体" w:eastAsia="宋体" w:cs="宋体"/>
          <w:b w:val="0"/>
          <w:bCs/>
          <w:lang w:eastAsia="zh-CN"/>
        </w:rPr>
        <w:t>六</w:t>
      </w:r>
      <w:r>
        <w:rPr>
          <w:rFonts w:hint="eastAsia" w:ascii="宋体" w:hAnsi="宋体" w:eastAsia="宋体" w:cs="宋体"/>
          <w:b w:val="0"/>
          <w:bCs/>
        </w:rPr>
        <w:t>章“</w:t>
      </w:r>
      <w:r>
        <w:rPr>
          <w:rFonts w:hint="eastAsia" w:ascii="宋体" w:hAnsi="宋体" w:eastAsia="宋体" w:cs="宋体"/>
          <w:b w:val="0"/>
          <w:bCs/>
          <w:lang w:eastAsia="zh-CN"/>
        </w:rPr>
        <w:t>投标</w:t>
      </w:r>
      <w:r>
        <w:rPr>
          <w:rFonts w:hint="eastAsia" w:ascii="宋体" w:hAnsi="宋体" w:eastAsia="宋体" w:cs="宋体"/>
          <w:b w:val="0"/>
          <w:bCs/>
        </w:rPr>
        <w:t>文件格式”规定的格式在“投标产品技术资料表”中将其参数详细列明。</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lang w:eastAsia="zh-CN"/>
        </w:rPr>
      </w:pPr>
      <w:r>
        <w:rPr>
          <w:rFonts w:hint="eastAsia" w:ascii="宋体" w:hAnsi="宋体" w:eastAsia="宋体" w:cs="宋体"/>
          <w:color w:val="000000"/>
          <w:szCs w:val="21"/>
        </w:rPr>
        <w:t>3、</w:t>
      </w:r>
      <w:r>
        <w:rPr>
          <w:rFonts w:hint="eastAsia" w:ascii="宋体" w:hAnsi="宋体" w:eastAsia="宋体" w:cs="宋体"/>
          <w:color w:val="000000"/>
          <w:kern w:val="1"/>
          <w:szCs w:val="21"/>
        </w:rPr>
        <w:t>本</w:t>
      </w:r>
      <w:r>
        <w:rPr>
          <w:rFonts w:hint="eastAsia" w:ascii="宋体" w:hAnsi="宋体" w:eastAsia="宋体" w:cs="宋体"/>
          <w:color w:val="000000"/>
          <w:kern w:val="1"/>
          <w:szCs w:val="21"/>
          <w:lang w:eastAsia="zh-CN"/>
        </w:rPr>
        <w:t>货物需求一览表</w:t>
      </w:r>
      <w:r>
        <w:rPr>
          <w:rFonts w:hint="eastAsia" w:ascii="宋体" w:hAnsi="宋体" w:eastAsia="宋体" w:cs="宋体"/>
          <w:color w:val="000000"/>
          <w:szCs w:val="21"/>
        </w:rPr>
        <w:t>中的内容如与第五章“合同主要条款及格式”相关条款不一致的，以本表为准</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snapToGrid w:val="0"/>
        <w:spacing w:line="380" w:lineRule="exact"/>
        <w:ind w:firstLine="440" w:firstLineChars="200"/>
        <w:textAlignment w:val="auto"/>
        <w:rPr>
          <w:rFonts w:hint="eastAsia" w:ascii="宋体" w:hAnsi="宋体" w:eastAsia="宋体" w:cs="宋体"/>
          <w:b w:val="0"/>
          <w:bCs/>
          <w:lang w:val="en-US" w:eastAsia="zh-CN"/>
        </w:rPr>
      </w:pPr>
      <w:r>
        <w:rPr>
          <w:rFonts w:hint="eastAsia" w:ascii="宋体" w:hAnsi="宋体" w:eastAsia="宋体" w:cs="宋体"/>
          <w:color w:val="auto"/>
          <w:kern w:val="1"/>
          <w:sz w:val="22"/>
          <w:szCs w:val="22"/>
          <w:u w:val="none"/>
          <w:lang w:val="en-US" w:eastAsia="zh-CN"/>
        </w:rPr>
        <w:t>4、</w:t>
      </w:r>
      <w:r>
        <w:rPr>
          <w:rFonts w:hint="eastAsia" w:ascii="宋体" w:hAnsi="宋体" w:eastAsia="宋体" w:cs="宋体"/>
          <w:color w:val="auto"/>
          <w:kern w:val="1"/>
          <w:sz w:val="22"/>
          <w:szCs w:val="22"/>
          <w:u w:val="none"/>
        </w:rPr>
        <w:t>根据财库〔2019〕9号及财库〔2019〕19号文件规定，</w:t>
      </w:r>
      <w:r>
        <w:rPr>
          <w:rFonts w:hint="eastAsia" w:ascii="宋体" w:hAnsi="宋体" w:eastAsia="宋体" w:cs="宋体"/>
          <w:color w:val="auto"/>
          <w:kern w:val="1"/>
          <w:sz w:val="22"/>
          <w:szCs w:val="22"/>
          <w:u w:val="single"/>
        </w:rPr>
        <w:t>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w:t>
      </w:r>
      <w:r>
        <w:rPr>
          <w:rFonts w:hint="eastAsia" w:ascii="宋体" w:hAnsi="宋体" w:eastAsia="宋体" w:cs="宋体"/>
          <w:color w:val="auto"/>
          <w:kern w:val="1"/>
          <w:sz w:val="22"/>
          <w:szCs w:val="22"/>
          <w:u w:val="none"/>
        </w:rPr>
        <w:t>均为节能产品(政府采购品目清单内标注“★”的品目)，属于政府强制采购节能产品。若采购货物属于以上品目列表的产品时，供应商的投标货物必须使用政府强制采购的节能产品，供应商必须在投标文件中提供由国家确定的认证机构出具的处于有效期之内的节能产品认证证书复印件，否则投标无效。</w:t>
      </w:r>
    </w:p>
    <w:p>
      <w:pPr>
        <w:keepNext w:val="0"/>
        <w:keepLines w:val="0"/>
        <w:pageBreakBefore w:val="0"/>
        <w:widowControl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5</w:t>
      </w:r>
      <w:r>
        <w:rPr>
          <w:rFonts w:hint="eastAsia" w:ascii="宋体" w:hAnsi="宋体" w:eastAsia="宋体" w:cs="宋体"/>
          <w:b w:val="0"/>
          <w:bCs/>
        </w:rPr>
        <w:t>、本</w:t>
      </w:r>
      <w:r>
        <w:rPr>
          <w:rFonts w:hint="eastAsia" w:ascii="宋体" w:hAnsi="宋体" w:eastAsia="宋体" w:cs="宋体"/>
          <w:b w:val="0"/>
          <w:bCs/>
          <w:lang w:eastAsia="zh-CN"/>
        </w:rPr>
        <w:t>货物</w:t>
      </w:r>
      <w:r>
        <w:rPr>
          <w:rFonts w:hint="eastAsia" w:ascii="宋体" w:hAnsi="宋体" w:eastAsia="宋体" w:cs="宋体"/>
          <w:b w:val="0"/>
          <w:bCs/>
        </w:rPr>
        <w:t>需求一览表中标注“★”号的内容为本次采购的实质性要求和条件</w:t>
      </w:r>
      <w:r>
        <w:rPr>
          <w:rFonts w:hint="eastAsia" w:ascii="宋体" w:hAnsi="宋体" w:eastAsia="宋体" w:cs="宋体"/>
          <w:b w:val="0"/>
          <w:bCs/>
          <w:color w:val="auto"/>
          <w:sz w:val="22"/>
          <w:highlight w:val="none"/>
        </w:rPr>
        <w:t>，必须满足或优于</w:t>
      </w:r>
      <w:r>
        <w:rPr>
          <w:rFonts w:hint="eastAsia" w:ascii="宋体" w:hAnsi="宋体" w:eastAsia="宋体" w:cs="宋体"/>
          <w:kern w:val="1"/>
          <w:sz w:val="22"/>
          <w:szCs w:val="22"/>
        </w:rPr>
        <w:t>，否则投标无效。未标注“</w:t>
      </w:r>
      <w:r>
        <w:rPr>
          <w:rFonts w:hint="eastAsia" w:ascii="宋体" w:hAnsi="宋体" w:eastAsia="宋体" w:cs="宋体"/>
          <w:b w:val="0"/>
          <w:bCs/>
        </w:rPr>
        <w:t>★</w:t>
      </w:r>
      <w:r>
        <w:rPr>
          <w:rFonts w:hint="eastAsia" w:ascii="宋体" w:hAnsi="宋体" w:eastAsia="宋体" w:cs="宋体"/>
          <w:kern w:val="1"/>
          <w:sz w:val="22"/>
          <w:szCs w:val="22"/>
        </w:rPr>
        <w:t>”号的条款负偏离达</w:t>
      </w:r>
      <w:r>
        <w:rPr>
          <w:rFonts w:hint="eastAsia" w:ascii="宋体" w:hAnsi="宋体" w:cs="宋体"/>
          <w:kern w:val="1"/>
          <w:sz w:val="22"/>
          <w:szCs w:val="22"/>
          <w:lang w:val="en-US" w:eastAsia="zh-CN"/>
        </w:rPr>
        <w:t>2</w:t>
      </w:r>
      <w:r>
        <w:rPr>
          <w:rFonts w:hint="eastAsia" w:ascii="宋体" w:hAnsi="宋体" w:eastAsia="宋体" w:cs="宋体"/>
          <w:kern w:val="1"/>
          <w:sz w:val="22"/>
          <w:szCs w:val="22"/>
        </w:rPr>
        <w:t>项以上的，投标无效。</w:t>
      </w:r>
      <w:bookmarkStart w:id="56" w:name="_GoBack"/>
      <w:bookmarkEnd w:id="56"/>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6、本</w:t>
      </w:r>
      <w:r>
        <w:rPr>
          <w:rFonts w:hint="eastAsia" w:ascii="宋体" w:hAnsi="宋体" w:eastAsia="宋体" w:cs="宋体"/>
          <w:color w:val="auto"/>
          <w:szCs w:val="21"/>
          <w:highlight w:val="none"/>
        </w:rPr>
        <w:t>货物需求一览表中的第</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项货物“</w:t>
      </w:r>
      <w:r>
        <w:rPr>
          <w:rFonts w:hint="eastAsia" w:ascii="宋体" w:hAnsi="宋体" w:eastAsia="宋体" w:cs="宋体"/>
          <w:color w:val="auto"/>
          <w:kern w:val="0"/>
          <w:szCs w:val="21"/>
          <w:lang w:bidi="ar"/>
        </w:rPr>
        <w:t>脉动真空灭菌器</w:t>
      </w:r>
      <w:r>
        <w:rPr>
          <w:rFonts w:hint="eastAsia" w:ascii="宋体" w:hAnsi="宋体" w:eastAsia="宋体" w:cs="宋体"/>
          <w:color w:val="auto"/>
          <w:szCs w:val="21"/>
          <w:highlight w:val="none"/>
        </w:rPr>
        <w:t>”为核心产品，</w:t>
      </w:r>
      <w:r>
        <w:rPr>
          <w:rFonts w:hint="eastAsia" w:ascii="宋体" w:hAnsi="宋体" w:eastAsia="宋体" w:cs="宋体"/>
          <w:color w:val="000000"/>
          <w:sz w:val="21"/>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Cs w:val="21"/>
          <w:highlight w:val="none"/>
        </w:rPr>
        <w:t>（评审得分</w:t>
      </w:r>
      <w:r>
        <w:rPr>
          <w:rFonts w:hint="eastAsia" w:ascii="宋体" w:hAnsi="宋体" w:eastAsia="宋体" w:cs="宋体"/>
        </w:rPr>
        <w:t>相同时，依次</w:t>
      </w:r>
      <w:r>
        <w:rPr>
          <w:rFonts w:hint="eastAsia" w:ascii="宋体" w:hAnsi="宋体" w:eastAsia="宋体" w:cs="宋体"/>
          <w:b w:val="0"/>
          <w:bCs w:val="0"/>
        </w:rPr>
        <w:t>按</w:t>
      </w:r>
      <w:r>
        <w:rPr>
          <w:rFonts w:hint="eastAsia" w:ascii="宋体" w:hAnsi="宋体" w:eastAsia="宋体" w:cs="宋体"/>
          <w:b w:val="0"/>
          <w:bCs w:val="0"/>
          <w:color w:val="auto"/>
          <w:sz w:val="21"/>
          <w:szCs w:val="21"/>
          <w:highlight w:val="none"/>
        </w:rPr>
        <w:t>投标报价低优先、技术分高优先、质量保证期长优先、交货期短优先、故障响应时间短优先的顺序排列</w:t>
      </w:r>
      <w:r>
        <w:rPr>
          <w:rFonts w:hint="eastAsia" w:ascii="宋体" w:hAnsi="宋体" w:eastAsia="宋体" w:cs="宋体"/>
          <w:color w:val="auto"/>
          <w:szCs w:val="21"/>
          <w:highlight w:val="none"/>
        </w:rPr>
        <w:t>），其他同品牌投标人不作为中标候选人。</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lang w:val="en-US" w:eastAsia="zh-CN"/>
        </w:rPr>
        <w:t>7</w:t>
      </w:r>
      <w:r>
        <w:rPr>
          <w:rFonts w:hint="eastAsia" w:ascii="宋体" w:hAnsi="宋体" w:eastAsia="宋体" w:cs="宋体"/>
          <w:b w:val="0"/>
          <w:bCs/>
        </w:rPr>
        <w:t>、本次货物采购最高限价为</w:t>
      </w:r>
      <w:r>
        <w:rPr>
          <w:rFonts w:hint="eastAsia" w:ascii="宋体" w:hAnsi="宋体" w:eastAsia="宋体" w:cs="宋体"/>
          <w:b w:val="0"/>
          <w:bCs/>
          <w:sz w:val="21"/>
          <w:szCs w:val="21"/>
        </w:rPr>
        <w:t>：</w:t>
      </w:r>
      <w:r>
        <w:rPr>
          <w:rFonts w:hint="eastAsia" w:ascii="宋体" w:hAnsi="宋体" w:eastAsia="宋体" w:cs="宋体"/>
          <w:b w:val="0"/>
          <w:bCs/>
          <w:color w:val="auto"/>
          <w:sz w:val="21"/>
          <w:szCs w:val="21"/>
          <w:highlight w:val="none"/>
          <w:u w:val="single"/>
          <w:lang w:val="en-US" w:eastAsia="zh-CN"/>
        </w:rPr>
        <w:t>32</w:t>
      </w:r>
      <w:r>
        <w:rPr>
          <w:rFonts w:hint="eastAsia" w:ascii="宋体" w:hAnsi="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lang w:val="en-US" w:eastAsia="zh-CN"/>
        </w:rPr>
        <w:t>万元</w:t>
      </w:r>
      <w:r>
        <w:rPr>
          <w:rFonts w:hint="eastAsia" w:ascii="宋体" w:hAnsi="宋体" w:eastAsia="宋体" w:cs="宋体"/>
          <w:b w:val="0"/>
          <w:bCs/>
          <w:sz w:val="21"/>
          <w:szCs w:val="21"/>
        </w:rPr>
        <w:t>。</w:t>
      </w:r>
    </w:p>
    <w:p>
      <w:pPr>
        <w:pStyle w:val="26"/>
        <w:rPr>
          <w:rFonts w:hint="eastAsia" w:ascii="宋体" w:hAnsi="宋体" w:eastAsia="宋体" w:cs="宋体"/>
        </w:rPr>
      </w:pPr>
    </w:p>
    <w:tbl>
      <w:tblPr>
        <w:tblStyle w:val="4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1078"/>
        <w:gridCol w:w="659"/>
        <w:gridCol w:w="6616"/>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货物</w:t>
            </w:r>
            <w:r>
              <w:rPr>
                <w:rFonts w:hint="eastAsia" w:ascii="宋体" w:hAnsi="宋体" w:eastAsia="宋体" w:cs="宋体"/>
                <w:b/>
                <w:color w:val="auto"/>
                <w:sz w:val="21"/>
                <w:szCs w:val="21"/>
              </w:rPr>
              <w:t>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bCs w:val="0"/>
                <w:color w:val="auto"/>
                <w:sz w:val="21"/>
                <w:szCs w:val="21"/>
              </w:rPr>
              <w:t>技术参数要求</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both"/>
              <w:rPr>
                <w:rFonts w:hint="eastAsia" w:ascii="宋体" w:hAnsi="宋体" w:eastAsia="宋体" w:cs="宋体"/>
                <w:b/>
                <w:color w:val="auto"/>
                <w:sz w:val="21"/>
                <w:szCs w:val="21"/>
              </w:rPr>
            </w:pPr>
            <w:r>
              <w:rPr>
                <w:rFonts w:hint="eastAsia" w:ascii="宋体" w:hAnsi="宋体" w:eastAsia="宋体" w:cs="宋体"/>
                <w:b/>
                <w:bCs/>
                <w:color w:val="auto"/>
              </w:rPr>
              <w:t>分项最高限价</w:t>
            </w:r>
            <w:r>
              <w:rPr>
                <w:rFonts w:hint="eastAsia" w:ascii="宋体" w:hAnsi="宋体" w:eastAsia="宋体" w:cs="宋体"/>
                <w:b/>
                <w:color w:val="auto"/>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left"/>
              <w:rPr>
                <w:rFonts w:hint="eastAsia" w:ascii="宋体" w:hAnsi="宋体" w:eastAsia="宋体" w:cs="宋体"/>
                <w:b/>
                <w:color w:val="auto"/>
                <w:sz w:val="21"/>
                <w:szCs w:val="21"/>
                <w:lang w:val="en-US" w:eastAsia="zh-CN"/>
              </w:rPr>
            </w:pPr>
            <w:r>
              <w:rPr>
                <w:rFonts w:hint="eastAsia" w:ascii="宋体" w:hAnsi="宋体" w:eastAsia="宋体" w:cs="宋体"/>
                <w:color w:val="auto"/>
                <w:kern w:val="0"/>
                <w:szCs w:val="21"/>
                <w:lang w:bidi="ar"/>
              </w:rPr>
              <w:t>（一）</w:t>
            </w:r>
            <w:r>
              <w:rPr>
                <w:rFonts w:hint="eastAsia" w:ascii="宋体" w:hAnsi="宋体" w:eastAsia="宋体" w:cs="宋体"/>
                <w:b/>
                <w:color w:val="auto"/>
                <w:kern w:val="0"/>
                <w:szCs w:val="21"/>
                <w:lang w:bidi="ar"/>
              </w:rPr>
              <w:t>消毒设备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脉动真空灭菌器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2台</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1.容积：约810L。</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2.主体结构：环形加强筋结构，内腔强度和稳定性更高；多点进汽，多段加热，温度梯度便于内腔蒸汽对流；节省蒸汽消耗；灭菌器整体重量更轻。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3.焊接工艺：全自动焊接机器人焊接；氩气保护，自动控制无过烧现象。能有效消除不锈钢晶体间腐蚀倾向。</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4.材质：内壳厚度≥6mm，夹套厚度≥6mm。</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5.最高允许工作压力：壳程-0.1/0.3Mpa，夹套0.3Mpa。</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耐压试验压力：容器≥0.39Mpa，夹套≥0.52Mpa。</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7.灭菌器主体寿命及材质：主体至少15年（30000次灭菌循环），主体结构模型为矩形环形加强筋结构。设备内室，夹层，门板采用316L不锈钢；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8.夹套数量：环形加强筋结构，环形加强筋个数≥5个。多点进汽，进汽口数量≥5个。</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9.主体保温：岩棉，厚度约60mm。</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10.门数量：双门。</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11.材质：门板厚度≥10mm，门板材料同内室材料，加强筋不锈钢。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12.结构：门板背面焊接加强筋，加强筋数量≥3个。</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13.动力方式：电机齿轮链条驱动门板上下移动，侧开门式开启柜门。</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14.门胶圈：圆形门胶圈，医用透明高抗撕硅橡胶材质，压缩气密封。</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15.蒸汽源：电热：自产蒸汽</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16.管路材质：不锈钢卫生级管路，卡箍链接。</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17.水回收装置：带有水回收装置，可将经过换热器内的冷水回收再利用，节约能源。</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18.换热装置：板式换热器，换热效率高，使用寿命长。</w:t>
            </w:r>
          </w:p>
          <w:p>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19.主控制系统；</w:t>
            </w:r>
            <w:r>
              <w:rPr>
                <w:rFonts w:hint="eastAsia" w:ascii="宋体" w:hAnsi="宋体" w:eastAsia="宋体" w:cs="宋体"/>
                <w:color w:val="auto"/>
                <w:szCs w:val="21"/>
              </w:rPr>
              <w:t>PLC控制并配有彩色触摸屏人机操作界面。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程序种类及数量：灭菌类程序：≥26套(含14套自定义程序)；测试类程序：≥4套；辅助类程序：≥2套。</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20.程序运行时间：标准循环:≤55分钟。</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21.脉动次数：标准循环：3次负压脉动，1次跨压脉动，3次正压脉动。脉动次数设定范围：0～99次可设。</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700000.00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快速式全自动清洗消毒器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1.用途：对手术器械、麻醉呼吸管道、换药碗弯盘等进行清洗、消毒、上油及干燥处理。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2.功能要求：能自动完成冲洗、清洗（自动注入多酶清洗液）、93℃热水消毒、上器械保护油、干燥过程。</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3.程序运行时间:≤35分钟(标准器械程序)。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4.装量:≥12个标准器械托盘（</w:t>
            </w:r>
            <w:r>
              <w:rPr>
                <w:rFonts w:hint="eastAsia" w:ascii="宋体" w:hAnsi="宋体" w:eastAsia="宋体" w:cs="宋体"/>
                <w:color w:val="auto"/>
              </w:rPr>
              <w:t>准托盘的</w:t>
            </w:r>
            <w:r>
              <w:rPr>
                <w:rFonts w:hint="eastAsia" w:ascii="宋体" w:hAnsi="宋体" w:eastAsia="宋体" w:cs="宋体"/>
                <w:color w:val="auto"/>
                <w:kern w:val="0"/>
                <w:szCs w:val="21"/>
                <w:lang w:bidi="ar"/>
              </w:rPr>
              <w:t>尺寸约480X250X50</w:t>
            </w:r>
            <w:r>
              <w:rPr>
                <w:rStyle w:val="50"/>
                <w:rFonts w:hint="eastAsia" w:ascii="宋体" w:hAnsi="宋体" w:eastAsia="宋体" w:cs="宋体"/>
                <w:color w:val="auto"/>
              </w:rPr>
              <w:t>mm</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5.清洗舱全容积：≥520L。</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6.开门方式：自动下开门。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7.门的要求：双门通道型、双门可实现互锁，防爆玻璃门，隔音隔热。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8.计量泵：2个（加清洗液泵一个；加上油液泵1个）。</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9.循环泵：不锈钢泵体，流量最大900L/分钟。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10.主要动作阀门：角座式气动阀，400万次无故障运行。</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11.加热方式：蒸汽加热。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12.记录方式：可自动打印过程曲线、并纪录A0值。</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13.控制方式：PLC控制清洗消毒全过程，触摸屏显示及操作,预设至少3个内置程序、并有至少27个程序由用户自定义；具有故障自动检测、报警及故障记录。</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故障诊断：具有自动故障检测，故障代码显示报警，故障声音报警和故障记录功能。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14.清洗舱:约1.5mm厚304不锈钢板拉丝板。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15.清洗架：不锈钢。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16.外装饰罩：不锈钢拉丝板。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17.空气过滤器：过滤精度≤0.3um；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18.消毒温度：93℃。</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19.干燥温度：70～120℃。</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20.能耗:纯水耗量约140L/cycle。</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21.动力电源：AC380V/50Hz/16.5Kw。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22.控制电源：AC220V/50Hz/0.5Kw。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23.重量：≤350Kg。</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24.外型尺寸:</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清洗舱尺寸：</w:t>
            </w:r>
            <w:r>
              <w:rPr>
                <w:rFonts w:hint="eastAsia" w:ascii="宋体" w:hAnsi="宋体" w:eastAsia="宋体" w:cs="宋体"/>
                <w:color w:val="auto"/>
                <w:kern w:val="0"/>
                <w:szCs w:val="21"/>
                <w:lang w:val="en-US" w:eastAsia="zh-CN" w:bidi="ar"/>
              </w:rPr>
              <w:t>≤700</w:t>
            </w:r>
            <w:r>
              <w:rPr>
                <w:rFonts w:hint="eastAsia" w:ascii="宋体" w:hAnsi="宋体" w:eastAsia="宋体" w:cs="宋体"/>
                <w:color w:val="auto"/>
                <w:kern w:val="0"/>
                <w:szCs w:val="21"/>
                <w:lang w:bidi="ar"/>
              </w:rPr>
              <w:t>×11</w:t>
            </w:r>
            <w:r>
              <w:rPr>
                <w:rFonts w:hint="eastAsia" w:ascii="宋体" w:hAnsi="宋体" w:eastAsia="宋体" w:cs="宋体"/>
                <w:color w:val="auto"/>
                <w:kern w:val="0"/>
                <w:szCs w:val="21"/>
                <w:lang w:val="en-US" w:eastAsia="zh-CN" w:bidi="ar"/>
              </w:rPr>
              <w:t>20</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0(宽×高×深)mm；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清洗架尺寸：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2×6</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0×7</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4(宽×高×深)mm；</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12</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0×18</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0×10</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0(宽×高×深)mm。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670000.00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过氧化氢低温等离子体灭菌器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一、主体</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1.总容积：≥153L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★2.腔体结构及材质：腔体结构为矩形，提高空间利用率，腔体材质采用优质航空铝材，厚度≥16mm，具有优越的导热性能，保证过氧化氢保持100%气态。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3..电极网材质：铝合金材料,钣金成型，厚度≥2mm。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4.腔体温度加热功率：900W，预热升温时间≤30min。</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5.腔体温度控制探头数量：≥1，高精度温度探头，分辨率为0.1℃，准确检测和控制灭菌温度。</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6.主体保温：≥20mm橡塑海绵，具有导热系数低、防火性能好、抗老化能力强、无毒环保和外观高档质地柔软等特点。</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二、密封门</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1.门数量：≥1，单扉结构</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2.材质：采用优质铝材，厚度≥20mm。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★3.门开启方式：采用顶杆驱动式电动升降门。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4.门板加热功能：加热膜数量≥2个，门板温度维持在50±2℃，防止过氧化氢气体冷凝，影响灭菌效果。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5.门板温度控制探头数量：≥1，高精度温度探头，分辨率为0.1℃，准确检测和控制灭菌温度。</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6.门障碍开关：具有门障碍开关功能，当碰触障碍开关时，门自动下降，防止夹伤操作者和夹坏物品。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★7.脚踏开关：具有脚踏开门功能，当操作者双手占用时，可用脚控制门的开关。</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三、管路系统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1.真空泵：采用真空度极高且耐H2O2腐蚀的旋片式真空泵。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2.真空泵相序保护器：设有真空泵相序保护器，防止设备供电相序变化，导致真空泵反转向灭菌室反油。</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3.抽空控制阀：采用高真空挡板电磁阀控制抽空管路。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4.管路材质:采用304不锈钢卫生级管路和卫生级卡箍连接</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★5.过氧化氢加注方式:采用卡匣式加注,H2O2用量误差＜1%，PH＜2.6，54℃放置14d含量下降率＜3.04%。</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6.胶囊计数记忆功能:卡匣安装后，自动计算胶囊使用个数，并提示剩余胶囊个数和可运行全循环的次数。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7.胶囊灌装量:≤5ml，误差＜1%；</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8.卡匣胶囊数量：≥12个。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9.加注控制阀门：采用进口电磁阀。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★10.过氧化氢提纯功能</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具有过氧化氢提纯功能，过氧化氢提纯后浓度大于95%。</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★11.压力传感器数量</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产品设置压力传感器数量≥3个，其中检测内室压力传感器≥2个，提纯器和灭菌内室压力传感器独立设置。</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四、控制系统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★1.PLC：PLC控制系统。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2.显示屏：采用≥10寸彩色触摸屏，全新程序设计，通讯速率≥19.2Kbps。</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3.打印机：采用微型热敏打印机，打印记录保存3年以上,通讯速率≥19.2Kbps。</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4.显示屏显示内容：温度，压力，时间，循环模式，过程阶段、胶囊使用数量和报警信息等。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5.打印记录内容：能够打印记录：程序名称、灭菌日期、灭菌锅次、灭菌起始结束时间、生物培养结果和灭菌过程的压力、温度、阶段时间、电源功率和结束状态等信息。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五、程序系统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★程序数量：根据灭菌物品特点，设置多个灭菌程序，具有对医疗器械的表面、管腔的灭菌程序和软式内镜的灭菌程序。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程序运行时间:全循环≤52分钟；软镜循环≤42分钟；管腔循环≤55min；快速循环≤26分钟。</w:t>
            </w:r>
          </w:p>
          <w:p>
            <w:pPr>
              <w:widowControl/>
              <w:suppressLineNumbers/>
              <w:suppressAutoHyphens/>
              <w:wordWrap w:val="0"/>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★倒计时显示</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具有倒计时显示功能，可根据装载情况自动调整剩余时间，能够使操作者更加合理的安排工作时间。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350900.00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医用真空干燥柜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一、主体：</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1.外观要求：整体全不锈钢拉丝外罩外观，整洁易于清理。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2.材质要求：舱体采用铝合金防锈板拼接成型，阳极氧化处理，表面光洁，提高热辐射效率，有利于腔内温度控制，有效提高干燥性能。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3.舱体结构：方形舱体，上下双舱体，分开独立运行，单舱一次可装载2个标配器械托盘的器械；舱体深度≥700mm，更适合较长硬镜类负载的干燥。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4.加热方式：柜体壁面采用PTC加热膜，安全高效，升温均匀；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5.保温材料：用粘胶纤维保温层，厚度≥10mm，外覆绝缘布、防火性能好、有效阻止热量散失。</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二、密封门：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1.密封门材质要求：门框采用不锈钢板焊接成型，强度高，不变形；门罩采用不锈钢拉丝板刨槽钣金折弯成型。</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2.门要求：双门。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3.门密封要求：采用钢化玻璃密封，带有高透玻璃视窗，保证密封同时，可在运行中观察内部负载情况。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4.门锁装置：电动锁，自动检测门关位，安全方便，避免手动操作引起的误操作。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三、管路系统：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1.泵：真空泵，运行平稳，低噪音，低震动，抽空速度快。</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2.控制阀：抽空阀采用电动执行器控制；回空阀为电磁阀。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3.过热保护：设备具有加热系统故障检测、保护、报警功能，采用过热保护器。保护阶段，程序停止运行，排出故障后，方可正常使用。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4.过滤器要求：进气采用高效空气过滤器过滤，过滤精度≤0.3μm，有效阻隔空气中的粉尘颗粒等进入舱体内。</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四、控制系统：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控制器要求：采用PLC控制器，具有以太网接口和RS485/RS422接口。采用高清彩色触摸屏作为人机操作界面，可显示温度、压力、运行时间、报警信息等参数，触摸式操作，操作方便、简单。触摸屏自带USB接口，可接入≥4G储存U盘，可记录运行数据和报警信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程序系统：内置≥10套程序，用户可根据需求自行调节参数；温度可调范围：室温～65℃；控制压力：0~101kPa；操作权限：三级权限，防止误操作。智能模式：设备利用高精度传感器技术，智能判断腔内物品的干燥情况。物品干燥后，程序自动结束，实现一键干燥。程序运行全过程无时间限制，可对物品进行长时间干燥，对物品无任何损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3.安全装置：设备带有防过载、短路保护装置，PLC实时限温保护，超温保护，真空泵热过载保护，门电机过载保护。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五、整体参数：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1.外形尺寸≤5</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0（宽）×16</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5（高）×8</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2.单个舱体尺寸≥3</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0（宽）×2</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0（高）×</w:t>
            </w:r>
            <w:r>
              <w:rPr>
                <w:rFonts w:hint="eastAsia" w:ascii="宋体" w:hAnsi="宋体" w:eastAsia="宋体" w:cs="宋体"/>
                <w:color w:val="auto"/>
                <w:kern w:val="0"/>
                <w:szCs w:val="21"/>
                <w:lang w:val="en-US" w:eastAsia="zh-CN" w:bidi="ar"/>
              </w:rPr>
              <w:t>69</w:t>
            </w:r>
            <w:r>
              <w:rPr>
                <w:rFonts w:hint="eastAsia" w:ascii="宋体" w:hAnsi="宋体" w:eastAsia="宋体" w:cs="宋体"/>
                <w:color w:val="auto"/>
                <w:kern w:val="0"/>
                <w:szCs w:val="21"/>
                <w:lang w:bidi="ar"/>
              </w:rPr>
              <w:t>0（深）mm。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3.容积≥100L。</w:t>
            </w:r>
          </w:p>
          <w:p>
            <w:pPr>
              <w:widowControl/>
              <w:jc w:val="left"/>
              <w:textAlignment w:val="top"/>
              <w:rPr>
                <w:rFonts w:hint="eastAsia" w:ascii="宋体" w:hAnsi="宋体" w:eastAsia="宋体" w:cs="宋体"/>
                <w:color w:val="auto"/>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180000.00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医用干燥柜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1.内室容积：灭菌室容积≥500升。</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2.用途：用于清洗后器械物品干燥。</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3.门结构：双门。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4.电源要求：380VAC、50Hz。</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5.额定功率：9Kw。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723x2</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50x7</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7.舱体尺寸：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x16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2x5</w:t>
            </w:r>
            <w:r>
              <w:rPr>
                <w:rFonts w:hint="eastAsia" w:ascii="宋体" w:hAnsi="宋体" w:eastAsia="宋体" w:cs="宋体"/>
                <w:color w:val="auto"/>
                <w:kern w:val="0"/>
                <w:szCs w:val="21"/>
                <w:lang w:val="en-US" w:eastAsia="zh-CN" w:bidi="ar"/>
              </w:rPr>
              <w:t>20</w:t>
            </w:r>
            <w:r>
              <w:rPr>
                <w:rFonts w:hint="eastAsia" w:ascii="宋体" w:hAnsi="宋体" w:eastAsia="宋体" w:cs="宋体"/>
                <w:color w:val="auto"/>
                <w:kern w:val="0"/>
                <w:szCs w:val="21"/>
                <w:lang w:bidi="ar"/>
              </w:rPr>
              <w:t>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8.重量约：280Kg。</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9.处理量：至少16个DIN标准器械托盘（准器械托盘尺寸约480*250*50</w:t>
            </w:r>
            <w:r>
              <w:rPr>
                <w:rStyle w:val="50"/>
                <w:rFonts w:hint="eastAsia" w:ascii="宋体" w:hAnsi="宋体" w:eastAsia="宋体" w:cs="宋体"/>
                <w:color w:val="auto"/>
              </w:rPr>
              <w:t>mm</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10.材质：</w:t>
            </w:r>
            <w:r>
              <w:rPr>
                <w:rFonts w:hint="eastAsia" w:ascii="宋体" w:hAnsi="宋体" w:eastAsia="宋体" w:cs="宋体"/>
                <w:color w:val="auto"/>
              </w:rPr>
              <w:t>舱体采用优质SUS304不锈钢</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11.主控制系统：采用主芯片控制，液晶显示屏，内置至少10套程序，以便适合不同种类产品的干燥；设有报警系统，当程序运行结束或有意外情况会有报警提示，各运行参数可调。</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175000.00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全自动纯水机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一、技术参数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1、产水水质：符合WS 310.1/2/3-2016 医院消毒供应中心关于纯水的要求；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2、主要工艺：预处理＋反渗透工艺；</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3、产水流量≥1500L/H（25℃室温）；</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4、离子去除率≥99%；</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5、水利用率≥60%；</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6、电源要求：AV380V±10% ，三相五线制；功率≤5KW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7、供水水源：城市自来水，水质符合GB5749相关技术标准；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供水压力：0.2Mpa～0.4MPa； 最高工作压力：1.3Mpa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8、产水水质：纯水电导率：≤5μs/cm （25℃），双级反渗透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二、性能要求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1、设备工艺流程</w:t>
            </w:r>
            <w:r>
              <w:rPr>
                <w:rFonts w:hint="eastAsia" w:ascii="宋体" w:hAnsi="宋体" w:eastAsia="宋体" w:cs="宋体"/>
                <w:color w:val="auto"/>
                <w:kern w:val="0"/>
                <w:szCs w:val="21"/>
                <w:lang w:bidi="ar"/>
              </w:rPr>
              <w:tab/>
            </w:r>
            <w:r>
              <w:rPr>
                <w:rFonts w:hint="eastAsia" w:ascii="宋体" w:hAnsi="宋体" w:eastAsia="宋体" w:cs="宋体"/>
                <w:color w:val="auto"/>
                <w:kern w:val="0"/>
                <w:szCs w:val="21"/>
                <w:lang w:bidi="ar"/>
              </w:rPr>
              <w:t>原水增压→预处理→反渗透→后储水输送；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★2、抑菌方案：</w:t>
            </w:r>
            <w:r>
              <w:rPr>
                <w:rFonts w:hint="eastAsia" w:ascii="宋体" w:hAnsi="宋体" w:eastAsia="宋体" w:cs="宋体"/>
                <w:color w:val="auto"/>
                <w:kern w:val="0"/>
                <w:szCs w:val="21"/>
                <w:lang w:bidi="ar"/>
              </w:rPr>
              <w:tab/>
            </w:r>
            <w:r>
              <w:rPr>
                <w:rFonts w:hint="eastAsia" w:ascii="宋体" w:hAnsi="宋体" w:eastAsia="宋体" w:cs="宋体"/>
                <w:color w:val="auto"/>
                <w:kern w:val="0"/>
                <w:szCs w:val="21"/>
                <w:lang w:bidi="ar"/>
              </w:rPr>
              <w:t>为保证水质的要求，设备要求具有无死腔设计方案：</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（1）不锈钢304卫生级膜壳结构，采用侧端快装进出水，方便维护；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（2）开关机冲洗功能，快速清洁反渗透内环境；</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（3）提供有资质的第三方水质检测报告。</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★3、使用及维护：设备使用应该简便、智能，尽量的降低操作人员的工作负荷，至少具备以下性能：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（1）消毒：可方便进行化学消毒，操作简便；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（2）自我诊断及报警：全自动运行控制，自动开停机,实现无人看管，预处理系统自动冲洗及再生运行，具备无水保护，压力保护等多种安全自锁装置；</w:t>
            </w:r>
          </w:p>
          <w:p>
            <w:pPr>
              <w:widowControl/>
              <w:jc w:val="left"/>
              <w:textAlignment w:val="top"/>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（3）控制系统：采用继电器控制、按键操作，在线显示电导率等参数，集成电导显示、监控于一体，水质超标自动报警与排放，使用简单方便</w:t>
            </w:r>
            <w:r>
              <w:rPr>
                <w:rFonts w:hint="eastAsia" w:ascii="宋体" w:hAnsi="宋体" w:cs="宋体"/>
                <w:color w:val="auto"/>
                <w:kern w:val="0"/>
                <w:szCs w:val="21"/>
                <w:lang w:eastAsia="zh-CN"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三、配置要求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1、预处理系统：预处理设置有砂过滤，碳过滤，全部采用进口品牌过滤桶，自动多路阀；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2、精密过滤器：20英寸*芯304不锈钢精密过滤器；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3、水泵：全系统水泵均采用品牌不锈钢水泵；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4、反渗透膜：采用知名反渗透膜元件（材质：芳香型聚酰胺复合膜 形式：卷式）。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5、膜压力容器：卫生级304以上不锈钢材质，方便维护；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★6、主机管道：主机高压管采用304不锈钢卫生级管道，内外惰性气体保护的自动环缝焊接工艺。卡箍式快装连接，快装间设置硅胶垫密封；低压管路采用优质UPVC.</w:t>
            </w:r>
          </w:p>
          <w:p>
            <w:pPr>
              <w:widowControl/>
              <w:jc w:val="left"/>
              <w:textAlignment w:val="top"/>
              <w:rPr>
                <w:rFonts w:hint="eastAsia" w:ascii="宋体" w:hAnsi="宋体" w:eastAsia="宋体" w:cs="宋体"/>
                <w:color w:val="auto"/>
                <w:sz w:val="24"/>
              </w:rPr>
            </w:pPr>
            <w:r>
              <w:rPr>
                <w:rFonts w:hint="eastAsia" w:ascii="宋体" w:hAnsi="宋体" w:eastAsia="宋体" w:cs="宋体"/>
                <w:color w:val="auto"/>
                <w:kern w:val="0"/>
                <w:szCs w:val="21"/>
                <w:lang w:bidi="ar"/>
              </w:rPr>
              <w:t>7</w:t>
            </w:r>
            <w:r>
              <w:rPr>
                <w:rFonts w:hint="eastAsia" w:ascii="宋体" w:hAnsi="宋体" w:eastAsia="宋体" w:cs="宋体"/>
                <w:color w:val="auto"/>
                <w:kern w:val="0"/>
                <w:sz w:val="21"/>
                <w:szCs w:val="21"/>
                <w:lang w:bidi="ar"/>
              </w:rPr>
              <w:t>、主机机架：</w:t>
            </w:r>
            <w:r>
              <w:rPr>
                <w:rFonts w:hint="eastAsia" w:ascii="宋体" w:hAnsi="宋体" w:eastAsia="宋体" w:cs="宋体"/>
                <w:color w:val="auto"/>
                <w:sz w:val="21"/>
                <w:szCs w:val="21"/>
              </w:rPr>
              <w:t>集成在一体化不锈钢机架中，机架尺寸：1500 ×800×1700（长×宽×高mm）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8、控制阀门：卫生级304不锈钢阀门，线性调节压力和纯水产量。所有的阀门，流量计，压力表均设置在便于操作和记录的位置；</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9、输送管路：优质PVC管道和阀门。</w:t>
            </w:r>
          </w:p>
          <w:p>
            <w:pPr>
              <w:widowControl/>
              <w:jc w:val="left"/>
              <w:textAlignment w:val="top"/>
              <w:rPr>
                <w:rFonts w:hint="eastAsia" w:ascii="宋体" w:hAnsi="宋体" w:eastAsia="宋体" w:cs="宋体"/>
                <w:color w:val="auto"/>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220000.00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极速生物阅读器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7620"/>
                  <wp:effectExtent l="0" t="0" r="0" b="0"/>
                  <wp:wrapNone/>
                  <wp:docPr id="31" name="图片_1_SpCnt_1"/>
                  <wp:cNvGraphicFramePr/>
                  <a:graphic xmlns:a="http://schemas.openxmlformats.org/drawingml/2006/main">
                    <a:graphicData uri="http://schemas.openxmlformats.org/drawingml/2006/picture">
                      <pic:pic xmlns:pic="http://schemas.openxmlformats.org/drawingml/2006/picture">
                        <pic:nvPicPr>
                          <pic:cNvPr id="31" name="图片_1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08416" behindDoc="0" locked="0" layoutInCell="1" allowOverlap="1">
                  <wp:simplePos x="0" y="0"/>
                  <wp:positionH relativeFrom="column">
                    <wp:posOffset>19050</wp:posOffset>
                  </wp:positionH>
                  <wp:positionV relativeFrom="paragraph">
                    <wp:posOffset>0</wp:posOffset>
                  </wp:positionV>
                  <wp:extent cx="9525" cy="7620"/>
                  <wp:effectExtent l="0" t="0" r="0" b="0"/>
                  <wp:wrapNone/>
                  <wp:docPr id="32" name="图片_2_SpCnt_1"/>
                  <wp:cNvGraphicFramePr/>
                  <a:graphic xmlns:a="http://schemas.openxmlformats.org/drawingml/2006/main">
                    <a:graphicData uri="http://schemas.openxmlformats.org/drawingml/2006/picture">
                      <pic:pic xmlns:pic="http://schemas.openxmlformats.org/drawingml/2006/picture">
                        <pic:nvPicPr>
                          <pic:cNvPr id="32" name="图片_2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09440" behindDoc="0" locked="0" layoutInCell="1" allowOverlap="1">
                  <wp:simplePos x="0" y="0"/>
                  <wp:positionH relativeFrom="column">
                    <wp:posOffset>37465</wp:posOffset>
                  </wp:positionH>
                  <wp:positionV relativeFrom="paragraph">
                    <wp:posOffset>0</wp:posOffset>
                  </wp:positionV>
                  <wp:extent cx="9525" cy="7620"/>
                  <wp:effectExtent l="0" t="0" r="0" b="0"/>
                  <wp:wrapNone/>
                  <wp:docPr id="33" name="图片_3_SpCnt_1"/>
                  <wp:cNvGraphicFramePr/>
                  <a:graphic xmlns:a="http://schemas.openxmlformats.org/drawingml/2006/main">
                    <a:graphicData uri="http://schemas.openxmlformats.org/drawingml/2006/picture">
                      <pic:pic xmlns:pic="http://schemas.openxmlformats.org/drawingml/2006/picture">
                        <pic:nvPicPr>
                          <pic:cNvPr id="33" name="图片_3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10464" behindDoc="0" locked="0" layoutInCell="1" allowOverlap="1">
                  <wp:simplePos x="0" y="0"/>
                  <wp:positionH relativeFrom="column">
                    <wp:posOffset>56515</wp:posOffset>
                  </wp:positionH>
                  <wp:positionV relativeFrom="paragraph">
                    <wp:posOffset>0</wp:posOffset>
                  </wp:positionV>
                  <wp:extent cx="9525" cy="7620"/>
                  <wp:effectExtent l="0" t="0" r="0" b="0"/>
                  <wp:wrapNone/>
                  <wp:docPr id="34" name="图片_4_SpCnt_1"/>
                  <wp:cNvGraphicFramePr/>
                  <a:graphic xmlns:a="http://schemas.openxmlformats.org/drawingml/2006/main">
                    <a:graphicData uri="http://schemas.openxmlformats.org/drawingml/2006/picture">
                      <pic:pic xmlns:pic="http://schemas.openxmlformats.org/drawingml/2006/picture">
                        <pic:nvPicPr>
                          <pic:cNvPr id="34" name="图片_4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lang w:bidi="ar"/>
              </w:rPr>
              <w:t>用于过氧化氢低温等离子体灭菌效果监测。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1.输入电源：AC：100~240V，1.5A，50/60Hz。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2.输出电源：DC：12V，1.5A。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3.培养时间：≤1小时(1小时内确定阴性)。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4.尺寸（W*D*H）：约230mm×220mm×69mm。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5.净重：9</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0g(不含电源适配器)。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6.培养孔数：≥10个。</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7.屏幕尺寸：≥</w:t>
            </w:r>
            <w:r>
              <w:rPr>
                <w:rFonts w:hint="eastAsia" w:ascii="宋体" w:hAnsi="宋体" w:cs="宋体"/>
                <w:color w:val="auto"/>
                <w:kern w:val="0"/>
                <w:szCs w:val="21"/>
                <w:lang w:val="en-US" w:eastAsia="zh-CN" w:bidi="ar"/>
              </w:rPr>
              <w:t>6.9</w:t>
            </w:r>
            <w:r>
              <w:rPr>
                <w:rFonts w:hint="eastAsia" w:ascii="宋体" w:hAnsi="宋体" w:eastAsia="宋体" w:cs="宋体"/>
                <w:color w:val="auto"/>
                <w:kern w:val="0"/>
                <w:szCs w:val="21"/>
                <w:lang w:bidi="ar"/>
              </w:rPr>
              <w:t>英寸。</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8.屏幕分辨率：≥</w:t>
            </w:r>
            <w:r>
              <w:rPr>
                <w:rFonts w:hint="eastAsia" w:ascii="宋体" w:hAnsi="宋体" w:eastAsia="宋体" w:cs="宋体"/>
                <w:color w:val="auto"/>
                <w:kern w:val="0"/>
                <w:szCs w:val="21"/>
                <w:lang w:val="en-US" w:eastAsia="zh-CN" w:bidi="ar"/>
              </w:rPr>
              <w:t>79</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0(TFT，256万色)。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9.培养温度：60±2℃(温度可调整)。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10.环境温度：5-40℃。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11.相对湿度：≤95%(＞85%时无结露)。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12.装置/过电压：类别Ⅱ。</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56000.00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环境安全监测报警系统</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17145"/>
                  <wp:effectExtent l="0" t="0" r="0" b="0"/>
                  <wp:wrapNone/>
                  <wp:docPr id="35" name="图片_13"/>
                  <wp:cNvGraphicFramePr/>
                  <a:graphic xmlns:a="http://schemas.openxmlformats.org/drawingml/2006/main">
                    <a:graphicData uri="http://schemas.openxmlformats.org/drawingml/2006/picture">
                      <pic:pic xmlns:pic="http://schemas.openxmlformats.org/drawingml/2006/picture">
                        <pic:nvPicPr>
                          <pic:cNvPr id="35" name="图片_13"/>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2992" behindDoc="0" locked="0" layoutInCell="1" allowOverlap="1">
                  <wp:simplePos x="0" y="0"/>
                  <wp:positionH relativeFrom="column">
                    <wp:posOffset>19050</wp:posOffset>
                  </wp:positionH>
                  <wp:positionV relativeFrom="paragraph">
                    <wp:posOffset>0</wp:posOffset>
                  </wp:positionV>
                  <wp:extent cx="9525" cy="17145"/>
                  <wp:effectExtent l="0" t="0" r="0" b="0"/>
                  <wp:wrapNone/>
                  <wp:docPr id="36" name="图片_14"/>
                  <wp:cNvGraphicFramePr/>
                  <a:graphic xmlns:a="http://schemas.openxmlformats.org/drawingml/2006/main">
                    <a:graphicData uri="http://schemas.openxmlformats.org/drawingml/2006/picture">
                      <pic:pic xmlns:pic="http://schemas.openxmlformats.org/drawingml/2006/picture">
                        <pic:nvPicPr>
                          <pic:cNvPr id="36" name="图片_14"/>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4016" behindDoc="0" locked="0" layoutInCell="1" allowOverlap="1">
                  <wp:simplePos x="0" y="0"/>
                  <wp:positionH relativeFrom="column">
                    <wp:posOffset>37465</wp:posOffset>
                  </wp:positionH>
                  <wp:positionV relativeFrom="paragraph">
                    <wp:posOffset>0</wp:posOffset>
                  </wp:positionV>
                  <wp:extent cx="9525" cy="17145"/>
                  <wp:effectExtent l="0" t="0" r="0" b="0"/>
                  <wp:wrapNone/>
                  <wp:docPr id="37" name="图片_15"/>
                  <wp:cNvGraphicFramePr/>
                  <a:graphic xmlns:a="http://schemas.openxmlformats.org/drawingml/2006/main">
                    <a:graphicData uri="http://schemas.openxmlformats.org/drawingml/2006/picture">
                      <pic:pic xmlns:pic="http://schemas.openxmlformats.org/drawingml/2006/picture">
                        <pic:nvPicPr>
                          <pic:cNvPr id="37" name="图片_15"/>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5040" behindDoc="0" locked="0" layoutInCell="1" allowOverlap="1">
                  <wp:simplePos x="0" y="0"/>
                  <wp:positionH relativeFrom="column">
                    <wp:posOffset>56515</wp:posOffset>
                  </wp:positionH>
                  <wp:positionV relativeFrom="paragraph">
                    <wp:posOffset>0</wp:posOffset>
                  </wp:positionV>
                  <wp:extent cx="9525" cy="17145"/>
                  <wp:effectExtent l="0" t="0" r="0" b="0"/>
                  <wp:wrapNone/>
                  <wp:docPr id="38" name="图片_16"/>
                  <wp:cNvGraphicFramePr/>
                  <a:graphic xmlns:a="http://schemas.openxmlformats.org/drawingml/2006/main">
                    <a:graphicData uri="http://schemas.openxmlformats.org/drawingml/2006/picture">
                      <pic:pic xmlns:pic="http://schemas.openxmlformats.org/drawingml/2006/picture">
                        <pic:nvPicPr>
                          <pic:cNvPr id="38" name="图片_16"/>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lang w:bidi="ar"/>
              </w:rPr>
              <w:t>用于监测环氧乙烷气体和过氧化氢气体残留。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1.主机参数：外形尺寸≤4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0×2</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0mm（长×宽）。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2.工作电压：主电：220VAC或110VAC 50～60HZ。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3.备电：24VDC/4.6AH。</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4.额定功率≤10W。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5.输出电压24VDC。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6.报警方式：声光报警。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7.使用环境：温度：0-+40℃。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8.湿度：10%-95%RH (无冷凝)。</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9.安装方式：壁挂式安装。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10.其他：主机显示屏上有每个通道的实时检测值、15分钟加权平均值、8小时加权平均值。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11.报警探头参数性能：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11.1外形尺寸：≤205×142×92mm（长×宽×高）。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11.2工作电压：24VDC(12-35VDC)。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11.3工作电流：＜120mA。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11.4额定功率：＜1W。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11.5量程：0-30ppm。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11.6分辨率：0.01ppm。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11.7误差≤±2%FS。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11.8显示方式：LCD液晶数字显示、背光、高亮LED。</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11.9检测方式：扩散式。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11.10输出信号：模拟信号：4～20mA。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11.11数字信号：RS-485(MODBUS RTU)。</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11.12继电器信号：两组两级单稳型继电器。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11.13报警方式：LED灯报警+继电器报警。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11.14安装方式：固定式安装。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11.15使用环境：温度：可在-20℃-+50℃内使用；湿度：15%-95%相对湿度(标准)。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11.16壳体防护等级：≥IP66。</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76000.00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CSSD信息管理系统</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一、软件功能要求: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基础数据管理，实现追溯系统所需基础资料的维护，包括消毒包信息、消毒包类型信息、器械信息、器械类型信息、科室信息、科室分组信息、人员信息、设备信息、一次性物品信息、生产厂家信息、供应商信息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回收管理功能，实现消毒包的回收登记功能，记录下收人、回收人、回收时间、回收科室等信息，支持扫描回收、请领回收、借用回收等方式；支持消毒包包内容物的图片显示、支持语音清点；支持丢失损坏器械的登记与管理；支持消毒包加急或感染登记；支持回收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3.清洗登记功能，实现消毒包清洗登记功能，建立消毒包与清洗设备、清洗批次的关联；支持机器清洗登记和手工清洗登记。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4.清洗检查功能，实现消毒包清洗结果的检查与记录功能；支持扫描登记和人工录入登记。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包装检查功能，实现消毒包包装检查登记和条码打印功能，记录包装人、检查人、包装检查时间、灭菌日期、失效日期等信息；支持消毒包及包内容物的图片显示，支持打包指导；条码标签支持六项信息打印，支持包内容物打印；支持自备包和敷料包管理；支持包装检查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6.灭菌登记功能，实现消毒包灭菌登记功能，建立消毒包与灭菌设备、灭菌批次的关联。</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7.灭菌检查功能，实现消毒包灭菌结果的检查与记录功能；支持扫描登记和人工录入登记。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8.无菌库管理功能，实现无菌库库存管理、库存预警、过期出库等功能。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9.发放管理，实现消毒包的发放登记，记录发放人、下送人、发放科室等信息，支持扫描发放、请领发放、导入发放、借用发放等方式；支持有效期检测、生物监测放行检查等功能；支持发放记录查询。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10.外来器械管理，实现外来器械相关信息的录入与管理，应包括外来器械信息、厂家信息、病人信息、手术信息等；支持录入信息的自动字典维护功能。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11.丢失损坏管理，实现器械丢失损坏登记、器械补充登记等功能；支持丢失损坏物品统计功能。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追溯管理，实现根据消毒包条码查询此消毒包的所有登记信息及清洗灭菌数据；支持根据消毒包追溯到使用病人；支持根据病人追溯到使用包信息；支持消毒包状态查询；支持手术包分布查询；支持消毒包日志查询；支持单个或批量消毒包召回。</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13.查询统计功能，实现各种统计报表，包括消毒包回收统计、消毒包打包统计、消毒包发放统计、人员工作量统计、设备使用统计、消毒包状态查询等。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14.一次性物品管理功能，实现一次性物品仓库管理，包括出库、入库、库存预警、库存盘点及各种统计功能。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15.手术室管理功能，实现手术室消毒包接收、使用、库存管理、器械清洗、加急处理等功能；提供标准病人接口，实现病人信息与使用消毒包的关联；支持手术包分布、状态、追溯等查询功能；支持通知功能。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16.科室请领功能，实现消毒包请领、一次性物品请领、请领查询、发放查询等功能。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17.护士长管理功能，实现消毒包处理流程查询、设备运行状况查询、基础资料维护、人员权限设置、追溯信息查询、各类报表查询等管理功能。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二、设备集中监控：</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1.追溯系统与清洗灭菌设备集成，服务器、微机、设备控制系统组成连通的网络。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2.设备服务端实时采集设备运行数据，并存储到服务器上。</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3.设备客户端实时显示设备运行状况，并生成清洗灭菌报表和趋势图。</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4.支持设备历史数据查询；支持设备每批次处理消毒包查询。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三、质控及追溯要求：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1.完全按照卫生部消毒供应中心规范设计，系统流程符合规范要求。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2.使用一维条形码或二维条形码作为追溯介质，为每一个包配备一个唯一的身份标识，所有与此包相关的信息都记录并存储到数据服务器中。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3.清洗登记时，判断同批次清洗的消毒包是否适合一起清洗。</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4.灭菌登记时，判断消毒包是否适合高温灭菌或低温灭菌，防止低温灭菌物品进入高温灭菌器（或高温灭菌物品进入低温灭菌器）。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5.支持复杂器械清洗分类指导功能。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6.支持消毒包打包指导功能。</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7.支持发放限制功能：支持生物监测放行限制，支持过期物品发放限制。</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260000.00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医用煮沸消毒器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39" name="图片_25"/>
                  <wp:cNvGraphicFramePr/>
                  <a:graphic xmlns:a="http://schemas.openxmlformats.org/drawingml/2006/main">
                    <a:graphicData uri="http://schemas.openxmlformats.org/drawingml/2006/picture">
                      <pic:pic xmlns:pic="http://schemas.openxmlformats.org/drawingml/2006/picture">
                        <pic:nvPicPr>
                          <pic:cNvPr id="39" name="图片_25"/>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1664" behindDoc="0" locked="0" layoutInCell="1" allowOverlap="1">
                  <wp:simplePos x="0" y="0"/>
                  <wp:positionH relativeFrom="column">
                    <wp:posOffset>19050</wp:posOffset>
                  </wp:positionH>
                  <wp:positionV relativeFrom="paragraph">
                    <wp:posOffset>0</wp:posOffset>
                  </wp:positionV>
                  <wp:extent cx="9525" cy="9525"/>
                  <wp:effectExtent l="0" t="0" r="0" b="0"/>
                  <wp:wrapNone/>
                  <wp:docPr id="40" name="图片_26"/>
                  <wp:cNvGraphicFramePr/>
                  <a:graphic xmlns:a="http://schemas.openxmlformats.org/drawingml/2006/main">
                    <a:graphicData uri="http://schemas.openxmlformats.org/drawingml/2006/picture">
                      <pic:pic xmlns:pic="http://schemas.openxmlformats.org/drawingml/2006/picture">
                        <pic:nvPicPr>
                          <pic:cNvPr id="40" name="图片_26"/>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2688" behindDoc="0" locked="0" layoutInCell="1" allowOverlap="1">
                  <wp:simplePos x="0" y="0"/>
                  <wp:positionH relativeFrom="column">
                    <wp:posOffset>37465</wp:posOffset>
                  </wp:positionH>
                  <wp:positionV relativeFrom="paragraph">
                    <wp:posOffset>0</wp:posOffset>
                  </wp:positionV>
                  <wp:extent cx="9525" cy="9525"/>
                  <wp:effectExtent l="0" t="0" r="0" b="0"/>
                  <wp:wrapNone/>
                  <wp:docPr id="41" name="图片_27"/>
                  <wp:cNvGraphicFramePr/>
                  <a:graphic xmlns:a="http://schemas.openxmlformats.org/drawingml/2006/main">
                    <a:graphicData uri="http://schemas.openxmlformats.org/drawingml/2006/picture">
                      <pic:pic xmlns:pic="http://schemas.openxmlformats.org/drawingml/2006/picture">
                        <pic:nvPicPr>
                          <pic:cNvPr id="41" name="图片_27"/>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3712" behindDoc="0" locked="0" layoutInCell="1" allowOverlap="1">
                  <wp:simplePos x="0" y="0"/>
                  <wp:positionH relativeFrom="column">
                    <wp:posOffset>56515</wp:posOffset>
                  </wp:positionH>
                  <wp:positionV relativeFrom="paragraph">
                    <wp:posOffset>0</wp:posOffset>
                  </wp:positionV>
                  <wp:extent cx="9525" cy="9525"/>
                  <wp:effectExtent l="0" t="0" r="0" b="0"/>
                  <wp:wrapNone/>
                  <wp:docPr id="42" name="图片_28"/>
                  <wp:cNvGraphicFramePr/>
                  <a:graphic xmlns:a="http://schemas.openxmlformats.org/drawingml/2006/main">
                    <a:graphicData uri="http://schemas.openxmlformats.org/drawingml/2006/picture">
                      <pic:pic xmlns:pic="http://schemas.openxmlformats.org/drawingml/2006/picture">
                        <pic:nvPicPr>
                          <pic:cNvPr id="42" name="图片_28"/>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lang w:bidi="ar"/>
              </w:rPr>
              <w:t>用途：用于手术器械及器具煮沸消毒，消毒温度可调，自动进水，自动排水。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2.容积：≥80L。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4×696×8</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长</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4.内槽尺寸：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0×3</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长</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5.功率：约为9Kw。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6.材质要求：槽体均为不锈钢材质。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7.控制方式：单片机控制，液晶屏显示。</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8.开门方式：自动开门，设有防夹手报警，可防止门下降时对夹在门与舱体之间的物体产生挤压而损坏门结构和被挤物品。</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Cs w:val="21"/>
              </w:rPr>
              <w:t>超声波清洗机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 14"/>
                  <wp:cNvGraphicFramePr/>
                  <a:graphic xmlns:a="http://schemas.openxmlformats.org/drawingml/2006/main">
                    <a:graphicData uri="http://schemas.openxmlformats.org/drawingml/2006/picture">
                      <pic:pic xmlns:pic="http://schemas.openxmlformats.org/drawingml/2006/picture">
                        <pic:nvPicPr>
                          <pic:cNvPr id="43" name="图片 14"/>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4432" behindDoc="0" locked="0" layoutInCell="1" allowOverlap="1">
                  <wp:simplePos x="0" y="0"/>
                  <wp:positionH relativeFrom="column">
                    <wp:posOffset>19050</wp:posOffset>
                  </wp:positionH>
                  <wp:positionV relativeFrom="paragraph">
                    <wp:posOffset>0</wp:posOffset>
                  </wp:positionV>
                  <wp:extent cx="9525" cy="9525"/>
                  <wp:effectExtent l="0" t="0" r="0" b="0"/>
                  <wp:wrapNone/>
                  <wp:docPr id="44" name="图片 15"/>
                  <wp:cNvGraphicFramePr/>
                  <a:graphic xmlns:a="http://schemas.openxmlformats.org/drawingml/2006/main">
                    <a:graphicData uri="http://schemas.openxmlformats.org/drawingml/2006/picture">
                      <pic:pic xmlns:pic="http://schemas.openxmlformats.org/drawingml/2006/picture">
                        <pic:nvPicPr>
                          <pic:cNvPr id="44" name="图片 15"/>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5456" behindDoc="0" locked="0" layoutInCell="1" allowOverlap="1">
                  <wp:simplePos x="0" y="0"/>
                  <wp:positionH relativeFrom="column">
                    <wp:posOffset>37465</wp:posOffset>
                  </wp:positionH>
                  <wp:positionV relativeFrom="paragraph">
                    <wp:posOffset>0</wp:posOffset>
                  </wp:positionV>
                  <wp:extent cx="9525" cy="9525"/>
                  <wp:effectExtent l="0" t="0" r="0" b="0"/>
                  <wp:wrapNone/>
                  <wp:docPr id="45" name="图片 16"/>
                  <wp:cNvGraphicFramePr/>
                  <a:graphic xmlns:a="http://schemas.openxmlformats.org/drawingml/2006/main">
                    <a:graphicData uri="http://schemas.openxmlformats.org/drawingml/2006/picture">
                      <pic:pic xmlns:pic="http://schemas.openxmlformats.org/drawingml/2006/picture">
                        <pic:nvPicPr>
                          <pic:cNvPr id="45" name="图片 16"/>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6480" behindDoc="0" locked="0" layoutInCell="1" allowOverlap="1">
                  <wp:simplePos x="0" y="0"/>
                  <wp:positionH relativeFrom="column">
                    <wp:posOffset>56515</wp:posOffset>
                  </wp:positionH>
                  <wp:positionV relativeFrom="paragraph">
                    <wp:posOffset>0</wp:posOffset>
                  </wp:positionV>
                  <wp:extent cx="9525" cy="9525"/>
                  <wp:effectExtent l="0" t="0" r="0" b="0"/>
                  <wp:wrapNone/>
                  <wp:docPr id="46" name="图片 17"/>
                  <wp:cNvGraphicFramePr/>
                  <a:graphic xmlns:a="http://schemas.openxmlformats.org/drawingml/2006/main">
                    <a:graphicData uri="http://schemas.openxmlformats.org/drawingml/2006/picture">
                      <pic:pic xmlns:pic="http://schemas.openxmlformats.org/drawingml/2006/picture">
                        <pic:nvPicPr>
                          <pic:cNvPr id="46" name="图片 17"/>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lang w:bidi="ar"/>
              </w:rPr>
              <w:t>1.用途：用于手术器械及器具超声波清洗，自动进水，自动排水。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2.容积：≥80L。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0×6</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0×8</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4.内槽尺寸：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0×2</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5.功率：约为9Kw。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6.材质要求：槽体均为不锈钢材质。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7.控制方式：单片机控制，液晶屏显示。</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8.开门方式：手动翻转门，气弹簧阻尼门结构，防止夹手，开门助力。</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绝缘检测仪</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12065"/>
                  <wp:effectExtent l="0" t="0" r="0" b="0"/>
                  <wp:wrapNone/>
                  <wp:docPr id="47" name="图片_17"/>
                  <wp:cNvGraphicFramePr/>
                  <a:graphic xmlns:a="http://schemas.openxmlformats.org/drawingml/2006/main">
                    <a:graphicData uri="http://schemas.openxmlformats.org/drawingml/2006/picture">
                      <pic:pic xmlns:pic="http://schemas.openxmlformats.org/drawingml/2006/picture">
                        <pic:nvPicPr>
                          <pic:cNvPr id="47" name="图片_17"/>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0816" behindDoc="0" locked="0" layoutInCell="1" allowOverlap="1">
                  <wp:simplePos x="0" y="0"/>
                  <wp:positionH relativeFrom="column">
                    <wp:posOffset>19050</wp:posOffset>
                  </wp:positionH>
                  <wp:positionV relativeFrom="paragraph">
                    <wp:posOffset>0</wp:posOffset>
                  </wp:positionV>
                  <wp:extent cx="9525" cy="12065"/>
                  <wp:effectExtent l="0" t="0" r="0" b="0"/>
                  <wp:wrapNone/>
                  <wp:docPr id="48" name="图片_18"/>
                  <wp:cNvGraphicFramePr/>
                  <a:graphic xmlns:a="http://schemas.openxmlformats.org/drawingml/2006/main">
                    <a:graphicData uri="http://schemas.openxmlformats.org/drawingml/2006/picture">
                      <pic:pic xmlns:pic="http://schemas.openxmlformats.org/drawingml/2006/picture">
                        <pic:nvPicPr>
                          <pic:cNvPr id="48" name="图片_18"/>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1840" behindDoc="0" locked="0" layoutInCell="1" allowOverlap="1">
                  <wp:simplePos x="0" y="0"/>
                  <wp:positionH relativeFrom="column">
                    <wp:posOffset>37465</wp:posOffset>
                  </wp:positionH>
                  <wp:positionV relativeFrom="paragraph">
                    <wp:posOffset>0</wp:posOffset>
                  </wp:positionV>
                  <wp:extent cx="9525" cy="12065"/>
                  <wp:effectExtent l="0" t="0" r="0" b="0"/>
                  <wp:wrapNone/>
                  <wp:docPr id="49" name="图片_19"/>
                  <wp:cNvGraphicFramePr/>
                  <a:graphic xmlns:a="http://schemas.openxmlformats.org/drawingml/2006/main">
                    <a:graphicData uri="http://schemas.openxmlformats.org/drawingml/2006/picture">
                      <pic:pic xmlns:pic="http://schemas.openxmlformats.org/drawingml/2006/picture">
                        <pic:nvPicPr>
                          <pic:cNvPr id="49" name="图片_19"/>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2864" behindDoc="0" locked="0" layoutInCell="1" allowOverlap="1">
                  <wp:simplePos x="0" y="0"/>
                  <wp:positionH relativeFrom="column">
                    <wp:posOffset>56515</wp:posOffset>
                  </wp:positionH>
                  <wp:positionV relativeFrom="paragraph">
                    <wp:posOffset>0</wp:posOffset>
                  </wp:positionV>
                  <wp:extent cx="9525" cy="12065"/>
                  <wp:effectExtent l="0" t="0" r="0" b="0"/>
                  <wp:wrapNone/>
                  <wp:docPr id="50" name="图片_20"/>
                  <wp:cNvGraphicFramePr/>
                  <a:graphic xmlns:a="http://schemas.openxmlformats.org/drawingml/2006/main">
                    <a:graphicData uri="http://schemas.openxmlformats.org/drawingml/2006/picture">
                      <pic:pic xmlns:pic="http://schemas.openxmlformats.org/drawingml/2006/picture">
                        <pic:nvPicPr>
                          <pic:cNvPr id="50" name="图片_20"/>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lang w:bidi="ar"/>
              </w:rPr>
              <w:t>1.电源类型：镍氢电池。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2.操作环境：-10℃-50℃。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3.耐压：所使用连接线符合1000V CATIII。</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4.输出电压：0kV-5kV可调。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5.输出电流：＜0.1mA可调。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6.报警类型：蜂鸣器，触摸屏。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7.待机时间：＞40小时。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8.主机外壳材质：ABS+PC。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9.高压电压显示和电量显示。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10.高压输出电压调节旋钮。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11.灵敏度调节旋钮。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12.高压输出启动按钮。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13.高压输出停止按钮。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14.电源及高压状态指示灯。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15.电源适配器。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16.HV高压输出测试线。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17.GND输出测试夹。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18.LSE 环型电极。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19.刷型电极。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20.三孔电极。</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cs="宋体"/>
                <w:kern w:val="0"/>
                <w:szCs w:val="21"/>
                <w:lang w:bidi="ar"/>
              </w:rPr>
              <w:t>（二）</w:t>
            </w:r>
            <w:r>
              <w:rPr>
                <w:rFonts w:hint="eastAsia" w:ascii="宋体" w:hAnsi="宋体" w:cs="宋体"/>
                <w:b/>
                <w:kern w:val="0"/>
                <w:szCs w:val="21"/>
                <w:lang w:bidi="ar"/>
              </w:rPr>
              <w:t>仓储不锈钢附件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单列篮筐架</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外型尺寸约2190X405X1748mm。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无油静音空气压缩机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产气量每分钟至少60升。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22000.00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器械打包台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外型尺寸约2000X1100X1500mm。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24000.00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密封回收车</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外型尺寸约1220X700X1200mm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84000.00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单槽污物清洗槽</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外型尺寸约730X630X950mm。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19000.00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清洗工作台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外型尺寸约1800X1100X800mm。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小车清洗机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rPr>
              <w:t>出水流量6L/min，出水压力≥7MPa。</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污物接收台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外型尺寸约1100X600X800mm。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3800.00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包布检查台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外型尺寸约2000X1100X850mm。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9000.00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器械清洗喷枪</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不锈钢材质，至少配8个喷头。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7000.00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器械检查放大镜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带光源，可自由伸展，至少可放大5倍。</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敷料柜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外型尺寸约1200X405X1750mm。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17000.00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外型尺寸约960X405X1750mm。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洗眼器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与清洗槽配套使用，双头出水。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医用洁净传递窗</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304不锈钢材质，尺寸:外型尺寸600*600*600mm ，机械互锁</w:t>
            </w:r>
          </w:p>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其他:带紫外杀菌灯、带风淋</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23200.00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不锈钢拖把池</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全304不锈钢材质面板及骨架，满焊后专用药水擦洗</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4500.00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商务条款</w:t>
            </w:r>
          </w:p>
        </w:tc>
        <w:tc>
          <w:tcPr>
            <w:tcW w:w="951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合同签订期：</w:t>
            </w:r>
            <w:r>
              <w:rPr>
                <w:rFonts w:hint="eastAsia" w:ascii="宋体" w:hAnsi="宋体" w:eastAsia="宋体" w:cs="宋体"/>
                <w:color w:val="auto"/>
                <w:sz w:val="21"/>
                <w:szCs w:val="21"/>
                <w:lang w:val="en-US" w:eastAsia="zh-CN"/>
              </w:rPr>
              <w:t>自中标通知书发出之日起 7个工作日内。</w:t>
            </w:r>
          </w:p>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2、交货期：签订合同之日起30个工作日内。</w:t>
            </w:r>
          </w:p>
          <w:p>
            <w:pPr>
              <w:spacing w:line="360" w:lineRule="exact"/>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3、交货地点：采购人指定地点（南宁市马山县境内）。</w:t>
            </w:r>
          </w:p>
          <w:p>
            <w:pPr>
              <w:spacing w:line="360" w:lineRule="exact"/>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4、交货方式：现场交货。</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质保期</w:t>
            </w:r>
            <w:r>
              <w:rPr>
                <w:rFonts w:hint="eastAsia" w:ascii="宋体" w:hAnsi="宋体" w:eastAsia="宋体" w:cs="宋体"/>
                <w:color w:val="auto"/>
                <w:szCs w:val="21"/>
                <w:highlight w:val="none"/>
              </w:rPr>
              <w:t>≥</w:t>
            </w:r>
            <w:r>
              <w:rPr>
                <w:rFonts w:hint="eastAsia" w:ascii="宋体" w:hAnsi="宋体" w:eastAsia="宋体" w:cs="宋体"/>
                <w:color w:val="auto"/>
                <w:sz w:val="21"/>
                <w:szCs w:val="21"/>
                <w:lang w:val="en-US" w:eastAsia="zh-CN"/>
              </w:rPr>
              <w:t>1年（自货物验收合格之日起计算）。按国家有关产品“三包”规定执行“三包”，保修内免费维修、更换配件。</w:t>
            </w:r>
          </w:p>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售后技术服务要求：</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出现故障2小时内做出响应，</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小时内到场维修。一般问题应在24小时内解决，重大问题或其它无法迅速解决的问题在</w:t>
            </w:r>
            <w:r>
              <w:rPr>
                <w:rFonts w:hint="eastAsia" w:ascii="宋体" w:hAnsi="宋体" w:eastAsia="宋体" w:cs="宋体"/>
                <w:color w:val="auto"/>
                <w:sz w:val="21"/>
                <w:szCs w:val="21"/>
                <w:lang w:val="en-US" w:eastAsia="zh-CN"/>
              </w:rPr>
              <w:t>48小时</w:t>
            </w:r>
            <w:r>
              <w:rPr>
                <w:rFonts w:hint="eastAsia" w:ascii="宋体" w:hAnsi="宋体" w:eastAsia="宋体" w:cs="宋体"/>
                <w:color w:val="auto"/>
                <w:sz w:val="21"/>
                <w:szCs w:val="21"/>
              </w:rPr>
              <w:t>内解决。</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定期回访以及对设备维护。                    </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7、付款方式：</w:t>
            </w:r>
            <w:r>
              <w:rPr>
                <w:rFonts w:hint="eastAsia" w:ascii="宋体" w:hAnsi="宋体" w:eastAsia="宋体" w:cs="宋体"/>
                <w:color w:val="auto"/>
                <w:sz w:val="21"/>
                <w:szCs w:val="21"/>
              </w:rPr>
              <w:t>全部设备到达现场待设备安装、调试、验收合格后30日内采购人</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支付</w:t>
            </w:r>
            <w:r>
              <w:rPr>
                <w:rFonts w:hint="eastAsia" w:ascii="宋体" w:hAnsi="宋体" w:eastAsia="宋体" w:cs="宋体"/>
                <w:color w:val="auto"/>
                <w:sz w:val="21"/>
                <w:szCs w:val="21"/>
                <w:lang w:eastAsia="zh-CN"/>
              </w:rPr>
              <w:t>完</w:t>
            </w:r>
            <w:r>
              <w:rPr>
                <w:rFonts w:hint="eastAsia" w:ascii="宋体" w:hAnsi="宋体" w:eastAsia="宋体" w:cs="宋体"/>
                <w:color w:val="auto"/>
                <w:sz w:val="21"/>
                <w:szCs w:val="21"/>
              </w:rPr>
              <w:t>合同款。</w:t>
            </w:r>
          </w:p>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验收条件及标准</w:t>
            </w:r>
          </w:p>
          <w:p>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依据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文件上的技术规格要求和国家有关质量标准进行现场初步验收，外观、产品及各材料的数量、型号、参数、说明书符合</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文件技术要求的，给予签收，初步验收不合格的不予签收，如有与</w:t>
            </w:r>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rPr>
              <w:t>标承诺不相符的退货处理</w:t>
            </w:r>
            <w:r>
              <w:rPr>
                <w:rFonts w:hint="eastAsia" w:ascii="宋体" w:hAnsi="宋体" w:eastAsia="宋体" w:cs="宋体"/>
                <w:color w:val="auto"/>
                <w:sz w:val="21"/>
                <w:szCs w:val="21"/>
                <w:lang w:eastAsia="zh-CN"/>
              </w:rPr>
              <w:t>。</w:t>
            </w:r>
          </w:p>
          <w:p>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供应商交货前应对产品作出全面检查和对验收文件进行整理，并列出清单，作为甲方收货验收和使用的技术条件依据，检验的结果应随货物交甲方</w:t>
            </w:r>
            <w:r>
              <w:rPr>
                <w:rFonts w:hint="eastAsia" w:ascii="宋体" w:hAnsi="宋体" w:eastAsia="宋体" w:cs="宋体"/>
                <w:color w:val="auto"/>
                <w:sz w:val="21"/>
                <w:szCs w:val="21"/>
                <w:lang w:eastAsia="zh-CN"/>
              </w:rPr>
              <w:t>。</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供应商需负责安装调试合格及现场培训相关人员至掌握设备操作和日常维护，直到符合技术要求，采购人才做最终验收。</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报价为采购人指定地点的现场交货价，包括：</w:t>
            </w:r>
          </w:p>
          <w:p>
            <w:pPr>
              <w:spacing w:line="360" w:lineRule="exact"/>
              <w:rPr>
                <w:rFonts w:hint="eastAsia" w:ascii="宋体" w:hAnsi="宋体" w:eastAsia="宋体" w:cs="宋体"/>
                <w:color w:val="auto"/>
              </w:rPr>
            </w:pPr>
            <w:r>
              <w:rPr>
                <w:rFonts w:hint="eastAsia" w:ascii="宋体" w:hAnsi="宋体" w:eastAsia="宋体" w:cs="宋体"/>
                <w:color w:val="auto"/>
                <w:sz w:val="21"/>
                <w:szCs w:val="21"/>
              </w:rPr>
              <w:t>（1）货物的价格；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（2）货物的标准附件、备品备件、专用工具的价格；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（3）运输、调试、培训、技术支持、售后服务等费用；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（4）安装费用；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（5）必要的保险费用和各项税费。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73" w:type="dxa"/>
            <w:noWrap w:val="0"/>
            <w:vAlign w:val="center"/>
          </w:tcPr>
          <w:p>
            <w:pPr>
              <w:keepNext w:val="0"/>
              <w:keepLines w:val="0"/>
              <w:pageBreakBefore w:val="0"/>
              <w:kinsoku/>
              <w:wordWrap/>
              <w:overflowPunct/>
              <w:topLinePunct w:val="0"/>
              <w:autoSpaceDE/>
              <w:autoSpaceDN/>
              <w:bidi w:val="0"/>
              <w:snapToGrid/>
              <w:spacing w:line="380" w:lineRule="exact"/>
              <w:rPr>
                <w:rFonts w:hint="eastAsia" w:ascii="宋体" w:hAnsi="宋体" w:eastAsia="宋体" w:cs="宋体"/>
                <w:color w:val="000000"/>
                <w:sz w:val="21"/>
                <w:szCs w:val="21"/>
              </w:rPr>
            </w:pPr>
            <w:r>
              <w:rPr>
                <w:rFonts w:hint="eastAsia" w:ascii="宋体" w:hAnsi="宋体" w:eastAsia="宋体" w:cs="宋体"/>
                <w:b w:val="0"/>
                <w:bCs w:val="0"/>
                <w:color w:val="000000"/>
                <w:sz w:val="21"/>
                <w:szCs w:val="21"/>
              </w:rPr>
              <w:t>其他</w:t>
            </w:r>
          </w:p>
        </w:tc>
        <w:tc>
          <w:tcPr>
            <w:tcW w:w="9512" w:type="dxa"/>
            <w:gridSpan w:val="4"/>
            <w:noWrap w:val="0"/>
            <w:vAlign w:val="top"/>
          </w:tcPr>
          <w:p>
            <w:pPr>
              <w:keepNext w:val="0"/>
              <w:keepLines w:val="0"/>
              <w:pageBreakBefore w:val="0"/>
              <w:kinsoku/>
              <w:wordWrap/>
              <w:overflowPunct/>
              <w:topLinePunct w:val="0"/>
              <w:autoSpaceDE/>
              <w:autoSpaceDN/>
              <w:bidi w:val="0"/>
              <w:adjustRightInd w:val="0"/>
              <w:snapToGrid/>
              <w:spacing w:line="380" w:lineRule="exact"/>
              <w:ind w:right="149" w:rightChars="7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本项目采购标的需执行的国家相关标准、行业标准、地方标准或其他强制性标准、规范等要求：</w:t>
            </w:r>
            <w:r>
              <w:rPr>
                <w:rFonts w:hint="eastAsia" w:ascii="宋体" w:hAnsi="宋体" w:eastAsia="宋体" w:cs="宋体"/>
                <w:color w:val="000000"/>
                <w:kern w:val="0"/>
                <w:sz w:val="21"/>
                <w:szCs w:val="21"/>
                <w:u w:val="single"/>
              </w:rPr>
              <w:t xml:space="preserve">无 </w:t>
            </w:r>
            <w:r>
              <w:rPr>
                <w:rFonts w:hint="eastAsia" w:ascii="宋体" w:hAnsi="宋体" w:eastAsia="宋体" w:cs="宋体"/>
                <w:color w:val="000000"/>
                <w:kern w:val="0"/>
                <w:sz w:val="21"/>
                <w:szCs w:val="21"/>
              </w:rPr>
              <w:t>。</w:t>
            </w:r>
          </w:p>
          <w:p>
            <w:pPr>
              <w:keepNext w:val="0"/>
              <w:keepLines w:val="0"/>
              <w:pageBreakBefore w:val="0"/>
              <w:widowControl/>
              <w:shd w:val="clear" w:color="auto" w:fill="FFFFFF"/>
              <w:kinsoku/>
              <w:wordWrap/>
              <w:overflowPunct/>
              <w:topLinePunct w:val="0"/>
              <w:autoSpaceDE/>
              <w:autoSpaceDN/>
              <w:bidi w:val="0"/>
              <w:snapToGrid/>
              <w:spacing w:line="3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（列明相应的标准和规范名称及文号或编号，若无则写“无”）</w:t>
            </w:r>
          </w:p>
        </w:tc>
      </w:tr>
    </w:tbl>
    <w:p>
      <w:pPr>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snapToGrid/>
        <w:spacing w:line="460" w:lineRule="exact"/>
        <w:jc w:val="center"/>
        <w:rPr>
          <w:rFonts w:hint="eastAsia" w:ascii="宋体" w:hAnsi="宋体" w:eastAsia="宋体" w:cs="宋体"/>
          <w:b/>
          <w:bCs/>
          <w:sz w:val="30"/>
          <w:szCs w:val="30"/>
        </w:rPr>
      </w:pPr>
    </w:p>
    <w:p>
      <w:pPr>
        <w:pStyle w:val="39"/>
        <w:ind w:left="0" w:leftChars="0" w:firstLine="0" w:firstLineChars="0"/>
        <w:rPr>
          <w:rFonts w:hint="eastAsia"/>
        </w:rPr>
      </w:pPr>
    </w:p>
    <w:p>
      <w:pPr>
        <w:keepNext w:val="0"/>
        <w:keepLines w:val="0"/>
        <w:pageBreakBefore w:val="0"/>
        <w:kinsoku/>
        <w:wordWrap/>
        <w:overflowPunct/>
        <w:topLinePunct w:val="0"/>
        <w:autoSpaceDE/>
        <w:autoSpaceDN/>
        <w:bidi w:val="0"/>
        <w:snapToGrid/>
        <w:spacing w:line="460" w:lineRule="exact"/>
        <w:jc w:val="center"/>
        <w:rPr>
          <w:rFonts w:hint="eastAsia" w:ascii="宋体" w:hAnsi="宋体" w:eastAsia="宋体" w:cs="宋体"/>
          <w:color w:val="auto"/>
          <w:sz w:val="30"/>
          <w:szCs w:val="30"/>
          <w:highlight w:val="none"/>
        </w:rPr>
      </w:pPr>
      <w:r>
        <w:rPr>
          <w:rFonts w:hint="eastAsia" w:ascii="宋体" w:hAnsi="宋体" w:eastAsia="宋体" w:cs="宋体"/>
          <w:b/>
          <w:bCs/>
          <w:sz w:val="30"/>
          <w:szCs w:val="30"/>
        </w:rPr>
        <w:t xml:space="preserve">第四章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评标办法</w:t>
      </w:r>
    </w:p>
    <w:p>
      <w:pPr>
        <w:pStyle w:val="21"/>
        <w:keepNext w:val="0"/>
        <w:keepLines w:val="0"/>
        <w:pageBreakBefore w:val="0"/>
        <w:kinsoku/>
        <w:wordWrap/>
        <w:overflowPunct/>
        <w:topLinePunct w:val="0"/>
        <w:autoSpaceDE/>
        <w:autoSpaceDN/>
        <w:bidi w:val="0"/>
        <w:snapToGrid/>
        <w:spacing w:line="460" w:lineRule="exact"/>
        <w:rPr>
          <w:rFonts w:hint="eastAsia" w:ascii="宋体" w:hAnsi="宋体" w:eastAsia="宋体" w:cs="宋体"/>
          <w:b/>
          <w:color w:val="000000"/>
          <w:sz w:val="21"/>
          <w:szCs w:val="21"/>
        </w:rPr>
      </w:pPr>
    </w:p>
    <w:p>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、评标委员会以招标文件为依据，对投标文件进行评审，对投标人的报价文件、技术文件及商务文件等三部分内容按百分制打分。</w:t>
      </w:r>
    </w:p>
    <w:p>
      <w:pPr>
        <w:spacing w:line="44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、评分细则：（按四舍五入取至小数点后两位）</w:t>
      </w:r>
      <w:r>
        <w:rPr>
          <w:rFonts w:hint="eastAsia" w:ascii="宋体" w:hAnsi="宋体" w:eastAsia="宋体" w:cs="宋体"/>
          <w:b/>
          <w:bCs/>
          <w:color w:val="auto"/>
          <w:szCs w:val="21"/>
          <w:highlight w:val="none"/>
          <w:lang w:eastAsia="zh-CN"/>
        </w:rPr>
        <w:t>。</w:t>
      </w:r>
    </w:p>
    <w:p>
      <w:pPr>
        <w:spacing w:line="44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（一）价格分…………………………………………………………………………………………</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对于非专门面向中小企业的项目，对小型和微型企业产品的价格给予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%的价格扣除，扣除后的价格为评标价，即评标价＝投标报价×（1-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以投标人第</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章“投标文件格式”要求提供的《投标报价表》、《中小企业声明函》</w:t>
      </w:r>
      <w:r>
        <w:rPr>
          <w:rFonts w:hint="eastAsia" w:ascii="宋体" w:hAnsi="宋体" w:cs="宋体"/>
          <w:bCs/>
          <w:color w:val="auto"/>
          <w:szCs w:val="20"/>
          <w:highlight w:val="none"/>
        </w:rPr>
        <w:t>为评分依据</w:t>
      </w:r>
      <w:r>
        <w:rPr>
          <w:rFonts w:hint="eastAsia" w:ascii="宋体" w:hAnsi="宋体" w:eastAsia="宋体" w:cs="宋体"/>
          <w:color w:val="auto"/>
          <w:szCs w:val="21"/>
          <w:highlight w:val="none"/>
          <w:lang w:eastAsia="zh-CN"/>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监狱企业视同小型、微型企业。监狱企业参加政府采购活动时，应当提供由省级以上监狱管理局、戒毒管理局（含新疆生产建设兵团）出具的属于监狱企业的证明文件。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残疾人福利性单位视同小型、微型企业。符合条件的残疾人福利性单位在参加政府采购活动时，应当提供规定的《残疾人福利性单位声明函》，并对声明的真实性负责。</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除上述情况外，评标价＝投标报价。</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价格分计算公式：</w:t>
      </w:r>
    </w:p>
    <w:p>
      <w:pPr>
        <w:spacing w:line="340" w:lineRule="exact"/>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投标人最低评标价金额</w:t>
      </w:r>
    </w:p>
    <w:p>
      <w:pPr>
        <w:spacing w:line="340" w:lineRule="exact"/>
        <w:ind w:firstLine="1995" w:firstLineChars="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某投标人价格分=　</w:t>
      </w:r>
      <w:r>
        <w:rPr>
          <w:rFonts w:hint="eastAsia" w:ascii="宋体" w:hAnsi="宋体" w:eastAsia="宋体" w:cs="宋体"/>
          <w:strike/>
          <w:color w:val="auto"/>
          <w:szCs w:val="21"/>
          <w:highlight w:val="non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p>
      <w:pPr>
        <w:spacing w:line="340" w:lineRule="exact"/>
        <w:ind w:firstLine="4095" w:firstLineChars="19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某投标人评标价金额</w:t>
      </w:r>
    </w:p>
    <w:p>
      <w:pPr>
        <w:spacing w:line="44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（二）技术分…………………………………………………………………………………………</w:t>
      </w:r>
      <w:r>
        <w:rPr>
          <w:rFonts w:hint="eastAsia" w:ascii="宋体" w:hAnsi="宋体" w:cs="宋体"/>
          <w:b/>
          <w:color w:val="auto"/>
          <w:szCs w:val="21"/>
          <w:highlight w:val="none"/>
          <w:lang w:val="en-US" w:eastAsia="zh-CN"/>
        </w:rPr>
        <w:t>45</w:t>
      </w:r>
      <w:r>
        <w:rPr>
          <w:rFonts w:hint="eastAsia" w:ascii="宋体" w:hAnsi="宋体" w:eastAsia="宋体" w:cs="宋体"/>
          <w:b/>
          <w:color w:val="auto"/>
          <w:szCs w:val="21"/>
          <w:highlight w:val="none"/>
        </w:rPr>
        <w:t>分</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eastAsia="zh-CN"/>
        </w:rPr>
        <w:t>、产品技术性能分</w:t>
      </w:r>
      <w:r>
        <w:rPr>
          <w:rFonts w:hint="eastAsia" w:ascii="宋体" w:hAnsi="宋体" w:eastAsia="宋体" w:cs="宋体"/>
          <w:b w:val="0"/>
          <w:bCs/>
          <w:color w:val="auto"/>
          <w:szCs w:val="21"/>
          <w:highlight w:val="none"/>
        </w:rPr>
        <w:t>（满分</w:t>
      </w:r>
      <w:r>
        <w:rPr>
          <w:rFonts w:hint="eastAsia"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分）</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hAnsi="宋体" w:cs="宋体"/>
          <w:b w:val="0"/>
          <w:bCs/>
          <w:color w:val="auto"/>
          <w:szCs w:val="21"/>
          <w:highlight w:val="none"/>
          <w:lang w:eastAsia="zh-CN"/>
        </w:rPr>
        <w:t>（</w:t>
      </w:r>
      <w:r>
        <w:rPr>
          <w:rFonts w:hint="eastAsia" w:ascii="宋体" w:hAnsi="宋体" w:eastAsia="宋体" w:cs="宋体"/>
          <w:b w:val="0"/>
          <w:bCs/>
          <w:color w:val="auto"/>
          <w:szCs w:val="21"/>
          <w:highlight w:val="none"/>
        </w:rPr>
        <w:t>本项评分</w:t>
      </w:r>
      <w:r>
        <w:rPr>
          <w:rFonts w:hint="eastAsia" w:hAnsi="宋体" w:cs="宋体"/>
          <w:b w:val="0"/>
          <w:bCs/>
          <w:color w:val="auto"/>
          <w:szCs w:val="21"/>
          <w:highlight w:val="none"/>
          <w:lang w:val="en-US" w:eastAsia="zh-CN"/>
        </w:rPr>
        <w:t>达不到要求则不得分</w:t>
      </w:r>
      <w:r>
        <w:rPr>
          <w:rFonts w:hint="eastAsia" w:hAnsi="宋体" w:cs="宋体"/>
          <w:b w:val="0"/>
          <w:bCs/>
          <w:color w:val="auto"/>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一档（</w:t>
      </w:r>
      <w:r>
        <w:rPr>
          <w:rFonts w:hint="eastAsia"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eastAsia="zh-CN"/>
        </w:rPr>
        <w:t>分）：投标人所提供的产品技术性能参数完全符合招标文件要求，无负偏离</w:t>
      </w:r>
      <w:r>
        <w:rPr>
          <w:rFonts w:hint="eastAsia" w:hAnsi="宋体" w:cs="宋体"/>
          <w:b w:val="0"/>
          <w:bCs/>
          <w:color w:val="auto"/>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二档（</w:t>
      </w:r>
      <w:r>
        <w:rPr>
          <w:rFonts w:hint="eastAsia" w:hAnsi="宋体" w:cs="宋体"/>
          <w:b w:val="0"/>
          <w:bCs/>
          <w:color w:val="auto"/>
          <w:szCs w:val="21"/>
          <w:highlight w:val="none"/>
          <w:lang w:val="en-US" w:eastAsia="zh-CN"/>
        </w:rPr>
        <w:t>11</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）：投标人所提供的产品技术性能参数完全符合并优于招标文件要求，无负偏离，技术参数性能有1</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lang w:eastAsia="zh-CN"/>
        </w:rPr>
        <w:t>项正偏离的</w:t>
      </w:r>
      <w:r>
        <w:rPr>
          <w:rFonts w:hint="eastAsia" w:hAnsi="宋体" w:cs="宋体"/>
          <w:b w:val="0"/>
          <w:bCs/>
          <w:color w:val="auto"/>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三档（</w:t>
      </w:r>
      <w:r>
        <w:rPr>
          <w:rFonts w:hint="eastAsia" w:hAnsi="宋体" w:cs="宋体"/>
          <w:b w:val="0"/>
          <w:bCs/>
          <w:color w:val="auto"/>
          <w:szCs w:val="21"/>
          <w:highlight w:val="none"/>
          <w:lang w:val="en-US" w:eastAsia="zh-CN"/>
        </w:rPr>
        <w:t>18</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）：投标人所提供的产品技术性能参数完全符合并优于招标文件要求，无负偏离，技术参数性能有</w:t>
      </w:r>
      <w:r>
        <w:rPr>
          <w:rFonts w:hint="eastAsia" w:ascii="宋体" w:hAnsi="宋体" w:eastAsia="宋体" w:cs="宋体"/>
          <w:b w:val="0"/>
          <w:bCs/>
          <w:color w:val="auto"/>
          <w:szCs w:val="21"/>
          <w:highlight w:val="none"/>
          <w:lang w:val="en-US" w:eastAsia="zh-CN"/>
        </w:rPr>
        <w:t>3-5</w:t>
      </w:r>
      <w:r>
        <w:rPr>
          <w:rFonts w:hint="eastAsia" w:ascii="宋体" w:hAnsi="宋体" w:eastAsia="宋体" w:cs="宋体"/>
          <w:b w:val="0"/>
          <w:bCs/>
          <w:color w:val="auto"/>
          <w:szCs w:val="21"/>
          <w:highlight w:val="none"/>
          <w:lang w:eastAsia="zh-CN"/>
        </w:rPr>
        <w:t>项正偏离的</w:t>
      </w:r>
      <w:r>
        <w:rPr>
          <w:rFonts w:hint="eastAsia" w:hAnsi="宋体" w:cs="宋体"/>
          <w:b w:val="0"/>
          <w:bCs/>
          <w:color w:val="auto"/>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四档（</w:t>
      </w:r>
      <w:r>
        <w:rPr>
          <w:rFonts w:hint="eastAsia" w:hAnsi="宋体" w:cs="宋体"/>
          <w:b w:val="0"/>
          <w:bCs/>
          <w:color w:val="auto"/>
          <w:szCs w:val="21"/>
          <w:highlight w:val="none"/>
          <w:lang w:val="en-US" w:eastAsia="zh-CN"/>
        </w:rPr>
        <w:t>25</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）：投标人所提供的产品技术性能参数完全符合并优于招标文件要求，无负偏离，技术参数性能有</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lang w:eastAsia="zh-CN"/>
        </w:rPr>
        <w:t>项（含）以上正偏离的。</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2、项目实施方案（满分</w:t>
      </w:r>
      <w:r>
        <w:rPr>
          <w:rFonts w:hint="eastAsia" w:hAnsi="宋体" w:cs="宋体"/>
          <w:b w:val="0"/>
          <w:bCs/>
          <w:color w:val="auto"/>
          <w:szCs w:val="21"/>
          <w:highlight w:val="none"/>
          <w:lang w:val="en-US" w:eastAsia="zh-CN"/>
        </w:rPr>
        <w:t>20</w:t>
      </w:r>
      <w:r>
        <w:rPr>
          <w:rFonts w:hint="eastAsia" w:ascii="宋体" w:hAnsi="宋体" w:eastAsia="宋体" w:cs="宋体"/>
          <w:b w:val="0"/>
          <w:bCs/>
          <w:color w:val="auto"/>
          <w:szCs w:val="21"/>
          <w:highlight w:val="none"/>
          <w:lang w:val="en-US" w:eastAsia="zh-CN"/>
        </w:rPr>
        <w:t>分）</w:t>
      </w:r>
    </w:p>
    <w:p>
      <w:pPr>
        <w:spacing w:line="400" w:lineRule="exact"/>
        <w:ind w:firstLine="210" w:firstLineChars="100"/>
        <w:jc w:val="left"/>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（本项评分由各评委独立进行打分</w:t>
      </w:r>
      <w:r>
        <w:rPr>
          <w:rFonts w:hint="eastAsia" w:ascii="宋体" w:hAnsi="宋体" w:eastAsia="宋体" w:cs="宋体"/>
          <w:b w:val="0"/>
          <w:bCs/>
          <w:color w:val="auto"/>
          <w:szCs w:val="21"/>
          <w:highlight w:val="none"/>
          <w:lang w:eastAsia="zh-CN"/>
        </w:rPr>
        <w:t>，不提供不得分</w:t>
      </w:r>
      <w:r>
        <w:rPr>
          <w:rFonts w:hint="eastAsia" w:ascii="宋体" w:hAnsi="宋体" w:eastAsia="宋体" w:cs="宋体"/>
          <w:b w:val="0"/>
          <w:bCs/>
          <w:color w:val="auto"/>
          <w:szCs w:val="21"/>
          <w:highlight w:val="none"/>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一档（</w:t>
      </w:r>
      <w:r>
        <w:rPr>
          <w:rFonts w:hint="eastAsia"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val="en-US" w:eastAsia="zh-CN"/>
        </w:rPr>
        <w:t>分）：无方案或方案不合理的</w:t>
      </w:r>
      <w:r>
        <w:rPr>
          <w:rFonts w:hint="eastAsia" w:hAnsi="宋体" w:cs="宋体"/>
          <w:b w:val="0"/>
          <w:bCs/>
          <w:color w:val="auto"/>
          <w:szCs w:val="21"/>
          <w:highlight w:val="none"/>
          <w:lang w:val="en-US" w:eastAsia="zh-CN"/>
        </w:rPr>
        <w:t>。</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二档（</w:t>
      </w:r>
      <w:r>
        <w:rPr>
          <w:rFonts w:hint="eastAsia" w:hAnsi="宋体" w:cs="宋体"/>
          <w:b w:val="0"/>
          <w:bCs/>
          <w:color w:val="auto"/>
          <w:szCs w:val="21"/>
          <w:highlight w:val="none"/>
          <w:lang w:val="en-US" w:eastAsia="zh-CN"/>
        </w:rPr>
        <w:t>13</w:t>
      </w:r>
      <w:r>
        <w:rPr>
          <w:rFonts w:hint="eastAsia" w:ascii="宋体" w:hAnsi="宋体" w:eastAsia="宋体" w:cs="宋体"/>
          <w:b w:val="0"/>
          <w:bCs/>
          <w:color w:val="auto"/>
          <w:szCs w:val="21"/>
          <w:highlight w:val="none"/>
          <w:lang w:val="en-US" w:eastAsia="zh-CN"/>
        </w:rPr>
        <w:t>分）：有服务计划，有配送及安装方案；责任分工、各项制度，实施方案基本可行。基本满足招标文件的要求。</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三档（</w:t>
      </w:r>
      <w:r>
        <w:rPr>
          <w:rFonts w:hint="eastAsia" w:hAnsi="宋体" w:cs="宋体"/>
          <w:b w:val="0"/>
          <w:bCs/>
          <w:color w:val="auto"/>
          <w:szCs w:val="21"/>
          <w:highlight w:val="none"/>
          <w:lang w:val="en-US" w:eastAsia="zh-CN"/>
        </w:rPr>
        <w:t>20</w:t>
      </w:r>
      <w:r>
        <w:rPr>
          <w:rFonts w:hint="eastAsia" w:ascii="宋体" w:hAnsi="宋体" w:eastAsia="宋体" w:cs="宋体"/>
          <w:b w:val="0"/>
          <w:bCs/>
          <w:color w:val="auto"/>
          <w:szCs w:val="21"/>
          <w:highlight w:val="none"/>
          <w:lang w:val="en-US" w:eastAsia="zh-CN"/>
        </w:rPr>
        <w:t xml:space="preserve">分）：有详细的服务计划，进度安排较为合理性，配送及安装方案描述较全、可行较好；责任分工明确、各项制度基本健全，实施方案可行。满足招标文件的要求。  </w:t>
      </w:r>
    </w:p>
    <w:p>
      <w:pPr>
        <w:spacing w:line="440" w:lineRule="exact"/>
        <w:ind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（三）商务分…………………………………………………………………………………………</w:t>
      </w:r>
      <w:r>
        <w:rPr>
          <w:rFonts w:hint="eastAsia" w:ascii="宋体" w:hAnsi="宋体" w:cs="宋体"/>
          <w:b/>
          <w:color w:val="auto"/>
          <w:szCs w:val="21"/>
          <w:highlight w:val="none"/>
          <w:lang w:val="en-US" w:eastAsia="zh-CN"/>
        </w:rPr>
        <w:t>25</w:t>
      </w:r>
      <w:r>
        <w:rPr>
          <w:rFonts w:hint="eastAsia" w:ascii="宋体" w:hAnsi="宋体" w:eastAsia="宋体" w:cs="宋体"/>
          <w:b/>
          <w:color w:val="auto"/>
          <w:szCs w:val="21"/>
          <w:highlight w:val="none"/>
        </w:rPr>
        <w:t>分</w:t>
      </w:r>
    </w:p>
    <w:p>
      <w:pPr>
        <w:pStyle w:val="21"/>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val="en-US" w:eastAsia="zh-CN"/>
        </w:rPr>
        <w:t>、售后服务承诺</w:t>
      </w:r>
      <w:r>
        <w:rPr>
          <w:rFonts w:hint="eastAsia" w:ascii="宋体" w:hAnsi="宋体" w:eastAsia="宋体" w:cs="宋体"/>
          <w:b w:val="0"/>
          <w:bCs/>
          <w:color w:val="auto"/>
          <w:szCs w:val="21"/>
          <w:highlight w:val="none"/>
        </w:rPr>
        <w:t>（满分</w:t>
      </w:r>
      <w:r>
        <w:rPr>
          <w:rFonts w:hint="eastAsia" w:hAnsi="宋体" w:cs="宋体"/>
          <w:b w:val="0"/>
          <w:bCs/>
          <w:color w:val="auto"/>
          <w:szCs w:val="21"/>
          <w:highlight w:val="none"/>
          <w:lang w:val="en-US" w:eastAsia="zh-CN"/>
        </w:rPr>
        <w:t>22</w:t>
      </w:r>
      <w:r>
        <w:rPr>
          <w:rFonts w:hint="eastAsia" w:ascii="宋体" w:hAnsi="宋体" w:eastAsia="宋体" w:cs="宋体"/>
          <w:b w:val="0"/>
          <w:bCs/>
          <w:color w:val="auto"/>
          <w:szCs w:val="21"/>
          <w:highlight w:val="none"/>
        </w:rPr>
        <w:t>分）</w:t>
      </w:r>
    </w:p>
    <w:p>
      <w:pPr>
        <w:spacing w:line="400" w:lineRule="exact"/>
        <w:ind w:firstLine="210" w:firstLineChars="100"/>
        <w:jc w:val="left"/>
        <w:rPr>
          <w:rFonts w:hint="eastAsia" w:ascii="宋体" w:hAnsi="宋体" w:eastAsia="宋体" w:cs="宋体"/>
          <w:bCs/>
          <w:color w:val="000000"/>
          <w:sz w:val="21"/>
          <w:szCs w:val="21"/>
        </w:rPr>
      </w:pPr>
      <w:r>
        <w:rPr>
          <w:rFonts w:hint="eastAsia" w:ascii="宋体" w:hAnsi="宋体" w:eastAsia="宋体" w:cs="宋体"/>
          <w:b w:val="0"/>
          <w:bCs/>
          <w:color w:val="auto"/>
          <w:szCs w:val="21"/>
          <w:highlight w:val="none"/>
        </w:rPr>
        <w:t>（本项评分由各评委独立进行打分）</w:t>
      </w:r>
    </w:p>
    <w:p>
      <w:pPr>
        <w:pStyle w:val="21"/>
        <w:spacing w:line="400" w:lineRule="exac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rPr>
        <w:t>一档（</w:t>
      </w:r>
      <w:r>
        <w:rPr>
          <w:rFonts w:hint="eastAsia" w:hAnsi="宋体" w:cs="宋体"/>
          <w:bCs/>
          <w:color w:val="000000"/>
          <w:sz w:val="21"/>
          <w:szCs w:val="21"/>
          <w:lang w:val="en-US" w:eastAsia="zh-CN"/>
        </w:rPr>
        <w:t>5</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售后服务方案简单，售后服务承诺书中各项措施缺乏针对性、合理性。</w:t>
      </w:r>
    </w:p>
    <w:p>
      <w:pPr>
        <w:pStyle w:val="21"/>
        <w:spacing w:line="40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二档（</w:t>
      </w:r>
      <w:r>
        <w:rPr>
          <w:rFonts w:hint="eastAsia" w:hAnsi="宋体" w:cs="宋体"/>
          <w:bCs/>
          <w:color w:val="000000"/>
          <w:sz w:val="21"/>
          <w:szCs w:val="21"/>
          <w:lang w:val="en-US" w:eastAsia="zh-CN"/>
        </w:rPr>
        <w:t>9</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售后服务方案完整，各项措施具有一定的针对性、合理性。</w:t>
      </w:r>
    </w:p>
    <w:p>
      <w:pPr>
        <w:pStyle w:val="21"/>
        <w:spacing w:line="400" w:lineRule="exact"/>
        <w:ind w:firstLine="420" w:firstLineChars="200"/>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lang w:eastAsia="zh-CN"/>
        </w:rPr>
        <w:t>三</w:t>
      </w:r>
      <w:r>
        <w:rPr>
          <w:rFonts w:hint="eastAsia" w:ascii="宋体" w:hAnsi="宋体" w:eastAsia="宋体" w:cs="宋体"/>
          <w:bCs/>
          <w:color w:val="000000"/>
          <w:sz w:val="21"/>
          <w:szCs w:val="21"/>
        </w:rPr>
        <w:t>档（</w:t>
      </w:r>
      <w:r>
        <w:rPr>
          <w:rFonts w:hint="eastAsia" w:hAnsi="宋体" w:cs="宋体"/>
          <w:bCs/>
          <w:color w:val="000000"/>
          <w:sz w:val="21"/>
          <w:szCs w:val="21"/>
          <w:lang w:val="en-US" w:eastAsia="zh-CN"/>
        </w:rPr>
        <w:t>14</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售后服务方案具体细致，各项措施具有针对性、合理性，后续跟踪服务到位。</w:t>
      </w:r>
    </w:p>
    <w:p>
      <w:pPr>
        <w:keepNext w:val="0"/>
        <w:keepLines w:val="0"/>
        <w:pageBreakBefore w:val="0"/>
        <w:kinsoku/>
        <w:wordWrap/>
        <w:overflowPunct/>
        <w:topLinePunct w:val="0"/>
        <w:autoSpaceDE/>
        <w:autoSpaceDN/>
        <w:bidi w:val="0"/>
        <w:snapToGrid/>
        <w:spacing w:line="380" w:lineRule="exact"/>
        <w:ind w:firstLine="417" w:firstLineChars="199"/>
        <w:rPr>
          <w:rFonts w:hint="eastAsia" w:ascii="宋体" w:hAnsi="宋体" w:eastAsia="宋体" w:cs="宋体"/>
          <w:b w:val="0"/>
          <w:bCs/>
          <w:color w:val="auto"/>
          <w:szCs w:val="21"/>
          <w:highlight w:val="none"/>
        </w:rPr>
      </w:pPr>
      <w:r>
        <w:rPr>
          <w:rFonts w:hint="eastAsia" w:ascii="宋体" w:hAnsi="宋体" w:eastAsia="宋体" w:cs="宋体"/>
          <w:bCs/>
          <w:color w:val="000000"/>
          <w:sz w:val="21"/>
          <w:szCs w:val="21"/>
          <w:lang w:eastAsia="zh-CN"/>
        </w:rPr>
        <w:t>四</w:t>
      </w:r>
      <w:r>
        <w:rPr>
          <w:rFonts w:hint="eastAsia" w:ascii="宋体" w:hAnsi="宋体" w:eastAsia="宋体" w:cs="宋体"/>
          <w:bCs/>
          <w:color w:val="000000"/>
          <w:sz w:val="21"/>
          <w:szCs w:val="21"/>
        </w:rPr>
        <w:t>档（</w:t>
      </w:r>
      <w:r>
        <w:rPr>
          <w:rFonts w:hint="eastAsia" w:ascii="宋体" w:hAnsi="宋体" w:cs="宋体"/>
          <w:bCs/>
          <w:color w:val="000000"/>
          <w:sz w:val="21"/>
          <w:szCs w:val="21"/>
          <w:lang w:val="en-US" w:eastAsia="zh-CN"/>
        </w:rPr>
        <w:t>22</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售后服务方案周密详尽，各项措施具有针对性、合理性，服务宗旨明确、服务效率高，后续跟踪服务具体到位。</w:t>
      </w:r>
    </w:p>
    <w:p>
      <w:pPr>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节能产品分（满分1分）</w:t>
      </w:r>
    </w:p>
    <w:p>
      <w:pPr>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投标产品为政府采购节能产品的，每有一项得0.5分，满分1分（适用于非强制采购节能产品，以有效的政府采购节能产品认证证书复印件为准，投标产品需清晰反映在证书上）。</w:t>
      </w:r>
    </w:p>
    <w:p>
      <w:pPr>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环保标志产品分（满分1分）</w:t>
      </w:r>
    </w:p>
    <w:p>
      <w:pPr>
        <w:spacing w:line="400" w:lineRule="exact"/>
        <w:ind w:firstLine="420" w:firstLineChars="200"/>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投标产品为政府采购环境标志产品的，每有一项得0.1分，满分1分（以有效的政府采购环境标志产品认证证书复印件为准，投标产品需清晰反映在证书上）</w:t>
      </w:r>
      <w:r>
        <w:rPr>
          <w:rFonts w:hint="eastAsia" w:ascii="宋体" w:hAnsi="宋体" w:cs="宋体"/>
          <w:bCs/>
          <w:color w:val="auto"/>
          <w:szCs w:val="21"/>
          <w:highlight w:val="none"/>
          <w:lang w:eastAsia="zh-CN"/>
        </w:rPr>
        <w:t>。</w:t>
      </w:r>
    </w:p>
    <w:p>
      <w:pPr>
        <w:spacing w:line="400" w:lineRule="exact"/>
        <w:ind w:firstLine="420" w:firstLineChars="200"/>
        <w:jc w:val="left"/>
        <w:rPr>
          <w:rFonts w:hint="eastAsia" w:ascii="宋体" w:hAnsi="宋体" w:eastAsia="宋体" w:cs="宋体"/>
          <w:b/>
          <w:bCs w:val="0"/>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投标产品80%以上为广西工业产品的得1分，满分1分（广西工业产品是指广西境内生产的工业产品，以生产企业的工商营业执照注册所在地为准。“投标产品80%以上为广西工业产品”是指参加政府采购</w:t>
      </w:r>
      <w:r>
        <w:rPr>
          <w:rFonts w:hint="eastAsia" w:ascii="宋体" w:hAnsi="宋体" w:eastAsia="宋体" w:cs="宋体"/>
          <w:b w:val="0"/>
          <w:bCs/>
          <w:color w:val="auto"/>
          <w:szCs w:val="21"/>
          <w:highlight w:val="none"/>
        </w:rPr>
        <w:t>项目时供货范围中采用广西工业产品的金额占本次招标总金额的80%以上）。</w:t>
      </w:r>
    </w:p>
    <w:p>
      <w:pPr>
        <w:spacing w:line="400" w:lineRule="exact"/>
        <w:ind w:firstLine="211" w:firstLineChars="100"/>
        <w:jc w:val="left"/>
        <w:rPr>
          <w:rFonts w:hint="eastAsia"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（四）</w:t>
      </w:r>
      <w:r>
        <w:rPr>
          <w:rFonts w:hint="eastAsia" w:ascii="宋体" w:hAnsi="宋体" w:eastAsia="宋体" w:cs="宋体"/>
          <w:b/>
          <w:bCs w:val="0"/>
          <w:color w:val="auto"/>
          <w:szCs w:val="21"/>
          <w:highlight w:val="none"/>
          <w:lang w:val="en-US" w:eastAsia="zh-CN"/>
        </w:rPr>
        <w:t>诚信分</w:t>
      </w:r>
    </w:p>
    <w:p>
      <w:pPr>
        <w:spacing w:line="40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在截标日前一年内在政府采购活动中存在违约违规情形的（以财政部门书面认定材料为评分依据），每次扣除3分，最高扣分6分。</w:t>
      </w:r>
    </w:p>
    <w:p>
      <w:pPr>
        <w:spacing w:line="400" w:lineRule="exact"/>
        <w:ind w:firstLine="211" w:firstLineChars="100"/>
        <w:jc w:val="left"/>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eastAsia="zh-CN"/>
        </w:rPr>
        <w:t>（五）</w:t>
      </w:r>
      <w:r>
        <w:rPr>
          <w:rFonts w:hint="eastAsia" w:ascii="宋体" w:hAnsi="宋体" w:eastAsia="宋体" w:cs="宋体"/>
          <w:b/>
          <w:bCs w:val="0"/>
          <w:color w:val="auto"/>
          <w:szCs w:val="21"/>
          <w:highlight w:val="none"/>
        </w:rPr>
        <w:t>总得分＝（一）＋（二）+（三）</w:t>
      </w:r>
      <w:r>
        <w:rPr>
          <w:rFonts w:hint="eastAsia" w:ascii="宋体" w:hAnsi="宋体" w:eastAsia="宋体" w:cs="宋体"/>
          <w:b/>
          <w:bCs w:val="0"/>
          <w:color w:val="auto"/>
          <w:szCs w:val="21"/>
          <w:highlight w:val="none"/>
          <w:lang w:val="en-US" w:eastAsia="zh-CN"/>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eastAsia="zh-CN"/>
        </w:rPr>
        <w:t>四</w:t>
      </w:r>
      <w:r>
        <w:rPr>
          <w:rFonts w:hint="eastAsia" w:ascii="宋体" w:hAnsi="宋体" w:eastAsia="宋体" w:cs="宋体"/>
          <w:b/>
          <w:bCs w:val="0"/>
          <w:color w:val="auto"/>
          <w:szCs w:val="21"/>
          <w:highlight w:val="none"/>
        </w:rPr>
        <w:t>）</w:t>
      </w:r>
    </w:p>
    <w:p>
      <w:pPr>
        <w:pStyle w:val="21"/>
        <w:keepNext w:val="0"/>
        <w:keepLines w:val="0"/>
        <w:pageBreakBefore w:val="0"/>
        <w:kinsoku/>
        <w:wordWrap/>
        <w:overflowPunct/>
        <w:topLinePunct w:val="0"/>
        <w:autoSpaceDE/>
        <w:autoSpaceDN/>
        <w:bidi w:val="0"/>
        <w:snapToGrid/>
        <w:spacing w:line="46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三、中标候选人推荐原则</w:t>
      </w:r>
    </w:p>
    <w:p>
      <w:pPr>
        <w:pStyle w:val="21"/>
        <w:keepNext w:val="0"/>
        <w:keepLines w:val="0"/>
        <w:pageBreakBefore w:val="0"/>
        <w:widowControl w:val="0"/>
        <w:kinsoku/>
        <w:wordWrap/>
        <w:overflowPunct/>
        <w:topLinePunct w:val="0"/>
        <w:autoSpaceDE/>
        <w:autoSpaceDN/>
        <w:bidi w:val="0"/>
        <w:adjustRightInd/>
        <w:snapToGrid/>
        <w:spacing w:before="120" w:after="120" w:line="460" w:lineRule="exact"/>
        <w:ind w:firstLine="420" w:firstLineChars="200"/>
        <w:textAlignment w:val="auto"/>
        <w:outlineLvl w:val="0"/>
        <w:rPr>
          <w:rFonts w:hint="eastAsia" w:ascii="宋体" w:hAnsi="宋体" w:eastAsia="宋体" w:cs="宋体"/>
          <w:b/>
          <w:bCs/>
          <w:color w:val="000000"/>
          <w:kern w:val="0"/>
          <w:sz w:val="21"/>
          <w:szCs w:val="21"/>
          <w:lang w:eastAsia="zh-CN"/>
        </w:rPr>
      </w:pPr>
      <w:r>
        <w:rPr>
          <w:rFonts w:hint="eastAsia" w:ascii="宋体" w:hAnsi="宋体" w:eastAsia="宋体" w:cs="宋体"/>
          <w:bCs/>
          <w:color w:val="000000"/>
          <w:sz w:val="21"/>
          <w:szCs w:val="21"/>
          <w:lang w:eastAsia="zh-CN"/>
        </w:rPr>
        <w:t>（</w:t>
      </w:r>
      <w:r>
        <w:rPr>
          <w:rFonts w:hint="eastAsia" w:hAnsi="宋体" w:cs="宋体"/>
          <w:bCs/>
          <w:color w:val="000000"/>
          <w:sz w:val="21"/>
          <w:szCs w:val="21"/>
          <w:lang w:eastAsia="zh-CN"/>
        </w:rPr>
        <w:t>一</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评标委员会将根据得分由高到低排列次序</w:t>
      </w:r>
      <w:r>
        <w:rPr>
          <w:rFonts w:hint="eastAsia"/>
        </w:rPr>
        <w:t>（总得分相同时，依次</w:t>
      </w:r>
      <w:r>
        <w:rPr>
          <w:rFonts w:hint="eastAsia"/>
          <w:b w:val="0"/>
          <w:bCs w:val="0"/>
        </w:rPr>
        <w:t>按</w:t>
      </w:r>
      <w:r>
        <w:rPr>
          <w:rFonts w:hint="eastAsia" w:ascii="宋体" w:hAnsi="宋体" w:eastAsia="宋体" w:cs="宋体"/>
          <w:b w:val="0"/>
          <w:bCs w:val="0"/>
          <w:color w:val="auto"/>
          <w:sz w:val="21"/>
          <w:szCs w:val="21"/>
          <w:highlight w:val="none"/>
        </w:rPr>
        <w:t>投标报价低优先、技术分高优先、质量保证期长优先、交货期短优先、故障响应时间短优先的顺序排列</w:t>
      </w:r>
      <w:r>
        <w:rPr>
          <w:rFonts w:hint="eastAsia" w:ascii="宋体" w:hAnsi="宋体" w:eastAsia="宋体" w:cs="宋体"/>
          <w:bCs/>
          <w:color w:val="000000"/>
          <w:sz w:val="21"/>
          <w:szCs w:val="21"/>
        </w:rPr>
        <w:t>并推荐中标候选供应商</w:t>
      </w:r>
      <w:r>
        <w:rPr>
          <w:rFonts w:hint="eastAsia"/>
        </w:rPr>
        <w:t>）</w:t>
      </w:r>
      <w:r>
        <w:rPr>
          <w:rFonts w:hint="eastAsia" w:ascii="宋体" w:hAnsi="宋体" w:eastAsia="宋体" w:cs="宋体"/>
          <w:bCs/>
          <w:color w:val="000000"/>
          <w:sz w:val="21"/>
          <w:szCs w:val="21"/>
        </w:rPr>
        <w:t>。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eastAsia="宋体" w:cs="宋体"/>
          <w:color w:val="000000"/>
          <w:sz w:val="21"/>
          <w:szCs w:val="21"/>
        </w:rPr>
        <w:t>。采购人也可以决定重新采购。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hint="eastAsia" w:hAnsi="宋体" w:cs="宋体"/>
          <w:color w:val="000000"/>
          <w:sz w:val="21"/>
          <w:szCs w:val="21"/>
          <w:lang w:eastAsia="zh-CN"/>
        </w:rPr>
        <w:t>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评标委员会认为，某投标人的有效投标报价或者某些分项报价明显不合理或者低于成本，有可能影响</w:t>
      </w:r>
      <w:r>
        <w:rPr>
          <w:rFonts w:hint="eastAsia" w:ascii="宋体" w:hAnsi="宋体" w:eastAsia="宋体" w:cs="宋体"/>
          <w:color w:val="000000"/>
          <w:sz w:val="21"/>
          <w:szCs w:val="21"/>
          <w:lang w:eastAsia="zh-CN"/>
        </w:rPr>
        <w:t>货物（</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质量和不能诚信履约的，应要求其在规定的期限内提供书面文件予以解释说明，并提交相关证明材料</w:t>
      </w:r>
      <w:r>
        <w:rPr>
          <w:rFonts w:hint="eastAsia" w:ascii="宋体" w:hAnsi="宋体" w:eastAsia="宋体" w:cs="宋体"/>
          <w:color w:val="000000"/>
          <w:sz w:val="21"/>
          <w:szCs w:val="21"/>
          <w:lang w:eastAsia="zh-CN"/>
        </w:rPr>
        <w:t>：</w:t>
      </w:r>
      <w:r>
        <w:rPr>
          <w:rFonts w:hint="eastAsia" w:ascii="宋体" w:hAnsi="宋体" w:eastAsia="宋体" w:cs="宋体"/>
          <w:bCs/>
          <w:color w:val="000000"/>
          <w:sz w:val="21"/>
          <w:szCs w:val="21"/>
        </w:rPr>
        <w:t>投标供应商自身出具的产品详细价格构成说明函原件（包括进货成本、管理费用、人员成本构成、物流运输成本、税收等所有成本和利润），非生产厂家投标人同时还须提供全部货物生产厂家出具的详细价格构成说明函原件（包括进货成本、管理费用、人员成本构成、物流运输成本、税收等所有成本和利润），</w:t>
      </w:r>
      <w:r>
        <w:rPr>
          <w:rFonts w:hint="eastAsia" w:ascii="宋体" w:hAnsi="宋体" w:eastAsia="宋体" w:cs="宋体"/>
          <w:color w:val="000000"/>
          <w:sz w:val="21"/>
          <w:szCs w:val="21"/>
        </w:rPr>
        <w:t>否则，评标委员会不推荐该投标人为中标候选人。</w:t>
      </w:r>
    </w:p>
    <w:p>
      <w:pPr>
        <w:pStyle w:val="21"/>
        <w:spacing w:line="400" w:lineRule="exact"/>
        <w:jc w:val="center"/>
        <w:outlineLvl w:val="0"/>
        <w:rPr>
          <w:rFonts w:hint="eastAsia" w:ascii="宋体" w:hAnsi="宋体" w:eastAsia="宋体" w:cs="宋体"/>
          <w:b/>
          <w:color w:val="auto"/>
          <w:szCs w:val="21"/>
          <w:highlight w:val="none"/>
        </w:rPr>
      </w:pPr>
    </w:p>
    <w:p>
      <w:pPr>
        <w:pStyle w:val="21"/>
        <w:spacing w:line="400" w:lineRule="exact"/>
        <w:jc w:val="center"/>
        <w:outlineLvl w:val="0"/>
        <w:rPr>
          <w:rFonts w:hint="eastAsia" w:ascii="宋体" w:hAnsi="宋体" w:eastAsia="宋体" w:cs="宋体"/>
          <w:b/>
          <w:color w:val="auto"/>
          <w:szCs w:val="21"/>
          <w:highlight w:val="none"/>
        </w:rPr>
      </w:pPr>
    </w:p>
    <w:p>
      <w:pPr>
        <w:pStyle w:val="21"/>
        <w:spacing w:line="400" w:lineRule="exact"/>
        <w:jc w:val="center"/>
        <w:outlineLvl w:val="0"/>
        <w:rPr>
          <w:rFonts w:hint="eastAsia" w:ascii="宋体" w:hAnsi="宋体" w:eastAsia="宋体" w:cs="宋体"/>
          <w:b/>
          <w:color w:val="auto"/>
          <w:szCs w:val="21"/>
          <w:highlight w:val="none"/>
        </w:rPr>
      </w:pPr>
    </w:p>
    <w:p>
      <w:pPr>
        <w:pStyle w:val="21"/>
        <w:spacing w:line="400" w:lineRule="exact"/>
        <w:jc w:val="center"/>
        <w:outlineLvl w:val="0"/>
        <w:rPr>
          <w:rFonts w:hint="eastAsia" w:ascii="宋体" w:hAnsi="宋体" w:eastAsia="宋体" w:cs="宋体"/>
          <w:b/>
          <w:color w:val="auto"/>
          <w:szCs w:val="21"/>
          <w:highlight w:val="none"/>
        </w:rPr>
      </w:pPr>
    </w:p>
    <w:bookmarkEnd w:id="5"/>
    <w:bookmarkEnd w:id="6"/>
    <w:bookmarkEnd w:id="7"/>
    <w:bookmarkEnd w:id="8"/>
    <w:bookmarkEnd w:id="9"/>
    <w:p>
      <w:pPr>
        <w:widowControl/>
        <w:spacing w:line="500" w:lineRule="exact"/>
        <w:jc w:val="both"/>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pStyle w:val="26"/>
        <w:rPr>
          <w:rFonts w:hint="eastAsia" w:ascii="宋体" w:hAnsi="宋体" w:eastAsia="宋体" w:cs="宋体"/>
          <w:b/>
          <w:bCs/>
          <w:color w:val="000000"/>
          <w:kern w:val="0"/>
          <w:sz w:val="30"/>
          <w:szCs w:val="30"/>
          <w:lang w:eastAsia="zh-CN"/>
        </w:rPr>
      </w:pPr>
    </w:p>
    <w:p>
      <w:pPr>
        <w:widowControl/>
        <w:spacing w:line="500" w:lineRule="exact"/>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eastAsia="zh-CN"/>
        </w:rPr>
        <w:t>第五章</w:t>
      </w:r>
      <w:r>
        <w:rPr>
          <w:rFonts w:hint="eastAsia" w:ascii="宋体" w:hAnsi="宋体" w:eastAsia="宋体" w:cs="宋体"/>
          <w:b/>
          <w:bCs/>
          <w:color w:val="000000"/>
          <w:kern w:val="0"/>
          <w:sz w:val="30"/>
          <w:szCs w:val="30"/>
          <w:lang w:val="en-US" w:eastAsia="zh-CN"/>
        </w:rPr>
        <w:t xml:space="preserve">  合同主要条款及格式</w:t>
      </w:r>
    </w:p>
    <w:p>
      <w:pPr>
        <w:spacing w:line="360" w:lineRule="auto"/>
        <w:rPr>
          <w:rFonts w:hint="eastAsia" w:ascii="宋体" w:hAnsi="宋体" w:eastAsia="宋体" w:cs="宋体"/>
          <w:color w:val="auto"/>
          <w:sz w:val="44"/>
          <w:highlight w:val="none"/>
        </w:rPr>
      </w:pPr>
    </w:p>
    <w:p>
      <w:pPr>
        <w:pStyle w:val="54"/>
        <w:rPr>
          <w:rFonts w:hint="eastAsia" w:ascii="宋体" w:hAnsi="宋体" w:eastAsia="宋体" w:cs="宋体"/>
          <w:color w:val="auto"/>
          <w:sz w:val="44"/>
          <w:highlight w:val="none"/>
        </w:rPr>
      </w:pPr>
    </w:p>
    <w:p>
      <w:pPr>
        <w:pStyle w:val="54"/>
        <w:rPr>
          <w:rFonts w:hint="eastAsia" w:ascii="宋体" w:hAnsi="宋体" w:eastAsia="宋体" w:cs="宋体"/>
          <w:color w:val="auto"/>
          <w:sz w:val="44"/>
          <w:highlight w:val="none"/>
        </w:rPr>
      </w:pPr>
    </w:p>
    <w:p>
      <w:pPr>
        <w:spacing w:line="360" w:lineRule="auto"/>
        <w:jc w:val="center"/>
        <w:rPr>
          <w:rFonts w:hint="eastAsia" w:ascii="宋体" w:hAnsi="宋体" w:eastAsia="宋体" w:cs="宋体"/>
          <w:b/>
          <w:bCs/>
          <w:color w:val="auto"/>
          <w:sz w:val="52"/>
          <w:highlight w:val="none"/>
          <w:lang w:eastAsia="zh-CN"/>
        </w:rPr>
      </w:pPr>
      <w:r>
        <w:rPr>
          <w:rFonts w:hint="eastAsia" w:ascii="宋体" w:hAnsi="宋体" w:eastAsia="宋体" w:cs="宋体"/>
          <w:b/>
          <w:bCs/>
          <w:color w:val="auto"/>
          <w:sz w:val="52"/>
          <w:highlight w:val="none"/>
          <w:lang w:eastAsia="zh-CN"/>
        </w:rPr>
        <w:t>政</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府</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采</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购</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（项目名称）</w:t>
      </w:r>
      <w:r>
        <w:rPr>
          <w:rFonts w:hint="eastAsia" w:ascii="宋体" w:hAnsi="宋体" w:eastAsia="宋体" w:cs="宋体"/>
          <w:b/>
          <w:bCs/>
          <w:color w:val="auto"/>
          <w:sz w:val="44"/>
          <w:highlight w:val="none"/>
        </w:rPr>
        <w:t>合同</w:t>
      </w: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ind w:firstLine="1084" w:firstLineChars="3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color w:val="auto"/>
          <w:highlight w:val="none"/>
          <w:u w:val="single"/>
        </w:rPr>
        <w:t>　　　　　　　　　　　　　　　　　　　　　　　　　　　　</w:t>
      </w:r>
    </w:p>
    <w:p>
      <w:pPr>
        <w:ind w:firstLine="1084" w:firstLineChars="3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审批编号：</w:t>
      </w:r>
      <w:r>
        <w:rPr>
          <w:rFonts w:hint="eastAsia" w:ascii="宋体" w:hAnsi="宋体" w:eastAsia="宋体" w:cs="宋体"/>
          <w:color w:val="auto"/>
          <w:highlight w:val="none"/>
          <w:u w:val="single"/>
        </w:rPr>
        <w:t>　　　　　　　　　　　　　　　　　　　　　　　　　　　　</w:t>
      </w:r>
    </w:p>
    <w:p>
      <w:pPr>
        <w:spacing w:line="360" w:lineRule="auto"/>
        <w:ind w:firstLine="880" w:firstLineChars="200"/>
        <w:rPr>
          <w:rFonts w:hint="eastAsia" w:ascii="宋体" w:hAnsi="宋体" w:eastAsia="宋体" w:cs="宋体"/>
          <w:color w:val="auto"/>
          <w:sz w:val="44"/>
          <w:highlight w:val="none"/>
        </w:rPr>
      </w:pPr>
    </w:p>
    <w:p>
      <w:pPr>
        <w:spacing w:line="360" w:lineRule="auto"/>
        <w:rPr>
          <w:rFonts w:hint="eastAsia" w:ascii="宋体" w:hAnsi="宋体" w:eastAsia="宋体" w:cs="宋体"/>
          <w:color w:val="auto"/>
          <w:sz w:val="44"/>
          <w:highlight w:val="none"/>
        </w:rPr>
      </w:pPr>
    </w:p>
    <w:p>
      <w:pPr>
        <w:tabs>
          <w:tab w:val="left" w:pos="7200"/>
        </w:tabs>
        <w:spacing w:line="360" w:lineRule="auto"/>
        <w:ind w:firstLine="1084" w:firstLineChars="300"/>
        <w:rPr>
          <w:rFonts w:hint="default"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p>
    <w:p>
      <w:pPr>
        <w:tabs>
          <w:tab w:val="left" w:pos="7380"/>
        </w:tabs>
        <w:spacing w:line="360" w:lineRule="auto"/>
        <w:ind w:firstLine="1084" w:firstLineChars="300"/>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color w:val="auto"/>
          <w:highlight w:val="none"/>
          <w:u w:val="single"/>
        </w:rPr>
        <w:t>　　　　　　　　　　　　　　　　　　　　　　　　　　</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2"/>
        <w:rPr>
          <w:rFonts w:hint="eastAsia"/>
        </w:rPr>
      </w:pPr>
    </w:p>
    <w:p>
      <w:pPr>
        <w:spacing w:line="360" w:lineRule="auto"/>
        <w:ind w:left="359" w:leftChars="171" w:firstLine="198" w:firstLineChars="71"/>
        <w:rPr>
          <w:rFonts w:hint="eastAsia" w:ascii="宋体" w:hAnsi="宋体" w:eastAsia="宋体" w:cs="宋体"/>
          <w:color w:val="auto"/>
          <w:sz w:val="28"/>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tabs>
          <w:tab w:val="left" w:pos="1170"/>
        </w:tabs>
        <w:spacing w:line="360" w:lineRule="auto"/>
        <w:ind w:left="359" w:leftChars="171" w:firstLine="198" w:firstLineChars="71"/>
        <w:rPr>
          <w:rFonts w:hint="eastAsia" w:ascii="宋体" w:hAnsi="宋体" w:eastAsia="宋体" w:cs="宋体"/>
          <w:color w:val="auto"/>
          <w:sz w:val="28"/>
          <w:highlight w:val="none"/>
        </w:rPr>
      </w:pPr>
      <w:r>
        <w:rPr>
          <w:rFonts w:hint="eastAsia" w:ascii="宋体" w:hAnsi="宋体" w:eastAsia="宋体" w:cs="宋体"/>
          <w:color w:val="auto"/>
          <w:sz w:val="28"/>
          <w:highlight w:val="none"/>
        </w:rPr>
        <w:tab/>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政府采购</w:t>
      </w:r>
      <w:r>
        <w:rPr>
          <w:rFonts w:hint="eastAsia" w:ascii="宋体" w:hAnsi="宋体" w:eastAsia="宋体" w:cs="宋体"/>
          <w:b/>
          <w:color w:val="auto"/>
          <w:sz w:val="30"/>
          <w:szCs w:val="30"/>
          <w:highlight w:val="none"/>
        </w:rPr>
        <w:t>合同书</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二、合同附件</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中标通知书</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招标文件货物需求一览表</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招标文件的澄清和修改</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投标函</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投标报价表</w:t>
      </w:r>
    </w:p>
    <w:p>
      <w:pPr>
        <w:numPr>
          <w:ilvl w:val="0"/>
          <w:numId w:val="2"/>
        </w:numPr>
        <w:rPr>
          <w:rFonts w:hint="eastAsia" w:ascii="宋体" w:hAnsi="宋体" w:eastAsia="宋体" w:cs="宋体"/>
          <w:color w:val="auto"/>
          <w:sz w:val="28"/>
          <w:highlight w:val="none"/>
          <w:u w:val="thick"/>
        </w:rPr>
      </w:pPr>
      <w:r>
        <w:rPr>
          <w:rFonts w:hint="eastAsia" w:ascii="宋体" w:hAnsi="宋体" w:eastAsia="宋体" w:cs="宋体"/>
          <w:color w:val="auto"/>
          <w:sz w:val="28"/>
          <w:highlight w:val="none"/>
        </w:rPr>
        <w:t>投标产品技术资料表、商务条款偏离表</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中标供应商澄清函</w:t>
      </w:r>
    </w:p>
    <w:p>
      <w:pP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bCs/>
          <w:color w:val="auto"/>
          <w:sz w:val="28"/>
          <w:highlight w:val="none"/>
        </w:rPr>
      </w:pPr>
    </w:p>
    <w:p>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Cs/>
          <w:color w:val="auto"/>
          <w:sz w:val="28"/>
          <w:highlight w:val="none"/>
        </w:rPr>
        <w:br w:type="page"/>
      </w:r>
      <w:r>
        <w:rPr>
          <w:rFonts w:hint="eastAsia" w:ascii="宋体" w:hAnsi="宋体" w:eastAsia="宋体" w:cs="宋体"/>
          <w:b/>
          <w:color w:val="auto"/>
          <w:sz w:val="30"/>
          <w:szCs w:val="30"/>
          <w:highlight w:val="none"/>
          <w:lang w:eastAsia="zh-CN"/>
        </w:rPr>
        <w:t>政府采购</w:t>
      </w:r>
      <w:r>
        <w:rPr>
          <w:rFonts w:hint="eastAsia" w:ascii="宋体" w:hAnsi="宋体" w:eastAsia="宋体" w:cs="宋体"/>
          <w:b/>
          <w:color w:val="auto"/>
          <w:sz w:val="30"/>
          <w:szCs w:val="30"/>
          <w:highlight w:val="none"/>
        </w:rPr>
        <w:t>合同书</w:t>
      </w:r>
    </w:p>
    <w:p>
      <w:pPr>
        <w:pStyle w:val="21"/>
        <w:spacing w:line="360" w:lineRule="auto"/>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21"/>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分标号（有分标时填写）：</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p>
    <w:p>
      <w:pPr>
        <w:pStyle w:val="21"/>
        <w:spacing w:line="360" w:lineRule="auto"/>
        <w:rPr>
          <w:rFonts w:hint="eastAsia" w:ascii="宋体" w:hAnsi="宋体" w:eastAsia="宋体" w:cs="宋体"/>
          <w:color w:val="auto"/>
          <w:highlight w:val="none"/>
        </w:rPr>
      </w:pPr>
    </w:p>
    <w:p>
      <w:pPr>
        <w:pStyle w:val="21"/>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甲方（买方）：</w:t>
      </w:r>
      <w:r>
        <w:rPr>
          <w:rFonts w:hint="eastAsia" w:ascii="宋体" w:hAnsi="宋体" w:eastAsia="宋体" w:cs="宋体"/>
          <w:color w:val="auto"/>
          <w:highlight w:val="none"/>
          <w:u w:val="single"/>
        </w:rPr>
        <w:t>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乙方（卖方）：</w:t>
      </w:r>
      <w:r>
        <w:rPr>
          <w:rFonts w:hint="eastAsia" w:ascii="宋体" w:hAnsi="宋体" w:eastAsia="宋体" w:cs="宋体"/>
          <w:color w:val="auto"/>
          <w:highlight w:val="none"/>
          <w:u w:val="single"/>
        </w:rPr>
        <w:t>　　　　　　　　　　　　　　　　　　　　　　　　　　</w:t>
      </w:r>
    </w:p>
    <w:p>
      <w:pPr>
        <w:pStyle w:val="21"/>
        <w:spacing w:line="360" w:lineRule="auto"/>
        <w:rPr>
          <w:rFonts w:hint="eastAsia" w:ascii="宋体" w:hAnsi="宋体" w:eastAsia="宋体" w:cs="宋体"/>
          <w:b/>
          <w:color w:val="auto"/>
          <w:highlight w:val="none"/>
        </w:rPr>
      </w:pPr>
    </w:p>
    <w:p>
      <w:pPr>
        <w:pStyle w:val="21"/>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年   月   日</w:t>
      </w:r>
      <w:r>
        <w:rPr>
          <w:rFonts w:hint="eastAsia" w:ascii="宋体" w:hAnsi="宋体" w:eastAsia="宋体" w:cs="宋体"/>
          <w:color w:val="auto"/>
          <w:highlight w:val="none"/>
          <w:lang w:eastAsia="zh-CN"/>
        </w:rPr>
        <w:t>政府采购</w:t>
      </w:r>
      <w:r>
        <w:rPr>
          <w:rFonts w:hint="eastAsia" w:ascii="宋体" w:hAnsi="宋体" w:eastAsia="宋体" w:cs="宋体"/>
          <w:color w:val="auto"/>
          <w:highlight w:val="none"/>
        </w:rPr>
        <w:t>项目的采购结果，甲方接受乙方对本项目的投标，甲、乙双方同意签署本合同（以下简称合同）。</w:t>
      </w:r>
    </w:p>
    <w:p>
      <w:pPr>
        <w:pStyle w:val="21"/>
        <w:spacing w:line="360" w:lineRule="auto"/>
        <w:rPr>
          <w:rFonts w:hint="eastAsia" w:ascii="宋体" w:hAnsi="宋体" w:eastAsia="宋体" w:cs="宋体"/>
          <w:b/>
          <w:color w:val="auto"/>
          <w:highlight w:val="none"/>
        </w:rPr>
      </w:pP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1.采购内容</w:t>
      </w:r>
    </w:p>
    <w:p>
      <w:pPr>
        <w:pStyle w:val="21"/>
        <w:tabs>
          <w:tab w:val="left" w:pos="522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1.1货物名称：</w:t>
      </w:r>
      <w:r>
        <w:rPr>
          <w:rFonts w:hint="eastAsia" w:ascii="宋体" w:hAnsi="宋体" w:eastAsia="宋体" w:cs="宋体"/>
          <w:color w:val="auto"/>
          <w:highlight w:val="none"/>
          <w:u w:val="single"/>
        </w:rPr>
        <w:t>详见合同附件中投标报价表</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1.2数量（单位）：</w:t>
      </w:r>
      <w:r>
        <w:rPr>
          <w:rFonts w:hint="eastAsia" w:ascii="宋体" w:hAnsi="宋体" w:eastAsia="宋体" w:cs="宋体"/>
          <w:color w:val="auto"/>
          <w:highlight w:val="none"/>
          <w:u w:val="single"/>
        </w:rPr>
        <w:t>详见合同附件中投标报价表</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1.3品牌、厂家、型号、规格、配置：</w:t>
      </w:r>
      <w:r>
        <w:rPr>
          <w:rFonts w:hint="eastAsia" w:ascii="宋体" w:hAnsi="宋体" w:eastAsia="宋体" w:cs="宋体"/>
          <w:color w:val="auto"/>
          <w:highlight w:val="none"/>
          <w:u w:val="single"/>
        </w:rPr>
        <w:t>详见合同附件中投标产品技术资料表（投标产品技术资料表与澄清函不一致的以澄清函为准）</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1.4技术参数：</w:t>
      </w:r>
      <w:r>
        <w:rPr>
          <w:rFonts w:hint="eastAsia" w:ascii="宋体" w:hAnsi="宋体" w:eastAsia="宋体" w:cs="宋体"/>
          <w:color w:val="auto"/>
          <w:highlight w:val="none"/>
          <w:u w:val="single"/>
        </w:rPr>
        <w:t>详见合同附件中投标产品技术资料表</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2.合同金额</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2.1本合同金额为（大写）人民币</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）。（详见合同附件中投标报价表）</w:t>
      </w:r>
    </w:p>
    <w:p>
      <w:pPr>
        <w:pStyle w:val="21"/>
        <w:tabs>
          <w:tab w:val="left" w:pos="594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3.交货要求</w:t>
      </w:r>
    </w:p>
    <w:p>
      <w:pPr>
        <w:pStyle w:val="21"/>
        <w:tabs>
          <w:tab w:val="left" w:pos="5220"/>
        </w:tabs>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3.1交货期：</w:t>
      </w:r>
      <w:r>
        <w:rPr>
          <w:rFonts w:hint="eastAsia" w:ascii="宋体" w:hAnsi="宋体" w:eastAsia="宋体" w:cs="宋体"/>
          <w:color w:val="auto"/>
          <w:highlight w:val="none"/>
          <w:u w:val="single"/>
        </w:rPr>
        <w:t>　　　　　　　　　　　　　　　　　　　　　　　　　　　　</w:t>
      </w:r>
    </w:p>
    <w:p>
      <w:pPr>
        <w:pStyle w:val="21"/>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3.2交货地点：</w:t>
      </w:r>
      <w:r>
        <w:rPr>
          <w:rFonts w:hint="eastAsia" w:ascii="宋体" w:hAnsi="宋体" w:eastAsia="宋体" w:cs="宋体"/>
          <w:color w:val="auto"/>
          <w:highlight w:val="none"/>
          <w:u w:val="single"/>
        </w:rPr>
        <w:t>　　　　　　　　　　　　　　　　　　　　　　　　　　　</w:t>
      </w:r>
    </w:p>
    <w:p>
      <w:pPr>
        <w:pStyle w:val="21"/>
        <w:tabs>
          <w:tab w:val="left" w:pos="5220"/>
          <w:tab w:val="left" w:pos="6120"/>
        </w:tabs>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3.3交货方式：</w:t>
      </w:r>
      <w:r>
        <w:rPr>
          <w:rFonts w:hint="eastAsia" w:ascii="宋体" w:hAnsi="宋体" w:eastAsia="宋体" w:cs="宋体"/>
          <w:color w:val="auto"/>
          <w:highlight w:val="none"/>
          <w:u w:val="single"/>
        </w:rPr>
        <w:t>　　　　　　　　　　　　　　　　　　　　　　　　　　　</w:t>
      </w:r>
    </w:p>
    <w:p>
      <w:pPr>
        <w:pStyle w:val="21"/>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3.4</w:t>
      </w:r>
      <w:r>
        <w:rPr>
          <w:rFonts w:hint="eastAsia" w:ascii="宋体" w:hAnsi="宋体" w:eastAsia="宋体" w:cs="宋体"/>
          <w:color w:val="auto"/>
          <w:highlight w:val="none"/>
        </w:rPr>
        <w:t>乙方必须按投标文件承诺的技术参数、性能要求、质量标准等向甲方提供全新、完整、未经使用的货物。</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4.质量保证及售后服务</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4.1质量保证期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年（自交货验收合格之日起计）。</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4.2如乙方提供的货物在使用过程中发生质量问题，乙方接到甲方故障通知后应在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小时内到达甲方指定现场，按国家及行业标准对故障进行及时处理。</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4.3乙方提供的货物在质量保证期内因货物本身的质量问题发生故障，乙方应负责免费更换。对达不到技术要求者，根据实际情况，经双方协商，可按以下办法处理：</w:t>
      </w:r>
    </w:p>
    <w:p>
      <w:pPr>
        <w:pStyle w:val="21"/>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（1）更换：由乙方承担所发生的全部费用。</w:t>
      </w:r>
    </w:p>
    <w:p>
      <w:pPr>
        <w:pStyle w:val="21"/>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（2）贬值处理：由甲乙双方合议定价。</w:t>
      </w:r>
    </w:p>
    <w:p>
      <w:pPr>
        <w:pStyle w:val="21"/>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（3）退货处理：乙方应退还甲方支付的合同款，同时应承担与该货物相关的直接费用（运输、保险、检验、合同款利息及银行手续费等）。</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4.5超过质量保证期的货物，乙方提供终生维修、保养服务，维修时只收部件成本费。</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4.6乙方随时优惠提供备品备件，优惠提供产品更新、改造服务。</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5.合同款支付</w:t>
      </w:r>
    </w:p>
    <w:p>
      <w:pPr>
        <w:pStyle w:val="21"/>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5.1付款方式：</w:t>
      </w:r>
      <w:r>
        <w:rPr>
          <w:rFonts w:hint="eastAsia" w:ascii="宋体" w:hAnsi="宋体" w:eastAsia="宋体" w:cs="宋体"/>
          <w:color w:val="auto"/>
          <w:highlight w:val="none"/>
          <w:u w:val="single"/>
        </w:rPr>
        <w:t>　　　　　　　　　　　　　　　　　　　　　　　　　　　　</w:t>
      </w:r>
    </w:p>
    <w:p>
      <w:pPr>
        <w:pStyle w:val="21"/>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当采购数量与实际使用数量不一致时，甲方可以在报经</w:t>
      </w:r>
      <w:r>
        <w:rPr>
          <w:rFonts w:hint="eastAsia" w:ascii="宋体" w:hAnsi="宋体" w:eastAsia="宋体" w:cs="宋体"/>
          <w:color w:val="auto"/>
          <w:szCs w:val="21"/>
          <w:highlight w:val="none"/>
          <w:lang w:eastAsia="zh-CN"/>
        </w:rPr>
        <w:t>马山县政府采购监督管理办公室</w:t>
      </w:r>
      <w:r>
        <w:rPr>
          <w:rFonts w:hint="eastAsia" w:ascii="宋体" w:hAnsi="宋体" w:eastAsia="宋体" w:cs="宋体"/>
          <w:color w:val="auto"/>
          <w:highlight w:val="none"/>
        </w:rPr>
        <w:t>审核同意后，</w:t>
      </w:r>
      <w:r>
        <w:rPr>
          <w:rFonts w:hint="eastAsia" w:ascii="宋体" w:hAnsi="宋体" w:eastAsia="宋体" w:cs="宋体"/>
          <w:color w:val="auto"/>
          <w:szCs w:val="21"/>
          <w:highlight w:val="none"/>
        </w:rPr>
        <w:t>在不改变合同其他条款的前提下与供应商协商签订补充合同，但所有补充合同的采购金额不得超过原合同采购金额的百分之十。</w:t>
      </w:r>
      <w:r>
        <w:rPr>
          <w:rFonts w:hint="eastAsia" w:ascii="宋体" w:hAnsi="宋体" w:eastAsia="宋体" w:cs="宋体"/>
          <w:color w:val="auto"/>
          <w:highlight w:val="none"/>
        </w:rPr>
        <w:t>供应商应根据实际使用数量供货，合同的最终结算金额按实际使用数量乘以中标单价进行计算。</w:t>
      </w:r>
    </w:p>
    <w:p>
      <w:pPr>
        <w:pStyle w:val="21"/>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en-US" w:eastAsia="zh-CN"/>
        </w:rPr>
        <w:t>3</w:t>
      </w:r>
      <w:r>
        <w:rPr>
          <w:rFonts w:hint="eastAsia" w:ascii="宋体" w:hAnsi="宋体" w:eastAsia="宋体" w:cs="宋体"/>
          <w:color w:val="auto"/>
          <w:szCs w:val="21"/>
          <w:highlight w:val="none"/>
        </w:rPr>
        <w:t>政府采购监督管理部门在处理投诉事项期间，可以视具体情况书面通知采购人暂停采购活动</w:t>
      </w:r>
      <w:r>
        <w:rPr>
          <w:rFonts w:hint="eastAsia" w:ascii="宋体" w:hAnsi="宋体" w:eastAsia="宋体" w:cs="宋体"/>
          <w:bCs/>
          <w:color w:val="auto"/>
          <w:highlight w:val="none"/>
        </w:rPr>
        <w:t>，并延期支付合同款。</w:t>
      </w:r>
    </w:p>
    <w:p>
      <w:pPr>
        <w:pStyle w:val="21"/>
        <w:spacing w:line="360" w:lineRule="auto"/>
        <w:ind w:left="412" w:hanging="412" w:hangingChars="171"/>
        <w:rPr>
          <w:rFonts w:hint="eastAsia" w:ascii="宋体" w:hAnsi="宋体" w:eastAsia="宋体" w:cs="宋体"/>
          <w:b/>
          <w:color w:val="auto"/>
          <w:highlight w:val="none"/>
        </w:rPr>
      </w:pPr>
      <w:r>
        <w:rPr>
          <w:rFonts w:hint="eastAsia" w:ascii="宋体" w:hAnsi="宋体" w:eastAsia="宋体" w:cs="宋体"/>
          <w:b/>
          <w:bCs/>
          <w:color w:val="auto"/>
          <w:sz w:val="24"/>
          <w:highlight w:val="none"/>
        </w:rPr>
        <w:t>6.产权</w:t>
      </w:r>
    </w:p>
    <w:p>
      <w:pPr>
        <w:pStyle w:val="21"/>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6.1乙方保证所提供的货物或其任何一部分均不会侵犯任何第三方的专利权、商标权或著作权</w:t>
      </w:r>
      <w:r>
        <w:rPr>
          <w:rFonts w:hint="eastAsia" w:ascii="宋体" w:hAnsi="宋体" w:eastAsia="宋体" w:cs="宋体"/>
          <w:bCs/>
          <w:color w:val="auto"/>
          <w:highlight w:val="none"/>
        </w:rPr>
        <w:t>。</w:t>
      </w:r>
    </w:p>
    <w:p>
      <w:pPr>
        <w:pStyle w:val="21"/>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21"/>
        <w:spacing w:line="360" w:lineRule="auto"/>
        <w:rPr>
          <w:rFonts w:hint="eastAsia" w:ascii="宋体" w:hAnsi="宋体" w:eastAsia="宋体" w:cs="宋体"/>
          <w:b/>
          <w:color w:val="auto"/>
          <w:highlight w:val="none"/>
        </w:rPr>
      </w:pPr>
      <w:r>
        <w:rPr>
          <w:rFonts w:hint="eastAsia" w:ascii="宋体" w:hAnsi="宋体" w:eastAsia="宋体" w:cs="宋体"/>
          <w:b/>
          <w:bCs/>
          <w:color w:val="auto"/>
          <w:sz w:val="24"/>
          <w:highlight w:val="none"/>
        </w:rPr>
        <w:t>7.技术资料</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7.1甲方向乙方提供采购货物的有关技术要求。</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7.2乙方应在招标文件规定的时间向甲方提供使用货物的有关技术资料。</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8.货物包装、发运及运输</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8.1乙方应在货物发运前对其进行满足运输距离、防潮、防震、防锈和防破损装卸等要求包装，以保证货物安全运达甲方指定地点。</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8.2使用说明书、质量检验证明书、保修单据、随配附件和工具以及清单一并附于货物内。</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8.3乙方在货物发运手续办理完毕后24小时内或货到甲方48小时前通知甲方，以准备接货。</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8.4货物在交付甲方前发生的风险均由乙方负责。</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8.5货物在规定的交付期限内由乙方送达甲方指定的地点视为交付，乙方同时需通知甲方货物已送达。</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9.调试和验收</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9.2乙方交货前应对产品作出全面检查和对验收文件进行整理，并列出清单，作为甲方收货验收和使用的技术条件依据，检验的结果应随货物交甲方。</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9.3甲方对乙方提供的货物在使用前进行调试时，乙方需负责安装并培训甲方的使用操作人员，并协助甲方一起调试，直到符合技术要求，甲方才做最终验收。</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9.4验收时乙方必须在现场，验收完毕后作出验收结果报告。</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9.5对技术复杂的货物，甲方可请国家认可的专业检测机构参与验收，并由其出具质量检测报告，相关费用由甲方承担。</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10.违约责任</w:t>
      </w:r>
    </w:p>
    <w:p>
      <w:pPr>
        <w:pStyle w:val="21"/>
        <w:spacing w:line="360" w:lineRule="auto"/>
        <w:ind w:firstLine="420" w:firstLineChars="200"/>
        <w:rPr>
          <w:rFonts w:hAnsi="宋体"/>
          <w:color w:val="auto"/>
          <w:highlight w:val="none"/>
        </w:rPr>
      </w:pPr>
      <w:r>
        <w:rPr>
          <w:rFonts w:hint="eastAsia" w:hAnsi="宋体"/>
          <w:color w:val="auto"/>
          <w:highlight w:val="none"/>
        </w:rPr>
        <w:t>10.1 甲方无正当理由拒收货物的，甲方向乙方偿付拒收货物费总值的百分之五违约金。</w:t>
      </w:r>
    </w:p>
    <w:p>
      <w:pPr>
        <w:pStyle w:val="21"/>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1"/>
        <w:spacing w:line="360" w:lineRule="auto"/>
        <w:ind w:firstLine="420" w:firstLineChars="200"/>
        <w:rPr>
          <w:rFonts w:hAnsi="宋体"/>
          <w:color w:val="auto"/>
          <w:highlight w:val="none"/>
        </w:rPr>
      </w:pPr>
      <w:r>
        <w:rPr>
          <w:rFonts w:hint="eastAsia" w:hAnsi="宋体"/>
          <w:color w:val="auto"/>
          <w:highlight w:val="none"/>
        </w:rPr>
        <w:t>10.3 乙方逾期交付产品的，乙方应按逾期提供货物总额每日千分之六向甲方支付违约金，由甲方从待付合同款中扣除。逾期超过约定日期十个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11.不可抗力事件处理</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11.1在合同有效期内，任何一方因不可抗力事件导致不能履行合同，则合同履行期可延长，其延长期与不可抗力影响期相同。</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11.2不可抗力事件发生后，应立即通知对方，并寄送有关权威机构出具的证明。</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11.3不可抗力事件延续120天以上，双方应通过友好协商，确定是否继续履行合同。</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12.诉讼</w:t>
      </w:r>
    </w:p>
    <w:p>
      <w:pPr>
        <w:pStyle w:val="21"/>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12.1双方在执行合同中所发生的一切争议，应通过协商解决。如协商不成，可向合同签订地法院起诉，合同签订地在此约定为广西南宁市</w:t>
      </w:r>
      <w:r>
        <w:rPr>
          <w:rFonts w:hint="eastAsia" w:ascii="宋体" w:hAnsi="宋体" w:eastAsia="宋体" w:cs="宋体"/>
          <w:color w:val="auto"/>
          <w:highlight w:val="none"/>
          <w:lang w:eastAsia="zh-CN"/>
        </w:rPr>
        <w:t>马山县</w:t>
      </w:r>
      <w:r>
        <w:rPr>
          <w:rFonts w:hint="eastAsia" w:ascii="宋体" w:hAnsi="宋体" w:eastAsia="宋体" w:cs="宋体"/>
          <w:color w:val="auto"/>
          <w:highlight w:val="none"/>
        </w:rPr>
        <w:t>。</w:t>
      </w:r>
    </w:p>
    <w:p>
      <w:pPr>
        <w:pStyle w:val="21"/>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13.合同生效及其它</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13.1合同经双方法定代表人或授权委托代理人签字并加盖单位公章后生效。</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w:t>
      </w:r>
      <w:r>
        <w:rPr>
          <w:rFonts w:hint="eastAsia" w:ascii="宋体" w:hAnsi="宋体" w:eastAsia="宋体" w:cs="宋体"/>
          <w:color w:val="auto"/>
          <w:szCs w:val="21"/>
          <w:highlight w:val="none"/>
        </w:rPr>
        <w:t>合同执行中涉及采购资金和采购内容修改或补充的，须经</w:t>
      </w:r>
      <w:r>
        <w:rPr>
          <w:rFonts w:hint="eastAsia" w:ascii="宋体" w:hAnsi="宋体" w:eastAsia="宋体" w:cs="宋体"/>
          <w:color w:val="auto"/>
          <w:szCs w:val="21"/>
          <w:highlight w:val="none"/>
          <w:lang w:eastAsia="zh-CN"/>
        </w:rPr>
        <w:t>财政监管</w:t>
      </w:r>
      <w:r>
        <w:rPr>
          <w:rFonts w:hint="eastAsia" w:ascii="宋体" w:hAnsi="宋体" w:eastAsia="宋体" w:cs="宋体"/>
          <w:color w:val="auto"/>
          <w:szCs w:val="21"/>
          <w:highlight w:val="none"/>
        </w:rPr>
        <w:t>部门审批，并签书面补充协议报</w:t>
      </w:r>
      <w:r>
        <w:rPr>
          <w:rFonts w:hint="eastAsia" w:ascii="宋体" w:hAnsi="宋体" w:eastAsia="宋体" w:cs="宋体"/>
          <w:color w:val="auto"/>
          <w:szCs w:val="21"/>
          <w:highlight w:val="none"/>
          <w:lang w:eastAsia="zh-CN"/>
        </w:rPr>
        <w:t>马山县政府采购监督管理办公室</w:t>
      </w:r>
      <w:r>
        <w:rPr>
          <w:rFonts w:hint="eastAsia" w:ascii="宋体" w:hAnsi="宋体" w:eastAsia="宋体" w:cs="宋体"/>
          <w:color w:val="auto"/>
          <w:szCs w:val="21"/>
          <w:highlight w:val="none"/>
        </w:rPr>
        <w:t>备案，方可作为主合同不可分割的一部分。</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13.3下述合同附件为本合同不可分割的部分并与本合同具有同等效力：</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（1）中标通知书。</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（2）招标文件货物需求一览表。</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（3）招标文件的澄清和修改。</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（4）投标报价表。</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（5）投标产品技术资料表、商务条款偏离表。</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（6）中标供应商澄清函。</w:t>
      </w:r>
    </w:p>
    <w:p>
      <w:pPr>
        <w:pStyle w:val="21"/>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（7）其他与本合同相关的资料。</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13.4本合同未尽事宜，遵照《中华人民共和国合同法》有关条文执行。</w:t>
      </w:r>
    </w:p>
    <w:p>
      <w:pPr>
        <w:pStyle w:val="21"/>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13.5本合同一式</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份，具有同等法律效力，甲乙各执</w:t>
      </w:r>
      <w:r>
        <w:rPr>
          <w:rFonts w:hint="eastAsia" w:ascii="宋体" w:hAnsi="宋体" w:eastAsia="宋体" w:cs="宋体"/>
          <w:color w:val="auto"/>
          <w:highlight w:val="none"/>
          <w:lang w:eastAsia="zh-CN"/>
        </w:rPr>
        <w:t>两</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采购代理机构执一份。</w:t>
      </w:r>
    </w:p>
    <w:p>
      <w:pPr>
        <w:pStyle w:val="21"/>
        <w:spacing w:line="360" w:lineRule="auto"/>
        <w:ind w:firstLine="360"/>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p>
    <w:p>
      <w:pPr>
        <w:pStyle w:val="21"/>
        <w:spacing w:line="360" w:lineRule="auto"/>
        <w:ind w:firstLine="360"/>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乙方：</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开户名称：</w:t>
      </w:r>
      <w:r>
        <w:rPr>
          <w:rFonts w:hint="eastAsia" w:ascii="宋体" w:hAnsi="宋体" w:eastAsia="宋体" w:cs="宋体"/>
          <w:color w:val="auto"/>
          <w:highlight w:val="none"/>
          <w:u w:val="single"/>
        </w:rPr>
        <w:t xml:space="preserve">                                </w:t>
      </w:r>
    </w:p>
    <w:p>
      <w:pPr>
        <w:pStyle w:val="21"/>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银行账号：</w:t>
      </w:r>
      <w:r>
        <w:rPr>
          <w:rFonts w:hint="eastAsia" w:ascii="宋体" w:hAnsi="宋体" w:eastAsia="宋体" w:cs="宋体"/>
          <w:color w:val="auto"/>
          <w:highlight w:val="none"/>
          <w:u w:val="single"/>
        </w:rPr>
        <w:t xml:space="preserve">                                </w:t>
      </w:r>
    </w:p>
    <w:p>
      <w:pPr>
        <w:pStyle w:val="21"/>
        <w:spacing w:line="360" w:lineRule="auto"/>
        <w:ind w:left="178" w:leftChars="85"/>
        <w:rPr>
          <w:rFonts w:hint="eastAsia" w:ascii="宋体" w:hAnsi="宋体" w:eastAsia="宋体" w:cs="宋体"/>
          <w:color w:val="auto"/>
          <w:highlight w:val="none"/>
        </w:rPr>
      </w:pPr>
    </w:p>
    <w:p>
      <w:pPr>
        <w:pStyle w:val="21"/>
        <w:spacing w:line="360" w:lineRule="auto"/>
        <w:ind w:left="178" w:leftChars="85"/>
        <w:rPr>
          <w:rFonts w:hint="eastAsia" w:ascii="宋体" w:hAnsi="宋体" w:eastAsia="宋体" w:cs="宋体"/>
          <w:color w:val="auto"/>
          <w:highlight w:val="none"/>
        </w:rPr>
      </w:pP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合同签订地点：广西南宁市</w:t>
      </w:r>
      <w:r>
        <w:rPr>
          <w:rFonts w:hint="eastAsia" w:ascii="宋体" w:hAnsi="宋体" w:eastAsia="宋体" w:cs="宋体"/>
          <w:color w:val="auto"/>
          <w:highlight w:val="none"/>
          <w:lang w:eastAsia="zh-CN"/>
        </w:rPr>
        <w:t>马山县</w:t>
      </w:r>
      <w:r>
        <w:rPr>
          <w:rFonts w:hint="eastAsia" w:ascii="宋体" w:hAnsi="宋体" w:eastAsia="宋体" w:cs="宋体"/>
          <w:color w:val="auto"/>
          <w:highlight w:val="none"/>
        </w:rPr>
        <w:t xml:space="preserve"> </w:t>
      </w:r>
    </w:p>
    <w:p>
      <w:pPr>
        <w:pStyle w:val="21"/>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widowControl/>
        <w:spacing w:line="500" w:lineRule="exact"/>
        <w:jc w:val="center"/>
        <w:rPr>
          <w:rFonts w:hint="eastAsia" w:ascii="宋体" w:hAnsi="宋体" w:eastAsia="宋体" w:cs="宋体"/>
          <w:b/>
          <w:bCs/>
          <w:color w:val="000000"/>
          <w:kern w:val="0"/>
          <w:sz w:val="28"/>
          <w:szCs w:val="28"/>
        </w:rPr>
      </w:pPr>
      <w:r>
        <w:rPr>
          <w:rFonts w:hint="eastAsia" w:ascii="宋体" w:hAnsi="宋体" w:eastAsia="宋体" w:cs="宋体"/>
          <w:color w:val="auto"/>
          <w:highlight w:val="none"/>
        </w:rPr>
        <w:br w:type="page"/>
      </w:r>
    </w:p>
    <w:p>
      <w:pPr>
        <w:keepNext w:val="0"/>
        <w:keepLines w:val="0"/>
        <w:pageBreakBefore w:val="0"/>
        <w:widowControl/>
        <w:shd w:val="clear" w:color="auto" w:fill="FFFFFF"/>
        <w:kinsoku/>
        <w:wordWrap/>
        <w:overflowPunct/>
        <w:topLinePunct w:val="0"/>
        <w:bidi w:val="0"/>
        <w:spacing w:line="4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8"/>
          <w:szCs w:val="28"/>
        </w:rPr>
        <w:t>广西壮族自治区政府采购项目合同验收书</w:t>
      </w:r>
    </w:p>
    <w:p>
      <w:pPr>
        <w:widowControl/>
        <w:shd w:val="clear" w:color="auto" w:fill="FFFFFF"/>
        <w:snapToGrid w:val="0"/>
        <w:spacing w:line="36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根据政府采购项目（</w:t>
      </w:r>
      <w:r>
        <w:rPr>
          <w:rFonts w:hint="eastAsia" w:ascii="宋体" w:hAnsi="宋体" w:eastAsia="宋体" w:cs="宋体"/>
          <w:color w:val="000000"/>
          <w:kern w:val="0"/>
          <w:sz w:val="21"/>
          <w:szCs w:val="21"/>
          <w:u w:val="single"/>
        </w:rPr>
        <w:t>采购合同编号：</w:t>
      </w:r>
      <w:r>
        <w:rPr>
          <w:rFonts w:hint="eastAsia" w:ascii="宋体" w:hAnsi="宋体" w:eastAsia="宋体" w:cs="宋体"/>
          <w:color w:val="000000"/>
          <w:kern w:val="0"/>
          <w:sz w:val="21"/>
          <w:szCs w:val="21"/>
          <w:u w:val="single"/>
        </w:rPr>
        <w:softHyphen/>
      </w:r>
      <w:r>
        <w:rPr>
          <w:rFonts w:hint="eastAsia" w:ascii="宋体" w:hAnsi="宋体" w:eastAsia="宋体" w:cs="宋体"/>
          <w:color w:val="000000"/>
          <w:kern w:val="0"/>
          <w:sz w:val="21"/>
          <w:szCs w:val="21"/>
          <w:u w:val="single"/>
        </w:rPr>
        <w:t>   </w:t>
      </w:r>
      <w:r>
        <w:rPr>
          <w:rFonts w:hint="eastAsia" w:ascii="宋体" w:hAnsi="宋体" w:eastAsia="宋体" w:cs="宋体"/>
          <w:color w:val="000000"/>
          <w:kern w:val="0"/>
          <w:sz w:val="21"/>
          <w:szCs w:val="21"/>
        </w:rPr>
        <w:t>）的约定，我单位对（</w:t>
      </w:r>
      <w:r>
        <w:rPr>
          <w:rFonts w:hint="eastAsia" w:ascii="宋体" w:hAnsi="宋体" w:eastAsia="宋体" w:cs="宋体"/>
          <w:color w:val="000000"/>
          <w:kern w:val="0"/>
          <w:sz w:val="21"/>
          <w:szCs w:val="21"/>
          <w:u w:val="single"/>
        </w:rPr>
        <w:t xml:space="preserve"> 项目名称   </w:t>
      </w:r>
      <w:r>
        <w:rPr>
          <w:rFonts w:hint="eastAsia" w:ascii="宋体" w:hAnsi="宋体" w:eastAsia="宋体" w:cs="宋体"/>
          <w:color w:val="000000"/>
          <w:kern w:val="0"/>
          <w:sz w:val="21"/>
          <w:szCs w:val="21"/>
        </w:rPr>
        <w:t>）政府采购项目中标（或成交）供应商（</w:t>
      </w:r>
      <w:r>
        <w:rPr>
          <w:rFonts w:hint="eastAsia" w:ascii="宋体" w:hAnsi="宋体" w:eastAsia="宋体" w:cs="宋体"/>
          <w:color w:val="000000"/>
          <w:kern w:val="0"/>
          <w:sz w:val="21"/>
          <w:szCs w:val="21"/>
          <w:u w:val="single"/>
        </w:rPr>
        <w:t xml:space="preserve">       公司名称       </w:t>
      </w:r>
      <w:r>
        <w:rPr>
          <w:rFonts w:hint="eastAsia" w:ascii="宋体" w:hAnsi="宋体" w:eastAsia="宋体" w:cs="宋体"/>
          <w:color w:val="000000"/>
          <w:kern w:val="0"/>
          <w:sz w:val="21"/>
          <w:szCs w:val="21"/>
        </w:rPr>
        <w:t>）提供的货物（或工程、服务）进行了验收，验收情况如下：</w:t>
      </w:r>
    </w:p>
    <w:tbl>
      <w:tblPr>
        <w:tblStyle w:val="40"/>
        <w:tblW w:w="9793" w:type="dxa"/>
        <w:jc w:val="center"/>
        <w:tblLayout w:type="fixed"/>
        <w:tblCellMar>
          <w:top w:w="0" w:type="dxa"/>
          <w:left w:w="0" w:type="dxa"/>
          <w:bottom w:w="0" w:type="dxa"/>
          <w:right w:w="0" w:type="dxa"/>
        </w:tblCellMar>
      </w:tblPr>
      <w:tblGrid>
        <w:gridCol w:w="1260"/>
        <w:gridCol w:w="1808"/>
        <w:gridCol w:w="1516"/>
        <w:gridCol w:w="2110"/>
        <w:gridCol w:w="208"/>
        <w:gridCol w:w="803"/>
        <w:gridCol w:w="2088"/>
      </w:tblGrid>
      <w:tr>
        <w:tblPrEx>
          <w:tblCellMar>
            <w:top w:w="0" w:type="dxa"/>
            <w:left w:w="0" w:type="dxa"/>
            <w:bottom w:w="0" w:type="dxa"/>
            <w:right w:w="0" w:type="dxa"/>
          </w:tblCellMar>
        </w:tblPrEx>
        <w:trPr>
          <w:trHeight w:val="497" w:hRule="atLeast"/>
          <w:jc w:val="center"/>
        </w:trPr>
        <w:tc>
          <w:tcPr>
            <w:tcW w:w="306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验收方式：</w:t>
            </w:r>
          </w:p>
        </w:tc>
        <w:tc>
          <w:tcPr>
            <w:tcW w:w="6725" w:type="dxa"/>
            <w:gridSpan w:val="5"/>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□自行验收        □委托验收</w:t>
            </w:r>
          </w:p>
        </w:tc>
      </w:tr>
      <w:tr>
        <w:tblPrEx>
          <w:tblCellMar>
            <w:top w:w="0" w:type="dxa"/>
            <w:left w:w="0" w:type="dxa"/>
            <w:bottom w:w="0" w:type="dxa"/>
            <w:right w:w="0" w:type="dxa"/>
          </w:tblCellMar>
        </w:tblPrEx>
        <w:trPr>
          <w:trHeight w:val="920"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序号</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名 称</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货物型号规格、标准及配置等</w:t>
            </w:r>
          </w:p>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（或服务内容、标准）</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数量</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金 额</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6694" w:type="dxa"/>
            <w:gridSpan w:val="4"/>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       计</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41" w:hRule="atLeast"/>
          <w:jc w:val="center"/>
        </w:trPr>
        <w:tc>
          <w:tcPr>
            <w:tcW w:w="9793" w:type="dxa"/>
            <w:gridSpan w:val="7"/>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spacing w:val="-14"/>
                <w:kern w:val="0"/>
                <w:sz w:val="21"/>
                <w:szCs w:val="21"/>
              </w:rPr>
            </w:pPr>
            <w:r>
              <w:rPr>
                <w:rFonts w:hint="eastAsia" w:ascii="宋体" w:hAnsi="宋体" w:eastAsia="宋体" w:cs="宋体"/>
                <w:color w:val="333333"/>
                <w:spacing w:val="-14"/>
                <w:kern w:val="0"/>
                <w:sz w:val="21"/>
                <w:szCs w:val="21"/>
              </w:rPr>
              <w:t>实际供货日期</w:t>
            </w:r>
          </w:p>
        </w:tc>
        <w:tc>
          <w:tcPr>
            <w:tcW w:w="3324"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31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6"/>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合同交货验收日期</w:t>
            </w:r>
          </w:p>
        </w:tc>
        <w:tc>
          <w:tcPr>
            <w:tcW w:w="289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93" w:hRule="atLeast"/>
          <w:jc w:val="center"/>
        </w:trPr>
        <w:tc>
          <w:tcPr>
            <w:tcW w:w="12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验收具体内容</w:t>
            </w:r>
          </w:p>
        </w:tc>
        <w:tc>
          <w:tcPr>
            <w:tcW w:w="853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hint="eastAsia" w:ascii="宋体" w:hAnsi="宋体" w:cs="宋体"/>
                <w:color w:val="333333"/>
                <w:kern w:val="0"/>
                <w:sz w:val="21"/>
                <w:szCs w:val="21"/>
                <w:lang w:eastAsia="zh-CN"/>
              </w:rPr>
              <w:t>。</w:t>
            </w:r>
          </w:p>
        </w:tc>
      </w:tr>
      <w:tr>
        <w:tblPrEx>
          <w:tblCellMar>
            <w:top w:w="0" w:type="dxa"/>
            <w:left w:w="0" w:type="dxa"/>
            <w:bottom w:w="0" w:type="dxa"/>
            <w:right w:w="0" w:type="dxa"/>
          </w:tblCellMar>
        </w:tblPrEx>
        <w:trPr>
          <w:trHeight w:val="1281" w:hRule="atLeast"/>
          <w:jc w:val="center"/>
        </w:trPr>
        <w:tc>
          <w:tcPr>
            <w:tcW w:w="126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验收小组意见</w:t>
            </w: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验收结论性意见：</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07" w:hRule="atLeast"/>
          <w:jc w:val="center"/>
        </w:trPr>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exact"/>
              <w:jc w:val="left"/>
              <w:rPr>
                <w:rFonts w:hint="eastAsia" w:ascii="宋体" w:hAnsi="宋体" w:eastAsia="宋体" w:cs="宋体"/>
                <w:color w:val="333333"/>
                <w:kern w:val="0"/>
                <w:sz w:val="21"/>
                <w:szCs w:val="21"/>
              </w:rPr>
            </w:pP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有异议的意见和说明理由：</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签字：</w:t>
            </w:r>
          </w:p>
        </w:tc>
      </w:tr>
      <w:tr>
        <w:tblPrEx>
          <w:tblCellMar>
            <w:top w:w="0" w:type="dxa"/>
            <w:left w:w="0" w:type="dxa"/>
            <w:bottom w:w="0" w:type="dxa"/>
            <w:right w:w="0" w:type="dxa"/>
          </w:tblCellMar>
        </w:tblPrEx>
        <w:trPr>
          <w:trHeight w:val="507" w:hRule="atLeast"/>
          <w:jc w:val="center"/>
        </w:trPr>
        <w:tc>
          <w:tcPr>
            <w:tcW w:w="9793" w:type="dxa"/>
            <w:gridSpan w:val="7"/>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验收小组成员签字：</w:t>
            </w:r>
          </w:p>
        </w:tc>
      </w:tr>
      <w:tr>
        <w:tblPrEx>
          <w:tblCellMar>
            <w:top w:w="0" w:type="dxa"/>
            <w:left w:w="0" w:type="dxa"/>
            <w:bottom w:w="0" w:type="dxa"/>
            <w:right w:w="0" w:type="dxa"/>
          </w:tblCellMar>
        </w:tblPrEx>
        <w:trPr>
          <w:trHeight w:val="736" w:hRule="atLeast"/>
          <w:jc w:val="center"/>
        </w:trPr>
        <w:tc>
          <w:tcPr>
            <w:tcW w:w="9793" w:type="dxa"/>
            <w:gridSpan w:val="7"/>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监督人员或其他相关人员签字：</w:t>
            </w:r>
          </w:p>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或受邀机构的意见（盖章）：</w:t>
            </w:r>
          </w:p>
        </w:tc>
      </w:tr>
      <w:tr>
        <w:tblPrEx>
          <w:tblCellMar>
            <w:top w:w="0" w:type="dxa"/>
            <w:left w:w="0" w:type="dxa"/>
            <w:bottom w:w="0" w:type="dxa"/>
            <w:right w:w="0" w:type="dxa"/>
          </w:tblCellMar>
        </w:tblPrEx>
        <w:trPr>
          <w:trHeight w:val="758"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中标或者成交供应商负责人签字或盖章：</w:t>
            </w:r>
          </w:p>
          <w:p>
            <w:pPr>
              <w:widowControl/>
              <w:spacing w:before="100" w:beforeAutospacing="1" w:after="100" w:afterAutospacing="1" w:line="360" w:lineRule="exact"/>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联系电话：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940" w:firstLineChars="14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日</w:t>
            </w:r>
          </w:p>
        </w:tc>
        <w:tc>
          <w:tcPr>
            <w:tcW w:w="520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采购人或受托机构的意见（盖章）：</w:t>
            </w:r>
          </w:p>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联系电</w:t>
            </w:r>
            <w:r>
              <w:rPr>
                <w:rFonts w:hint="eastAsia" w:ascii="宋体" w:hAnsi="宋体" w:eastAsia="宋体" w:cs="宋体"/>
                <w:color w:val="333333"/>
                <w:kern w:val="0"/>
                <w:sz w:val="21"/>
                <w:szCs w:val="21"/>
              </w:rPr>
              <w:t>话：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520" w:firstLineChars="12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xml:space="preserve"> </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日</w:t>
            </w:r>
          </w:p>
        </w:tc>
      </w:tr>
    </w:tbl>
    <w:p>
      <w:pPr>
        <w:pStyle w:val="37"/>
        <w:spacing w:line="360" w:lineRule="exact"/>
        <w:jc w:val="both"/>
        <w:rPr>
          <w:rFonts w:hint="eastAsia" w:ascii="宋体" w:hAnsi="宋体" w:eastAsia="宋体" w:cs="宋体"/>
          <w:b/>
          <w:sz w:val="21"/>
          <w:szCs w:val="21"/>
        </w:rPr>
      </w:pPr>
      <w:r>
        <w:rPr>
          <w:rFonts w:hint="eastAsia" w:ascii="宋体" w:hAnsi="宋体" w:eastAsia="宋体" w:cs="宋体"/>
          <w:color w:val="000000"/>
          <w:kern w:val="0"/>
          <w:sz w:val="21"/>
          <w:szCs w:val="21"/>
        </w:rPr>
        <w:t> </w:t>
      </w:r>
      <w:r>
        <w:rPr>
          <w:rFonts w:hint="eastAsia" w:ascii="宋体" w:hAnsi="宋体" w:eastAsia="宋体" w:cs="宋体"/>
          <w:color w:val="auto"/>
          <w:kern w:val="0"/>
          <w:sz w:val="21"/>
          <w:szCs w:val="21"/>
        </w:rPr>
        <w:t>备注：合同验收书一式三份，采购人、中标（或成交）供应商、受托采购代理机构各一份。</w:t>
      </w:r>
    </w:p>
    <w:p>
      <w:pPr>
        <w:snapToGrid w:val="0"/>
        <w:spacing w:before="120" w:beforeLines="50" w:after="50" w:line="440" w:lineRule="exact"/>
        <w:jc w:val="center"/>
        <w:rPr>
          <w:rFonts w:hint="eastAsia" w:ascii="宋体" w:hAnsi="宋体" w:eastAsia="宋体" w:cs="宋体"/>
          <w:b/>
          <w:sz w:val="30"/>
          <w:szCs w:val="30"/>
          <w:lang w:val="en-US" w:eastAsia="zh-CN"/>
        </w:rPr>
      </w:pPr>
      <w:r>
        <w:rPr>
          <w:rFonts w:hint="eastAsia" w:ascii="宋体" w:hAnsi="宋体" w:eastAsia="宋体" w:cs="宋体"/>
          <w:b/>
          <w:sz w:val="30"/>
          <w:szCs w:val="30"/>
          <w:lang w:eastAsia="zh-CN"/>
        </w:rPr>
        <w:t>第六章</w:t>
      </w:r>
      <w:r>
        <w:rPr>
          <w:rFonts w:hint="eastAsia" w:ascii="宋体" w:hAnsi="宋体" w:eastAsia="宋体" w:cs="宋体"/>
          <w:b/>
          <w:sz w:val="30"/>
          <w:szCs w:val="30"/>
          <w:lang w:val="en-US" w:eastAsia="zh-CN"/>
        </w:rPr>
        <w:t xml:space="preserve"> </w:t>
      </w:r>
      <w:r>
        <w:rPr>
          <w:rFonts w:hint="eastAsia" w:ascii="宋体" w:hAnsi="宋体" w:cs="宋体"/>
          <w:b/>
          <w:sz w:val="30"/>
          <w:szCs w:val="30"/>
          <w:lang w:val="en-US" w:eastAsia="zh-CN"/>
        </w:rPr>
        <w:t xml:space="preserve"> </w:t>
      </w:r>
      <w:r>
        <w:rPr>
          <w:rFonts w:hint="eastAsia" w:ascii="宋体" w:hAnsi="宋体" w:eastAsia="宋体" w:cs="宋体"/>
          <w:b/>
          <w:sz w:val="30"/>
          <w:szCs w:val="30"/>
          <w:lang w:val="en-US" w:eastAsia="zh-CN"/>
        </w:rPr>
        <w:t>投标文件格式</w:t>
      </w:r>
    </w:p>
    <w:p>
      <w:pPr>
        <w:pStyle w:val="21"/>
        <w:jc w:val="both"/>
        <w:rPr>
          <w:rFonts w:hint="eastAsia" w:ascii="宋体" w:hAnsi="宋体" w:eastAsia="宋体" w:cs="宋体"/>
          <w:b/>
          <w:color w:val="000000"/>
          <w:sz w:val="28"/>
          <w:szCs w:val="28"/>
          <w:lang w:val="en-US" w:eastAsia="zh-CN"/>
        </w:rPr>
      </w:pPr>
    </w:p>
    <w:p>
      <w:pPr>
        <w:pStyle w:val="21"/>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格式1：</w:t>
      </w:r>
    </w:p>
    <w:p>
      <w:pPr>
        <w:pStyle w:val="21"/>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投标函（格式）</w:t>
      </w:r>
    </w:p>
    <w:p>
      <w:pPr>
        <w:spacing w:line="240" w:lineRule="exact"/>
        <w:jc w:val="center"/>
        <w:rPr>
          <w:rFonts w:hint="eastAsia" w:ascii="宋体" w:hAnsi="宋体" w:eastAsia="宋体" w:cs="宋体"/>
          <w:color w:val="000000"/>
          <w:sz w:val="24"/>
          <w:szCs w:val="24"/>
        </w:rPr>
      </w:pPr>
    </w:p>
    <w:p>
      <w:pPr>
        <w:tabs>
          <w:tab w:val="left" w:pos="7200"/>
        </w:tabs>
        <w:spacing w:line="360" w:lineRule="auto"/>
        <w:rPr>
          <w:rFonts w:hAnsi="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pStyle w:val="21"/>
        <w:spacing w:line="440" w:lineRule="exact"/>
        <w:ind w:firstLine="482"/>
        <w:rPr>
          <w:rFonts w:hint="eastAsia"/>
        </w:rPr>
      </w:pPr>
      <w:r>
        <w:rPr>
          <w:rFonts w:hint="eastAsia"/>
        </w:rPr>
        <w:t>我方已仔细阅读了贵方组织的</w:t>
      </w:r>
      <w:r>
        <w:rPr>
          <w:rFonts w:hint="eastAsia"/>
          <w:u w:val="single"/>
        </w:rPr>
        <w:t>（项目名称）</w:t>
      </w:r>
      <w:r>
        <w:rPr>
          <w:rFonts w:hint="eastAsia"/>
        </w:rPr>
        <w:t>项目（项目编号：）的招标文件的全部内容，现正式递交下述文件参加贵方组织的本次政府采购活动：</w:t>
      </w:r>
    </w:p>
    <w:p>
      <w:pPr>
        <w:pStyle w:val="21"/>
        <w:spacing w:line="420" w:lineRule="exact"/>
        <w:ind w:firstLine="482"/>
        <w:rPr>
          <w:rFonts w:hint="eastAsia" w:eastAsia="宋体"/>
          <w:lang w:eastAsia="zh-CN"/>
        </w:rPr>
      </w:pPr>
      <w:r>
        <w:rPr>
          <w:rFonts w:hint="eastAsia"/>
        </w:rPr>
        <w:t>一、报价文件正本一份，副本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.1.1项要求提交的全部文件）</w:t>
      </w:r>
      <w:r>
        <w:rPr>
          <w:rFonts w:hint="eastAsia"/>
          <w:lang w:eastAsia="zh-CN"/>
        </w:rPr>
        <w:t>。</w:t>
      </w:r>
    </w:p>
    <w:p>
      <w:pPr>
        <w:pStyle w:val="21"/>
        <w:spacing w:line="420" w:lineRule="exact"/>
        <w:ind w:firstLine="482"/>
        <w:rPr>
          <w:rFonts w:hint="eastAsia" w:eastAsia="宋体"/>
          <w:lang w:eastAsia="zh-CN"/>
        </w:rPr>
      </w:pPr>
      <w:r>
        <w:rPr>
          <w:rFonts w:hint="eastAsia"/>
        </w:rPr>
        <w:t>二、资格</w:t>
      </w:r>
      <w:r>
        <w:rPr>
          <w:rFonts w:hint="eastAsia"/>
          <w:lang w:eastAsia="zh-CN"/>
        </w:rPr>
        <w:t>审查</w:t>
      </w:r>
      <w:r>
        <w:rPr>
          <w:rFonts w:hint="eastAsia"/>
        </w:rPr>
        <w:t>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.1.2项要求提交的全部文件）</w:t>
      </w:r>
      <w:r>
        <w:rPr>
          <w:rFonts w:hint="eastAsia"/>
          <w:lang w:eastAsia="zh-CN"/>
        </w:rPr>
        <w:t>。</w:t>
      </w:r>
    </w:p>
    <w:p>
      <w:pPr>
        <w:pStyle w:val="21"/>
        <w:spacing w:line="420" w:lineRule="exact"/>
        <w:ind w:firstLine="482"/>
        <w:rPr>
          <w:rFonts w:hint="eastAsia"/>
        </w:rPr>
      </w:pPr>
      <w:r>
        <w:rPr>
          <w:rFonts w:hint="eastAsia"/>
        </w:rPr>
        <w:t>三</w:t>
      </w:r>
      <w:r>
        <w:rPr>
          <w:rFonts w:hint="eastAsia" w:hAnsi="宋体"/>
        </w:rPr>
        <w:t>、</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份（包含按投标人须知第1</w:t>
      </w:r>
      <w:r>
        <w:rPr>
          <w:rFonts w:hint="eastAsia" w:hAnsi="宋体"/>
          <w:lang w:val="en-US" w:eastAsia="zh-CN"/>
        </w:rPr>
        <w:t>4</w:t>
      </w:r>
      <w:r>
        <w:rPr>
          <w:rFonts w:hint="eastAsia" w:hAnsi="宋体"/>
        </w:rPr>
        <w:t>.1.</w:t>
      </w:r>
      <w:r>
        <w:rPr>
          <w:rFonts w:hint="eastAsia"/>
        </w:rPr>
        <w:t>3</w:t>
      </w:r>
      <w:r>
        <w:rPr>
          <w:rFonts w:hint="eastAsia" w:hAnsi="宋体"/>
        </w:rPr>
        <w:t>项要求</w:t>
      </w:r>
      <w:r>
        <w:rPr>
          <w:rFonts w:hint="eastAsia"/>
        </w:rPr>
        <w:t>提交的全部文件）。</w:t>
      </w:r>
    </w:p>
    <w:p>
      <w:pPr>
        <w:pStyle w:val="21"/>
        <w:spacing w:line="420" w:lineRule="exact"/>
        <w:ind w:firstLine="482"/>
        <w:rPr>
          <w:rFonts w:hint="eastAsia" w:eastAsia="宋体"/>
          <w:lang w:eastAsia="zh-CN"/>
        </w:rPr>
      </w:pPr>
      <w:r>
        <w:rPr>
          <w:rFonts w:hint="eastAsia" w:hAnsi="宋体"/>
        </w:rPr>
        <w:t>四</w:t>
      </w:r>
      <w:r>
        <w:rPr>
          <w:rFonts w:hint="eastAsia"/>
        </w:rPr>
        <w:t>、</w:t>
      </w:r>
      <w:r>
        <w:rPr>
          <w:rFonts w:hint="eastAsia" w:hAnsi="宋体"/>
        </w:rPr>
        <w:t>技术</w:t>
      </w:r>
      <w:r>
        <w:rPr>
          <w:rFonts w:hint="eastAsia"/>
        </w:rPr>
        <w:t>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w:t>
      </w:r>
      <w:r>
        <w:rPr>
          <w:rFonts w:hint="eastAsia" w:hAnsi="宋体"/>
        </w:rPr>
        <w:t>4</w:t>
      </w:r>
      <w:r>
        <w:rPr>
          <w:rFonts w:hint="eastAsia"/>
        </w:rPr>
        <w:t>项要求提交的全部文件）</w:t>
      </w:r>
      <w:r>
        <w:rPr>
          <w:rFonts w:hint="eastAsia"/>
          <w:lang w:eastAsia="zh-CN"/>
        </w:rPr>
        <w:t>。</w:t>
      </w:r>
    </w:p>
    <w:p>
      <w:pPr>
        <w:pStyle w:val="21"/>
        <w:spacing w:line="440" w:lineRule="exact"/>
        <w:ind w:firstLine="482"/>
        <w:rPr>
          <w:rFonts w:hint="eastAsia" w:eastAsia="宋体"/>
          <w:lang w:eastAsia="zh-CN"/>
        </w:rPr>
      </w:pPr>
      <w:r>
        <w:rPr>
          <w:rFonts w:hint="eastAsia"/>
          <w:lang w:eastAsia="zh-CN"/>
        </w:rPr>
        <w:t>五、</w:t>
      </w:r>
      <w:r>
        <w:rPr>
          <w:rFonts w:hint="eastAsia" w:ascii="宋体" w:hAnsi="宋体" w:eastAsia="宋体" w:cs="宋体"/>
          <w:i w:val="0"/>
          <w:iCs w:val="0"/>
          <w:color w:val="auto"/>
          <w:sz w:val="21"/>
          <w:szCs w:val="21"/>
        </w:rPr>
        <w:t>投标文件电子版U盘</w:t>
      </w:r>
      <w:r>
        <w:rPr>
          <w:rFonts w:hint="eastAsia"/>
        </w:rPr>
        <w:t>一份</w:t>
      </w:r>
      <w:r>
        <w:rPr>
          <w:rFonts w:hint="eastAsia"/>
          <w:lang w:eastAsia="zh-CN"/>
        </w:rPr>
        <w:t>。</w:t>
      </w:r>
    </w:p>
    <w:p>
      <w:pPr>
        <w:pStyle w:val="21"/>
        <w:spacing w:line="440" w:lineRule="exact"/>
        <w:ind w:firstLine="482"/>
        <w:rPr>
          <w:rFonts w:hint="eastAsia" w:ascii="Times New Roman" w:hAnsi="Times New Roman"/>
        </w:rPr>
      </w:pPr>
      <w:r>
        <w:rPr>
          <w:rFonts w:hint="eastAsia"/>
        </w:rPr>
        <w:t>据此函，签字人兹宣布：</w:t>
      </w:r>
    </w:p>
    <w:p>
      <w:pPr>
        <w:pStyle w:val="21"/>
        <w:spacing w:line="440" w:lineRule="exact"/>
        <w:ind w:firstLine="482"/>
        <w:rPr>
          <w:rFonts w:hint="eastAsia"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元)的投标总报价，</w:t>
      </w:r>
      <w:r>
        <w:rPr>
          <w:rFonts w:hint="eastAsia"/>
          <w:lang w:eastAsia="zh-CN"/>
        </w:rPr>
        <w:t>交货期</w:t>
      </w:r>
      <w:r>
        <w:rPr>
          <w:rFonts w:hint="eastAsia"/>
        </w:rPr>
        <w:t>：</w:t>
      </w:r>
      <w:r>
        <w:rPr>
          <w:rFonts w:hint="eastAsia"/>
          <w:u w:val="single"/>
        </w:rPr>
        <w:t xml:space="preserve">       </w:t>
      </w:r>
      <w:r>
        <w:rPr>
          <w:rFonts w:hint="eastAsia"/>
        </w:rPr>
        <w:t>，提供本项目招标文件第</w:t>
      </w:r>
      <w:r>
        <w:rPr>
          <w:rFonts w:hint="eastAsia"/>
          <w:lang w:eastAsia="zh-CN"/>
        </w:rPr>
        <w:t>三</w:t>
      </w:r>
      <w:r>
        <w:rPr>
          <w:rFonts w:hint="eastAsia"/>
        </w:rPr>
        <w:t>章“</w:t>
      </w:r>
      <w:r>
        <w:rPr>
          <w:rFonts w:hint="eastAsia"/>
          <w:lang w:eastAsia="zh-CN"/>
        </w:rPr>
        <w:t>货物需求一览表</w:t>
      </w:r>
      <w:r>
        <w:rPr>
          <w:rFonts w:hint="eastAsia"/>
        </w:rPr>
        <w:t>”中的采购内容。</w:t>
      </w:r>
    </w:p>
    <w:p>
      <w:pPr>
        <w:pStyle w:val="21"/>
        <w:spacing w:line="420" w:lineRule="exact"/>
        <w:ind w:firstLine="482"/>
      </w:pPr>
      <w:r>
        <w:rPr>
          <w:rFonts w:hint="eastAsia"/>
        </w:rPr>
        <w:t>2、我方同意自本项目招标文件“投标人须知”第1</w:t>
      </w:r>
      <w:r>
        <w:rPr>
          <w:rFonts w:hint="eastAsia"/>
          <w:lang w:val="en-US" w:eastAsia="zh-CN"/>
        </w:rPr>
        <w:t>8</w:t>
      </w:r>
      <w:r>
        <w:rPr>
          <w:rFonts w:hint="eastAsia"/>
        </w:rPr>
        <w:t>.</w:t>
      </w:r>
      <w:r>
        <w:rPr>
          <w:rFonts w:hint="eastAsia"/>
          <w:lang w:val="en-US" w:eastAsia="zh-CN"/>
        </w:rPr>
        <w:t>2</w:t>
      </w:r>
      <w:r>
        <w:rPr>
          <w:rFonts w:hint="eastAsia"/>
        </w:rPr>
        <w:t>项规定的投标截止时间（开标时间）起遵循</w:t>
      </w:r>
      <w:r>
        <w:rPr>
          <w:rFonts w:hint="eastAsia" w:hAnsi="宋体"/>
        </w:rPr>
        <w:t>本投标函</w:t>
      </w:r>
      <w:r>
        <w:rPr>
          <w:rFonts w:hint="eastAsia"/>
        </w:rPr>
        <w:t>，并承诺在“投标人须知”第1</w:t>
      </w:r>
      <w:r>
        <w:rPr>
          <w:rFonts w:hint="eastAsia"/>
          <w:lang w:val="en-US" w:eastAsia="zh-CN"/>
        </w:rPr>
        <w:t>6</w:t>
      </w:r>
      <w:r>
        <w:rPr>
          <w:rFonts w:hint="eastAsia"/>
        </w:rPr>
        <w:t>.1项规定的投标有效期内不修改、撤销投标文件。</w:t>
      </w:r>
    </w:p>
    <w:p>
      <w:pPr>
        <w:pStyle w:val="21"/>
        <w:spacing w:line="420" w:lineRule="exact"/>
        <w:ind w:firstLine="482"/>
      </w:pPr>
      <w:r>
        <w:rPr>
          <w:rFonts w:hint="eastAsia"/>
        </w:rPr>
        <w:t>3、我方在此声明，所递交的投标文件及有关资料内容完整、真实和准确。</w:t>
      </w:r>
    </w:p>
    <w:p>
      <w:pPr>
        <w:pStyle w:val="21"/>
        <w:spacing w:line="420" w:lineRule="exact"/>
        <w:ind w:firstLine="482"/>
        <w:rPr>
          <w:rFonts w:hint="eastAsia"/>
        </w:rPr>
      </w:pPr>
      <w:r>
        <w:rPr>
          <w:rFonts w:hint="eastAsia"/>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1"/>
        <w:numPr>
          <w:ilvl w:val="0"/>
          <w:numId w:val="3"/>
        </w:numPr>
        <w:spacing w:line="440" w:lineRule="exact"/>
        <w:rPr>
          <w:rFonts w:hint="eastAsia"/>
        </w:rPr>
      </w:pPr>
      <w:r>
        <w:rPr>
          <w:rFonts w:hint="eastAsia"/>
        </w:rPr>
        <w:t>具有独立承担民事责任的能力。</w:t>
      </w:r>
    </w:p>
    <w:p>
      <w:pPr>
        <w:pStyle w:val="21"/>
        <w:numPr>
          <w:ilvl w:val="0"/>
          <w:numId w:val="3"/>
        </w:numPr>
        <w:spacing w:line="440" w:lineRule="exact"/>
        <w:rPr>
          <w:rFonts w:hint="eastAsia"/>
        </w:rPr>
      </w:pPr>
      <w:r>
        <w:rPr>
          <w:rFonts w:hint="eastAsia"/>
        </w:rPr>
        <w:t>具有良好的商业信誉和健全的财务会计制度。</w:t>
      </w:r>
    </w:p>
    <w:p>
      <w:pPr>
        <w:pStyle w:val="21"/>
        <w:numPr>
          <w:ilvl w:val="0"/>
          <w:numId w:val="3"/>
        </w:numPr>
        <w:spacing w:line="440" w:lineRule="exact"/>
        <w:rPr>
          <w:rFonts w:hint="eastAsia"/>
        </w:rPr>
      </w:pPr>
      <w:r>
        <w:rPr>
          <w:rFonts w:hint="eastAsia"/>
        </w:rPr>
        <w:t>具有履行合同所必需的设备和专业技术能力。</w:t>
      </w:r>
    </w:p>
    <w:p>
      <w:pPr>
        <w:pStyle w:val="21"/>
        <w:numPr>
          <w:ilvl w:val="0"/>
          <w:numId w:val="3"/>
        </w:numPr>
        <w:spacing w:line="440" w:lineRule="exact"/>
        <w:rPr>
          <w:rFonts w:hint="eastAsia"/>
        </w:rPr>
      </w:pPr>
      <w:r>
        <w:rPr>
          <w:rFonts w:hint="eastAsia"/>
        </w:rPr>
        <w:t>有依法缴纳税收和社会保障资金的良好记录。</w:t>
      </w:r>
    </w:p>
    <w:p>
      <w:pPr>
        <w:pStyle w:val="21"/>
        <w:numPr>
          <w:ilvl w:val="0"/>
          <w:numId w:val="3"/>
        </w:numPr>
        <w:spacing w:line="440" w:lineRule="exact"/>
        <w:rPr>
          <w:rFonts w:hint="eastAsia"/>
        </w:rPr>
      </w:pPr>
      <w:r>
        <w:rPr>
          <w:rFonts w:hint="eastAsia"/>
        </w:rPr>
        <w:t>参加政府采购活动前三年内，在经营活动中没有重大违法记录。</w:t>
      </w:r>
    </w:p>
    <w:p>
      <w:pPr>
        <w:pStyle w:val="21"/>
        <w:numPr>
          <w:ilvl w:val="0"/>
          <w:numId w:val="3"/>
        </w:numPr>
        <w:spacing w:line="440" w:lineRule="exact"/>
        <w:rPr>
          <w:rFonts w:hint="eastAsia"/>
        </w:rPr>
      </w:pPr>
      <w:r>
        <w:rPr>
          <w:rFonts w:hint="eastAsia"/>
        </w:rPr>
        <w:t>法律、行政法规规定的其他条件。</w:t>
      </w:r>
    </w:p>
    <w:p>
      <w:pPr>
        <w:pStyle w:val="21"/>
        <w:spacing w:line="440" w:lineRule="exact"/>
        <w:ind w:firstLine="482"/>
        <w:rPr>
          <w:rFonts w:hint="eastAsia"/>
        </w:rPr>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21"/>
        <w:spacing w:line="440" w:lineRule="exact"/>
        <w:ind w:firstLine="482"/>
        <w:rPr>
          <w:rFonts w:hint="eastAsia"/>
        </w:rPr>
      </w:pPr>
      <w:r>
        <w:rPr>
          <w:rFonts w:hint="eastAsia"/>
        </w:rPr>
        <w:t>6、如我方中标，我方承诺在收到中标通知书后，在中标通知书规定的期限内，</w:t>
      </w:r>
      <w:r>
        <w:rPr>
          <w:rFonts w:hint="eastAsia" w:hAnsi="宋体"/>
        </w:rPr>
        <w:t>根据招标文件、我方的投标文件及有关澄清承诺书的要求按第</w:t>
      </w:r>
      <w:r>
        <w:rPr>
          <w:rFonts w:hint="eastAsia" w:hAnsi="宋体"/>
          <w:lang w:eastAsia="zh-CN"/>
        </w:rPr>
        <w:t>五</w:t>
      </w:r>
      <w:r>
        <w:rPr>
          <w:rFonts w:hint="eastAsia" w:hAnsi="宋体"/>
        </w:rPr>
        <w:t>章“合同</w:t>
      </w:r>
      <w:r>
        <w:rPr>
          <w:rFonts w:hint="eastAsia" w:hAnsi="宋体"/>
          <w:lang w:eastAsia="zh-CN"/>
        </w:rPr>
        <w:t>主要</w:t>
      </w:r>
      <w:r>
        <w:rPr>
          <w:rFonts w:hint="eastAsia" w:hAnsi="宋体"/>
        </w:rPr>
        <w:t>条款及格式”与采购人订立书面合同，并按照合同约定</w:t>
      </w:r>
      <w:r>
        <w:rPr>
          <w:rFonts w:hint="eastAsia"/>
        </w:rPr>
        <w:t>承担完成合同的责任和义务。</w:t>
      </w:r>
    </w:p>
    <w:p>
      <w:pPr>
        <w:pStyle w:val="21"/>
        <w:spacing w:line="440" w:lineRule="exact"/>
        <w:ind w:firstLine="482"/>
        <w:rPr>
          <w:rFonts w:hint="eastAsia"/>
        </w:rPr>
      </w:pPr>
      <w:r>
        <w:rPr>
          <w:rFonts w:hint="eastAsia"/>
        </w:rPr>
        <w:t>7、我方已详细审核招标文件，我方知道必须放弃提出含糊不清或误解问题的权利。</w:t>
      </w:r>
    </w:p>
    <w:p>
      <w:pPr>
        <w:pStyle w:val="21"/>
        <w:spacing w:line="440" w:lineRule="exact"/>
        <w:ind w:firstLine="482"/>
        <w:rPr>
          <w:rFonts w:hint="eastAsia"/>
        </w:rPr>
      </w:pPr>
      <w:r>
        <w:rPr>
          <w:rFonts w:hint="eastAsia"/>
        </w:rPr>
        <w:t>8、我方同意应贵方要求提供与本投标有关的任何数据或资料。若贵方需要，我方愿意提供我方作出的一切承诺的证明材料。</w:t>
      </w:r>
    </w:p>
    <w:p>
      <w:pPr>
        <w:pStyle w:val="21"/>
        <w:spacing w:line="440" w:lineRule="exact"/>
        <w:ind w:firstLine="482"/>
        <w:rPr>
          <w:rFonts w:hint="eastAsia"/>
        </w:rPr>
      </w:pPr>
      <w:r>
        <w:rPr>
          <w:rFonts w:hint="eastAsia"/>
        </w:rPr>
        <w:t>9、我方完全理解贵方不一定接受投标报价最低的投标人为中标供应商的行为。</w:t>
      </w:r>
    </w:p>
    <w:p>
      <w:pPr>
        <w:pStyle w:val="21"/>
        <w:spacing w:line="440" w:lineRule="exact"/>
        <w:ind w:firstLine="420" w:firstLineChars="20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21"/>
        <w:numPr>
          <w:ilvl w:val="0"/>
          <w:numId w:val="4"/>
        </w:numPr>
        <w:spacing w:line="440" w:lineRule="exact"/>
        <w:rPr>
          <w:rFonts w:hint="eastAsia" w:hAnsi="宋体"/>
        </w:rPr>
      </w:pPr>
      <w:r>
        <w:rPr>
          <w:rFonts w:hint="eastAsia" w:hAnsi="宋体"/>
        </w:rPr>
        <w:t>提供虚假材料谋取中标、成交的。</w:t>
      </w:r>
    </w:p>
    <w:p>
      <w:pPr>
        <w:pStyle w:val="21"/>
        <w:numPr>
          <w:ilvl w:val="0"/>
          <w:numId w:val="4"/>
        </w:numPr>
        <w:spacing w:line="440" w:lineRule="exact"/>
        <w:rPr>
          <w:rFonts w:hint="eastAsia" w:hAnsi="宋体"/>
        </w:rPr>
      </w:pPr>
      <w:r>
        <w:rPr>
          <w:rFonts w:hint="eastAsia" w:hAnsi="宋体"/>
        </w:rPr>
        <w:t>采取不正当手段诋毁、排挤其他供应商的。</w:t>
      </w:r>
    </w:p>
    <w:p>
      <w:pPr>
        <w:pStyle w:val="21"/>
        <w:numPr>
          <w:ilvl w:val="0"/>
          <w:numId w:val="4"/>
        </w:numPr>
        <w:spacing w:line="440" w:lineRule="exact"/>
        <w:rPr>
          <w:rFonts w:hint="eastAsia" w:hAnsi="宋体"/>
        </w:rPr>
      </w:pPr>
      <w:r>
        <w:rPr>
          <w:rFonts w:hint="eastAsia" w:hAnsi="宋体"/>
        </w:rPr>
        <w:t>与采购人、其他供应商或者采购代理机构恶意串通的。</w:t>
      </w:r>
    </w:p>
    <w:p>
      <w:pPr>
        <w:pStyle w:val="21"/>
        <w:numPr>
          <w:ilvl w:val="0"/>
          <w:numId w:val="4"/>
        </w:numPr>
        <w:spacing w:line="440" w:lineRule="exact"/>
        <w:rPr>
          <w:rFonts w:hint="eastAsia" w:hAnsi="宋体"/>
        </w:rPr>
      </w:pPr>
      <w:r>
        <w:rPr>
          <w:rFonts w:hint="eastAsia" w:hAnsi="宋体"/>
        </w:rPr>
        <w:t>向采购人、采购代理机构行贿或者提供其他不正当利益的。</w:t>
      </w:r>
    </w:p>
    <w:p>
      <w:pPr>
        <w:pStyle w:val="21"/>
        <w:numPr>
          <w:ilvl w:val="0"/>
          <w:numId w:val="4"/>
        </w:numPr>
        <w:spacing w:line="440" w:lineRule="exact"/>
        <w:rPr>
          <w:rFonts w:hint="eastAsia" w:hAnsi="宋体"/>
        </w:rPr>
      </w:pPr>
      <w:r>
        <w:rPr>
          <w:rFonts w:hint="eastAsia" w:hAnsi="宋体"/>
        </w:rPr>
        <w:t>在招标采购过程中与采购人进行协商谈判的。</w:t>
      </w:r>
    </w:p>
    <w:p>
      <w:pPr>
        <w:pStyle w:val="21"/>
        <w:spacing w:line="440" w:lineRule="exact"/>
        <w:ind w:firstLine="420" w:firstLineChars="200"/>
        <w:rPr>
          <w:rFonts w:hint="eastAsia" w:hAnsi="宋体"/>
        </w:rPr>
      </w:pPr>
      <w:r>
        <w:rPr>
          <w:rFonts w:hint="eastAsia" w:hAnsi="宋体"/>
        </w:rPr>
        <w:t>（6）  拒绝有关部门监督检查或提供虚假情况的。</w:t>
      </w:r>
    </w:p>
    <w:p>
      <w:pPr>
        <w:pStyle w:val="21"/>
        <w:spacing w:line="440" w:lineRule="exact"/>
        <w:ind w:left="420"/>
        <w:rPr>
          <w:rFonts w:hint="eastAsia"/>
        </w:rPr>
      </w:pPr>
      <w:r>
        <w:rPr>
          <w:rFonts w:hint="eastAsia"/>
        </w:rPr>
        <w:t>11、我方及由本人担任法定代表人的其他机构最近三年内被处罚的违法行为有：</w:t>
      </w:r>
      <w:r>
        <w:rPr>
          <w:rFonts w:hint="eastAsia"/>
          <w:u w:val="single"/>
        </w:rPr>
        <w:t xml:space="preserve">                 </w:t>
      </w:r>
      <w:r>
        <w:rPr>
          <w:rFonts w:hint="eastAsia"/>
          <w:u w:val="none"/>
          <w:lang w:eastAsia="zh-CN"/>
        </w:rPr>
        <w:t>。</w:t>
      </w:r>
      <w:r>
        <w:rPr>
          <w:rFonts w:hint="eastAsia"/>
          <w:u w:val="single"/>
        </w:rPr>
        <w:t xml:space="preserve">                      </w:t>
      </w:r>
    </w:p>
    <w:p>
      <w:pPr>
        <w:pStyle w:val="21"/>
        <w:spacing w:line="360" w:lineRule="auto"/>
        <w:ind w:firstLine="420"/>
        <w:rPr>
          <w:rFonts w:hint="eastAsia"/>
        </w:rPr>
      </w:pPr>
      <w:r>
        <w:rPr>
          <w:rFonts w:hint="eastAsia"/>
        </w:rPr>
        <w:t>12、以上事项如有虚假或隐瞒，我方愿意承担一切后果，并不再寻求任何旨在减轻或免除法律责任的辩解。</w:t>
      </w:r>
    </w:p>
    <w:p>
      <w:pPr>
        <w:pStyle w:val="21"/>
        <w:spacing w:line="360" w:lineRule="auto"/>
        <w:ind w:firstLine="420"/>
        <w:rPr>
          <w:rFonts w:hint="eastAsia"/>
          <w:u w:val="single"/>
        </w:rPr>
      </w:pPr>
      <w:r>
        <w:rPr>
          <w:rFonts w:hint="eastAsia"/>
        </w:rPr>
        <w:t>投标人：</w:t>
      </w:r>
      <w:r>
        <w:rPr>
          <w:rFonts w:hint="eastAsia"/>
          <w:u w:val="single"/>
        </w:rPr>
        <w:t>　　　　　　　　　                　　　</w:t>
      </w:r>
      <w:r>
        <w:rPr>
          <w:rFonts w:hint="eastAsia"/>
          <w:u w:val="single"/>
          <w:lang w:val="en-US" w:eastAsia="zh-CN"/>
        </w:rPr>
        <w:t xml:space="preserve">  </w:t>
      </w:r>
      <w:r>
        <w:rPr>
          <w:rFonts w:hint="eastAsia"/>
        </w:rPr>
        <w:t>（盖单位公章）</w:t>
      </w:r>
    </w:p>
    <w:p>
      <w:pPr>
        <w:pStyle w:val="21"/>
        <w:spacing w:line="360" w:lineRule="auto"/>
        <w:ind w:firstLine="420"/>
        <w:rPr>
          <w:rFonts w:hint="eastAsia"/>
        </w:rPr>
      </w:pPr>
      <w:r>
        <w:rPr>
          <w:rFonts w:hint="eastAsia" w:ascii="Times New Roman" w:hAnsi="Times New Roman"/>
        </w:rPr>
        <w:t>法定代表人或其委托代理人：</w:t>
      </w:r>
      <w:r>
        <w:rPr>
          <w:rFonts w:hint="eastAsia"/>
          <w:u w:val="single"/>
        </w:rPr>
        <w:t>　　　　　　　　　　　　</w:t>
      </w:r>
      <w:r>
        <w:rPr>
          <w:rFonts w:hint="eastAsia" w:ascii="Times New Roman" w:hAnsi="Times New Roman"/>
        </w:rPr>
        <w:t>（签字或盖章）</w:t>
      </w:r>
    </w:p>
    <w:p>
      <w:pPr>
        <w:pStyle w:val="21"/>
        <w:spacing w:line="360" w:lineRule="auto"/>
        <w:ind w:firstLine="420"/>
        <w:rPr>
          <w:rFonts w:hint="eastAsia"/>
          <w:u w:val="single"/>
        </w:rPr>
      </w:pPr>
      <w:r>
        <w:rPr>
          <w:rFonts w:hint="eastAsia"/>
        </w:rPr>
        <w:t>地址：</w:t>
      </w:r>
      <w:r>
        <w:rPr>
          <w:rFonts w:hint="eastAsia"/>
          <w:u w:val="single"/>
        </w:rPr>
        <w:t>　　　　　　　　　　　　　　　　　　　　　　　　　　　　</w:t>
      </w:r>
    </w:p>
    <w:p>
      <w:pPr>
        <w:pStyle w:val="21"/>
        <w:spacing w:line="360" w:lineRule="auto"/>
        <w:ind w:firstLine="420"/>
        <w:rPr>
          <w:rFonts w:hint="eastAsia"/>
          <w:u w:val="single"/>
        </w:rPr>
      </w:pPr>
      <w:r>
        <w:rPr>
          <w:rFonts w:hint="eastAsia"/>
        </w:rPr>
        <w:t>电话：</w:t>
      </w:r>
      <w:r>
        <w:rPr>
          <w:rFonts w:hint="eastAsia"/>
          <w:u w:val="single"/>
        </w:rPr>
        <w:t>　　　　　　　　　　　　　　　　　　　　　　　　　　　　</w:t>
      </w:r>
    </w:p>
    <w:p>
      <w:pPr>
        <w:pStyle w:val="21"/>
        <w:spacing w:line="360" w:lineRule="auto"/>
        <w:ind w:firstLine="420"/>
        <w:rPr>
          <w:rFonts w:hint="eastAsia"/>
        </w:rPr>
      </w:pPr>
      <w:r>
        <w:rPr>
          <w:rFonts w:hint="eastAsia"/>
        </w:rPr>
        <w:t>传真：</w:t>
      </w:r>
      <w:r>
        <w:rPr>
          <w:rFonts w:hint="eastAsia"/>
          <w:u w:val="single"/>
        </w:rPr>
        <w:t>　　　　　　　　　　　　　　　　　　　　　　　　　　　　</w:t>
      </w:r>
    </w:p>
    <w:p>
      <w:pPr>
        <w:pStyle w:val="21"/>
        <w:spacing w:line="360" w:lineRule="auto"/>
        <w:ind w:firstLine="420"/>
        <w:rPr>
          <w:rFonts w:hint="eastAsia"/>
        </w:rPr>
      </w:pPr>
      <w:r>
        <w:rPr>
          <w:rFonts w:hint="eastAsia"/>
        </w:rPr>
        <w:t>邮政编码：</w:t>
      </w:r>
      <w:r>
        <w:rPr>
          <w:rFonts w:hint="eastAsia"/>
          <w:u w:val="single"/>
        </w:rPr>
        <w:t>　　　　　　　　　　　　　　　　　　　　　　　　　　</w:t>
      </w:r>
      <w:r>
        <w:rPr>
          <w:rFonts w:hint="eastAsia"/>
        </w:rPr>
        <w:t>　　　　　　　　　　　　　　　　　　　　　　　　　　　　</w:t>
      </w:r>
    </w:p>
    <w:p>
      <w:pPr>
        <w:pStyle w:val="21"/>
        <w:spacing w:line="360" w:lineRule="auto"/>
        <w:ind w:firstLine="420"/>
        <w:rPr>
          <w:rFonts w:hint="eastAsia"/>
        </w:rPr>
      </w:pPr>
      <w:r>
        <w:rPr>
          <w:rFonts w:hint="eastAsia"/>
        </w:rPr>
        <w:t>电子</w:t>
      </w:r>
      <w:r>
        <w:rPr>
          <w:rFonts w:hint="eastAsia"/>
          <w:lang w:eastAsia="zh-CN"/>
        </w:rPr>
        <w:t>邮箱：</w:t>
      </w:r>
      <w:r>
        <w:rPr>
          <w:rFonts w:hint="eastAsia"/>
          <w:u w:val="single"/>
        </w:rPr>
        <w:t>　　　　　　　　　　　　　　　　　　　　　　　　　　</w:t>
      </w:r>
      <w:r>
        <w:rPr>
          <w:rFonts w:hint="eastAsia"/>
        </w:rPr>
        <w:t xml:space="preserve">       </w:t>
      </w:r>
      <w:r>
        <w:rPr>
          <w:rFonts w:hint="eastAsia"/>
          <w:lang w:val="en-US" w:eastAsia="zh-CN"/>
        </w:rPr>
        <w:t xml:space="preserve">                                   </w:t>
      </w:r>
    </w:p>
    <w:p>
      <w:pPr>
        <w:pStyle w:val="21"/>
        <w:spacing w:line="360" w:lineRule="auto"/>
        <w:ind w:firstLine="420"/>
        <w:rPr>
          <w:rFonts w:hint="eastAsia"/>
        </w:rPr>
      </w:pPr>
      <w:r>
        <w:rPr>
          <w:rFonts w:hint="eastAsia"/>
        </w:rPr>
        <w:t>开户名称：</w:t>
      </w:r>
      <w:r>
        <w:rPr>
          <w:rFonts w:hint="eastAsia"/>
          <w:u w:val="single"/>
        </w:rPr>
        <w:t>　　　　　　　　　　　　　　　　　　　　　　　　　　</w:t>
      </w:r>
      <w:r>
        <w:rPr>
          <w:rFonts w:hint="eastAsia"/>
        </w:rPr>
        <w:t>　　　　　　　　　　　　　　　　　　　　　　　　　　　　</w:t>
      </w:r>
    </w:p>
    <w:p>
      <w:pPr>
        <w:pStyle w:val="21"/>
        <w:spacing w:line="360" w:lineRule="auto"/>
        <w:ind w:firstLine="420"/>
        <w:rPr>
          <w:rFonts w:hint="eastAsia"/>
          <w:u w:val="single"/>
        </w:rPr>
      </w:pPr>
      <w:r>
        <w:rPr>
          <w:rFonts w:hint="eastAsia"/>
        </w:rPr>
        <w:t>开户银行：</w:t>
      </w:r>
      <w:r>
        <w:rPr>
          <w:rFonts w:hint="eastAsia"/>
          <w:u w:val="single"/>
        </w:rPr>
        <w:t>　　　　　　　　　　　　　　　　　　　　　　　　　　</w:t>
      </w:r>
    </w:p>
    <w:p>
      <w:pPr>
        <w:pStyle w:val="21"/>
        <w:spacing w:line="360" w:lineRule="auto"/>
        <w:ind w:firstLine="420"/>
        <w:rPr>
          <w:rFonts w:hint="eastAsia"/>
          <w:u w:val="single"/>
        </w:rPr>
      </w:pPr>
      <w:r>
        <w:rPr>
          <w:rFonts w:hint="eastAsia"/>
        </w:rPr>
        <w:t>银行账号：</w:t>
      </w:r>
      <w:r>
        <w:rPr>
          <w:rFonts w:hint="eastAsia"/>
          <w:u w:val="single"/>
        </w:rPr>
        <w:t>　　　　　　　　　　　　　　　　　　　　　　　　　　</w:t>
      </w:r>
    </w:p>
    <w:p>
      <w:pPr>
        <w:spacing w:line="400" w:lineRule="exact"/>
        <w:ind w:firstLine="420" w:firstLineChars="200"/>
        <w:rPr>
          <w:rFonts w:hint="eastAsia" w:ascii="宋体" w:hAnsi="宋体" w:eastAsia="宋体" w:cs="宋体"/>
          <w:color w:val="000000"/>
          <w:sz w:val="21"/>
          <w:szCs w:val="21"/>
        </w:rPr>
      </w:pPr>
      <w:r>
        <w:rPr>
          <w:rFonts w:hint="eastAsia"/>
          <w:bCs/>
          <w:szCs w:val="21"/>
          <w:u w:val="none"/>
          <w:lang w:eastAsia="zh-CN"/>
        </w:rPr>
        <w:t>日</w:t>
      </w:r>
      <w:r>
        <w:rPr>
          <w:rFonts w:hint="eastAsia"/>
          <w:bCs/>
          <w:szCs w:val="21"/>
          <w:u w:val="none"/>
          <w:lang w:val="en-US" w:eastAsia="zh-CN"/>
        </w:rPr>
        <w:t xml:space="preserve">    </w:t>
      </w:r>
      <w:r>
        <w:rPr>
          <w:rFonts w:hint="eastAsia"/>
          <w:bCs/>
          <w:szCs w:val="21"/>
          <w:u w:val="none"/>
          <w:lang w:eastAsia="zh-CN"/>
        </w:rPr>
        <w:t>期：</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r>
        <w:rPr>
          <w:rFonts w:hint="eastAsia"/>
        </w:rPr>
        <w:t>　　　　　　　　　　　　　</w:t>
      </w:r>
    </w:p>
    <w:p>
      <w:pPr>
        <w:spacing w:line="400" w:lineRule="exact"/>
        <w:rPr>
          <w:rFonts w:hint="eastAsia" w:ascii="宋体" w:hAnsi="宋体" w:eastAsia="宋体" w:cs="宋体"/>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rPr>
        <w:t>投标报价表（格式）</w:t>
      </w:r>
    </w:p>
    <w:tbl>
      <w:tblPr>
        <w:tblStyle w:val="40"/>
        <w:tblpPr w:leftFromText="180" w:rightFromText="180" w:vertAnchor="text" w:horzAnchor="page" w:tblpX="1009" w:tblpY="366"/>
        <w:tblOverlap w:val="never"/>
        <w:tblW w:w="10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563"/>
        <w:gridCol w:w="777"/>
        <w:gridCol w:w="2115"/>
        <w:gridCol w:w="1470"/>
        <w:gridCol w:w="1245"/>
        <w:gridCol w:w="1455"/>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r>
              <w:rPr>
                <w:rFonts w:hint="eastAsia" w:ascii="宋体" w:hAnsi="宋体" w:eastAsia="宋体" w:cs="宋体"/>
                <w:sz w:val="21"/>
                <w:szCs w:val="21"/>
              </w:rPr>
              <w:t>①</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货物全称、</w:t>
            </w:r>
            <w:r>
              <w:rPr>
                <w:rFonts w:hint="eastAsia" w:ascii="宋体" w:hAnsi="宋体" w:eastAsia="宋体" w:cs="宋体"/>
                <w:sz w:val="21"/>
                <w:szCs w:val="21"/>
              </w:rPr>
              <w:t>品牌、</w:t>
            </w:r>
            <w:r>
              <w:rPr>
                <w:rFonts w:hint="eastAsia" w:ascii="宋体" w:hAnsi="宋体" w:eastAsia="宋体" w:cs="宋体"/>
                <w:sz w:val="21"/>
                <w:szCs w:val="21"/>
                <w:lang w:eastAsia="zh-CN"/>
              </w:rPr>
              <w:t>生产厂家及国别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单项合计</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③＝①×②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r>
              <w:rPr>
                <w:rFonts w:hint="eastAsia" w:ascii="宋体" w:hAnsi="宋体" w:eastAsia="宋体" w:cs="宋体"/>
                <w:sz w:val="21"/>
                <w:szCs w:val="21"/>
              </w:rPr>
              <w:t>报价</w:t>
            </w:r>
            <w:r>
              <w:rPr>
                <w:rFonts w:hint="eastAsia" w:ascii="宋体" w:hAnsi="宋体" w:eastAsia="宋体" w:cs="宋体"/>
                <w:sz w:val="21"/>
                <w:szCs w:val="21"/>
                <w:lang w:eastAsia="zh-CN"/>
              </w:rPr>
              <w:t>合计（包含装卸、运输等所有费用）：</w:t>
            </w:r>
            <w:r>
              <w:rPr>
                <w:rFonts w:hint="eastAsia" w:ascii="宋体" w:hAnsi="宋体" w:eastAsia="宋体" w:cs="宋体"/>
                <w:sz w:val="21"/>
                <w:szCs w:val="21"/>
              </w:rPr>
              <w:t>（大写）人民币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元</w:t>
            </w:r>
            <w:r>
              <w:rPr>
                <w:rFonts w:hint="eastAsia" w:ascii="宋体" w:hAnsi="宋体" w:eastAsia="宋体" w:cs="宋体"/>
                <w:sz w:val="21"/>
                <w:szCs w:val="21"/>
              </w:rPr>
              <w:t>）</w:t>
            </w:r>
          </w:p>
          <w:p>
            <w:pPr>
              <w:pStyle w:val="54"/>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投标货物中，属于小微企业生产的产品总值为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%；属于优先采购节能产品总值为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%；属于优先采购环境标志产品总值为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p>
            <w:pPr>
              <w:pStyle w:val="54"/>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法定代表人或其委托代理人（签字或盖章）：</w:t>
            </w:r>
          </w:p>
        </w:tc>
      </w:tr>
    </w:tbl>
    <w:p>
      <w:pPr>
        <w:rPr>
          <w:rFonts w:hint="eastAsia" w:ascii="宋体" w:hAnsi="宋体" w:eastAsia="宋体" w:cs="宋体"/>
          <w:color w:val="000000"/>
          <w:sz w:val="21"/>
          <w:szCs w:val="21"/>
        </w:rPr>
      </w:pPr>
    </w:p>
    <w:p>
      <w:pPr>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表格内容均需按要求填写并盖章，不得留空，否则按投标无效处理。</w:t>
      </w:r>
    </w:p>
    <w:p>
      <w:pPr>
        <w:pStyle w:val="21"/>
        <w:rPr>
          <w:rFonts w:hint="eastAsia" w:ascii="宋体" w:hAnsi="宋体" w:eastAsia="宋体" w:cs="宋体"/>
          <w:color w:val="auto"/>
        </w:rPr>
      </w:pPr>
    </w:p>
    <w:p>
      <w:pPr>
        <w:pStyle w:val="21"/>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pStyle w:val="2"/>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p>
    <w:p>
      <w:pPr>
        <w:pStyle w:val="2"/>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sz w:val="24"/>
          <w:szCs w:val="24"/>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3：</w:t>
      </w:r>
    </w:p>
    <w:p>
      <w:pPr>
        <w:pStyle w:val="13"/>
        <w:overflowPunct w:val="0"/>
        <w:spacing w:line="440" w:lineRule="exact"/>
        <w:ind w:firstLine="0"/>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eastAsia="宋体" w:cs="宋体"/>
          <w:b/>
          <w:sz w:val="28"/>
          <w:szCs w:val="28"/>
          <w:lang w:eastAsia="zh-CN"/>
        </w:rPr>
        <w:t>（格式）</w:t>
      </w:r>
    </w:p>
    <w:p>
      <w:pPr>
        <w:pStyle w:val="13"/>
        <w:overflowPunct w:val="0"/>
        <w:spacing w:line="440" w:lineRule="exact"/>
        <w:ind w:firstLine="0"/>
        <w:jc w:val="center"/>
        <w:rPr>
          <w:rFonts w:hint="eastAsia" w:ascii="宋体" w:hAnsi="宋体" w:eastAsia="宋体" w:cs="宋体"/>
          <w:b/>
          <w:sz w:val="24"/>
          <w:szCs w:val="24"/>
        </w:rPr>
      </w:pPr>
    </w:p>
    <w:p>
      <w:pPr>
        <w:pStyle w:val="21"/>
        <w:spacing w:line="48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本公司郑重声明，根据《政府采购促进中小企业发展暂行办法》（财库[2011]181号）的规定，本公司为 </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（请填写：中型、小型、微型）企业。即，本公司同时满足以下条件：</w:t>
      </w:r>
    </w:p>
    <w:p>
      <w:pPr>
        <w:pStyle w:val="21"/>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w:t>
      </w:r>
    </w:p>
    <w:p>
      <w:pPr>
        <w:pStyle w:val="21"/>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2.本公司参加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项目采购活动提供本企业制造的货物，由本企业承担工程、提供服务，或者提供其他</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（请填写：中型、小型、微型）企业制造的货物。本条所称货物不包括使用大型企业注册商标的货物。</w:t>
      </w:r>
    </w:p>
    <w:p>
      <w:pPr>
        <w:pStyle w:val="21"/>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pStyle w:val="21"/>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p>
    <w:p>
      <w:pPr>
        <w:pStyle w:val="21"/>
        <w:spacing w:line="48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企业名称（盖章）：</w:t>
      </w:r>
      <w:r>
        <w:rPr>
          <w:rFonts w:hint="eastAsia" w:ascii="宋体" w:hAnsi="宋体" w:eastAsia="宋体" w:cs="宋体"/>
          <w:sz w:val="21"/>
          <w:szCs w:val="21"/>
          <w:u w:val="single"/>
        </w:rPr>
        <w:t xml:space="preserve">                                  </w:t>
      </w:r>
    </w:p>
    <w:p>
      <w:pPr>
        <w:pStyle w:val="21"/>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年    月    日</w:t>
      </w: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备注：享受政府采购支持政策的中小企业（含中型、小型、微型企业，下同）应当同时符合以下条件：</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（一）符合中小企业划分标准；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（二）提供本企业制造的货物、承担的工程或者服务，或者提供其他中小企业制造的货物。本项所称货物不包括使用大型企业注册商标的货物。</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中小企业划分标准，是指国务院有关部门根据企业从业人员、营业收入、资产总额等指标制定的中小企业划型标准。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小型、微型企业提供中型企业制造的货物的，视同为中型企业。</w:t>
      </w:r>
    </w:p>
    <w:p>
      <w:pPr>
        <w:pStyle w:val="37"/>
        <w:spacing w:line="36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4：</w:t>
      </w:r>
    </w:p>
    <w:p>
      <w:pPr>
        <w:pStyle w:val="37"/>
        <w:spacing w:line="360" w:lineRule="exact"/>
        <w:jc w:val="center"/>
        <w:rPr>
          <w:rFonts w:hint="eastAsia" w:ascii="宋体" w:hAnsi="宋体" w:eastAsia="宋体" w:cs="宋体"/>
          <w:b w:val="0"/>
          <w:bCs w:val="0"/>
          <w:sz w:val="28"/>
          <w:szCs w:val="28"/>
          <w:lang w:eastAsia="zh-CN"/>
        </w:rPr>
      </w:pPr>
      <w:r>
        <w:rPr>
          <w:rFonts w:hint="eastAsia" w:ascii="宋体" w:hAnsi="宋体" w:eastAsia="宋体" w:cs="宋体"/>
          <w:b/>
          <w:bCs/>
          <w:sz w:val="28"/>
          <w:szCs w:val="28"/>
        </w:rPr>
        <w:t>残疾人福利性单位声明函</w:t>
      </w:r>
      <w:r>
        <w:rPr>
          <w:rFonts w:hint="eastAsia" w:ascii="宋体" w:hAnsi="宋体" w:eastAsia="宋体" w:cs="宋体"/>
          <w:b/>
          <w:bCs/>
          <w:sz w:val="24"/>
          <w:szCs w:val="24"/>
          <w:lang w:eastAsia="zh-CN"/>
        </w:rPr>
        <w:t>（格式）</w:t>
      </w:r>
    </w:p>
    <w:p>
      <w:pPr>
        <w:pStyle w:val="37"/>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说明：</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1、本声明函主要供参加政府采购活动的残疾人福利性单位填写，其他企业无需填写。</w:t>
      </w:r>
    </w:p>
    <w:p>
      <w:pPr>
        <w:pStyle w:val="37"/>
        <w:spacing w:line="360" w:lineRule="exact"/>
        <w:ind w:firstLine="562" w:firstLineChars="268"/>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2、在政府采购活动中，残疾人福利性单位视同小型、微型企业，享受预留份额、评审中价格扣除等促进中小企业发展的政府采购政策。残疾人福利性单位属于小型、微型企业的，不重复享受政策。</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7"/>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本单位对上述声明的真实性负责。如有虚假，将依法承担相应责任。</w:t>
      </w:r>
    </w:p>
    <w:p>
      <w:pPr>
        <w:pStyle w:val="37"/>
        <w:spacing w:line="360" w:lineRule="exact"/>
        <w:ind w:firstLine="562" w:firstLineChars="268"/>
        <w:jc w:val="left"/>
        <w:rPr>
          <w:rFonts w:hint="eastAsia" w:ascii="宋体" w:hAnsi="宋体" w:eastAsia="宋体" w:cs="宋体"/>
          <w:b w:val="0"/>
          <w:bCs w:val="0"/>
          <w:kern w:val="0"/>
          <w:sz w:val="21"/>
          <w:szCs w:val="21"/>
        </w:rPr>
      </w:pPr>
    </w:p>
    <w:p>
      <w:pPr>
        <w:pStyle w:val="37"/>
        <w:spacing w:line="360" w:lineRule="exact"/>
        <w:ind w:firstLine="562" w:firstLineChars="268"/>
        <w:jc w:val="left"/>
        <w:rPr>
          <w:rFonts w:hint="eastAsia" w:ascii="宋体" w:hAnsi="宋体" w:eastAsia="宋体" w:cs="宋体"/>
          <w:b w:val="0"/>
          <w:bCs w:val="0"/>
          <w:sz w:val="21"/>
          <w:szCs w:val="21"/>
        </w:rPr>
      </w:pP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37"/>
        <w:spacing w:line="360" w:lineRule="exact"/>
        <w:ind w:firstLine="982" w:firstLineChars="468"/>
        <w:jc w:val="left"/>
        <w:rPr>
          <w:rFonts w:hint="eastAsia" w:ascii="宋体" w:hAnsi="宋体" w:eastAsia="宋体" w:cs="宋体"/>
          <w:b w:val="0"/>
          <w:bCs w:val="0"/>
          <w:kern w:val="0"/>
          <w:sz w:val="21"/>
          <w:szCs w:val="21"/>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p>
    <w:p>
      <w:pPr>
        <w:pStyle w:val="26"/>
        <w:rPr>
          <w:rFonts w:hint="eastAsia"/>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备注：享受政府采购支持政策的残疾人福利性单位应当同时满足以下条件：</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（一）安置的残疾人占本单位在职职工人数的比例不低于25%（含25%），并且安置的残疾人人数不少于10人（含10人）；</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（二）依法与安置的每位残疾人签订了一年以上（含一年）的劳动合同或服务协议；</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（三）为安置的每位残疾人按月足额缴纳了基本养老保险、基本医疗保险、失业保险、工伤保险和生育保险等社会保险费；</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val="0"/>
          <w:bCs w:val="0"/>
          <w:kern w:val="0"/>
          <w:sz w:val="24"/>
          <w:szCs w:val="24"/>
        </w:rPr>
        <w:br w:type="page"/>
      </w:r>
    </w:p>
    <w:p>
      <w:pPr>
        <w:pStyle w:val="21"/>
        <w:spacing w:line="500" w:lineRule="exact"/>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eastAsia="宋体" w:cs="宋体"/>
          <w:b/>
          <w:sz w:val="24"/>
          <w:szCs w:val="24"/>
          <w:lang w:val="en-US" w:eastAsia="zh-CN"/>
        </w:rPr>
        <w:t>5</w:t>
      </w:r>
      <w:r>
        <w:rPr>
          <w:rFonts w:hint="eastAsia" w:ascii="宋体" w:hAnsi="宋体" w:eastAsia="宋体" w:cs="宋体"/>
          <w:b/>
          <w:sz w:val="24"/>
          <w:szCs w:val="24"/>
          <w:lang w:eastAsia="zh-CN"/>
        </w:rPr>
        <w:t>：</w:t>
      </w:r>
    </w:p>
    <w:p>
      <w:pPr>
        <w:pStyle w:val="21"/>
        <w:spacing w:line="500" w:lineRule="exact"/>
        <w:jc w:val="center"/>
        <w:rPr>
          <w:rFonts w:hint="eastAsia" w:ascii="宋体" w:hAnsi="宋体" w:eastAsia="宋体" w:cs="宋体"/>
          <w:b/>
          <w:bCs/>
          <w:sz w:val="28"/>
          <w:szCs w:val="28"/>
        </w:rPr>
      </w:pPr>
      <w:r>
        <w:rPr>
          <w:rFonts w:hint="eastAsia" w:ascii="宋体" w:hAnsi="宋体" w:eastAsia="宋体" w:cs="宋体"/>
          <w:b/>
          <w:sz w:val="28"/>
          <w:szCs w:val="28"/>
        </w:rPr>
        <w:t>广西工业产品声明函</w:t>
      </w:r>
      <w:r>
        <w:rPr>
          <w:rFonts w:hint="eastAsia" w:ascii="宋体" w:hAnsi="宋体" w:eastAsia="宋体" w:cs="宋体"/>
          <w:b/>
          <w:bCs/>
          <w:sz w:val="28"/>
          <w:szCs w:val="28"/>
        </w:rPr>
        <w:t>（格式）</w:t>
      </w:r>
    </w:p>
    <w:p>
      <w:pPr>
        <w:pStyle w:val="21"/>
        <w:rPr>
          <w:rFonts w:hint="eastAsia" w:ascii="宋体" w:hAnsi="宋体" w:eastAsia="宋体" w:cs="宋体"/>
          <w:b/>
          <w:sz w:val="24"/>
        </w:rPr>
      </w:pPr>
    </w:p>
    <w:p>
      <w:pPr>
        <w:pStyle w:val="17"/>
        <w:spacing w:line="276"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4"/>
          <w:szCs w:val="24"/>
          <w:lang w:eastAsia="zh-CN"/>
        </w:rPr>
        <w:t>说</w:t>
      </w:r>
      <w:r>
        <w:rPr>
          <w:rFonts w:hint="eastAsia" w:ascii="宋体" w:hAnsi="宋体" w:eastAsia="宋体" w:cs="宋体"/>
          <w:sz w:val="21"/>
          <w:szCs w:val="21"/>
          <w:lang w:eastAsia="zh-CN"/>
        </w:rPr>
        <w:t>明：</w:t>
      </w:r>
    </w:p>
    <w:p>
      <w:pPr>
        <w:pStyle w:val="17"/>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1、本文件所指广西工业产品，是指广西境内生产的工业产品，具体以生产企业的工商营业执照注册所在地为准。</w:t>
      </w:r>
    </w:p>
    <w:p>
      <w:pPr>
        <w:pStyle w:val="17"/>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2、本细则所指使用广西工业产品 80%以上，是指参加政府采购项目或招标项目时供货范围中采用广西工业产品的金额占本次投标或竞标总金额的80%以上（含）；或者工程建设使用广西工业产品占工程建设所需产品总金额的80%以上（含）。</w:t>
      </w:r>
    </w:p>
    <w:p>
      <w:pPr>
        <w:pStyle w:val="17"/>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3、发现投标人提供虚假材料、采购单位履约过程中中标供应商未按投标文件《广西工业产品声明函》中使用广西工业产品或者使用广西工业产品未达80%以上的，按照有关法律法规追究其相关责任。</w:t>
      </w:r>
    </w:p>
    <w:p>
      <w:pPr>
        <w:pStyle w:val="17"/>
        <w:spacing w:line="276"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我方郑重声明，根据《招标采购促进广西工业产品产销对接实施细则》的规定，我方在本次投标∕竞标中或者工程项目中提供的下述产品为广西工业产品，详情如下：</w:t>
      </w:r>
    </w:p>
    <w:tbl>
      <w:tblPr>
        <w:tblStyle w:val="4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3"/>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序号</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型号和规格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数量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制造厂商及原产地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投标价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1</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2</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广西工业产品</w:t>
            </w:r>
          </w:p>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合计价格：</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占投标总价比例：</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pStyle w:val="21"/>
              <w:jc w:val="center"/>
              <w:rPr>
                <w:rFonts w:hint="eastAsia" w:ascii="宋体" w:hAnsi="宋体" w:eastAsia="宋体" w:cs="宋体"/>
                <w:kern w:val="2"/>
                <w:sz w:val="21"/>
                <w:szCs w:val="21"/>
                <w:u w:val="single"/>
                <w:lang w:val="en-US"/>
              </w:rPr>
            </w:pPr>
          </w:p>
        </w:tc>
      </w:tr>
    </w:tbl>
    <w:p>
      <w:pPr>
        <w:pStyle w:val="21"/>
        <w:spacing w:line="276" w:lineRule="auto"/>
        <w:ind w:firstLine="420"/>
        <w:rPr>
          <w:rFonts w:hint="eastAsia" w:ascii="宋体" w:hAnsi="宋体" w:eastAsia="宋体" w:cs="宋体"/>
          <w:sz w:val="21"/>
          <w:szCs w:val="21"/>
        </w:rPr>
      </w:pPr>
    </w:p>
    <w:p>
      <w:pPr>
        <w:pStyle w:val="21"/>
        <w:spacing w:line="276" w:lineRule="auto"/>
        <w:ind w:firstLine="420"/>
        <w:rPr>
          <w:rFonts w:hint="eastAsia" w:ascii="宋体" w:hAnsi="宋体" w:eastAsia="宋体" w:cs="宋体"/>
          <w:sz w:val="21"/>
          <w:szCs w:val="21"/>
        </w:rPr>
      </w:pPr>
      <w:r>
        <w:rPr>
          <w:rFonts w:hint="eastAsia" w:ascii="宋体" w:hAnsi="宋体" w:eastAsia="宋体" w:cs="宋体"/>
          <w:sz w:val="21"/>
          <w:szCs w:val="21"/>
        </w:rPr>
        <w:t>我方对上述声明的真实性负责。如有虚假，将依法承担相应责任。</w:t>
      </w:r>
    </w:p>
    <w:p>
      <w:pPr>
        <w:pStyle w:val="21"/>
        <w:rPr>
          <w:rFonts w:hint="eastAsia" w:ascii="宋体" w:hAnsi="宋体" w:eastAsia="宋体" w:cs="宋体"/>
          <w:sz w:val="21"/>
          <w:szCs w:val="21"/>
        </w:rPr>
      </w:pPr>
    </w:p>
    <w:p>
      <w:pPr>
        <w:pStyle w:val="13"/>
        <w:overflowPunct w:val="0"/>
        <w:spacing w:line="440" w:lineRule="exact"/>
        <w:ind w:firstLine="0"/>
        <w:rPr>
          <w:rFonts w:hint="eastAsia" w:ascii="宋体" w:hAnsi="宋体" w:eastAsia="宋体" w:cs="宋体"/>
          <w:b/>
          <w:sz w:val="21"/>
          <w:szCs w:val="21"/>
        </w:rPr>
      </w:pP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13"/>
        <w:overflowPunct w:val="0"/>
        <w:spacing w:line="440" w:lineRule="exact"/>
        <w:ind w:firstLine="0"/>
        <w:rPr>
          <w:rFonts w:hint="eastAsia" w:ascii="宋体" w:hAnsi="宋体" w:eastAsia="宋体" w:cs="宋体"/>
          <w:b/>
          <w:sz w:val="24"/>
          <w:szCs w:val="24"/>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pStyle w:val="26"/>
        <w:rPr>
          <w:rFonts w:hint="eastAsia" w:ascii="宋体" w:hAnsi="宋体" w:eastAsia="宋体" w:cs="宋体"/>
          <w:lang w:val="en-US" w:eastAsia="zh-CN"/>
        </w:rPr>
      </w:pPr>
    </w:p>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cs="宋体"/>
          <w:b/>
          <w:sz w:val="24"/>
          <w:szCs w:val="24"/>
          <w:lang w:val="en-US" w:eastAsia="zh-CN"/>
        </w:rPr>
        <w:t>6</w:t>
      </w:r>
      <w:r>
        <w:rPr>
          <w:rFonts w:hint="eastAsia" w:ascii="宋体" w:hAnsi="宋体" w:eastAsia="宋体" w:cs="宋体"/>
          <w:b/>
          <w:sz w:val="24"/>
          <w:szCs w:val="24"/>
          <w:lang w:eastAsia="zh-CN"/>
        </w:rPr>
        <w:t>：</w:t>
      </w:r>
    </w:p>
    <w:p>
      <w:pPr>
        <w:pStyle w:val="21"/>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1"/>
        <w:spacing w:line="400" w:lineRule="exact"/>
        <w:jc w:val="center"/>
        <w:rPr>
          <w:rFonts w:hint="eastAsia" w:ascii="宋体" w:hAnsi="宋体" w:eastAsia="宋体" w:cs="宋体"/>
          <w:b/>
          <w:sz w:val="24"/>
          <w:szCs w:val="24"/>
        </w:rPr>
      </w:pPr>
    </w:p>
    <w:p>
      <w:pPr>
        <w:pStyle w:val="21"/>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1"/>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1"/>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1"/>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1"/>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4384;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r75lHYAAAACQEAAA8AAAAAAAAAAQAgAAAAIgAAAGRycy9kb3ducmV2LnhtbFBLAQIU&#10;ABQAAAAIAIdO4kD7G1dj8wEAAOsDAAAOAAAAAAAAAAEAIAAAACcBAABkcnMvZTJvRG9jLnhtbFBL&#10;BQYAAAAABgAGAFkBAACM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AdU99AAAAACAQAADwAAAAAAAAABACAAAAAiAAAAZHJzL2Rv&#10;d25yZXYueG1sUEsBAhQAFAAAAAgAh07iQOJWY7PQAQAAjgMAAA4AAAAAAAAAAQAgAAAAHwEAAGRy&#10;cy9lMm9Eb2MueG1sUEsFBgAAAAAGAAYAWQEAAGEFAAAAAA==&#10;">
                <v:fill on="f" focussize="0,0"/>
                <v:stroke color="#000000" joinstyle="round"/>
                <v:imagedata o:title=""/>
                <o:lock v:ext="edit" aspectratio="f"/>
                <w10:wrap type="topAndBottom"/>
              </v:line>
            </w:pict>
          </mc:Fallback>
        </mc:AlternateContent>
      </w: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ind w:firstLine="6300" w:firstLineChars="3000"/>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3360;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5Pr842AAAAAkBAAAPAAAAAAAAAAEAIAAAACIAAABkcnMvZG93bnJldi54bWxQSwECFAAU&#10;AAAACACHTuJA3mYThPEBAADrAwAADgAAAAAAAAABACAAAAAnAQAAZHJzL2Uyb0RvYy54bWxQSwUG&#10;AAAAAAYABgBZAQAAigU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rPr>
          <w:rFonts w:hint="eastAsia" w:ascii="宋体" w:hAnsi="宋体" w:eastAsia="宋体" w:cs="宋体"/>
          <w:color w:val="000000"/>
          <w:sz w:val="21"/>
          <w:szCs w:val="21"/>
        </w:rPr>
      </w:pPr>
    </w:p>
    <w:p>
      <w:pPr>
        <w:pStyle w:val="21"/>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snapToGrid w:val="0"/>
        <w:spacing w:before="120" w:beforeLines="50" w:after="50" w:line="440" w:lineRule="exact"/>
        <w:jc w:val="left"/>
        <w:rPr>
          <w:rFonts w:hint="eastAsia" w:ascii="宋体" w:hAnsi="宋体" w:eastAsia="宋体" w:cs="宋体"/>
          <w:b/>
          <w:sz w:val="24"/>
          <w:szCs w:val="24"/>
          <w:lang w:eastAsia="zh-CN"/>
        </w:rPr>
      </w:pPr>
    </w:p>
    <w:p>
      <w:pPr>
        <w:snapToGrid w:val="0"/>
        <w:spacing w:before="120" w:beforeLines="50" w:after="50" w:line="440" w:lineRule="exact"/>
        <w:jc w:val="left"/>
        <w:rPr>
          <w:rFonts w:hint="eastAsia" w:ascii="宋体" w:hAnsi="宋体" w:eastAsia="宋体" w:cs="宋体"/>
          <w:b/>
          <w:sz w:val="24"/>
          <w:szCs w:val="24"/>
        </w:rPr>
      </w:pPr>
      <w:r>
        <w:rPr>
          <w:rFonts w:hint="eastAsia" w:ascii="宋体" w:hAnsi="宋体" w:eastAsia="宋体" w:cs="宋体"/>
          <w:b/>
          <w:sz w:val="24"/>
          <w:szCs w:val="24"/>
          <w:lang w:eastAsia="zh-CN"/>
        </w:rPr>
        <w:t>格式</w:t>
      </w:r>
      <w:r>
        <w:rPr>
          <w:rFonts w:hint="eastAsia" w:ascii="宋体" w:hAnsi="宋体" w:cs="宋体"/>
          <w:b/>
          <w:sz w:val="24"/>
          <w:szCs w:val="24"/>
          <w:lang w:val="en-US" w:eastAsia="zh-CN"/>
        </w:rPr>
        <w:t>7</w:t>
      </w:r>
      <w:r>
        <w:rPr>
          <w:rFonts w:hint="eastAsia" w:ascii="宋体" w:hAnsi="宋体" w:eastAsia="宋体" w:cs="宋体"/>
          <w:b/>
          <w:sz w:val="24"/>
          <w:szCs w:val="24"/>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80010</wp:posOffset>
                </wp:positionV>
                <wp:extent cx="2783840" cy="1365885"/>
                <wp:effectExtent l="4445" t="4445" r="12065" b="20320"/>
                <wp:wrapNone/>
                <wp:docPr id="7" name="矩形 7"/>
                <wp:cNvGraphicFramePr/>
                <a:graphic xmlns:a="http://schemas.openxmlformats.org/drawingml/2006/main">
                  <a:graphicData uri="http://schemas.microsoft.com/office/word/2010/wordprocessingShape">
                    <wps:wsp>
                      <wps:cNvSpPr/>
                      <wps:spPr>
                        <a:xfrm>
                          <a:off x="0" y="0"/>
                          <a:ext cx="2783840"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6.3pt;height:107.55pt;width:219.2pt;z-index:251668480;mso-width-relative:page;mso-height-relative:page;" fillcolor="#FFFFFF" filled="t" stroked="t" coordsize="21600,21600" o:gfxdata="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G7Od&#10;2AAAAAkBAAAPAAAAAAAAAAEAIAAAACIAAABkcnMvZG93bnJldi54bWxQSwECFAAUAAAACACHTuJA&#10;EDKqAOgBAADcAwAADgAAAAAAAAABACAAAAAnAQAAZHJzL2Uyb0RvYy54bWxQSwUGAAAAAAYABgBZ&#10;AQAAgQU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124460</wp:posOffset>
                </wp:positionV>
                <wp:extent cx="2812415" cy="1365885"/>
                <wp:effectExtent l="4445" t="4445" r="21590" b="20320"/>
                <wp:wrapNone/>
                <wp:docPr id="8" name="矩形 8"/>
                <wp:cNvGraphicFramePr/>
                <a:graphic xmlns:a="http://schemas.openxmlformats.org/drawingml/2006/main">
                  <a:graphicData uri="http://schemas.microsoft.com/office/word/2010/wordprocessingShape">
                    <wps:wsp>
                      <wps:cNvSpPr/>
                      <wps:spPr>
                        <a:xfrm>
                          <a:off x="0" y="0"/>
                          <a:ext cx="281241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8pt;height:107.55pt;width:221.45pt;z-index:251669504;mso-width-relative:page;mso-height-relative:page;" fillcolor="#FFFFFF" filled="t" stroked="t" coordsize="21600,21600" o:gfxdata="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pLhGtkA&#10;AAAJAQAADwAAAAAAAAABACAAAAAiAAAAZHJzL2Rvd25yZXYueG1sUEsBAhQAFAAAAAgAh07iQM44&#10;jQ3lAQAA3AMAAA4AAAAAAAAAAQAgAAAAKAEAAGRycy9lMm9Eb2MueG1sUEsFBgAAAAAGAAYAWQEA&#10;AH8FA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pStyle w:val="39"/>
        <w:rPr>
          <w:rFonts w:hint="eastAsia" w:ascii="宋体" w:hAnsi="宋体" w:eastAsia="宋体" w:cs="宋体"/>
          <w:color w:val="auto"/>
          <w:sz w:val="21"/>
          <w:szCs w:val="21"/>
          <w:lang w:eastAsia="zh-CN"/>
        </w:rPr>
      </w:pP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被授权人身份证号码：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pStyle w:val="39"/>
        <w:rPr>
          <w:rFonts w:hint="eastAsia"/>
        </w:rPr>
      </w:pP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snapToGrid w:val="0"/>
        <w:spacing w:before="50"/>
        <w:jc w:val="left"/>
        <w:rPr>
          <w:rFonts w:hint="eastAsia" w:ascii="宋体" w:hAnsi="宋体" w:eastAsia="宋体" w:cs="宋体"/>
          <w:b/>
          <w:sz w:val="21"/>
          <w:szCs w:val="21"/>
        </w:rPr>
      </w:pPr>
    </w:p>
    <w:p>
      <w:pPr>
        <w:spacing w:line="300" w:lineRule="auto"/>
        <w:rPr>
          <w:rFonts w:hint="eastAsia" w:ascii="宋体" w:hAnsi="宋体" w:eastAsia="宋体" w:cs="宋体"/>
          <w:b/>
          <w:bCs w:val="0"/>
          <w:sz w:val="32"/>
          <w:szCs w:val="32"/>
          <w:lang w:val="en-US" w:eastAsia="zh-CN"/>
        </w:rPr>
      </w:pP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8</w:t>
      </w:r>
      <w:r>
        <w:rPr>
          <w:rFonts w:hint="eastAsia" w:ascii="宋体" w:hAnsi="宋体" w:eastAsia="宋体" w:cs="宋体"/>
          <w:b/>
          <w:bCs/>
          <w:sz w:val="24"/>
          <w:szCs w:val="24"/>
          <w:lang w:eastAsia="zh-CN"/>
        </w:rPr>
        <w:t>：</w:t>
      </w:r>
    </w:p>
    <w:p>
      <w:pPr>
        <w:spacing w:line="300" w:lineRule="auto"/>
        <w:jc w:val="center"/>
        <w:rPr>
          <w:rFonts w:hint="eastAsia" w:ascii="宋体" w:hAnsi="宋体" w:eastAsia="宋体" w:cs="宋体"/>
          <w:b/>
          <w:bCs/>
          <w:sz w:val="28"/>
          <w:szCs w:val="28"/>
        </w:rPr>
      </w:pPr>
      <w:r>
        <w:rPr>
          <w:rFonts w:hint="eastAsia" w:ascii="宋体" w:hAnsi="宋体" w:eastAsia="宋体" w:cs="宋体"/>
          <w:b/>
          <w:bCs/>
          <w:sz w:val="28"/>
          <w:szCs w:val="28"/>
        </w:rPr>
        <w:t>商务条款偏离表（格式）</w:t>
      </w:r>
    </w:p>
    <w:p>
      <w:pPr>
        <w:pStyle w:val="21"/>
        <w:spacing w:line="440" w:lineRule="exact"/>
        <w:ind w:firstLine="420" w:firstLineChars="200"/>
        <w:rPr>
          <w:rFonts w:hint="eastAsia" w:ascii="宋体" w:hAnsi="宋体" w:eastAsia="宋体" w:cs="宋体"/>
          <w:sz w:val="21"/>
          <w:szCs w:val="21"/>
        </w:rPr>
      </w:pPr>
    </w:p>
    <w:p>
      <w:pPr>
        <w:pStyle w:val="21"/>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请逐条对应本项目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章“货物需求一览表”中“商务条款”的要求，详细填写相应的具体内容。“偏离说明”一栏应当选择“正偏离”、“负偏离”或“无偏离”进行填写。</w:t>
      </w:r>
    </w:p>
    <w:tbl>
      <w:tblPr>
        <w:tblStyle w:val="40"/>
        <w:tblpPr w:leftFromText="180" w:rightFromText="180" w:vertAnchor="text" w:horzAnchor="margin" w:tblpXSpec="center" w:tblpY="94"/>
        <w:tblW w:w="995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093"/>
        <w:gridCol w:w="358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4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投标文件承诺的商务条款</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pacing w:val="-6"/>
                <w:sz w:val="21"/>
                <w:szCs w:val="21"/>
                <w:u w:val="single"/>
                <w:lang w:val="en-US" w:eastAsia="zh-CN"/>
              </w:rPr>
            </w:pPr>
          </w:p>
          <w:p>
            <w:pPr>
              <w:spacing w:line="300" w:lineRule="exact"/>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lang w:eastAsia="zh-CN"/>
              </w:rPr>
            </w:pPr>
          </w:p>
          <w:p>
            <w:pPr>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p>
          <w:p>
            <w:pPr>
              <w:pStyle w:val="54"/>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法定代表人或其委托代理人</w:t>
            </w:r>
            <w:r>
              <w:rPr>
                <w:rFonts w:hint="eastAsia" w:ascii="宋体" w:hAnsi="宋体" w:eastAsia="宋体" w:cs="宋体"/>
                <w:spacing w:val="-6"/>
                <w:sz w:val="21"/>
                <w:szCs w:val="21"/>
                <w:lang w:eastAsia="zh-CN"/>
              </w:rPr>
              <w:t>（签字或盖章）</w:t>
            </w:r>
            <w:r>
              <w:rPr>
                <w:rFonts w:hint="eastAsia" w:ascii="宋体" w:hAnsi="宋体" w:eastAsia="宋体" w:cs="宋体"/>
                <w:sz w:val="21"/>
                <w:szCs w:val="21"/>
                <w:lang w:eastAsia="zh-CN"/>
              </w:rPr>
              <w:t>：</w:t>
            </w:r>
          </w:p>
        </w:tc>
      </w:tr>
    </w:tbl>
    <w:p>
      <w:pPr>
        <w:pStyle w:val="21"/>
        <w:rPr>
          <w:rFonts w:hint="eastAsia" w:ascii="宋体" w:hAnsi="宋体" w:eastAsia="宋体" w:cs="宋体"/>
          <w:sz w:val="21"/>
          <w:szCs w:val="21"/>
        </w:rPr>
      </w:pPr>
    </w:p>
    <w:p>
      <w:pPr>
        <w:pStyle w:val="21"/>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1"/>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1"/>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both"/>
        <w:textAlignment w:val="auto"/>
        <w:outlineLvl w:val="9"/>
        <w:rPr>
          <w:rFonts w:hint="eastAsia" w:ascii="宋体" w:hAnsi="宋体" w:eastAsia="宋体" w:cs="宋体"/>
          <w:b/>
          <w:sz w:val="21"/>
          <w:szCs w:val="21"/>
          <w:lang w:val="en-US" w:eastAsia="zh-CN"/>
        </w:rPr>
      </w:pPr>
    </w:p>
    <w:p>
      <w:pPr>
        <w:pStyle w:val="54"/>
        <w:rPr>
          <w:rFonts w:hint="eastAsia" w:ascii="宋体" w:hAnsi="宋体" w:eastAsia="宋体" w:cs="宋体"/>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sz w:val="32"/>
          <w:szCs w:val="32"/>
          <w:lang w:val="en-US" w:eastAsia="zh-CN"/>
        </w:rPr>
      </w:pP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9</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3092" w:firstLineChars="11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售后服务承诺书（格式）</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spacing w:line="420" w:lineRule="exact"/>
        <w:ind w:firstLine="960" w:firstLineChars="400"/>
        <w:jc w:val="both"/>
        <w:rPr>
          <w:rFonts w:hint="eastAsia" w:ascii="宋体" w:hAnsi="宋体" w:eastAsia="宋体" w:cs="宋体"/>
          <w:b w:val="0"/>
          <w:bCs w:val="0"/>
          <w:sz w:val="21"/>
          <w:szCs w:val="21"/>
        </w:rPr>
      </w:pPr>
      <w:r>
        <w:rPr>
          <w:rFonts w:hint="eastAsia" w:ascii="宋体" w:hAnsi="宋体" w:eastAsia="宋体" w:cs="宋体"/>
          <w:b w:val="0"/>
          <w:bCs w:val="0"/>
          <w:sz w:val="24"/>
        </w:rPr>
        <w:t>（</w:t>
      </w:r>
      <w:r>
        <w:rPr>
          <w:rFonts w:hint="eastAsia" w:ascii="宋体" w:hAnsi="宋体" w:eastAsia="宋体" w:cs="宋体"/>
          <w:b w:val="0"/>
          <w:bCs w:val="0"/>
          <w:color w:val="000000"/>
          <w:kern w:val="2"/>
          <w:sz w:val="21"/>
          <w:szCs w:val="21"/>
          <w:lang w:val="en-US" w:eastAsia="zh-CN" w:bidi="ar-SA"/>
        </w:rPr>
        <w:t>根据第三章“货物需求一览表”的需求内容以及评分办法要求填写，格式自拟</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54"/>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54"/>
        <w:rPr>
          <w:rFonts w:hint="eastAsia" w:ascii="宋体" w:hAnsi="宋体" w:eastAsia="宋体" w:cs="宋体"/>
          <w:b/>
          <w:sz w:val="21"/>
          <w:szCs w:val="21"/>
          <w:lang w:eastAsia="zh-CN"/>
        </w:rPr>
      </w:pPr>
    </w:p>
    <w:p>
      <w:pPr>
        <w:pStyle w:val="54"/>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hAnsi="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6"/>
        <w:rPr>
          <w:rFonts w:hint="eastAsia" w:ascii="宋体" w:hAnsi="宋体" w:eastAsia="宋体" w:cs="宋体"/>
          <w:b/>
          <w:sz w:val="21"/>
          <w:szCs w:val="21"/>
          <w:lang w:eastAsia="zh-CN"/>
        </w:rPr>
      </w:pPr>
    </w:p>
    <w:p>
      <w:pPr>
        <w:pStyle w:val="21"/>
        <w:numPr>
          <w:ilvl w:val="0"/>
          <w:numId w:val="0"/>
        </w:numPr>
        <w:spacing w:line="50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格式1</w:t>
      </w:r>
      <w:r>
        <w:rPr>
          <w:rFonts w:hint="eastAsia" w:hAnsi="宋体" w:cs="宋体"/>
          <w:b/>
          <w:bCs/>
          <w:sz w:val="24"/>
          <w:szCs w:val="24"/>
          <w:lang w:val="en-US" w:eastAsia="zh-CN"/>
        </w:rPr>
        <w:t>0</w:t>
      </w:r>
      <w:r>
        <w:rPr>
          <w:rFonts w:hint="eastAsia" w:ascii="宋体" w:hAnsi="宋体" w:eastAsia="宋体" w:cs="宋体"/>
          <w:b/>
          <w:bCs/>
          <w:sz w:val="24"/>
          <w:szCs w:val="24"/>
          <w:lang w:val="en-US" w:eastAsia="zh-CN"/>
        </w:rPr>
        <w:t>：</w:t>
      </w:r>
    </w:p>
    <w:p>
      <w:pPr>
        <w:pStyle w:val="21"/>
        <w:numPr>
          <w:ilvl w:val="0"/>
          <w:numId w:val="0"/>
        </w:num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投标产品技术资料表（格式）</w:t>
      </w:r>
    </w:p>
    <w:p>
      <w:pPr>
        <w:pStyle w:val="21"/>
        <w:numPr>
          <w:ilvl w:val="0"/>
          <w:numId w:val="0"/>
        </w:numPr>
        <w:spacing w:line="500" w:lineRule="exact"/>
        <w:jc w:val="both"/>
        <w:rPr>
          <w:rFonts w:hint="eastAsia" w:ascii="宋体" w:hAnsi="宋体" w:eastAsia="宋体" w:cs="宋体"/>
          <w:b/>
          <w:bCs/>
          <w:sz w:val="21"/>
          <w:szCs w:val="21"/>
        </w:rPr>
      </w:pPr>
    </w:p>
    <w:p>
      <w:pPr>
        <w:pStyle w:val="21"/>
        <w:spacing w:line="440" w:lineRule="exact"/>
        <w:ind w:firstLine="420" w:firstLineChars="200"/>
        <w:rPr>
          <w:rFonts w:hint="eastAsia" w:ascii="宋体" w:hAnsi="宋体" w:eastAsia="宋体" w:cs="宋体"/>
          <w:sz w:val="21"/>
          <w:szCs w:val="21"/>
          <w:u w:val="thick"/>
        </w:rPr>
      </w:pPr>
      <w:r>
        <w:rPr>
          <w:rFonts w:hint="eastAsia" w:ascii="宋体" w:hAnsi="宋体" w:eastAsia="宋体" w:cs="宋体"/>
          <w:sz w:val="21"/>
          <w:szCs w:val="21"/>
          <w:lang w:eastAsia="zh-CN"/>
        </w:rPr>
        <w:t>注：</w:t>
      </w:r>
      <w:r>
        <w:rPr>
          <w:rFonts w:hint="eastAsia" w:ascii="宋体" w:hAnsi="宋体" w:eastAsia="宋体" w:cs="宋体"/>
          <w:sz w:val="21"/>
          <w:szCs w:val="21"/>
        </w:rPr>
        <w:t>请根据所投货物的实际技术参数，</w:t>
      </w:r>
      <w:r>
        <w:rPr>
          <w:rFonts w:hint="eastAsia" w:ascii="宋体" w:hAnsi="宋体" w:eastAsia="宋体" w:cs="宋体"/>
          <w:b/>
          <w:sz w:val="21"/>
          <w:szCs w:val="21"/>
        </w:rPr>
        <w:t>逐条对应</w:t>
      </w:r>
      <w:r>
        <w:rPr>
          <w:rFonts w:hint="eastAsia" w:ascii="宋体" w:hAnsi="宋体" w:eastAsia="宋体" w:cs="宋体"/>
          <w:sz w:val="21"/>
          <w:szCs w:val="21"/>
        </w:rPr>
        <w:t>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章“货物需求一览表”中的货物内容及要求详细填写相应的具体内容。“偏离说明”一栏选择“正偏离”、“负偏离”或“无偏离”进行填写。</w:t>
      </w:r>
    </w:p>
    <w:tbl>
      <w:tblPr>
        <w:tblStyle w:val="40"/>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28"/>
        <w:gridCol w:w="685"/>
        <w:gridCol w:w="657"/>
        <w:gridCol w:w="1115"/>
        <w:gridCol w:w="1085"/>
        <w:gridCol w:w="700"/>
        <w:gridCol w:w="729"/>
        <w:gridCol w:w="1129"/>
        <w:gridCol w:w="1222"/>
        <w:gridCol w:w="1235"/>
      </w:tblGrid>
      <w:tr>
        <w:tblPrEx>
          <w:tblCellMar>
            <w:top w:w="0" w:type="dxa"/>
            <w:left w:w="108" w:type="dxa"/>
            <w:bottom w:w="0" w:type="dxa"/>
            <w:right w:w="108" w:type="dxa"/>
          </w:tblCellMar>
        </w:tblPrEx>
        <w:trPr>
          <w:cantSplit/>
          <w:trHeight w:val="408"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项号</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招标</w:t>
            </w:r>
            <w:r>
              <w:rPr>
                <w:rFonts w:hint="eastAsia" w:ascii="宋体" w:hAnsi="宋体" w:eastAsia="宋体" w:cs="宋体"/>
                <w:sz w:val="21"/>
                <w:szCs w:val="21"/>
              </w:rPr>
              <w:t>文件需求</w:t>
            </w:r>
          </w:p>
        </w:tc>
        <w:tc>
          <w:tcPr>
            <w:tcW w:w="48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具体</w:t>
            </w:r>
            <w:r>
              <w:rPr>
                <w:rFonts w:hint="eastAsia" w:ascii="宋体" w:hAnsi="宋体" w:eastAsia="宋体" w:cs="宋体"/>
                <w:sz w:val="21"/>
                <w:szCs w:val="21"/>
              </w:rPr>
              <w:t>承诺</w:t>
            </w: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技术参数要求</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品牌、厂家、型号、规格</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w:t>
            </w:r>
          </w:p>
          <w:p>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法定代表人或其委托代理人（签字或盖章）：</w:t>
            </w:r>
          </w:p>
        </w:tc>
      </w:tr>
    </w:tbl>
    <w:p>
      <w:pPr>
        <w:pStyle w:val="21"/>
        <w:ind w:firstLine="420"/>
        <w:rPr>
          <w:rFonts w:hint="eastAsia" w:ascii="宋体" w:hAnsi="宋体" w:eastAsia="宋体" w:cs="宋体"/>
          <w:sz w:val="21"/>
          <w:szCs w:val="21"/>
        </w:rPr>
      </w:pPr>
    </w:p>
    <w:p>
      <w:pPr>
        <w:pStyle w:val="21"/>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1"/>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1"/>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pStyle w:val="2"/>
        <w:ind w:left="0" w:leftChars="0" w:firstLine="0" w:firstLineChars="0"/>
        <w:jc w:val="both"/>
        <w:rPr>
          <w:rFonts w:hint="eastAsia" w:ascii="宋体" w:hAnsi="宋体" w:eastAsia="宋体" w:cs="宋体"/>
          <w:sz w:val="21"/>
          <w:szCs w:val="21"/>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spacing w:before="120" w:beforeLines="50" w:after="240" w:afterLines="100" w:line="440" w:lineRule="exact"/>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格式</w:t>
      </w:r>
      <w:r>
        <w:rPr>
          <w:rFonts w:hint="eastAsia" w:ascii="宋体" w:hAnsi="宋体" w:cs="宋体"/>
          <w:b/>
          <w:bCs/>
          <w:kern w:val="0"/>
          <w:sz w:val="24"/>
          <w:szCs w:val="24"/>
          <w:lang w:val="en-US" w:eastAsia="zh-CN"/>
        </w:rPr>
        <w:t>11</w:t>
      </w:r>
      <w:r>
        <w:rPr>
          <w:rFonts w:hint="eastAsia" w:ascii="宋体" w:hAnsi="宋体" w:eastAsia="宋体" w:cs="宋体"/>
          <w:b/>
          <w:bCs/>
          <w:kern w:val="0"/>
          <w:sz w:val="24"/>
          <w:szCs w:val="24"/>
          <w:lang w:eastAsia="zh-CN"/>
        </w:rPr>
        <w:t>：</w:t>
      </w:r>
    </w:p>
    <w:p>
      <w:pPr>
        <w:pStyle w:val="4"/>
        <w:rPr>
          <w:rFonts w:hint="eastAsia" w:ascii="宋体" w:hAnsi="宋体" w:eastAsia="宋体" w:cs="宋体"/>
          <w:b/>
          <w:bCs/>
          <w:kern w:val="0"/>
          <w:sz w:val="24"/>
          <w:szCs w:val="24"/>
          <w:lang w:eastAsia="zh-CN"/>
        </w:rPr>
      </w:pPr>
    </w:p>
    <w:p>
      <w:pPr>
        <w:rPr>
          <w:rFonts w:hint="eastAsia"/>
        </w:rPr>
      </w:pPr>
    </w:p>
    <w:p>
      <w:pPr>
        <w:jc w:val="center"/>
        <w:rPr>
          <w:rFonts w:ascii="宋体"/>
          <w:b/>
          <w:color w:val="auto"/>
          <w:sz w:val="36"/>
          <w:szCs w:val="36"/>
          <w:highlight w:val="none"/>
        </w:rPr>
      </w:pPr>
      <w:r>
        <w:rPr>
          <w:rFonts w:hint="eastAsia" w:ascii="宋体" w:hAnsi="宋体"/>
          <w:b/>
          <w:color w:val="auto"/>
          <w:sz w:val="36"/>
          <w:szCs w:val="36"/>
          <w:highlight w:val="none"/>
        </w:rPr>
        <w:t>邮寄袋或箱子粘贴表格（格式）</w:t>
      </w:r>
    </w:p>
    <w:p>
      <w:pPr>
        <w:rPr>
          <w:rFonts w:ascii="宋体"/>
          <w:color w:val="auto"/>
          <w:sz w:val="28"/>
          <w:szCs w:val="28"/>
          <w:highlight w:val="none"/>
        </w:rPr>
      </w:pPr>
    </w:p>
    <w:p>
      <w:pPr>
        <w:rPr>
          <w:rFonts w:ascii="宋体"/>
          <w:color w:val="auto"/>
          <w:sz w:val="28"/>
          <w:szCs w:val="28"/>
          <w:highlight w:val="none"/>
        </w:rPr>
      </w:pPr>
    </w:p>
    <w:p>
      <w:pPr>
        <w:ind w:firstLine="562" w:firstLineChars="200"/>
        <w:rPr>
          <w:rFonts w:hint="eastAsia" w:ascii="宋体" w:hAnsi="宋体"/>
          <w:b/>
          <w:color w:val="auto"/>
          <w:sz w:val="28"/>
          <w:szCs w:val="28"/>
          <w:highlight w:val="none"/>
        </w:rPr>
      </w:pPr>
    </w:p>
    <w:p>
      <w:pPr>
        <w:ind w:firstLine="562" w:firstLineChars="200"/>
        <w:rPr>
          <w:rFonts w:hint="eastAsia" w:ascii="宋体" w:hAnsi="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rPr>
        <w:t>项目编号：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lang w:eastAsia="zh-CN"/>
        </w:rPr>
        <w:t>项目开标时间</w:t>
      </w:r>
      <w:r>
        <w:rPr>
          <w:rFonts w:hint="eastAsia" w:ascii="宋体" w:hAnsi="宋体"/>
          <w:b/>
          <w:color w:val="auto"/>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有效的</w:t>
      </w:r>
      <w:r>
        <w:rPr>
          <w:rFonts w:hint="eastAsia" w:ascii="宋体" w:hAnsi="宋体"/>
          <w:b/>
          <w:color w:val="auto"/>
          <w:sz w:val="30"/>
          <w:szCs w:val="30"/>
          <w:highlight w:val="none"/>
        </w:rPr>
        <w:t>电子邮箱</w:t>
      </w:r>
      <w:r>
        <w:rPr>
          <w:rFonts w:hint="eastAsia" w:ascii="宋体" w:hAnsi="宋体"/>
          <w:b/>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联系人及联系方式：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FF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rPr>
      </w:pPr>
      <w:r>
        <w:rPr>
          <w:rFonts w:hAnsi="宋体" w:cs="宋体"/>
          <w:color w:val="auto"/>
        </w:rPr>
        <w:br w:type="page"/>
      </w:r>
    </w:p>
    <w:p>
      <w:pPr>
        <w:spacing w:before="120" w:beforeLines="50" w:after="240" w:afterLines="100" w:line="440" w:lineRule="exact"/>
        <w:rPr>
          <w:rFonts w:hint="eastAsia" w:ascii="宋体" w:hAnsi="宋体" w:eastAsia="宋体" w:cs="宋体"/>
          <w:kern w:val="0"/>
          <w:sz w:val="24"/>
          <w:szCs w:val="24"/>
          <w:lang w:eastAsia="zh-CN"/>
        </w:rPr>
      </w:pPr>
      <w:r>
        <w:rPr>
          <w:rFonts w:hint="eastAsia" w:ascii="宋体" w:hAnsi="宋体" w:cs="宋体"/>
          <w:b/>
          <w:bCs/>
          <w:kern w:val="0"/>
          <w:sz w:val="24"/>
          <w:szCs w:val="24"/>
          <w:lang w:eastAsia="zh-CN"/>
        </w:rPr>
        <w:t>格式</w:t>
      </w:r>
      <w:r>
        <w:rPr>
          <w:rFonts w:hint="eastAsia" w:ascii="宋体" w:hAnsi="宋体" w:cs="宋体"/>
          <w:b/>
          <w:bCs/>
          <w:kern w:val="0"/>
          <w:sz w:val="24"/>
          <w:szCs w:val="24"/>
          <w:lang w:val="en-US" w:eastAsia="zh-CN"/>
        </w:rPr>
        <w:t>12</w:t>
      </w:r>
      <w:r>
        <w:rPr>
          <w:rFonts w:hint="eastAsia" w:ascii="宋体" w:hAnsi="宋体" w:eastAsia="宋体" w:cs="宋体"/>
          <w:b/>
          <w:bCs/>
          <w:kern w:val="0"/>
          <w:sz w:val="24"/>
          <w:szCs w:val="24"/>
          <w:lang w:eastAsia="zh-CN"/>
        </w:rPr>
        <w:t>：</w:t>
      </w:r>
    </w:p>
    <w:p>
      <w:pPr>
        <w:widowControl/>
        <w:jc w:val="center"/>
        <w:rPr>
          <w:rFonts w:hint="eastAsia" w:ascii="宋体" w:hAnsi="宋体" w:eastAsia="宋体" w:cs="宋体"/>
          <w:b/>
          <w:bCs/>
          <w:sz w:val="28"/>
          <w:szCs w:val="28"/>
          <w:lang w:eastAsia="zh-CN"/>
        </w:rPr>
      </w:pPr>
      <w:r>
        <w:rPr>
          <w:rFonts w:hint="eastAsia" w:ascii="宋体" w:hAnsi="宋体" w:eastAsia="宋体" w:cs="宋体"/>
          <w:b/>
          <w:bCs/>
          <w:sz w:val="28"/>
          <w:szCs w:val="28"/>
        </w:rPr>
        <w:t>政府采购供应商质疑函</w:t>
      </w:r>
      <w:r>
        <w:rPr>
          <w:rFonts w:hint="eastAsia" w:ascii="宋体" w:hAnsi="宋体" w:eastAsia="宋体" w:cs="宋体"/>
          <w:b/>
          <w:bCs/>
          <w:sz w:val="28"/>
          <w:szCs w:val="28"/>
          <w:lang w:eastAsia="zh-CN"/>
        </w:rPr>
        <w:t>（格式）</w:t>
      </w:r>
    </w:p>
    <w:p>
      <w:pPr>
        <w:keepNext w:val="0"/>
        <w:keepLines w:val="0"/>
        <w:pageBreakBefore w:val="0"/>
        <w:kinsoku/>
        <w:wordWrap/>
        <w:overflowPunct/>
        <w:topLinePunct w:val="0"/>
        <w:autoSpaceDE/>
        <w:autoSpaceDN/>
        <w:bidi w:val="0"/>
        <w:adjustRightInd w:val="0"/>
        <w:snapToGrid w:val="0"/>
        <w:spacing w:before="240" w:beforeLines="100"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一、质疑供应商基本信息</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质疑供应商：</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分标号：</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default" w:ascii="宋体" w:hAnsi="宋体" w:eastAsia="宋体" w:cs="宋体"/>
          <w:sz w:val="21"/>
          <w:szCs w:val="21"/>
          <w:u w:val="dotted"/>
          <w:lang w:val="en-US" w:eastAsia="zh-CN"/>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质疑事项2</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质疑函制作说明：</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w:t>
      </w:r>
      <w:r>
        <w:rPr>
          <w:rFonts w:hint="eastAsia" w:ascii="宋体" w:hAnsi="宋体" w:eastAsia="宋体" w:cs="宋体"/>
          <w:kern w:val="0"/>
          <w:sz w:val="21"/>
          <w:szCs w:val="21"/>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3.质疑供应商若对项目的某一分标进行质疑，质疑函中应列明具体分标号。</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sectPr>
      <w:footerReference r:id="rId5" w:type="default"/>
      <w:pgSz w:w="11850" w:h="16783"/>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宋 体">
    <w:altName w:val="宋体"/>
    <w:panose1 w:val="00000000000000000000"/>
    <w:charset w:val="00"/>
    <w:family w:val="auto"/>
    <w:pitch w:val="default"/>
    <w:sig w:usb0="00000000" w:usb1="00000000" w:usb2="00000000"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802EF"/>
    <w:multiLevelType w:val="singleLevel"/>
    <w:tmpl w:val="FCD802EF"/>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47E1"/>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E7984"/>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4EA"/>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1F49"/>
    <w:rsid w:val="00B42510"/>
    <w:rsid w:val="00B42767"/>
    <w:rsid w:val="00B438F7"/>
    <w:rsid w:val="00B50194"/>
    <w:rsid w:val="00B54350"/>
    <w:rsid w:val="00B618ED"/>
    <w:rsid w:val="00B63849"/>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9708E"/>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7D22"/>
    <w:rsid w:val="00DD0593"/>
    <w:rsid w:val="00DD08B3"/>
    <w:rsid w:val="00DD24BD"/>
    <w:rsid w:val="00DD45AC"/>
    <w:rsid w:val="00DD524F"/>
    <w:rsid w:val="00DD53F4"/>
    <w:rsid w:val="00DD54E8"/>
    <w:rsid w:val="00DD573A"/>
    <w:rsid w:val="00DD5DB2"/>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50702"/>
    <w:rsid w:val="01086ED8"/>
    <w:rsid w:val="011A2472"/>
    <w:rsid w:val="013A43CF"/>
    <w:rsid w:val="01425CB7"/>
    <w:rsid w:val="015E40F5"/>
    <w:rsid w:val="01666D17"/>
    <w:rsid w:val="016E4D70"/>
    <w:rsid w:val="018B06A1"/>
    <w:rsid w:val="018E50B3"/>
    <w:rsid w:val="01A44028"/>
    <w:rsid w:val="01A81584"/>
    <w:rsid w:val="01B129CD"/>
    <w:rsid w:val="01BD129D"/>
    <w:rsid w:val="01CD5DD7"/>
    <w:rsid w:val="01E55144"/>
    <w:rsid w:val="01EE57DC"/>
    <w:rsid w:val="01F4535D"/>
    <w:rsid w:val="01F742C8"/>
    <w:rsid w:val="020746B0"/>
    <w:rsid w:val="02340C55"/>
    <w:rsid w:val="024F581D"/>
    <w:rsid w:val="02687855"/>
    <w:rsid w:val="02743F59"/>
    <w:rsid w:val="029A7286"/>
    <w:rsid w:val="02AE50A4"/>
    <w:rsid w:val="02B001D3"/>
    <w:rsid w:val="02BC4494"/>
    <w:rsid w:val="02D22A45"/>
    <w:rsid w:val="02E8020F"/>
    <w:rsid w:val="031D711F"/>
    <w:rsid w:val="03226672"/>
    <w:rsid w:val="033A01E5"/>
    <w:rsid w:val="03451206"/>
    <w:rsid w:val="036E6370"/>
    <w:rsid w:val="0378723C"/>
    <w:rsid w:val="03817721"/>
    <w:rsid w:val="03866688"/>
    <w:rsid w:val="03936848"/>
    <w:rsid w:val="039D1A83"/>
    <w:rsid w:val="03B4736D"/>
    <w:rsid w:val="03B51689"/>
    <w:rsid w:val="03C31C23"/>
    <w:rsid w:val="03CB0E26"/>
    <w:rsid w:val="03ED37C2"/>
    <w:rsid w:val="03ED39C3"/>
    <w:rsid w:val="03F401FF"/>
    <w:rsid w:val="0401399B"/>
    <w:rsid w:val="04013E84"/>
    <w:rsid w:val="040B4C2D"/>
    <w:rsid w:val="041B4894"/>
    <w:rsid w:val="042210E3"/>
    <w:rsid w:val="0423510F"/>
    <w:rsid w:val="04326129"/>
    <w:rsid w:val="043B7038"/>
    <w:rsid w:val="045235A6"/>
    <w:rsid w:val="04595FF8"/>
    <w:rsid w:val="046075DD"/>
    <w:rsid w:val="04746863"/>
    <w:rsid w:val="047979D8"/>
    <w:rsid w:val="047C0ED9"/>
    <w:rsid w:val="04AE3E64"/>
    <w:rsid w:val="04BA3485"/>
    <w:rsid w:val="04BB25DF"/>
    <w:rsid w:val="04C329FA"/>
    <w:rsid w:val="04C5501E"/>
    <w:rsid w:val="04CD1CDB"/>
    <w:rsid w:val="04F1303D"/>
    <w:rsid w:val="05025718"/>
    <w:rsid w:val="050624C0"/>
    <w:rsid w:val="05086177"/>
    <w:rsid w:val="05123CEB"/>
    <w:rsid w:val="051824EC"/>
    <w:rsid w:val="053F30D3"/>
    <w:rsid w:val="058B1A2D"/>
    <w:rsid w:val="059D4539"/>
    <w:rsid w:val="05A57629"/>
    <w:rsid w:val="05C41108"/>
    <w:rsid w:val="05C87329"/>
    <w:rsid w:val="05D7767D"/>
    <w:rsid w:val="05E30A31"/>
    <w:rsid w:val="05F617F8"/>
    <w:rsid w:val="05F94B88"/>
    <w:rsid w:val="06070484"/>
    <w:rsid w:val="0624791F"/>
    <w:rsid w:val="062F245C"/>
    <w:rsid w:val="0633173B"/>
    <w:rsid w:val="063E12EB"/>
    <w:rsid w:val="06496A76"/>
    <w:rsid w:val="06707665"/>
    <w:rsid w:val="06915C87"/>
    <w:rsid w:val="06C67397"/>
    <w:rsid w:val="06CC4BDD"/>
    <w:rsid w:val="06E7449A"/>
    <w:rsid w:val="06F948B6"/>
    <w:rsid w:val="070D6BF3"/>
    <w:rsid w:val="07151F6F"/>
    <w:rsid w:val="0725325E"/>
    <w:rsid w:val="07294610"/>
    <w:rsid w:val="072B0489"/>
    <w:rsid w:val="073A1752"/>
    <w:rsid w:val="07557B45"/>
    <w:rsid w:val="075678D2"/>
    <w:rsid w:val="07630F8F"/>
    <w:rsid w:val="07771B80"/>
    <w:rsid w:val="07801A26"/>
    <w:rsid w:val="078155B4"/>
    <w:rsid w:val="078879F8"/>
    <w:rsid w:val="07896BAD"/>
    <w:rsid w:val="079A5793"/>
    <w:rsid w:val="079C2F71"/>
    <w:rsid w:val="07A5391A"/>
    <w:rsid w:val="07B0488A"/>
    <w:rsid w:val="07B7614F"/>
    <w:rsid w:val="07D33D15"/>
    <w:rsid w:val="07DA1372"/>
    <w:rsid w:val="08017F14"/>
    <w:rsid w:val="08250755"/>
    <w:rsid w:val="083101C1"/>
    <w:rsid w:val="08410DCA"/>
    <w:rsid w:val="084F3D18"/>
    <w:rsid w:val="08573780"/>
    <w:rsid w:val="08747C4B"/>
    <w:rsid w:val="088A0F07"/>
    <w:rsid w:val="088E7054"/>
    <w:rsid w:val="08B418ED"/>
    <w:rsid w:val="08CB7ECA"/>
    <w:rsid w:val="08D05398"/>
    <w:rsid w:val="08FE25EF"/>
    <w:rsid w:val="092E7101"/>
    <w:rsid w:val="094D323E"/>
    <w:rsid w:val="095B152E"/>
    <w:rsid w:val="0965112F"/>
    <w:rsid w:val="097F2E27"/>
    <w:rsid w:val="09970A7B"/>
    <w:rsid w:val="09A814A8"/>
    <w:rsid w:val="09B96617"/>
    <w:rsid w:val="09C16057"/>
    <w:rsid w:val="09C8696F"/>
    <w:rsid w:val="09CF53FB"/>
    <w:rsid w:val="09D10DED"/>
    <w:rsid w:val="09E22B63"/>
    <w:rsid w:val="0A045792"/>
    <w:rsid w:val="0A08203D"/>
    <w:rsid w:val="0A1136A9"/>
    <w:rsid w:val="0A2D54A6"/>
    <w:rsid w:val="0A2D7DD1"/>
    <w:rsid w:val="0A3079AB"/>
    <w:rsid w:val="0A327407"/>
    <w:rsid w:val="0A332BB5"/>
    <w:rsid w:val="0A3B1B40"/>
    <w:rsid w:val="0A587543"/>
    <w:rsid w:val="0A7D1152"/>
    <w:rsid w:val="0A7E0162"/>
    <w:rsid w:val="0A830501"/>
    <w:rsid w:val="0AA500CB"/>
    <w:rsid w:val="0AC066EE"/>
    <w:rsid w:val="0ACD3017"/>
    <w:rsid w:val="0AD43F4F"/>
    <w:rsid w:val="0AED5453"/>
    <w:rsid w:val="0AF50B45"/>
    <w:rsid w:val="0AFF7AB2"/>
    <w:rsid w:val="0B013A9F"/>
    <w:rsid w:val="0B05072A"/>
    <w:rsid w:val="0B183472"/>
    <w:rsid w:val="0B1B7D62"/>
    <w:rsid w:val="0B1E0FF4"/>
    <w:rsid w:val="0B1E581E"/>
    <w:rsid w:val="0B2060DA"/>
    <w:rsid w:val="0B2236AA"/>
    <w:rsid w:val="0B246F82"/>
    <w:rsid w:val="0B4D2C32"/>
    <w:rsid w:val="0B4F13C5"/>
    <w:rsid w:val="0B577BBF"/>
    <w:rsid w:val="0B7C4B4B"/>
    <w:rsid w:val="0B8F5247"/>
    <w:rsid w:val="0B9D7EB6"/>
    <w:rsid w:val="0BE83046"/>
    <w:rsid w:val="0C0501F9"/>
    <w:rsid w:val="0C08651B"/>
    <w:rsid w:val="0C0C2297"/>
    <w:rsid w:val="0C1C109B"/>
    <w:rsid w:val="0C1C573A"/>
    <w:rsid w:val="0C28583E"/>
    <w:rsid w:val="0C583F56"/>
    <w:rsid w:val="0C980BAF"/>
    <w:rsid w:val="0CA672E1"/>
    <w:rsid w:val="0CAE74DC"/>
    <w:rsid w:val="0CBB6466"/>
    <w:rsid w:val="0CBE2E4F"/>
    <w:rsid w:val="0CCC279D"/>
    <w:rsid w:val="0CDB1F12"/>
    <w:rsid w:val="0CFA370C"/>
    <w:rsid w:val="0D070304"/>
    <w:rsid w:val="0D265058"/>
    <w:rsid w:val="0D2B6AFF"/>
    <w:rsid w:val="0D2E238D"/>
    <w:rsid w:val="0D4B62FC"/>
    <w:rsid w:val="0D527494"/>
    <w:rsid w:val="0D561079"/>
    <w:rsid w:val="0D57547C"/>
    <w:rsid w:val="0D580954"/>
    <w:rsid w:val="0D5E7C0F"/>
    <w:rsid w:val="0DA60D55"/>
    <w:rsid w:val="0DAC15EE"/>
    <w:rsid w:val="0DB46674"/>
    <w:rsid w:val="0DC6620F"/>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279C1"/>
    <w:rsid w:val="0EA93515"/>
    <w:rsid w:val="0EC03289"/>
    <w:rsid w:val="0EC063A0"/>
    <w:rsid w:val="0EDC100B"/>
    <w:rsid w:val="0EED36B2"/>
    <w:rsid w:val="0EED5667"/>
    <w:rsid w:val="0F1C087A"/>
    <w:rsid w:val="0F1D78D5"/>
    <w:rsid w:val="0F1F4320"/>
    <w:rsid w:val="0F2A0F21"/>
    <w:rsid w:val="0F5377F0"/>
    <w:rsid w:val="0F650D6C"/>
    <w:rsid w:val="0F8159BB"/>
    <w:rsid w:val="0F862A67"/>
    <w:rsid w:val="0F924CE0"/>
    <w:rsid w:val="0FA0397E"/>
    <w:rsid w:val="0FC00099"/>
    <w:rsid w:val="0FC277C5"/>
    <w:rsid w:val="0FC83E95"/>
    <w:rsid w:val="0FE0205F"/>
    <w:rsid w:val="0FE83EAC"/>
    <w:rsid w:val="0FEA30B6"/>
    <w:rsid w:val="0FEC5911"/>
    <w:rsid w:val="10172EAE"/>
    <w:rsid w:val="101828FE"/>
    <w:rsid w:val="10190E55"/>
    <w:rsid w:val="101B07C8"/>
    <w:rsid w:val="10263F4E"/>
    <w:rsid w:val="102D00D6"/>
    <w:rsid w:val="10432617"/>
    <w:rsid w:val="10572DA5"/>
    <w:rsid w:val="1058370F"/>
    <w:rsid w:val="10593C75"/>
    <w:rsid w:val="105B2A75"/>
    <w:rsid w:val="1063664A"/>
    <w:rsid w:val="106E39DC"/>
    <w:rsid w:val="10837199"/>
    <w:rsid w:val="108D598B"/>
    <w:rsid w:val="10CD1DBA"/>
    <w:rsid w:val="10CD5B0C"/>
    <w:rsid w:val="10D16233"/>
    <w:rsid w:val="10D620E5"/>
    <w:rsid w:val="10D87D15"/>
    <w:rsid w:val="10DE4A2E"/>
    <w:rsid w:val="10DF5221"/>
    <w:rsid w:val="10F64B20"/>
    <w:rsid w:val="10FE0964"/>
    <w:rsid w:val="110337E0"/>
    <w:rsid w:val="11174972"/>
    <w:rsid w:val="11545DEF"/>
    <w:rsid w:val="1159305E"/>
    <w:rsid w:val="115D0FF7"/>
    <w:rsid w:val="1169191F"/>
    <w:rsid w:val="11897CDD"/>
    <w:rsid w:val="119F3CDC"/>
    <w:rsid w:val="11A07E05"/>
    <w:rsid w:val="11A522FD"/>
    <w:rsid w:val="11D17F24"/>
    <w:rsid w:val="11FE306A"/>
    <w:rsid w:val="120C6C57"/>
    <w:rsid w:val="124903A3"/>
    <w:rsid w:val="12511B41"/>
    <w:rsid w:val="12731E53"/>
    <w:rsid w:val="127E54C9"/>
    <w:rsid w:val="12814423"/>
    <w:rsid w:val="128D02B6"/>
    <w:rsid w:val="12950B26"/>
    <w:rsid w:val="129D6C5D"/>
    <w:rsid w:val="12AB0E85"/>
    <w:rsid w:val="12B21647"/>
    <w:rsid w:val="12BB6F6E"/>
    <w:rsid w:val="12DE6EE2"/>
    <w:rsid w:val="12E46A5E"/>
    <w:rsid w:val="12E604A4"/>
    <w:rsid w:val="12ED64A0"/>
    <w:rsid w:val="12F70098"/>
    <w:rsid w:val="130A371E"/>
    <w:rsid w:val="131A25AF"/>
    <w:rsid w:val="13226AB7"/>
    <w:rsid w:val="134509D2"/>
    <w:rsid w:val="134A768F"/>
    <w:rsid w:val="134E3098"/>
    <w:rsid w:val="13764D94"/>
    <w:rsid w:val="137931F6"/>
    <w:rsid w:val="13953410"/>
    <w:rsid w:val="139F3290"/>
    <w:rsid w:val="13B3549F"/>
    <w:rsid w:val="13BC0CF5"/>
    <w:rsid w:val="13C00049"/>
    <w:rsid w:val="13CA6D14"/>
    <w:rsid w:val="13D0560F"/>
    <w:rsid w:val="13D567D5"/>
    <w:rsid w:val="14155D8F"/>
    <w:rsid w:val="141D5972"/>
    <w:rsid w:val="141E601E"/>
    <w:rsid w:val="14515A43"/>
    <w:rsid w:val="145A7F6B"/>
    <w:rsid w:val="14672083"/>
    <w:rsid w:val="14791F91"/>
    <w:rsid w:val="1488419F"/>
    <w:rsid w:val="148A11B8"/>
    <w:rsid w:val="14A51904"/>
    <w:rsid w:val="14B94011"/>
    <w:rsid w:val="14BA274A"/>
    <w:rsid w:val="14CD42AA"/>
    <w:rsid w:val="14D10C6F"/>
    <w:rsid w:val="14D445A3"/>
    <w:rsid w:val="14DA08B5"/>
    <w:rsid w:val="14E501E7"/>
    <w:rsid w:val="14E53FA8"/>
    <w:rsid w:val="14F41528"/>
    <w:rsid w:val="150A4064"/>
    <w:rsid w:val="152115F5"/>
    <w:rsid w:val="15426F0B"/>
    <w:rsid w:val="154B4DB7"/>
    <w:rsid w:val="155506CC"/>
    <w:rsid w:val="155935CF"/>
    <w:rsid w:val="157B042E"/>
    <w:rsid w:val="157E1E1D"/>
    <w:rsid w:val="157E450E"/>
    <w:rsid w:val="15804A60"/>
    <w:rsid w:val="158F128F"/>
    <w:rsid w:val="1593342C"/>
    <w:rsid w:val="15B5748F"/>
    <w:rsid w:val="15CE2027"/>
    <w:rsid w:val="15DC1932"/>
    <w:rsid w:val="15E62DDB"/>
    <w:rsid w:val="15F41CA5"/>
    <w:rsid w:val="15F73E82"/>
    <w:rsid w:val="160D04CB"/>
    <w:rsid w:val="160E684A"/>
    <w:rsid w:val="161507CB"/>
    <w:rsid w:val="161825DD"/>
    <w:rsid w:val="163C46CA"/>
    <w:rsid w:val="16495C3B"/>
    <w:rsid w:val="164D256D"/>
    <w:rsid w:val="165338F6"/>
    <w:rsid w:val="16534E93"/>
    <w:rsid w:val="16680A2E"/>
    <w:rsid w:val="166B3466"/>
    <w:rsid w:val="16865256"/>
    <w:rsid w:val="16A22A5E"/>
    <w:rsid w:val="16A733A2"/>
    <w:rsid w:val="16A75A8D"/>
    <w:rsid w:val="16B64BA4"/>
    <w:rsid w:val="16CF681D"/>
    <w:rsid w:val="16DF38D6"/>
    <w:rsid w:val="16E5696D"/>
    <w:rsid w:val="16EE3105"/>
    <w:rsid w:val="16FB53B2"/>
    <w:rsid w:val="170C7EE3"/>
    <w:rsid w:val="17165E94"/>
    <w:rsid w:val="171E02EA"/>
    <w:rsid w:val="17483F6C"/>
    <w:rsid w:val="175F7BF8"/>
    <w:rsid w:val="17924B45"/>
    <w:rsid w:val="17946AF1"/>
    <w:rsid w:val="17D2336A"/>
    <w:rsid w:val="17DE099C"/>
    <w:rsid w:val="18193207"/>
    <w:rsid w:val="183948CB"/>
    <w:rsid w:val="183C72EA"/>
    <w:rsid w:val="183E0C8F"/>
    <w:rsid w:val="184B1F42"/>
    <w:rsid w:val="185E7A34"/>
    <w:rsid w:val="18931E36"/>
    <w:rsid w:val="18941D13"/>
    <w:rsid w:val="189A23A0"/>
    <w:rsid w:val="18A13D0A"/>
    <w:rsid w:val="18A443EC"/>
    <w:rsid w:val="18A97DA5"/>
    <w:rsid w:val="18AD0EF1"/>
    <w:rsid w:val="18AF321B"/>
    <w:rsid w:val="18C96D67"/>
    <w:rsid w:val="18DE0561"/>
    <w:rsid w:val="18E94453"/>
    <w:rsid w:val="18EA7F56"/>
    <w:rsid w:val="18EB34DA"/>
    <w:rsid w:val="18F3128C"/>
    <w:rsid w:val="18FF4D2C"/>
    <w:rsid w:val="19113CCB"/>
    <w:rsid w:val="19182AEB"/>
    <w:rsid w:val="19527D38"/>
    <w:rsid w:val="19593CAA"/>
    <w:rsid w:val="1961365F"/>
    <w:rsid w:val="196C1DAB"/>
    <w:rsid w:val="19777239"/>
    <w:rsid w:val="1994416F"/>
    <w:rsid w:val="1997201C"/>
    <w:rsid w:val="19CE1764"/>
    <w:rsid w:val="19E40975"/>
    <w:rsid w:val="19F43343"/>
    <w:rsid w:val="19FD0A73"/>
    <w:rsid w:val="19FD1C6C"/>
    <w:rsid w:val="1A1239F6"/>
    <w:rsid w:val="1A1732D8"/>
    <w:rsid w:val="1A2D0007"/>
    <w:rsid w:val="1A4E72D5"/>
    <w:rsid w:val="1A4F2721"/>
    <w:rsid w:val="1A622966"/>
    <w:rsid w:val="1A830BAD"/>
    <w:rsid w:val="1AA5646B"/>
    <w:rsid w:val="1AA80708"/>
    <w:rsid w:val="1ABE0F66"/>
    <w:rsid w:val="1AD36EF3"/>
    <w:rsid w:val="1AE44C41"/>
    <w:rsid w:val="1B1919FC"/>
    <w:rsid w:val="1B351236"/>
    <w:rsid w:val="1B3E16AD"/>
    <w:rsid w:val="1B413077"/>
    <w:rsid w:val="1B637077"/>
    <w:rsid w:val="1B6A1E3B"/>
    <w:rsid w:val="1B716083"/>
    <w:rsid w:val="1B866D86"/>
    <w:rsid w:val="1BAB4BA3"/>
    <w:rsid w:val="1BB70731"/>
    <w:rsid w:val="1BBA0090"/>
    <w:rsid w:val="1BCF6365"/>
    <w:rsid w:val="1BDD2C79"/>
    <w:rsid w:val="1BE6718C"/>
    <w:rsid w:val="1BF732DC"/>
    <w:rsid w:val="1C090024"/>
    <w:rsid w:val="1C0B4114"/>
    <w:rsid w:val="1C112C01"/>
    <w:rsid w:val="1C1374AB"/>
    <w:rsid w:val="1C3C5725"/>
    <w:rsid w:val="1C6D5FB3"/>
    <w:rsid w:val="1C7668F2"/>
    <w:rsid w:val="1C862F5F"/>
    <w:rsid w:val="1C8E7648"/>
    <w:rsid w:val="1C9F271A"/>
    <w:rsid w:val="1CAE308B"/>
    <w:rsid w:val="1CC91AD4"/>
    <w:rsid w:val="1CEF1724"/>
    <w:rsid w:val="1CF537A8"/>
    <w:rsid w:val="1D043F4C"/>
    <w:rsid w:val="1D064342"/>
    <w:rsid w:val="1D0677F1"/>
    <w:rsid w:val="1D1D13BD"/>
    <w:rsid w:val="1D2567E9"/>
    <w:rsid w:val="1D343E77"/>
    <w:rsid w:val="1D3621F6"/>
    <w:rsid w:val="1D5E7485"/>
    <w:rsid w:val="1D6B71BD"/>
    <w:rsid w:val="1D6C62C4"/>
    <w:rsid w:val="1D7F7B53"/>
    <w:rsid w:val="1DAF24B4"/>
    <w:rsid w:val="1DD94CA5"/>
    <w:rsid w:val="1DE026DD"/>
    <w:rsid w:val="1E0D1EBD"/>
    <w:rsid w:val="1E10318D"/>
    <w:rsid w:val="1E16673D"/>
    <w:rsid w:val="1E26140D"/>
    <w:rsid w:val="1E29308C"/>
    <w:rsid w:val="1E397E93"/>
    <w:rsid w:val="1E5D623C"/>
    <w:rsid w:val="1E5E0EA8"/>
    <w:rsid w:val="1E8A1BEA"/>
    <w:rsid w:val="1E8D59F4"/>
    <w:rsid w:val="1E915890"/>
    <w:rsid w:val="1E9C6177"/>
    <w:rsid w:val="1EA34011"/>
    <w:rsid w:val="1EAC3E93"/>
    <w:rsid w:val="1EC96AB5"/>
    <w:rsid w:val="1EDA332A"/>
    <w:rsid w:val="1EE20D69"/>
    <w:rsid w:val="1EF123F6"/>
    <w:rsid w:val="1EF13EA7"/>
    <w:rsid w:val="1F095A1B"/>
    <w:rsid w:val="1F0C6E7E"/>
    <w:rsid w:val="1F276931"/>
    <w:rsid w:val="1F354F0C"/>
    <w:rsid w:val="1F4C55C0"/>
    <w:rsid w:val="1F561EDF"/>
    <w:rsid w:val="1F647FF2"/>
    <w:rsid w:val="1F8D2E1B"/>
    <w:rsid w:val="1FA6246D"/>
    <w:rsid w:val="1FC36484"/>
    <w:rsid w:val="1FE50377"/>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E1811"/>
    <w:rsid w:val="21245DBB"/>
    <w:rsid w:val="214A1671"/>
    <w:rsid w:val="214C3DEC"/>
    <w:rsid w:val="21583640"/>
    <w:rsid w:val="217F761F"/>
    <w:rsid w:val="21A67652"/>
    <w:rsid w:val="21B264DE"/>
    <w:rsid w:val="21CC5246"/>
    <w:rsid w:val="21E6479B"/>
    <w:rsid w:val="21F224C7"/>
    <w:rsid w:val="21F231EE"/>
    <w:rsid w:val="21FB0A5C"/>
    <w:rsid w:val="220A239C"/>
    <w:rsid w:val="220C074A"/>
    <w:rsid w:val="22176A8C"/>
    <w:rsid w:val="222A57AD"/>
    <w:rsid w:val="222C0B1A"/>
    <w:rsid w:val="222D0786"/>
    <w:rsid w:val="224B78AE"/>
    <w:rsid w:val="225E4CA0"/>
    <w:rsid w:val="226755D7"/>
    <w:rsid w:val="226E3F55"/>
    <w:rsid w:val="22773C5E"/>
    <w:rsid w:val="228A256D"/>
    <w:rsid w:val="229057BD"/>
    <w:rsid w:val="22AD0100"/>
    <w:rsid w:val="22C41E1B"/>
    <w:rsid w:val="22CD6CB6"/>
    <w:rsid w:val="22DB41BF"/>
    <w:rsid w:val="22DE3860"/>
    <w:rsid w:val="22EC742D"/>
    <w:rsid w:val="22F62C0A"/>
    <w:rsid w:val="22F77646"/>
    <w:rsid w:val="23006EF4"/>
    <w:rsid w:val="23091CA1"/>
    <w:rsid w:val="2317339B"/>
    <w:rsid w:val="231C40FF"/>
    <w:rsid w:val="233C0B3D"/>
    <w:rsid w:val="233D23EA"/>
    <w:rsid w:val="234510F2"/>
    <w:rsid w:val="23581F42"/>
    <w:rsid w:val="23691AA1"/>
    <w:rsid w:val="236C43CD"/>
    <w:rsid w:val="238C77BA"/>
    <w:rsid w:val="23945304"/>
    <w:rsid w:val="23AA092F"/>
    <w:rsid w:val="23FE1156"/>
    <w:rsid w:val="23FE4B63"/>
    <w:rsid w:val="24016723"/>
    <w:rsid w:val="241F1D30"/>
    <w:rsid w:val="242A11AC"/>
    <w:rsid w:val="243807CE"/>
    <w:rsid w:val="243E2BBF"/>
    <w:rsid w:val="243E70A1"/>
    <w:rsid w:val="245F25E4"/>
    <w:rsid w:val="247656AC"/>
    <w:rsid w:val="24A6761E"/>
    <w:rsid w:val="24BD4585"/>
    <w:rsid w:val="24C76389"/>
    <w:rsid w:val="24EB4746"/>
    <w:rsid w:val="24FE6804"/>
    <w:rsid w:val="25003605"/>
    <w:rsid w:val="250070B3"/>
    <w:rsid w:val="25134F04"/>
    <w:rsid w:val="251651D5"/>
    <w:rsid w:val="253A5E8E"/>
    <w:rsid w:val="253D3342"/>
    <w:rsid w:val="25407E2F"/>
    <w:rsid w:val="255A5B0B"/>
    <w:rsid w:val="25672279"/>
    <w:rsid w:val="257C7EDC"/>
    <w:rsid w:val="258A2D59"/>
    <w:rsid w:val="25AD0C62"/>
    <w:rsid w:val="25AF26F2"/>
    <w:rsid w:val="25B25371"/>
    <w:rsid w:val="25B43181"/>
    <w:rsid w:val="25CC5513"/>
    <w:rsid w:val="25D23E64"/>
    <w:rsid w:val="25E872F6"/>
    <w:rsid w:val="26176120"/>
    <w:rsid w:val="262C2C5C"/>
    <w:rsid w:val="2631589D"/>
    <w:rsid w:val="26533ABC"/>
    <w:rsid w:val="26635C9B"/>
    <w:rsid w:val="26661121"/>
    <w:rsid w:val="266B12F1"/>
    <w:rsid w:val="266B5F19"/>
    <w:rsid w:val="267176D0"/>
    <w:rsid w:val="267A7F76"/>
    <w:rsid w:val="2685368E"/>
    <w:rsid w:val="269828FA"/>
    <w:rsid w:val="269C49FC"/>
    <w:rsid w:val="269F6A26"/>
    <w:rsid w:val="26AC406B"/>
    <w:rsid w:val="26B17E5C"/>
    <w:rsid w:val="26CC2F0A"/>
    <w:rsid w:val="26D36DBE"/>
    <w:rsid w:val="26DE04FB"/>
    <w:rsid w:val="26E550AA"/>
    <w:rsid w:val="26E66941"/>
    <w:rsid w:val="27061274"/>
    <w:rsid w:val="2706451C"/>
    <w:rsid w:val="27157A3A"/>
    <w:rsid w:val="27166698"/>
    <w:rsid w:val="27183F2D"/>
    <w:rsid w:val="271E1154"/>
    <w:rsid w:val="271E7F89"/>
    <w:rsid w:val="27290226"/>
    <w:rsid w:val="2734481D"/>
    <w:rsid w:val="27477B5F"/>
    <w:rsid w:val="2762681E"/>
    <w:rsid w:val="27855250"/>
    <w:rsid w:val="2786578D"/>
    <w:rsid w:val="279377D9"/>
    <w:rsid w:val="27A95B7A"/>
    <w:rsid w:val="27B176FF"/>
    <w:rsid w:val="27B63F89"/>
    <w:rsid w:val="27BC0C99"/>
    <w:rsid w:val="27BD42F1"/>
    <w:rsid w:val="27CB732F"/>
    <w:rsid w:val="27CD40D1"/>
    <w:rsid w:val="280B0B04"/>
    <w:rsid w:val="281279C7"/>
    <w:rsid w:val="282B06F1"/>
    <w:rsid w:val="284671C7"/>
    <w:rsid w:val="28587CA2"/>
    <w:rsid w:val="286830EB"/>
    <w:rsid w:val="28734A4D"/>
    <w:rsid w:val="28844E38"/>
    <w:rsid w:val="2896497D"/>
    <w:rsid w:val="28B426C9"/>
    <w:rsid w:val="28BC1DB1"/>
    <w:rsid w:val="28C573D2"/>
    <w:rsid w:val="28E159C9"/>
    <w:rsid w:val="28E858FD"/>
    <w:rsid w:val="28F07FAD"/>
    <w:rsid w:val="28F202B8"/>
    <w:rsid w:val="28F64F9C"/>
    <w:rsid w:val="29151CD9"/>
    <w:rsid w:val="291A0F08"/>
    <w:rsid w:val="291C7EA0"/>
    <w:rsid w:val="29212ABF"/>
    <w:rsid w:val="292C2DD9"/>
    <w:rsid w:val="2932004C"/>
    <w:rsid w:val="29582A25"/>
    <w:rsid w:val="296668A9"/>
    <w:rsid w:val="29886D51"/>
    <w:rsid w:val="298D5341"/>
    <w:rsid w:val="29963B08"/>
    <w:rsid w:val="299F5FE8"/>
    <w:rsid w:val="29B23249"/>
    <w:rsid w:val="29B72022"/>
    <w:rsid w:val="29C84E49"/>
    <w:rsid w:val="29CA6C80"/>
    <w:rsid w:val="29E33305"/>
    <w:rsid w:val="29F521EE"/>
    <w:rsid w:val="2A143A54"/>
    <w:rsid w:val="2A1A6A58"/>
    <w:rsid w:val="2A223D84"/>
    <w:rsid w:val="2A41199B"/>
    <w:rsid w:val="2A437755"/>
    <w:rsid w:val="2A5E2D2D"/>
    <w:rsid w:val="2A607F59"/>
    <w:rsid w:val="2A674752"/>
    <w:rsid w:val="2A6A3F91"/>
    <w:rsid w:val="2A745CD9"/>
    <w:rsid w:val="2AC32A13"/>
    <w:rsid w:val="2ACF0601"/>
    <w:rsid w:val="2ADC4537"/>
    <w:rsid w:val="2AE66FD6"/>
    <w:rsid w:val="2AEA5540"/>
    <w:rsid w:val="2AED40AD"/>
    <w:rsid w:val="2AF22784"/>
    <w:rsid w:val="2AF5300E"/>
    <w:rsid w:val="2AF65CA6"/>
    <w:rsid w:val="2B08392D"/>
    <w:rsid w:val="2B1E00C6"/>
    <w:rsid w:val="2B1F1006"/>
    <w:rsid w:val="2B2D563D"/>
    <w:rsid w:val="2B3740FA"/>
    <w:rsid w:val="2B3B3653"/>
    <w:rsid w:val="2B5907D3"/>
    <w:rsid w:val="2B75440B"/>
    <w:rsid w:val="2B8C37A2"/>
    <w:rsid w:val="2B8F452F"/>
    <w:rsid w:val="2B9C4864"/>
    <w:rsid w:val="2BA90AE4"/>
    <w:rsid w:val="2BAA4171"/>
    <w:rsid w:val="2BAC5595"/>
    <w:rsid w:val="2BB91D2B"/>
    <w:rsid w:val="2BBB5AEA"/>
    <w:rsid w:val="2BC51E0F"/>
    <w:rsid w:val="2BC763DB"/>
    <w:rsid w:val="2BEE07F7"/>
    <w:rsid w:val="2BF27515"/>
    <w:rsid w:val="2BF4289F"/>
    <w:rsid w:val="2BF80EA0"/>
    <w:rsid w:val="2BFC664C"/>
    <w:rsid w:val="2C1137FB"/>
    <w:rsid w:val="2C290DD6"/>
    <w:rsid w:val="2C2B228C"/>
    <w:rsid w:val="2C3F099F"/>
    <w:rsid w:val="2C9650D9"/>
    <w:rsid w:val="2CA02ACB"/>
    <w:rsid w:val="2CAC739F"/>
    <w:rsid w:val="2CB64A1A"/>
    <w:rsid w:val="2CC0370E"/>
    <w:rsid w:val="2CC7355D"/>
    <w:rsid w:val="2D145E77"/>
    <w:rsid w:val="2D175CF2"/>
    <w:rsid w:val="2D1A0783"/>
    <w:rsid w:val="2D217658"/>
    <w:rsid w:val="2D2E7883"/>
    <w:rsid w:val="2D33104F"/>
    <w:rsid w:val="2D520AE1"/>
    <w:rsid w:val="2D54735E"/>
    <w:rsid w:val="2D8610C5"/>
    <w:rsid w:val="2D87339B"/>
    <w:rsid w:val="2D970565"/>
    <w:rsid w:val="2DA37B91"/>
    <w:rsid w:val="2DA85D59"/>
    <w:rsid w:val="2DCD768D"/>
    <w:rsid w:val="2DD516AF"/>
    <w:rsid w:val="2DDB498B"/>
    <w:rsid w:val="2E075878"/>
    <w:rsid w:val="2E1445EF"/>
    <w:rsid w:val="2E1F1440"/>
    <w:rsid w:val="2E470B72"/>
    <w:rsid w:val="2E5F0E75"/>
    <w:rsid w:val="2E65796D"/>
    <w:rsid w:val="2E780F54"/>
    <w:rsid w:val="2E814802"/>
    <w:rsid w:val="2E843ADF"/>
    <w:rsid w:val="2E8C351C"/>
    <w:rsid w:val="2EB7246F"/>
    <w:rsid w:val="2EBA7527"/>
    <w:rsid w:val="2ED45FF5"/>
    <w:rsid w:val="2EDC2473"/>
    <w:rsid w:val="2EE727AE"/>
    <w:rsid w:val="2EEA28C3"/>
    <w:rsid w:val="2EF042E6"/>
    <w:rsid w:val="2F354969"/>
    <w:rsid w:val="2F3628E3"/>
    <w:rsid w:val="2F381865"/>
    <w:rsid w:val="2F4C00D5"/>
    <w:rsid w:val="2F5A4EE1"/>
    <w:rsid w:val="2F5B1D0C"/>
    <w:rsid w:val="2F5C4729"/>
    <w:rsid w:val="2F78036A"/>
    <w:rsid w:val="2F8600CA"/>
    <w:rsid w:val="2F933EDB"/>
    <w:rsid w:val="2F9C0699"/>
    <w:rsid w:val="2FA32BF9"/>
    <w:rsid w:val="2FAF5013"/>
    <w:rsid w:val="2FB5182B"/>
    <w:rsid w:val="2FBC0949"/>
    <w:rsid w:val="2FC504A6"/>
    <w:rsid w:val="2FE13A6E"/>
    <w:rsid w:val="2FF6256A"/>
    <w:rsid w:val="30032E68"/>
    <w:rsid w:val="30146BA7"/>
    <w:rsid w:val="301A20DB"/>
    <w:rsid w:val="303274F5"/>
    <w:rsid w:val="303D7DCE"/>
    <w:rsid w:val="304C544C"/>
    <w:rsid w:val="30553F3C"/>
    <w:rsid w:val="305D2D76"/>
    <w:rsid w:val="30622B55"/>
    <w:rsid w:val="30685932"/>
    <w:rsid w:val="308A79B3"/>
    <w:rsid w:val="308D3B59"/>
    <w:rsid w:val="308F19F6"/>
    <w:rsid w:val="30957322"/>
    <w:rsid w:val="309A38B8"/>
    <w:rsid w:val="30BA3132"/>
    <w:rsid w:val="30DB269E"/>
    <w:rsid w:val="30E41533"/>
    <w:rsid w:val="30ED4353"/>
    <w:rsid w:val="30F94D8F"/>
    <w:rsid w:val="31205A2A"/>
    <w:rsid w:val="314665AE"/>
    <w:rsid w:val="31777811"/>
    <w:rsid w:val="31822C91"/>
    <w:rsid w:val="31940009"/>
    <w:rsid w:val="319A5D10"/>
    <w:rsid w:val="31A102A7"/>
    <w:rsid w:val="31CC41CD"/>
    <w:rsid w:val="31D55E22"/>
    <w:rsid w:val="31E90986"/>
    <w:rsid w:val="31FC2FBD"/>
    <w:rsid w:val="32353957"/>
    <w:rsid w:val="323D5B15"/>
    <w:rsid w:val="324B58AC"/>
    <w:rsid w:val="32536401"/>
    <w:rsid w:val="32590EAC"/>
    <w:rsid w:val="325E00DB"/>
    <w:rsid w:val="326F08B0"/>
    <w:rsid w:val="32716377"/>
    <w:rsid w:val="32860CB6"/>
    <w:rsid w:val="329F6EAA"/>
    <w:rsid w:val="32A85D81"/>
    <w:rsid w:val="32AD48A5"/>
    <w:rsid w:val="32D20CD7"/>
    <w:rsid w:val="32D66798"/>
    <w:rsid w:val="32DD6077"/>
    <w:rsid w:val="32E70D94"/>
    <w:rsid w:val="32EB5A8E"/>
    <w:rsid w:val="32FA5DFD"/>
    <w:rsid w:val="331C00EF"/>
    <w:rsid w:val="334B702B"/>
    <w:rsid w:val="335074A6"/>
    <w:rsid w:val="338C2E1F"/>
    <w:rsid w:val="33974E0A"/>
    <w:rsid w:val="33A06AEC"/>
    <w:rsid w:val="33E66F5A"/>
    <w:rsid w:val="340A605A"/>
    <w:rsid w:val="34501124"/>
    <w:rsid w:val="34517CF3"/>
    <w:rsid w:val="345E61D7"/>
    <w:rsid w:val="34684FD5"/>
    <w:rsid w:val="346A446C"/>
    <w:rsid w:val="346B3FAF"/>
    <w:rsid w:val="347D15F1"/>
    <w:rsid w:val="34884AEF"/>
    <w:rsid w:val="34A605CD"/>
    <w:rsid w:val="34A71B36"/>
    <w:rsid w:val="34B05B7C"/>
    <w:rsid w:val="34B07913"/>
    <w:rsid w:val="34C410ED"/>
    <w:rsid w:val="34EF6DCB"/>
    <w:rsid w:val="34F06122"/>
    <w:rsid w:val="3522471A"/>
    <w:rsid w:val="35241F14"/>
    <w:rsid w:val="35244C62"/>
    <w:rsid w:val="35285854"/>
    <w:rsid w:val="352F5E9F"/>
    <w:rsid w:val="353E56C4"/>
    <w:rsid w:val="35505E75"/>
    <w:rsid w:val="355D60B9"/>
    <w:rsid w:val="35674621"/>
    <w:rsid w:val="358A534F"/>
    <w:rsid w:val="358D047C"/>
    <w:rsid w:val="3594415E"/>
    <w:rsid w:val="35A506D1"/>
    <w:rsid w:val="35A82166"/>
    <w:rsid w:val="35B846B7"/>
    <w:rsid w:val="35C66595"/>
    <w:rsid w:val="36261C31"/>
    <w:rsid w:val="36463086"/>
    <w:rsid w:val="36481D56"/>
    <w:rsid w:val="366C1135"/>
    <w:rsid w:val="366F6412"/>
    <w:rsid w:val="3676680D"/>
    <w:rsid w:val="36794E27"/>
    <w:rsid w:val="369E1129"/>
    <w:rsid w:val="36B17FB7"/>
    <w:rsid w:val="36BB3C47"/>
    <w:rsid w:val="36C004EE"/>
    <w:rsid w:val="36EE41E2"/>
    <w:rsid w:val="3701328D"/>
    <w:rsid w:val="37017A26"/>
    <w:rsid w:val="371276B4"/>
    <w:rsid w:val="37294C20"/>
    <w:rsid w:val="372B2402"/>
    <w:rsid w:val="3745571F"/>
    <w:rsid w:val="37480DBB"/>
    <w:rsid w:val="37506A58"/>
    <w:rsid w:val="37815ECC"/>
    <w:rsid w:val="37A23B7C"/>
    <w:rsid w:val="37B7765D"/>
    <w:rsid w:val="37CB7917"/>
    <w:rsid w:val="37CC1052"/>
    <w:rsid w:val="37D67305"/>
    <w:rsid w:val="37D729DC"/>
    <w:rsid w:val="37D872B1"/>
    <w:rsid w:val="37E61538"/>
    <w:rsid w:val="37FE66C1"/>
    <w:rsid w:val="384A4B5C"/>
    <w:rsid w:val="386D125B"/>
    <w:rsid w:val="386D4B56"/>
    <w:rsid w:val="38872D57"/>
    <w:rsid w:val="388A2173"/>
    <w:rsid w:val="389158F5"/>
    <w:rsid w:val="389D634A"/>
    <w:rsid w:val="389E6D58"/>
    <w:rsid w:val="38AD7811"/>
    <w:rsid w:val="38B1333C"/>
    <w:rsid w:val="38C9512E"/>
    <w:rsid w:val="38CE2496"/>
    <w:rsid w:val="38D117CD"/>
    <w:rsid w:val="38D50552"/>
    <w:rsid w:val="3911617B"/>
    <w:rsid w:val="39175A68"/>
    <w:rsid w:val="3922528E"/>
    <w:rsid w:val="392553E8"/>
    <w:rsid w:val="392E4B71"/>
    <w:rsid w:val="39383562"/>
    <w:rsid w:val="3941242A"/>
    <w:rsid w:val="394452A9"/>
    <w:rsid w:val="396D0D62"/>
    <w:rsid w:val="399B1563"/>
    <w:rsid w:val="39A666B2"/>
    <w:rsid w:val="39AA776C"/>
    <w:rsid w:val="39B40657"/>
    <w:rsid w:val="39BA63FB"/>
    <w:rsid w:val="39C13C32"/>
    <w:rsid w:val="39CF2166"/>
    <w:rsid w:val="39D83E72"/>
    <w:rsid w:val="39DF1FDC"/>
    <w:rsid w:val="39FC2ACB"/>
    <w:rsid w:val="3A203D7A"/>
    <w:rsid w:val="3A2A74A1"/>
    <w:rsid w:val="3A3128FD"/>
    <w:rsid w:val="3A3B7E36"/>
    <w:rsid w:val="3A3E0AFE"/>
    <w:rsid w:val="3A421A81"/>
    <w:rsid w:val="3A4A1E51"/>
    <w:rsid w:val="3A6A78C7"/>
    <w:rsid w:val="3A730CE0"/>
    <w:rsid w:val="3A7317E9"/>
    <w:rsid w:val="3A732708"/>
    <w:rsid w:val="3A766F9E"/>
    <w:rsid w:val="3A861EEE"/>
    <w:rsid w:val="3A9C145D"/>
    <w:rsid w:val="3AA81680"/>
    <w:rsid w:val="3AA945CB"/>
    <w:rsid w:val="3AAC587F"/>
    <w:rsid w:val="3AC23319"/>
    <w:rsid w:val="3AED7B40"/>
    <w:rsid w:val="3B013234"/>
    <w:rsid w:val="3B174DE1"/>
    <w:rsid w:val="3B280353"/>
    <w:rsid w:val="3B43569D"/>
    <w:rsid w:val="3B4A0769"/>
    <w:rsid w:val="3B5A071C"/>
    <w:rsid w:val="3B6A13EC"/>
    <w:rsid w:val="3B735EB0"/>
    <w:rsid w:val="3B81534A"/>
    <w:rsid w:val="3BA70F26"/>
    <w:rsid w:val="3BAC2D79"/>
    <w:rsid w:val="3BC1781E"/>
    <w:rsid w:val="3BC4252B"/>
    <w:rsid w:val="3BD516A4"/>
    <w:rsid w:val="3BDC6DED"/>
    <w:rsid w:val="3BE7072C"/>
    <w:rsid w:val="3BE93B12"/>
    <w:rsid w:val="3BEA449A"/>
    <w:rsid w:val="3BF65B50"/>
    <w:rsid w:val="3C1825FD"/>
    <w:rsid w:val="3C2D120E"/>
    <w:rsid w:val="3C3A6DED"/>
    <w:rsid w:val="3C476676"/>
    <w:rsid w:val="3C5C3B10"/>
    <w:rsid w:val="3C6D09EC"/>
    <w:rsid w:val="3C6E0947"/>
    <w:rsid w:val="3C785EB2"/>
    <w:rsid w:val="3C7F19F0"/>
    <w:rsid w:val="3C850BEC"/>
    <w:rsid w:val="3C8945BC"/>
    <w:rsid w:val="3CE0442C"/>
    <w:rsid w:val="3CE24390"/>
    <w:rsid w:val="3CE93EDE"/>
    <w:rsid w:val="3D02673C"/>
    <w:rsid w:val="3D0B1680"/>
    <w:rsid w:val="3D1227BE"/>
    <w:rsid w:val="3D163235"/>
    <w:rsid w:val="3D1C2186"/>
    <w:rsid w:val="3D1F4AFF"/>
    <w:rsid w:val="3D2C1119"/>
    <w:rsid w:val="3D4B73EF"/>
    <w:rsid w:val="3D4D3C82"/>
    <w:rsid w:val="3D4E6506"/>
    <w:rsid w:val="3D6559AA"/>
    <w:rsid w:val="3D7B4C11"/>
    <w:rsid w:val="3D8872C3"/>
    <w:rsid w:val="3D9D307D"/>
    <w:rsid w:val="3DBC70BD"/>
    <w:rsid w:val="3DE52A08"/>
    <w:rsid w:val="3DFA3B3A"/>
    <w:rsid w:val="3E1317BA"/>
    <w:rsid w:val="3E226DA0"/>
    <w:rsid w:val="3E253A46"/>
    <w:rsid w:val="3E49551D"/>
    <w:rsid w:val="3E4A5927"/>
    <w:rsid w:val="3E600A90"/>
    <w:rsid w:val="3E706708"/>
    <w:rsid w:val="3E7966F3"/>
    <w:rsid w:val="3E7F1353"/>
    <w:rsid w:val="3E995B9C"/>
    <w:rsid w:val="3EB874FF"/>
    <w:rsid w:val="3ED5374A"/>
    <w:rsid w:val="3EE123B0"/>
    <w:rsid w:val="3EF84CBE"/>
    <w:rsid w:val="3F1A6517"/>
    <w:rsid w:val="3F2321E2"/>
    <w:rsid w:val="3F457363"/>
    <w:rsid w:val="3F4D6B3D"/>
    <w:rsid w:val="3F6C0A61"/>
    <w:rsid w:val="3F6E4371"/>
    <w:rsid w:val="3F8179A0"/>
    <w:rsid w:val="3FA330CC"/>
    <w:rsid w:val="3FA65142"/>
    <w:rsid w:val="3FA73D4A"/>
    <w:rsid w:val="3FB3210A"/>
    <w:rsid w:val="3FC23716"/>
    <w:rsid w:val="3FD56433"/>
    <w:rsid w:val="3FFB76E3"/>
    <w:rsid w:val="400269D5"/>
    <w:rsid w:val="40114B80"/>
    <w:rsid w:val="40337B95"/>
    <w:rsid w:val="4064157F"/>
    <w:rsid w:val="407E6CC0"/>
    <w:rsid w:val="407F42E3"/>
    <w:rsid w:val="40917686"/>
    <w:rsid w:val="40917A32"/>
    <w:rsid w:val="4098210D"/>
    <w:rsid w:val="40A23A3A"/>
    <w:rsid w:val="40A64BC6"/>
    <w:rsid w:val="40BC34FB"/>
    <w:rsid w:val="40CA5EE1"/>
    <w:rsid w:val="40E02EBB"/>
    <w:rsid w:val="40E8297D"/>
    <w:rsid w:val="40F12A8E"/>
    <w:rsid w:val="40FF2078"/>
    <w:rsid w:val="41001914"/>
    <w:rsid w:val="41100D05"/>
    <w:rsid w:val="411650BB"/>
    <w:rsid w:val="4135107A"/>
    <w:rsid w:val="415930A5"/>
    <w:rsid w:val="416E202C"/>
    <w:rsid w:val="41774303"/>
    <w:rsid w:val="417D0FEA"/>
    <w:rsid w:val="41912F33"/>
    <w:rsid w:val="41A410B7"/>
    <w:rsid w:val="41AF46E8"/>
    <w:rsid w:val="41D77329"/>
    <w:rsid w:val="41D93AEE"/>
    <w:rsid w:val="41E908AA"/>
    <w:rsid w:val="41EB6F27"/>
    <w:rsid w:val="42075153"/>
    <w:rsid w:val="420A522F"/>
    <w:rsid w:val="4216733C"/>
    <w:rsid w:val="421A34A9"/>
    <w:rsid w:val="422500BB"/>
    <w:rsid w:val="42291255"/>
    <w:rsid w:val="424921B6"/>
    <w:rsid w:val="424C041C"/>
    <w:rsid w:val="42555DC4"/>
    <w:rsid w:val="425C4015"/>
    <w:rsid w:val="425C57E8"/>
    <w:rsid w:val="425E4F6B"/>
    <w:rsid w:val="426038A0"/>
    <w:rsid w:val="42793A50"/>
    <w:rsid w:val="42856995"/>
    <w:rsid w:val="42955465"/>
    <w:rsid w:val="42A0063C"/>
    <w:rsid w:val="42A60B37"/>
    <w:rsid w:val="42C27B96"/>
    <w:rsid w:val="42F976B6"/>
    <w:rsid w:val="430F2846"/>
    <w:rsid w:val="43105A10"/>
    <w:rsid w:val="431A63C1"/>
    <w:rsid w:val="43222C7E"/>
    <w:rsid w:val="4330791B"/>
    <w:rsid w:val="43316A9A"/>
    <w:rsid w:val="433C641D"/>
    <w:rsid w:val="43415F49"/>
    <w:rsid w:val="4365563C"/>
    <w:rsid w:val="43657027"/>
    <w:rsid w:val="43860168"/>
    <w:rsid w:val="438B03A3"/>
    <w:rsid w:val="43902CA9"/>
    <w:rsid w:val="439821F4"/>
    <w:rsid w:val="43A22C1D"/>
    <w:rsid w:val="43A576DB"/>
    <w:rsid w:val="43B120CB"/>
    <w:rsid w:val="43C25FA1"/>
    <w:rsid w:val="43C736DB"/>
    <w:rsid w:val="43DC5C0B"/>
    <w:rsid w:val="43ED3001"/>
    <w:rsid w:val="43F41F13"/>
    <w:rsid w:val="44022993"/>
    <w:rsid w:val="44065395"/>
    <w:rsid w:val="443C1F1F"/>
    <w:rsid w:val="443E3DF0"/>
    <w:rsid w:val="446365FB"/>
    <w:rsid w:val="446F012D"/>
    <w:rsid w:val="4482744F"/>
    <w:rsid w:val="44992F5B"/>
    <w:rsid w:val="449C1E82"/>
    <w:rsid w:val="449C618E"/>
    <w:rsid w:val="449D3723"/>
    <w:rsid w:val="44A916FB"/>
    <w:rsid w:val="44B83577"/>
    <w:rsid w:val="44C44A5B"/>
    <w:rsid w:val="44CB0D79"/>
    <w:rsid w:val="44D63450"/>
    <w:rsid w:val="44E25BCF"/>
    <w:rsid w:val="45003BC9"/>
    <w:rsid w:val="45050064"/>
    <w:rsid w:val="451227AD"/>
    <w:rsid w:val="452117CE"/>
    <w:rsid w:val="45221661"/>
    <w:rsid w:val="452C1518"/>
    <w:rsid w:val="452D24A4"/>
    <w:rsid w:val="45512966"/>
    <w:rsid w:val="45720513"/>
    <w:rsid w:val="457421D3"/>
    <w:rsid w:val="457A2317"/>
    <w:rsid w:val="457C1738"/>
    <w:rsid w:val="4590556D"/>
    <w:rsid w:val="459E00EF"/>
    <w:rsid w:val="45BA714D"/>
    <w:rsid w:val="45BB4ECF"/>
    <w:rsid w:val="45C66DEA"/>
    <w:rsid w:val="45D22EB6"/>
    <w:rsid w:val="45DD74E9"/>
    <w:rsid w:val="45EE22B1"/>
    <w:rsid w:val="45F3482C"/>
    <w:rsid w:val="4609120F"/>
    <w:rsid w:val="461E4B1C"/>
    <w:rsid w:val="463C5C38"/>
    <w:rsid w:val="464063FF"/>
    <w:rsid w:val="46413B68"/>
    <w:rsid w:val="464A66D0"/>
    <w:rsid w:val="465A5C0A"/>
    <w:rsid w:val="466B27DD"/>
    <w:rsid w:val="46916856"/>
    <w:rsid w:val="46922862"/>
    <w:rsid w:val="46A0149A"/>
    <w:rsid w:val="46A534A9"/>
    <w:rsid w:val="46B136B5"/>
    <w:rsid w:val="46C9285F"/>
    <w:rsid w:val="46CC655E"/>
    <w:rsid w:val="46D302D0"/>
    <w:rsid w:val="46DD1787"/>
    <w:rsid w:val="46F37E5F"/>
    <w:rsid w:val="46F55996"/>
    <w:rsid w:val="47437446"/>
    <w:rsid w:val="47556BAD"/>
    <w:rsid w:val="47763871"/>
    <w:rsid w:val="478143A2"/>
    <w:rsid w:val="478F7674"/>
    <w:rsid w:val="47A559D5"/>
    <w:rsid w:val="47A729C1"/>
    <w:rsid w:val="47AD7966"/>
    <w:rsid w:val="47B42DE5"/>
    <w:rsid w:val="47B504B6"/>
    <w:rsid w:val="47DA2053"/>
    <w:rsid w:val="47EF1C29"/>
    <w:rsid w:val="47F4459B"/>
    <w:rsid w:val="481C6C1B"/>
    <w:rsid w:val="481F59D7"/>
    <w:rsid w:val="48281093"/>
    <w:rsid w:val="48354B1A"/>
    <w:rsid w:val="48370D87"/>
    <w:rsid w:val="48591D32"/>
    <w:rsid w:val="48777D63"/>
    <w:rsid w:val="4878082A"/>
    <w:rsid w:val="488A6E3D"/>
    <w:rsid w:val="48950724"/>
    <w:rsid w:val="48A57C53"/>
    <w:rsid w:val="4917186E"/>
    <w:rsid w:val="49782DB6"/>
    <w:rsid w:val="498671D7"/>
    <w:rsid w:val="4989760D"/>
    <w:rsid w:val="499E13E7"/>
    <w:rsid w:val="49A57522"/>
    <w:rsid w:val="4A2C5626"/>
    <w:rsid w:val="4A2D31CB"/>
    <w:rsid w:val="4A5C2470"/>
    <w:rsid w:val="4A647FD4"/>
    <w:rsid w:val="4A7B1566"/>
    <w:rsid w:val="4A931F54"/>
    <w:rsid w:val="4A977A55"/>
    <w:rsid w:val="4A982B02"/>
    <w:rsid w:val="4A9C6A02"/>
    <w:rsid w:val="4AA016DD"/>
    <w:rsid w:val="4AA70BAB"/>
    <w:rsid w:val="4AD20D62"/>
    <w:rsid w:val="4AD90004"/>
    <w:rsid w:val="4ADE581B"/>
    <w:rsid w:val="4AF6638A"/>
    <w:rsid w:val="4AFE0EA7"/>
    <w:rsid w:val="4B226537"/>
    <w:rsid w:val="4B274ADB"/>
    <w:rsid w:val="4B280543"/>
    <w:rsid w:val="4B2B70F0"/>
    <w:rsid w:val="4B306E39"/>
    <w:rsid w:val="4B4B6A6C"/>
    <w:rsid w:val="4B4C28DA"/>
    <w:rsid w:val="4B561CB6"/>
    <w:rsid w:val="4B5A0D96"/>
    <w:rsid w:val="4B675BA5"/>
    <w:rsid w:val="4B6926D8"/>
    <w:rsid w:val="4B780BCE"/>
    <w:rsid w:val="4B801361"/>
    <w:rsid w:val="4B894515"/>
    <w:rsid w:val="4BBA60AC"/>
    <w:rsid w:val="4BC03073"/>
    <w:rsid w:val="4BD56199"/>
    <w:rsid w:val="4BD57CEC"/>
    <w:rsid w:val="4BD62398"/>
    <w:rsid w:val="4BD63F23"/>
    <w:rsid w:val="4BD842B0"/>
    <w:rsid w:val="4BE126AA"/>
    <w:rsid w:val="4BF60601"/>
    <w:rsid w:val="4C1516C9"/>
    <w:rsid w:val="4C274AFC"/>
    <w:rsid w:val="4C2C3EBA"/>
    <w:rsid w:val="4C407167"/>
    <w:rsid w:val="4C6460D5"/>
    <w:rsid w:val="4C905EE0"/>
    <w:rsid w:val="4C957032"/>
    <w:rsid w:val="4C9B7454"/>
    <w:rsid w:val="4CA7707E"/>
    <w:rsid w:val="4CCA3094"/>
    <w:rsid w:val="4CD71749"/>
    <w:rsid w:val="4CE471CB"/>
    <w:rsid w:val="4CE77487"/>
    <w:rsid w:val="4CE82B58"/>
    <w:rsid w:val="4CFC3FE6"/>
    <w:rsid w:val="4D054B2D"/>
    <w:rsid w:val="4D0D3536"/>
    <w:rsid w:val="4D14532D"/>
    <w:rsid w:val="4D183625"/>
    <w:rsid w:val="4D2E586E"/>
    <w:rsid w:val="4D3037F8"/>
    <w:rsid w:val="4D355506"/>
    <w:rsid w:val="4D4E3501"/>
    <w:rsid w:val="4D545CBB"/>
    <w:rsid w:val="4D7A4444"/>
    <w:rsid w:val="4D7B576B"/>
    <w:rsid w:val="4D82302D"/>
    <w:rsid w:val="4D8946CE"/>
    <w:rsid w:val="4D8C2273"/>
    <w:rsid w:val="4D90409B"/>
    <w:rsid w:val="4D936EB5"/>
    <w:rsid w:val="4DA811A2"/>
    <w:rsid w:val="4DC63B63"/>
    <w:rsid w:val="4DF258CA"/>
    <w:rsid w:val="4DF553C1"/>
    <w:rsid w:val="4DF654DB"/>
    <w:rsid w:val="4E0653FE"/>
    <w:rsid w:val="4E1171D8"/>
    <w:rsid w:val="4E214E89"/>
    <w:rsid w:val="4E2C5427"/>
    <w:rsid w:val="4E2C65A9"/>
    <w:rsid w:val="4E300078"/>
    <w:rsid w:val="4E474047"/>
    <w:rsid w:val="4E4B57FF"/>
    <w:rsid w:val="4E514503"/>
    <w:rsid w:val="4E5A3236"/>
    <w:rsid w:val="4E6319FF"/>
    <w:rsid w:val="4E8A03EB"/>
    <w:rsid w:val="4EBB5706"/>
    <w:rsid w:val="4EBD286E"/>
    <w:rsid w:val="4EEF1165"/>
    <w:rsid w:val="4EF90DC1"/>
    <w:rsid w:val="4EFA4002"/>
    <w:rsid w:val="4F0307AC"/>
    <w:rsid w:val="4F117DB9"/>
    <w:rsid w:val="4F1D5B31"/>
    <w:rsid w:val="4F1E5C3C"/>
    <w:rsid w:val="4F7976F9"/>
    <w:rsid w:val="4F7E4D9D"/>
    <w:rsid w:val="4F87418A"/>
    <w:rsid w:val="4FB22EB6"/>
    <w:rsid w:val="4FB976F4"/>
    <w:rsid w:val="4FD55C59"/>
    <w:rsid w:val="4FDC62B5"/>
    <w:rsid w:val="4FDE443A"/>
    <w:rsid w:val="4FDE7800"/>
    <w:rsid w:val="4FE25828"/>
    <w:rsid w:val="4FE71A85"/>
    <w:rsid w:val="4FE911CA"/>
    <w:rsid w:val="4FE943BF"/>
    <w:rsid w:val="4FEF267E"/>
    <w:rsid w:val="4FF51818"/>
    <w:rsid w:val="4FF965E1"/>
    <w:rsid w:val="502E7802"/>
    <w:rsid w:val="50317D99"/>
    <w:rsid w:val="50411F86"/>
    <w:rsid w:val="5044377C"/>
    <w:rsid w:val="504851E1"/>
    <w:rsid w:val="50497790"/>
    <w:rsid w:val="505764EF"/>
    <w:rsid w:val="50605088"/>
    <w:rsid w:val="50632D74"/>
    <w:rsid w:val="50681547"/>
    <w:rsid w:val="50762297"/>
    <w:rsid w:val="507656D8"/>
    <w:rsid w:val="507D2CFD"/>
    <w:rsid w:val="50941C73"/>
    <w:rsid w:val="5099399C"/>
    <w:rsid w:val="50BE6744"/>
    <w:rsid w:val="50FB4BD8"/>
    <w:rsid w:val="510501BC"/>
    <w:rsid w:val="51131BED"/>
    <w:rsid w:val="51142BEB"/>
    <w:rsid w:val="5133743E"/>
    <w:rsid w:val="513C0F88"/>
    <w:rsid w:val="514E0F78"/>
    <w:rsid w:val="51593B71"/>
    <w:rsid w:val="516047B1"/>
    <w:rsid w:val="518444D5"/>
    <w:rsid w:val="5188637F"/>
    <w:rsid w:val="51CD5790"/>
    <w:rsid w:val="51CE3D9C"/>
    <w:rsid w:val="51D754AB"/>
    <w:rsid w:val="51DB4466"/>
    <w:rsid w:val="51E149D9"/>
    <w:rsid w:val="51E32CBA"/>
    <w:rsid w:val="51ED1329"/>
    <w:rsid w:val="51F04415"/>
    <w:rsid w:val="51F1078A"/>
    <w:rsid w:val="521E0D5C"/>
    <w:rsid w:val="52307FA7"/>
    <w:rsid w:val="52343B5F"/>
    <w:rsid w:val="52650525"/>
    <w:rsid w:val="52871B47"/>
    <w:rsid w:val="52946DDA"/>
    <w:rsid w:val="52C61AFE"/>
    <w:rsid w:val="52CF4B61"/>
    <w:rsid w:val="52D81A85"/>
    <w:rsid w:val="52E0226C"/>
    <w:rsid w:val="52EE5985"/>
    <w:rsid w:val="52FB1D07"/>
    <w:rsid w:val="530D7269"/>
    <w:rsid w:val="53161838"/>
    <w:rsid w:val="5319030F"/>
    <w:rsid w:val="53206B37"/>
    <w:rsid w:val="534274EB"/>
    <w:rsid w:val="53561202"/>
    <w:rsid w:val="538463CB"/>
    <w:rsid w:val="538E27AB"/>
    <w:rsid w:val="53A0046C"/>
    <w:rsid w:val="53A622F1"/>
    <w:rsid w:val="53B04E54"/>
    <w:rsid w:val="53B15DFA"/>
    <w:rsid w:val="53B6798A"/>
    <w:rsid w:val="53BB16A7"/>
    <w:rsid w:val="53EF33B1"/>
    <w:rsid w:val="54141D0C"/>
    <w:rsid w:val="54160AA3"/>
    <w:rsid w:val="54185294"/>
    <w:rsid w:val="5423212D"/>
    <w:rsid w:val="54277B5A"/>
    <w:rsid w:val="544615B3"/>
    <w:rsid w:val="5447505D"/>
    <w:rsid w:val="5448596D"/>
    <w:rsid w:val="544C7144"/>
    <w:rsid w:val="5466389D"/>
    <w:rsid w:val="54781F35"/>
    <w:rsid w:val="549D2EA8"/>
    <w:rsid w:val="54AA22A1"/>
    <w:rsid w:val="54B578DB"/>
    <w:rsid w:val="54B66DE4"/>
    <w:rsid w:val="54E4388A"/>
    <w:rsid w:val="54ED3C83"/>
    <w:rsid w:val="54EF02BC"/>
    <w:rsid w:val="54FE3C51"/>
    <w:rsid w:val="55027A50"/>
    <w:rsid w:val="550A4197"/>
    <w:rsid w:val="551D66FB"/>
    <w:rsid w:val="55230B59"/>
    <w:rsid w:val="55262148"/>
    <w:rsid w:val="5539229B"/>
    <w:rsid w:val="553A689B"/>
    <w:rsid w:val="555246F3"/>
    <w:rsid w:val="555629E6"/>
    <w:rsid w:val="555C5C41"/>
    <w:rsid w:val="555D6E6D"/>
    <w:rsid w:val="55643AD4"/>
    <w:rsid w:val="556F7812"/>
    <w:rsid w:val="557974BA"/>
    <w:rsid w:val="557A03C9"/>
    <w:rsid w:val="557E5255"/>
    <w:rsid w:val="557F4B95"/>
    <w:rsid w:val="55914857"/>
    <w:rsid w:val="55997FB2"/>
    <w:rsid w:val="55C51987"/>
    <w:rsid w:val="55D57021"/>
    <w:rsid w:val="55E30BF4"/>
    <w:rsid w:val="55E92686"/>
    <w:rsid w:val="55F57DCB"/>
    <w:rsid w:val="56257FD6"/>
    <w:rsid w:val="56311AF8"/>
    <w:rsid w:val="563155E1"/>
    <w:rsid w:val="563B398D"/>
    <w:rsid w:val="56431442"/>
    <w:rsid w:val="564979DB"/>
    <w:rsid w:val="564E3768"/>
    <w:rsid w:val="5668644A"/>
    <w:rsid w:val="566D3AFC"/>
    <w:rsid w:val="56872C44"/>
    <w:rsid w:val="5689467B"/>
    <w:rsid w:val="56975EB5"/>
    <w:rsid w:val="56B45E3E"/>
    <w:rsid w:val="56C14347"/>
    <w:rsid w:val="56C96CC0"/>
    <w:rsid w:val="56CA2616"/>
    <w:rsid w:val="56E608DC"/>
    <w:rsid w:val="56F53213"/>
    <w:rsid w:val="57082EA3"/>
    <w:rsid w:val="57097C01"/>
    <w:rsid w:val="571B031D"/>
    <w:rsid w:val="571F098F"/>
    <w:rsid w:val="572A2684"/>
    <w:rsid w:val="573C4B9A"/>
    <w:rsid w:val="57896638"/>
    <w:rsid w:val="57A439C9"/>
    <w:rsid w:val="57AB105C"/>
    <w:rsid w:val="57AB467F"/>
    <w:rsid w:val="57BC5B0F"/>
    <w:rsid w:val="57C82D03"/>
    <w:rsid w:val="57E365D4"/>
    <w:rsid w:val="57E80E77"/>
    <w:rsid w:val="57F260BC"/>
    <w:rsid w:val="57F30A93"/>
    <w:rsid w:val="580E7B04"/>
    <w:rsid w:val="584C4D45"/>
    <w:rsid w:val="584E77FD"/>
    <w:rsid w:val="587338D8"/>
    <w:rsid w:val="58733BD1"/>
    <w:rsid w:val="58790BEF"/>
    <w:rsid w:val="587B4BA4"/>
    <w:rsid w:val="58813A55"/>
    <w:rsid w:val="58914B6B"/>
    <w:rsid w:val="589B0AF1"/>
    <w:rsid w:val="58A06ADF"/>
    <w:rsid w:val="58B355A6"/>
    <w:rsid w:val="58B70D5B"/>
    <w:rsid w:val="58C07210"/>
    <w:rsid w:val="58C9388A"/>
    <w:rsid w:val="58CC5B0D"/>
    <w:rsid w:val="590B1F9E"/>
    <w:rsid w:val="590E4B0F"/>
    <w:rsid w:val="59106D74"/>
    <w:rsid w:val="592156C7"/>
    <w:rsid w:val="59262BFD"/>
    <w:rsid w:val="5933728C"/>
    <w:rsid w:val="593702B6"/>
    <w:rsid w:val="59592FCE"/>
    <w:rsid w:val="598714C3"/>
    <w:rsid w:val="59A2394E"/>
    <w:rsid w:val="59B4479A"/>
    <w:rsid w:val="59BD502E"/>
    <w:rsid w:val="59C02DDF"/>
    <w:rsid w:val="59C066DC"/>
    <w:rsid w:val="59D0216F"/>
    <w:rsid w:val="59D52114"/>
    <w:rsid w:val="59D703E0"/>
    <w:rsid w:val="5A0446B9"/>
    <w:rsid w:val="5A1D2514"/>
    <w:rsid w:val="5A2200FD"/>
    <w:rsid w:val="5A234278"/>
    <w:rsid w:val="5A24300B"/>
    <w:rsid w:val="5A364AF5"/>
    <w:rsid w:val="5A430707"/>
    <w:rsid w:val="5A4469DC"/>
    <w:rsid w:val="5A4534EF"/>
    <w:rsid w:val="5A54527D"/>
    <w:rsid w:val="5AB936AD"/>
    <w:rsid w:val="5AC85F5C"/>
    <w:rsid w:val="5ACC7E47"/>
    <w:rsid w:val="5AD27589"/>
    <w:rsid w:val="5AFA07A6"/>
    <w:rsid w:val="5B063665"/>
    <w:rsid w:val="5B145466"/>
    <w:rsid w:val="5B1D5161"/>
    <w:rsid w:val="5B3E21FD"/>
    <w:rsid w:val="5B5E6442"/>
    <w:rsid w:val="5B6169BB"/>
    <w:rsid w:val="5B7A7EB0"/>
    <w:rsid w:val="5B9D4769"/>
    <w:rsid w:val="5BA03819"/>
    <w:rsid w:val="5BAA27F5"/>
    <w:rsid w:val="5BCD01A2"/>
    <w:rsid w:val="5BD06130"/>
    <w:rsid w:val="5BDC1875"/>
    <w:rsid w:val="5BDF3CCB"/>
    <w:rsid w:val="5BEB3B45"/>
    <w:rsid w:val="5C0F10DF"/>
    <w:rsid w:val="5C25462C"/>
    <w:rsid w:val="5C3B6389"/>
    <w:rsid w:val="5C457DB6"/>
    <w:rsid w:val="5C491667"/>
    <w:rsid w:val="5C5511F7"/>
    <w:rsid w:val="5C56587E"/>
    <w:rsid w:val="5C6065AE"/>
    <w:rsid w:val="5C63387D"/>
    <w:rsid w:val="5C641D6D"/>
    <w:rsid w:val="5C65471F"/>
    <w:rsid w:val="5C665E6A"/>
    <w:rsid w:val="5C88101D"/>
    <w:rsid w:val="5C892C45"/>
    <w:rsid w:val="5C8A7B5F"/>
    <w:rsid w:val="5C9B364A"/>
    <w:rsid w:val="5CBF6AFA"/>
    <w:rsid w:val="5CC447E6"/>
    <w:rsid w:val="5CFC35D6"/>
    <w:rsid w:val="5D000F2D"/>
    <w:rsid w:val="5D150BE8"/>
    <w:rsid w:val="5D2A3CD9"/>
    <w:rsid w:val="5D476F53"/>
    <w:rsid w:val="5D646228"/>
    <w:rsid w:val="5D706BF8"/>
    <w:rsid w:val="5D893F39"/>
    <w:rsid w:val="5D90746E"/>
    <w:rsid w:val="5D916A05"/>
    <w:rsid w:val="5D9B3231"/>
    <w:rsid w:val="5DA452AF"/>
    <w:rsid w:val="5DB63D9C"/>
    <w:rsid w:val="5DF02F6C"/>
    <w:rsid w:val="5DF5704D"/>
    <w:rsid w:val="5DF606DB"/>
    <w:rsid w:val="5DFD50A4"/>
    <w:rsid w:val="5E055C7E"/>
    <w:rsid w:val="5E055FA2"/>
    <w:rsid w:val="5E092623"/>
    <w:rsid w:val="5E206696"/>
    <w:rsid w:val="5E361E96"/>
    <w:rsid w:val="5E4A0565"/>
    <w:rsid w:val="5E56559A"/>
    <w:rsid w:val="5E5E52B0"/>
    <w:rsid w:val="5E6576C7"/>
    <w:rsid w:val="5E6C0E47"/>
    <w:rsid w:val="5E7411A0"/>
    <w:rsid w:val="5E7F60C7"/>
    <w:rsid w:val="5E892B63"/>
    <w:rsid w:val="5E8D62B5"/>
    <w:rsid w:val="5EB27D08"/>
    <w:rsid w:val="5ED36E21"/>
    <w:rsid w:val="5EDA7CA7"/>
    <w:rsid w:val="5EDC3C6D"/>
    <w:rsid w:val="5F041DD1"/>
    <w:rsid w:val="5F08640A"/>
    <w:rsid w:val="5F1A7DE2"/>
    <w:rsid w:val="5F293753"/>
    <w:rsid w:val="5F304BBB"/>
    <w:rsid w:val="5F4071D9"/>
    <w:rsid w:val="5F574BB8"/>
    <w:rsid w:val="5F5E719E"/>
    <w:rsid w:val="5F627410"/>
    <w:rsid w:val="5F675564"/>
    <w:rsid w:val="5F743E3A"/>
    <w:rsid w:val="5F780180"/>
    <w:rsid w:val="5F877789"/>
    <w:rsid w:val="5F9A35C2"/>
    <w:rsid w:val="5FA04D69"/>
    <w:rsid w:val="5FB7292C"/>
    <w:rsid w:val="5FBD29DE"/>
    <w:rsid w:val="5FC64B0A"/>
    <w:rsid w:val="5FF6144C"/>
    <w:rsid w:val="60072F6B"/>
    <w:rsid w:val="602140E8"/>
    <w:rsid w:val="603B0506"/>
    <w:rsid w:val="604528C2"/>
    <w:rsid w:val="605167B0"/>
    <w:rsid w:val="605E39A5"/>
    <w:rsid w:val="609D03F7"/>
    <w:rsid w:val="60A17715"/>
    <w:rsid w:val="60B13459"/>
    <w:rsid w:val="60B307D3"/>
    <w:rsid w:val="60CD782A"/>
    <w:rsid w:val="60D61653"/>
    <w:rsid w:val="60DC676C"/>
    <w:rsid w:val="60F76C03"/>
    <w:rsid w:val="60FA4A52"/>
    <w:rsid w:val="61045E51"/>
    <w:rsid w:val="61061DEB"/>
    <w:rsid w:val="61186578"/>
    <w:rsid w:val="611D54EF"/>
    <w:rsid w:val="61233B0B"/>
    <w:rsid w:val="612C2939"/>
    <w:rsid w:val="61497821"/>
    <w:rsid w:val="61767157"/>
    <w:rsid w:val="617B7767"/>
    <w:rsid w:val="618333ED"/>
    <w:rsid w:val="619E3022"/>
    <w:rsid w:val="61AF0920"/>
    <w:rsid w:val="61B911E1"/>
    <w:rsid w:val="61BA5D30"/>
    <w:rsid w:val="61BB6466"/>
    <w:rsid w:val="61DA1351"/>
    <w:rsid w:val="61DA75D5"/>
    <w:rsid w:val="61E72397"/>
    <w:rsid w:val="61F05348"/>
    <w:rsid w:val="62080E76"/>
    <w:rsid w:val="621363D9"/>
    <w:rsid w:val="62207BDA"/>
    <w:rsid w:val="622A6821"/>
    <w:rsid w:val="62320C1C"/>
    <w:rsid w:val="623679A9"/>
    <w:rsid w:val="62442EEE"/>
    <w:rsid w:val="624805AF"/>
    <w:rsid w:val="627A780A"/>
    <w:rsid w:val="62855E2E"/>
    <w:rsid w:val="62962D29"/>
    <w:rsid w:val="629E7D4D"/>
    <w:rsid w:val="62C11DED"/>
    <w:rsid w:val="62C61CE6"/>
    <w:rsid w:val="62F0270F"/>
    <w:rsid w:val="6301745C"/>
    <w:rsid w:val="630B06F2"/>
    <w:rsid w:val="631336CF"/>
    <w:rsid w:val="631438E8"/>
    <w:rsid w:val="631D52CC"/>
    <w:rsid w:val="631E1073"/>
    <w:rsid w:val="63346F99"/>
    <w:rsid w:val="633C4660"/>
    <w:rsid w:val="635B008B"/>
    <w:rsid w:val="6367739C"/>
    <w:rsid w:val="636A6304"/>
    <w:rsid w:val="636D5BBA"/>
    <w:rsid w:val="637D5E1B"/>
    <w:rsid w:val="637E5FC1"/>
    <w:rsid w:val="63986A61"/>
    <w:rsid w:val="63A67F4B"/>
    <w:rsid w:val="63AB24AC"/>
    <w:rsid w:val="63AC2661"/>
    <w:rsid w:val="63CD55B9"/>
    <w:rsid w:val="63D03776"/>
    <w:rsid w:val="63D37F66"/>
    <w:rsid w:val="63D947EB"/>
    <w:rsid w:val="63F37B56"/>
    <w:rsid w:val="63F705B8"/>
    <w:rsid w:val="63F829A0"/>
    <w:rsid w:val="63FA4E9B"/>
    <w:rsid w:val="64006D2A"/>
    <w:rsid w:val="64037688"/>
    <w:rsid w:val="64242DAA"/>
    <w:rsid w:val="642C2F6F"/>
    <w:rsid w:val="643048D3"/>
    <w:rsid w:val="644D3703"/>
    <w:rsid w:val="64542E18"/>
    <w:rsid w:val="64644E7F"/>
    <w:rsid w:val="64683B05"/>
    <w:rsid w:val="646B50C6"/>
    <w:rsid w:val="649960AE"/>
    <w:rsid w:val="64997AE4"/>
    <w:rsid w:val="64A67B8F"/>
    <w:rsid w:val="64E70A31"/>
    <w:rsid w:val="64EB31A0"/>
    <w:rsid w:val="64F8557E"/>
    <w:rsid w:val="65087D41"/>
    <w:rsid w:val="651661C3"/>
    <w:rsid w:val="65233610"/>
    <w:rsid w:val="65243BFC"/>
    <w:rsid w:val="652A6FAA"/>
    <w:rsid w:val="652A7AA1"/>
    <w:rsid w:val="652D690B"/>
    <w:rsid w:val="65384B0E"/>
    <w:rsid w:val="653B2F17"/>
    <w:rsid w:val="654A3574"/>
    <w:rsid w:val="654B7677"/>
    <w:rsid w:val="65690E28"/>
    <w:rsid w:val="65705F65"/>
    <w:rsid w:val="657C7AE1"/>
    <w:rsid w:val="658600D2"/>
    <w:rsid w:val="658A6473"/>
    <w:rsid w:val="65A87106"/>
    <w:rsid w:val="65AA3066"/>
    <w:rsid w:val="65B5232C"/>
    <w:rsid w:val="65C46AA2"/>
    <w:rsid w:val="65C56B74"/>
    <w:rsid w:val="65CF1A3F"/>
    <w:rsid w:val="65D37424"/>
    <w:rsid w:val="65D6560D"/>
    <w:rsid w:val="65DA4229"/>
    <w:rsid w:val="65E342AF"/>
    <w:rsid w:val="65EE7998"/>
    <w:rsid w:val="6601276B"/>
    <w:rsid w:val="66121107"/>
    <w:rsid w:val="66236B6C"/>
    <w:rsid w:val="66322F1B"/>
    <w:rsid w:val="66425C9D"/>
    <w:rsid w:val="664B77DF"/>
    <w:rsid w:val="66676F61"/>
    <w:rsid w:val="66775179"/>
    <w:rsid w:val="668827C1"/>
    <w:rsid w:val="668B5994"/>
    <w:rsid w:val="66A6320E"/>
    <w:rsid w:val="66C5560A"/>
    <w:rsid w:val="66EE3CE1"/>
    <w:rsid w:val="66F1274D"/>
    <w:rsid w:val="66FD3D94"/>
    <w:rsid w:val="67096D67"/>
    <w:rsid w:val="67116D7B"/>
    <w:rsid w:val="67211CD8"/>
    <w:rsid w:val="67345B3A"/>
    <w:rsid w:val="674E10EB"/>
    <w:rsid w:val="675047A4"/>
    <w:rsid w:val="675F1ED3"/>
    <w:rsid w:val="67710335"/>
    <w:rsid w:val="679A1996"/>
    <w:rsid w:val="679A7A79"/>
    <w:rsid w:val="679C675B"/>
    <w:rsid w:val="679D5319"/>
    <w:rsid w:val="67C76FFD"/>
    <w:rsid w:val="67D46015"/>
    <w:rsid w:val="67E85D9A"/>
    <w:rsid w:val="67F74219"/>
    <w:rsid w:val="67FE086B"/>
    <w:rsid w:val="6800440E"/>
    <w:rsid w:val="6802336D"/>
    <w:rsid w:val="68171E21"/>
    <w:rsid w:val="682512F3"/>
    <w:rsid w:val="682E5F8E"/>
    <w:rsid w:val="68390061"/>
    <w:rsid w:val="686721DF"/>
    <w:rsid w:val="687B24F4"/>
    <w:rsid w:val="68944685"/>
    <w:rsid w:val="68AD4B0C"/>
    <w:rsid w:val="68AE4B81"/>
    <w:rsid w:val="68B57261"/>
    <w:rsid w:val="68C30C60"/>
    <w:rsid w:val="68D26624"/>
    <w:rsid w:val="68D57B95"/>
    <w:rsid w:val="68D74A1D"/>
    <w:rsid w:val="68F97675"/>
    <w:rsid w:val="68FA37F8"/>
    <w:rsid w:val="691B756F"/>
    <w:rsid w:val="691E790D"/>
    <w:rsid w:val="69220751"/>
    <w:rsid w:val="6922531B"/>
    <w:rsid w:val="692D2EF4"/>
    <w:rsid w:val="6944482C"/>
    <w:rsid w:val="69513472"/>
    <w:rsid w:val="695D3B05"/>
    <w:rsid w:val="69746E77"/>
    <w:rsid w:val="6981735D"/>
    <w:rsid w:val="698833E2"/>
    <w:rsid w:val="698E7B82"/>
    <w:rsid w:val="699F41DD"/>
    <w:rsid w:val="69B404F9"/>
    <w:rsid w:val="69C627D4"/>
    <w:rsid w:val="69E072FD"/>
    <w:rsid w:val="69E61E04"/>
    <w:rsid w:val="69FE117E"/>
    <w:rsid w:val="6A044D64"/>
    <w:rsid w:val="6A121727"/>
    <w:rsid w:val="6A15738A"/>
    <w:rsid w:val="6A1C02C7"/>
    <w:rsid w:val="6A291BDD"/>
    <w:rsid w:val="6A34060A"/>
    <w:rsid w:val="6A50359A"/>
    <w:rsid w:val="6A5F52A3"/>
    <w:rsid w:val="6A6D283F"/>
    <w:rsid w:val="6A7040E9"/>
    <w:rsid w:val="6A720F3E"/>
    <w:rsid w:val="6A825041"/>
    <w:rsid w:val="6A861776"/>
    <w:rsid w:val="6AA060F7"/>
    <w:rsid w:val="6ABB21F7"/>
    <w:rsid w:val="6AD462AF"/>
    <w:rsid w:val="6ADD74DB"/>
    <w:rsid w:val="6AEB1992"/>
    <w:rsid w:val="6AEC1DA4"/>
    <w:rsid w:val="6AED54FA"/>
    <w:rsid w:val="6AF40A7F"/>
    <w:rsid w:val="6B096272"/>
    <w:rsid w:val="6B0C1FA4"/>
    <w:rsid w:val="6B224E60"/>
    <w:rsid w:val="6B37333A"/>
    <w:rsid w:val="6B482548"/>
    <w:rsid w:val="6B4A2266"/>
    <w:rsid w:val="6B4A56DB"/>
    <w:rsid w:val="6B552086"/>
    <w:rsid w:val="6B5A4A10"/>
    <w:rsid w:val="6B5C2005"/>
    <w:rsid w:val="6B66172A"/>
    <w:rsid w:val="6B6B44F2"/>
    <w:rsid w:val="6B7A2CEB"/>
    <w:rsid w:val="6B895CBE"/>
    <w:rsid w:val="6B8D1BA2"/>
    <w:rsid w:val="6B9718F4"/>
    <w:rsid w:val="6BA02403"/>
    <w:rsid w:val="6BA24834"/>
    <w:rsid w:val="6BA8207B"/>
    <w:rsid w:val="6BAB1572"/>
    <w:rsid w:val="6BCD7417"/>
    <w:rsid w:val="6BD0420D"/>
    <w:rsid w:val="6BEE3415"/>
    <w:rsid w:val="6C212250"/>
    <w:rsid w:val="6C264CB6"/>
    <w:rsid w:val="6C455D97"/>
    <w:rsid w:val="6C654883"/>
    <w:rsid w:val="6C6F4443"/>
    <w:rsid w:val="6C7B31D5"/>
    <w:rsid w:val="6C8A0C65"/>
    <w:rsid w:val="6CB24799"/>
    <w:rsid w:val="6CB30417"/>
    <w:rsid w:val="6CC2015A"/>
    <w:rsid w:val="6CC515AF"/>
    <w:rsid w:val="6CC63E84"/>
    <w:rsid w:val="6CD56047"/>
    <w:rsid w:val="6CDF5443"/>
    <w:rsid w:val="6CE518A6"/>
    <w:rsid w:val="6D206538"/>
    <w:rsid w:val="6D7555EC"/>
    <w:rsid w:val="6D7E1259"/>
    <w:rsid w:val="6D96781E"/>
    <w:rsid w:val="6DA936A8"/>
    <w:rsid w:val="6DBC09AE"/>
    <w:rsid w:val="6DBC278B"/>
    <w:rsid w:val="6DC36EF5"/>
    <w:rsid w:val="6DC72EEE"/>
    <w:rsid w:val="6DC81643"/>
    <w:rsid w:val="6DE5358E"/>
    <w:rsid w:val="6DF32930"/>
    <w:rsid w:val="6DF332FA"/>
    <w:rsid w:val="6DF87B5F"/>
    <w:rsid w:val="6E0532B7"/>
    <w:rsid w:val="6E0D1649"/>
    <w:rsid w:val="6E110246"/>
    <w:rsid w:val="6E127744"/>
    <w:rsid w:val="6E187084"/>
    <w:rsid w:val="6E2632CC"/>
    <w:rsid w:val="6E274B94"/>
    <w:rsid w:val="6E2967E2"/>
    <w:rsid w:val="6E6C5816"/>
    <w:rsid w:val="6E7D4EE6"/>
    <w:rsid w:val="6E9A1D8E"/>
    <w:rsid w:val="6EAC09EF"/>
    <w:rsid w:val="6EB02088"/>
    <w:rsid w:val="6EB531BC"/>
    <w:rsid w:val="6EB94E06"/>
    <w:rsid w:val="6ED40D67"/>
    <w:rsid w:val="6F032EF5"/>
    <w:rsid w:val="6F080721"/>
    <w:rsid w:val="6F092043"/>
    <w:rsid w:val="6F1542D7"/>
    <w:rsid w:val="6F2844A1"/>
    <w:rsid w:val="6F2B607B"/>
    <w:rsid w:val="6F2C714A"/>
    <w:rsid w:val="6F3D7355"/>
    <w:rsid w:val="6F5419BC"/>
    <w:rsid w:val="6F542703"/>
    <w:rsid w:val="6F612375"/>
    <w:rsid w:val="6F6B0E3F"/>
    <w:rsid w:val="6F7004E4"/>
    <w:rsid w:val="6FA61A08"/>
    <w:rsid w:val="6FD93C22"/>
    <w:rsid w:val="6FEC7E0C"/>
    <w:rsid w:val="70005801"/>
    <w:rsid w:val="70023D8B"/>
    <w:rsid w:val="700625CC"/>
    <w:rsid w:val="70130889"/>
    <w:rsid w:val="701D393B"/>
    <w:rsid w:val="702312F2"/>
    <w:rsid w:val="70277282"/>
    <w:rsid w:val="702E698E"/>
    <w:rsid w:val="70503E49"/>
    <w:rsid w:val="705D2BAB"/>
    <w:rsid w:val="706A367D"/>
    <w:rsid w:val="70886418"/>
    <w:rsid w:val="7091247F"/>
    <w:rsid w:val="70BB14B1"/>
    <w:rsid w:val="70BB42C8"/>
    <w:rsid w:val="70D676C7"/>
    <w:rsid w:val="70DF4324"/>
    <w:rsid w:val="70E57320"/>
    <w:rsid w:val="710B04C9"/>
    <w:rsid w:val="711E73A5"/>
    <w:rsid w:val="7136591C"/>
    <w:rsid w:val="71374100"/>
    <w:rsid w:val="715F0513"/>
    <w:rsid w:val="71681C5D"/>
    <w:rsid w:val="71710159"/>
    <w:rsid w:val="717F5A81"/>
    <w:rsid w:val="7183425E"/>
    <w:rsid w:val="71881A39"/>
    <w:rsid w:val="718F246C"/>
    <w:rsid w:val="71933E9A"/>
    <w:rsid w:val="71A50DF2"/>
    <w:rsid w:val="71A62C12"/>
    <w:rsid w:val="71AC25FA"/>
    <w:rsid w:val="71B548FF"/>
    <w:rsid w:val="71B77F52"/>
    <w:rsid w:val="71D23816"/>
    <w:rsid w:val="7205608D"/>
    <w:rsid w:val="720F77F2"/>
    <w:rsid w:val="724513CF"/>
    <w:rsid w:val="72501B88"/>
    <w:rsid w:val="725C2005"/>
    <w:rsid w:val="726A6B33"/>
    <w:rsid w:val="7274494D"/>
    <w:rsid w:val="72802A08"/>
    <w:rsid w:val="728746BD"/>
    <w:rsid w:val="72E245CA"/>
    <w:rsid w:val="72F53245"/>
    <w:rsid w:val="72FC1B67"/>
    <w:rsid w:val="730340D6"/>
    <w:rsid w:val="730944AC"/>
    <w:rsid w:val="731765EB"/>
    <w:rsid w:val="733320B7"/>
    <w:rsid w:val="733714E2"/>
    <w:rsid w:val="734A70F6"/>
    <w:rsid w:val="73581600"/>
    <w:rsid w:val="73603261"/>
    <w:rsid w:val="73741D11"/>
    <w:rsid w:val="737D2F11"/>
    <w:rsid w:val="73953564"/>
    <w:rsid w:val="739A436A"/>
    <w:rsid w:val="73A27325"/>
    <w:rsid w:val="73AD0947"/>
    <w:rsid w:val="73BA6EB3"/>
    <w:rsid w:val="73BC1BCC"/>
    <w:rsid w:val="73BE69C6"/>
    <w:rsid w:val="73C8520B"/>
    <w:rsid w:val="73C92BF9"/>
    <w:rsid w:val="74094834"/>
    <w:rsid w:val="741F6F6C"/>
    <w:rsid w:val="7438680B"/>
    <w:rsid w:val="74491578"/>
    <w:rsid w:val="746C10C7"/>
    <w:rsid w:val="74847E10"/>
    <w:rsid w:val="748F437D"/>
    <w:rsid w:val="74BC1C2F"/>
    <w:rsid w:val="74C2316C"/>
    <w:rsid w:val="74C6460A"/>
    <w:rsid w:val="74D514EF"/>
    <w:rsid w:val="74EB08AB"/>
    <w:rsid w:val="75297140"/>
    <w:rsid w:val="75406495"/>
    <w:rsid w:val="75697A36"/>
    <w:rsid w:val="756C78BD"/>
    <w:rsid w:val="75771C81"/>
    <w:rsid w:val="757F56E6"/>
    <w:rsid w:val="75801BF2"/>
    <w:rsid w:val="758A4AA7"/>
    <w:rsid w:val="759323BE"/>
    <w:rsid w:val="759E23B0"/>
    <w:rsid w:val="75A06D10"/>
    <w:rsid w:val="75F777DD"/>
    <w:rsid w:val="76005CCE"/>
    <w:rsid w:val="76021D10"/>
    <w:rsid w:val="760F3210"/>
    <w:rsid w:val="761D09BE"/>
    <w:rsid w:val="765B5BFE"/>
    <w:rsid w:val="765C2694"/>
    <w:rsid w:val="76707C5A"/>
    <w:rsid w:val="767419E2"/>
    <w:rsid w:val="767C26F3"/>
    <w:rsid w:val="767D3396"/>
    <w:rsid w:val="769639F0"/>
    <w:rsid w:val="76B84710"/>
    <w:rsid w:val="76C52BB8"/>
    <w:rsid w:val="76CA5BF4"/>
    <w:rsid w:val="770A1AF3"/>
    <w:rsid w:val="770D4E5A"/>
    <w:rsid w:val="772176AC"/>
    <w:rsid w:val="77270AA8"/>
    <w:rsid w:val="77547D9A"/>
    <w:rsid w:val="77700CC3"/>
    <w:rsid w:val="77862C5A"/>
    <w:rsid w:val="778B04EB"/>
    <w:rsid w:val="779A04BC"/>
    <w:rsid w:val="779B66EC"/>
    <w:rsid w:val="779B6997"/>
    <w:rsid w:val="77B176A6"/>
    <w:rsid w:val="77BA0CC6"/>
    <w:rsid w:val="77BA4C6D"/>
    <w:rsid w:val="77BC4E62"/>
    <w:rsid w:val="77DB6001"/>
    <w:rsid w:val="77E948BA"/>
    <w:rsid w:val="77EE1BAB"/>
    <w:rsid w:val="78031036"/>
    <w:rsid w:val="780A4298"/>
    <w:rsid w:val="782B19AE"/>
    <w:rsid w:val="784E2F1E"/>
    <w:rsid w:val="785341C9"/>
    <w:rsid w:val="785E55DF"/>
    <w:rsid w:val="786D2976"/>
    <w:rsid w:val="786F31C2"/>
    <w:rsid w:val="787823E9"/>
    <w:rsid w:val="788739A4"/>
    <w:rsid w:val="788A4AD3"/>
    <w:rsid w:val="78954335"/>
    <w:rsid w:val="789D4935"/>
    <w:rsid w:val="789F45AF"/>
    <w:rsid w:val="78AA0449"/>
    <w:rsid w:val="78C9042E"/>
    <w:rsid w:val="78CB7B57"/>
    <w:rsid w:val="78D405AD"/>
    <w:rsid w:val="78DC0A16"/>
    <w:rsid w:val="78DD185E"/>
    <w:rsid w:val="78E831F8"/>
    <w:rsid w:val="79153347"/>
    <w:rsid w:val="791E5C6B"/>
    <w:rsid w:val="794F7733"/>
    <w:rsid w:val="795534F3"/>
    <w:rsid w:val="79893FEA"/>
    <w:rsid w:val="79AF4BA4"/>
    <w:rsid w:val="79B50725"/>
    <w:rsid w:val="79BA60F6"/>
    <w:rsid w:val="79BC40F8"/>
    <w:rsid w:val="79D35E0C"/>
    <w:rsid w:val="79E44E07"/>
    <w:rsid w:val="79F7077B"/>
    <w:rsid w:val="79F913B8"/>
    <w:rsid w:val="7A140E48"/>
    <w:rsid w:val="7A1F29CA"/>
    <w:rsid w:val="7A285C3E"/>
    <w:rsid w:val="7A39442B"/>
    <w:rsid w:val="7A5B3FB3"/>
    <w:rsid w:val="7A632CF8"/>
    <w:rsid w:val="7A6834E6"/>
    <w:rsid w:val="7A6A510C"/>
    <w:rsid w:val="7A733FF4"/>
    <w:rsid w:val="7A8251D3"/>
    <w:rsid w:val="7A8E38E0"/>
    <w:rsid w:val="7AAA76D3"/>
    <w:rsid w:val="7ADC2743"/>
    <w:rsid w:val="7AEA6C34"/>
    <w:rsid w:val="7AF85457"/>
    <w:rsid w:val="7AFB52D3"/>
    <w:rsid w:val="7B04096A"/>
    <w:rsid w:val="7B0A6FC3"/>
    <w:rsid w:val="7B2B7629"/>
    <w:rsid w:val="7B3E421D"/>
    <w:rsid w:val="7B613829"/>
    <w:rsid w:val="7B6F39A5"/>
    <w:rsid w:val="7B7C3133"/>
    <w:rsid w:val="7B863695"/>
    <w:rsid w:val="7B8D1CFD"/>
    <w:rsid w:val="7B8F5E30"/>
    <w:rsid w:val="7B995FDD"/>
    <w:rsid w:val="7B9C3407"/>
    <w:rsid w:val="7BA37F2C"/>
    <w:rsid w:val="7BB33DEF"/>
    <w:rsid w:val="7BC55082"/>
    <w:rsid w:val="7BC81E6E"/>
    <w:rsid w:val="7BDA7D73"/>
    <w:rsid w:val="7BF56813"/>
    <w:rsid w:val="7C195371"/>
    <w:rsid w:val="7C262FCB"/>
    <w:rsid w:val="7C2C375A"/>
    <w:rsid w:val="7C37318E"/>
    <w:rsid w:val="7C3E596F"/>
    <w:rsid w:val="7C46062D"/>
    <w:rsid w:val="7C4A0F01"/>
    <w:rsid w:val="7C4E1ECC"/>
    <w:rsid w:val="7C547A08"/>
    <w:rsid w:val="7C5C0777"/>
    <w:rsid w:val="7C607769"/>
    <w:rsid w:val="7C6D2290"/>
    <w:rsid w:val="7C6E092C"/>
    <w:rsid w:val="7C841C86"/>
    <w:rsid w:val="7C8425E7"/>
    <w:rsid w:val="7C8B4155"/>
    <w:rsid w:val="7C9A07AC"/>
    <w:rsid w:val="7C9C4682"/>
    <w:rsid w:val="7CB43AB8"/>
    <w:rsid w:val="7CC131BB"/>
    <w:rsid w:val="7CCD54B0"/>
    <w:rsid w:val="7CED2197"/>
    <w:rsid w:val="7CF3589C"/>
    <w:rsid w:val="7D0C3818"/>
    <w:rsid w:val="7D170130"/>
    <w:rsid w:val="7D1F6131"/>
    <w:rsid w:val="7D3C3F58"/>
    <w:rsid w:val="7D4A3D8E"/>
    <w:rsid w:val="7D4D67B1"/>
    <w:rsid w:val="7D4E4F6D"/>
    <w:rsid w:val="7D54487F"/>
    <w:rsid w:val="7D620067"/>
    <w:rsid w:val="7D7A418B"/>
    <w:rsid w:val="7D975099"/>
    <w:rsid w:val="7D9B1FDD"/>
    <w:rsid w:val="7DA744D0"/>
    <w:rsid w:val="7DA8268E"/>
    <w:rsid w:val="7DBA090D"/>
    <w:rsid w:val="7DC57B02"/>
    <w:rsid w:val="7DE67D6E"/>
    <w:rsid w:val="7DE84254"/>
    <w:rsid w:val="7DEF082D"/>
    <w:rsid w:val="7E2A1493"/>
    <w:rsid w:val="7E6512E4"/>
    <w:rsid w:val="7E677CB5"/>
    <w:rsid w:val="7E6C72F1"/>
    <w:rsid w:val="7E6E2DC5"/>
    <w:rsid w:val="7E737BF8"/>
    <w:rsid w:val="7EAD6E6C"/>
    <w:rsid w:val="7EB22E27"/>
    <w:rsid w:val="7EBA5185"/>
    <w:rsid w:val="7EC479AC"/>
    <w:rsid w:val="7ECC6D8D"/>
    <w:rsid w:val="7EEA2CA4"/>
    <w:rsid w:val="7EF15E24"/>
    <w:rsid w:val="7F0D0BF3"/>
    <w:rsid w:val="7F1B455E"/>
    <w:rsid w:val="7F2C1B4C"/>
    <w:rsid w:val="7F775FA9"/>
    <w:rsid w:val="7F7A4FE2"/>
    <w:rsid w:val="7F8257CD"/>
    <w:rsid w:val="7F8E1112"/>
    <w:rsid w:val="7FA54858"/>
    <w:rsid w:val="7FAB63A4"/>
    <w:rsid w:val="7FB92852"/>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8"/>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8"/>
    <w:qFormat/>
    <w:uiPriority w:val="0"/>
    <w:pPr>
      <w:keepNext/>
      <w:keepLines/>
      <w:spacing w:line="360" w:lineRule="auto"/>
      <w:outlineLvl w:val="2"/>
    </w:pPr>
    <w:rPr>
      <w:rFonts w:eastAsia="黑体"/>
      <w:b/>
      <w:bCs/>
      <w:szCs w:val="32"/>
    </w:rPr>
  </w:style>
  <w:style w:type="paragraph" w:styleId="6">
    <w:name w:val="heading 4"/>
    <w:basedOn w:val="1"/>
    <w:next w:val="1"/>
    <w:link w:val="119"/>
    <w:qFormat/>
    <w:uiPriority w:val="0"/>
    <w:pPr>
      <w:keepNext/>
      <w:keepLines/>
      <w:spacing w:line="360" w:lineRule="auto"/>
      <w:outlineLvl w:val="3"/>
    </w:pPr>
    <w:rPr>
      <w:rFonts w:ascii="Arial" w:hAnsi="Arial"/>
      <w:b/>
      <w:bCs/>
      <w:szCs w:val="28"/>
    </w:rPr>
  </w:style>
  <w:style w:type="paragraph" w:styleId="7">
    <w:name w:val="heading 5"/>
    <w:basedOn w:val="1"/>
    <w:next w:val="1"/>
    <w:link w:val="15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rPr>
      <w:szCs w:val="20"/>
    </w:rPr>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06"/>
    <w:qFormat/>
    <w:uiPriority w:val="0"/>
    <w:pPr>
      <w:adjustRightInd w:val="0"/>
      <w:spacing w:after="60" w:line="360" w:lineRule="atLeast"/>
      <w:ind w:left="72" w:leftChars="30" w:right="30" w:rightChars="30"/>
      <w:jc w:val="center"/>
      <w:textAlignment w:val="baseline"/>
    </w:pPr>
    <w:rPr>
      <w:szCs w:val="22"/>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rPr>
      <w:shd w:val="clear" w:color="auto" w:fill="000080"/>
    </w:rPr>
  </w:style>
  <w:style w:type="paragraph" w:styleId="16">
    <w:name w:val="annotation text"/>
    <w:basedOn w:val="1"/>
    <w:link w:val="151"/>
    <w:qFormat/>
    <w:uiPriority w:val="0"/>
    <w:pPr>
      <w:jc w:val="left"/>
    </w:pPr>
  </w:style>
  <w:style w:type="paragraph" w:styleId="17">
    <w:name w:val="Body Text Indent"/>
    <w:basedOn w:val="1"/>
    <w:link w:val="95"/>
    <w:qFormat/>
    <w:uiPriority w:val="0"/>
    <w:pPr>
      <w:spacing w:before="240" w:line="360" w:lineRule="auto"/>
      <w:ind w:firstLine="552" w:firstLineChars="263"/>
    </w:pPr>
    <w:rPr>
      <w:rFonts w:ascii="宋体" w:hAnsi="宋体"/>
      <w:szCs w:val="20"/>
    </w:rPr>
  </w:style>
  <w:style w:type="paragraph" w:styleId="18">
    <w:name w:val="index 4"/>
    <w:basedOn w:val="1"/>
    <w:next w:val="1"/>
    <w:qFormat/>
    <w:uiPriority w:val="0"/>
    <w:pPr>
      <w:ind w:left="600" w:leftChars="600"/>
    </w:pPr>
  </w:style>
  <w:style w:type="paragraph" w:styleId="19">
    <w:name w:val="toc 5"/>
    <w:basedOn w:val="1"/>
    <w:next w:val="1"/>
    <w:qFormat/>
    <w:uiPriority w:val="39"/>
    <w:pPr>
      <w:ind w:left="1680" w:leftChars="800"/>
    </w:pPr>
    <w:rPr>
      <w:rFonts w:ascii="Calibri" w:hAnsi="Calibri"/>
      <w:szCs w:val="22"/>
    </w:rPr>
  </w:style>
  <w:style w:type="paragraph" w:styleId="20">
    <w:name w:val="toc 3"/>
    <w:basedOn w:val="1"/>
    <w:next w:val="1"/>
    <w:qFormat/>
    <w:uiPriority w:val="39"/>
    <w:pPr>
      <w:ind w:left="840" w:leftChars="400"/>
    </w:pPr>
  </w:style>
  <w:style w:type="paragraph" w:styleId="21">
    <w:name w:val="Plain Text"/>
    <w:basedOn w:val="1"/>
    <w:next w:val="6"/>
    <w:link w:val="117"/>
    <w:qFormat/>
    <w:uiPriority w:val="0"/>
    <w:rPr>
      <w:rFonts w:ascii="宋体" w:hAnsi="Courier New"/>
    </w:rPr>
  </w:style>
  <w:style w:type="paragraph" w:styleId="22">
    <w:name w:val="toc 8"/>
    <w:basedOn w:val="1"/>
    <w:next w:val="1"/>
    <w:qFormat/>
    <w:uiPriority w:val="39"/>
    <w:pPr>
      <w:ind w:left="2940" w:leftChars="1400"/>
    </w:pPr>
    <w:rPr>
      <w:rFonts w:ascii="Calibri" w:hAnsi="Calibri"/>
      <w:szCs w:val="22"/>
    </w:rPr>
  </w:style>
  <w:style w:type="paragraph" w:styleId="23">
    <w:name w:val="Date"/>
    <w:basedOn w:val="1"/>
    <w:next w:val="1"/>
    <w:link w:val="145"/>
    <w:qFormat/>
    <w:uiPriority w:val="0"/>
    <w:pPr>
      <w:ind w:left="100" w:leftChars="2500"/>
    </w:pPr>
  </w:style>
  <w:style w:type="paragraph" w:styleId="24">
    <w:name w:val="Body Text Indent 2"/>
    <w:basedOn w:val="1"/>
    <w:link w:val="167"/>
    <w:qFormat/>
    <w:uiPriority w:val="0"/>
    <w:pPr>
      <w:spacing w:after="120" w:line="480" w:lineRule="auto"/>
      <w:ind w:left="420" w:leftChars="200"/>
    </w:pPr>
  </w:style>
  <w:style w:type="paragraph" w:styleId="25">
    <w:name w:val="Balloon Text"/>
    <w:basedOn w:val="1"/>
    <w:link w:val="96"/>
    <w:qFormat/>
    <w:uiPriority w:val="0"/>
    <w:rPr>
      <w:sz w:val="18"/>
      <w:szCs w:val="18"/>
    </w:rPr>
  </w:style>
  <w:style w:type="paragraph" w:styleId="26">
    <w:name w:val="footer"/>
    <w:basedOn w:val="1"/>
    <w:link w:val="141"/>
    <w:qFormat/>
    <w:uiPriority w:val="0"/>
    <w:pPr>
      <w:tabs>
        <w:tab w:val="center" w:pos="4153"/>
        <w:tab w:val="right" w:pos="8306"/>
      </w:tabs>
      <w:snapToGrid w:val="0"/>
      <w:jc w:val="left"/>
    </w:pPr>
    <w:rPr>
      <w:sz w:val="18"/>
      <w:szCs w:val="18"/>
    </w:rPr>
  </w:style>
  <w:style w:type="paragraph" w:styleId="27">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60" w:line="400" w:lineRule="exact"/>
    </w:pPr>
    <w:rPr>
      <w:rFonts w:eastAsia="黑体"/>
    </w:rPr>
  </w:style>
  <w:style w:type="paragraph" w:styleId="29">
    <w:name w:val="toc 4"/>
    <w:basedOn w:val="1"/>
    <w:next w:val="1"/>
    <w:qFormat/>
    <w:uiPriority w:val="39"/>
    <w:pPr>
      <w:ind w:left="1260" w:leftChars="600"/>
    </w:pPr>
    <w:rPr>
      <w:rFonts w:ascii="Calibri" w:hAnsi="Calibri"/>
      <w:szCs w:val="22"/>
    </w:rPr>
  </w:style>
  <w:style w:type="paragraph" w:styleId="3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link w:val="128"/>
    <w:qFormat/>
    <w:uiPriority w:val="0"/>
    <w:pPr>
      <w:adjustRightInd w:val="0"/>
      <w:spacing w:line="312" w:lineRule="atLeast"/>
      <w:jc w:val="left"/>
      <w:textAlignment w:val="baseline"/>
    </w:pPr>
    <w:rPr>
      <w:kern w:val="0"/>
      <w:sz w:val="18"/>
      <w:szCs w:val="20"/>
    </w:rPr>
  </w:style>
  <w:style w:type="paragraph" w:styleId="32">
    <w:name w:val="toc 6"/>
    <w:basedOn w:val="1"/>
    <w:next w:val="1"/>
    <w:qFormat/>
    <w:uiPriority w:val="39"/>
    <w:pPr>
      <w:ind w:left="2100" w:leftChars="1000"/>
    </w:pPr>
    <w:rPr>
      <w:rFonts w:ascii="Calibri" w:hAnsi="Calibri"/>
      <w:szCs w:val="22"/>
    </w:rPr>
  </w:style>
  <w:style w:type="paragraph" w:styleId="33">
    <w:name w:val="toc 2"/>
    <w:basedOn w:val="1"/>
    <w:next w:val="1"/>
    <w:qFormat/>
    <w:uiPriority w:val="39"/>
    <w:pPr>
      <w:ind w:left="420" w:leftChars="200"/>
    </w:pPr>
    <w:rPr>
      <w:rFonts w:ascii="Calibri" w:hAnsi="Calibri"/>
      <w:szCs w:val="22"/>
    </w:rPr>
  </w:style>
  <w:style w:type="paragraph" w:styleId="34">
    <w:name w:val="toc 9"/>
    <w:basedOn w:val="1"/>
    <w:next w:val="1"/>
    <w:qFormat/>
    <w:uiPriority w:val="39"/>
    <w:pPr>
      <w:ind w:left="3360" w:leftChars="1600"/>
    </w:pPr>
    <w:rPr>
      <w:rFonts w:ascii="Calibri" w:hAnsi="Calibri"/>
      <w:szCs w:val="22"/>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6">
    <w:name w:val="index 1"/>
    <w:basedOn w:val="1"/>
    <w:next w:val="1"/>
    <w:qFormat/>
    <w:uiPriority w:val="0"/>
  </w:style>
  <w:style w:type="paragraph" w:styleId="37">
    <w:name w:val="Title"/>
    <w:basedOn w:val="1"/>
    <w:next w:val="1"/>
    <w:link w:val="114"/>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88"/>
    <w:qFormat/>
    <w:uiPriority w:val="0"/>
    <w:rPr>
      <w:b/>
      <w:bCs/>
    </w:rPr>
  </w:style>
  <w:style w:type="paragraph" w:styleId="39">
    <w:name w:val="Body Text First Indent 2"/>
    <w:basedOn w:val="1"/>
    <w:qFormat/>
    <w:uiPriority w:val="0"/>
    <w:pPr>
      <w:spacing w:after="120"/>
      <w:ind w:left="420" w:leftChars="200" w:firstLine="420" w:firstLineChars="200"/>
    </w:pPr>
    <w:rPr>
      <w:rFonts w:ascii="Times New Roman" w:hAnsi="Times New Roman"/>
      <w:kern w:val="0"/>
      <w:sz w:val="32"/>
    </w:rPr>
  </w:style>
  <w:style w:type="table" w:styleId="41">
    <w:name w:val="Table Grid"/>
    <w:basedOn w:val="4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 Char Char Char Char Char Char Char Char Char Char Char Char Char Char Char Char"/>
    <w:basedOn w:val="1"/>
    <w:link w:val="42"/>
    <w:qFormat/>
    <w:uiPriority w:val="0"/>
    <w:pPr>
      <w:tabs>
        <w:tab w:val="left" w:pos="360"/>
      </w:tabs>
      <w:spacing w:line="360" w:lineRule="auto"/>
      <w:ind w:left="482" w:firstLine="200" w:firstLineChars="200"/>
    </w:pPr>
    <w:rPr>
      <w:szCs w:val="20"/>
    </w:rPr>
  </w:style>
  <w:style w:type="character" w:styleId="44">
    <w:name w:val="Strong"/>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basedOn w:val="42"/>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paragraph" w:customStyle="1" w:styleId="52">
    <w:name w:val="表格文字"/>
    <w:basedOn w:val="1"/>
    <w:qFormat/>
    <w:uiPriority w:val="99"/>
    <w:pPr>
      <w:spacing w:before="25" w:after="25"/>
    </w:pPr>
    <w:rPr>
      <w:rFonts w:ascii="Calibri" w:hAnsi="Calibri"/>
      <w:bCs/>
      <w:spacing w:val="10"/>
      <w:sz w:val="24"/>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1"/>
    <w:basedOn w:val="1"/>
    <w:next w:val="1"/>
    <w:qFormat/>
    <w:uiPriority w:val="0"/>
  </w:style>
  <w:style w:type="paragraph" w:customStyle="1" w:styleId="61">
    <w:name w:val="首行缩进"/>
    <w:basedOn w:val="1"/>
    <w:qFormat/>
    <w:uiPriority w:val="0"/>
    <w:pPr>
      <w:ind w:firstLine="480" w:firstLineChars="200"/>
    </w:pPr>
    <w:rPr>
      <w:rFonts w:ascii="Times New Roman" w:hAnsi="Times New Roman" w:eastAsia="宋体" w:cs="Times New Roman"/>
      <w:lang w:val="zh-CN"/>
    </w:rPr>
  </w:style>
  <w:style w:type="paragraph" w:customStyle="1" w:styleId="62">
    <w:name w:val="Char"/>
    <w:basedOn w:val="1"/>
    <w:qFormat/>
    <w:uiPriority w:val="0"/>
    <w:pPr>
      <w:widowControl/>
      <w:spacing w:after="160" w:line="240" w:lineRule="exact"/>
      <w:jc w:val="left"/>
    </w:pPr>
  </w:style>
  <w:style w:type="paragraph" w:customStyle="1" w:styleId="63">
    <w:name w:val="_Style 59"/>
    <w:basedOn w:val="3"/>
    <w:next w:val="1"/>
    <w:qFormat/>
    <w:uiPriority w:val="0"/>
    <w:pPr>
      <w:spacing w:before="340" w:after="330" w:line="576" w:lineRule="auto"/>
      <w:outlineLvl w:val="9"/>
    </w:pPr>
    <w:rPr>
      <w:rFonts w:ascii="Calibri" w:hAnsi="Calibri"/>
      <w:sz w:val="44"/>
    </w:rPr>
  </w:style>
  <w:style w:type="paragraph" w:styleId="64">
    <w:name w:val="Quote"/>
    <w:basedOn w:val="1"/>
    <w:next w:val="1"/>
    <w:link w:val="136"/>
    <w:qFormat/>
    <w:uiPriority w:val="0"/>
    <w:rPr>
      <w:i/>
      <w:iCs/>
      <w:color w:val="000000"/>
      <w:kern w:val="0"/>
      <w:sz w:val="20"/>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列出段落31"/>
    <w:basedOn w:val="1"/>
    <w:qFormat/>
    <w:uiPriority w:val="0"/>
    <w:pPr>
      <w:spacing w:line="240" w:lineRule="auto"/>
      <w:ind w:firstLine="420" w:firstLineChars="200"/>
    </w:pPr>
    <w:rPr>
      <w:rFonts w:eastAsia="宋体" w:cs="Calibri"/>
      <w:sz w:val="21"/>
      <w:szCs w:val="21"/>
    </w:rPr>
  </w:style>
  <w:style w:type="paragraph" w:customStyle="1" w:styleId="67">
    <w:name w:val="列出段落3"/>
    <w:basedOn w:val="1"/>
    <w:qFormat/>
    <w:uiPriority w:val="0"/>
    <w:pPr>
      <w:spacing w:line="240" w:lineRule="auto"/>
      <w:ind w:firstLine="420" w:firstLineChars="200"/>
    </w:pPr>
    <w:rPr>
      <w:rFonts w:eastAsia="宋体" w:cs="Calibri"/>
      <w:sz w:val="21"/>
      <w:szCs w:val="21"/>
    </w:rPr>
  </w:style>
  <w:style w:type="paragraph" w:customStyle="1" w:styleId="6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
    <w:name w:val="2-2ji"/>
    <w:basedOn w:val="4"/>
    <w:qFormat/>
    <w:uiPriority w:val="0"/>
    <w:pPr>
      <w:spacing w:before="0" w:after="0" w:line="360" w:lineRule="auto"/>
      <w:jc w:val="center"/>
    </w:pPr>
    <w:rPr>
      <w:rFonts w:ascii="宋体" w:hAnsi="宋体" w:eastAsia="宋体"/>
      <w:sz w:val="36"/>
      <w:szCs w:val="24"/>
    </w:rPr>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标题5"/>
    <w:basedOn w:val="5"/>
    <w:link w:val="131"/>
    <w:qFormat/>
    <w:uiPriority w:val="0"/>
    <w:pPr>
      <w:spacing w:before="260" w:after="260" w:line="413" w:lineRule="auto"/>
    </w:pPr>
    <w:rPr>
      <w:rFonts w:ascii="Arial" w:hAnsi="Arial" w:eastAsia="宋体"/>
      <w:kern w:val="0"/>
      <w:sz w:val="24"/>
    </w:rPr>
  </w:style>
  <w:style w:type="paragraph" w:customStyle="1" w:styleId="75">
    <w:name w:val="_Style 71"/>
    <w:qFormat/>
    <w:uiPriority w:val="0"/>
    <w:rPr>
      <w:rFonts w:ascii="Calibri" w:hAnsi="Calibri"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Char Char Char Char Char Char Char"/>
    <w:basedOn w:val="1"/>
    <w:qFormat/>
    <w:uiPriority w:val="0"/>
    <w:pPr>
      <w:widowControl/>
      <w:spacing w:after="160" w:line="240" w:lineRule="exact"/>
      <w:jc w:val="left"/>
    </w:pPr>
  </w:style>
  <w:style w:type="paragraph" w:customStyle="1" w:styleId="81">
    <w:name w:val="标题4"/>
    <w:basedOn w:val="4"/>
    <w:next w:val="18"/>
    <w:link w:val="104"/>
    <w:qFormat/>
    <w:uiPriority w:val="0"/>
    <w:rPr>
      <w:rFonts w:eastAsia="宋体"/>
      <w:kern w:val="0"/>
      <w:sz w:val="24"/>
    </w:rPr>
  </w:style>
  <w:style w:type="paragraph" w:customStyle="1" w:styleId="82">
    <w:name w:val="Char1"/>
    <w:basedOn w:val="1"/>
    <w:qFormat/>
    <w:uiPriority w:val="0"/>
    <w:pPr>
      <w:widowControl/>
      <w:spacing w:after="160" w:line="240" w:lineRule="exact"/>
      <w:jc w:val="left"/>
    </w:pPr>
  </w:style>
  <w:style w:type="paragraph" w:customStyle="1" w:styleId="83">
    <w:name w:val="_Style 37"/>
    <w:basedOn w:val="1"/>
    <w:next w:val="1"/>
    <w:qFormat/>
    <w:uiPriority w:val="0"/>
  </w:style>
  <w:style w:type="paragraph" w:styleId="84">
    <w:name w:val="Intense Quote"/>
    <w:basedOn w:val="1"/>
    <w:next w:val="1"/>
    <w:link w:val="166"/>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列出段落1"/>
    <w:basedOn w:val="1"/>
    <w:qFormat/>
    <w:uiPriority w:val="0"/>
    <w:pPr>
      <w:ind w:firstLine="420" w:firstLineChars="200"/>
    </w:pPr>
    <w:rPr>
      <w:rFonts w:ascii="Calibri" w:hAnsi="Calibri"/>
      <w:szCs w:val="22"/>
    </w:rPr>
  </w:style>
  <w:style w:type="character" w:customStyle="1" w:styleId="87">
    <w:name w:val="Document Map Char"/>
    <w:qFormat/>
    <w:uiPriority w:val="0"/>
    <w:rPr>
      <w:rFonts w:eastAsia="宋体"/>
      <w:kern w:val="2"/>
      <w:sz w:val="21"/>
      <w:szCs w:val="24"/>
      <w:lang w:val="en-US" w:eastAsia="zh-CN" w:bidi="ar-SA"/>
    </w:rPr>
  </w:style>
  <w:style w:type="character" w:customStyle="1" w:styleId="88">
    <w:name w:val="批注主题 Char"/>
    <w:link w:val="38"/>
    <w:qFormat/>
    <w:uiPriority w:val="0"/>
    <w:rPr>
      <w:b/>
      <w:bCs/>
      <w:kern w:val="2"/>
      <w:sz w:val="21"/>
      <w:szCs w:val="24"/>
      <w:lang w:bidi="ar-SA"/>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5 Char"/>
    <w:qFormat/>
    <w:uiPriority w:val="0"/>
    <w:rPr>
      <w:rFonts w:eastAsia="宋体"/>
      <w:b/>
      <w:bCs/>
      <w:kern w:val="2"/>
      <w:sz w:val="28"/>
      <w:szCs w:val="28"/>
      <w:lang w:val="en-US" w:eastAsia="zh-CN" w:bidi="ar-SA"/>
    </w:rPr>
  </w:style>
  <w:style w:type="character" w:customStyle="1" w:styleId="91">
    <w:name w:val="Heading 3 Char"/>
    <w:qFormat/>
    <w:uiPriority w:val="0"/>
    <w:rPr>
      <w:rFonts w:cs="Times New Roman"/>
      <w:b/>
      <w:bCs/>
      <w:kern w:val="2"/>
      <w:sz w:val="32"/>
      <w:szCs w:val="32"/>
    </w:rPr>
  </w:style>
  <w:style w:type="character" w:customStyle="1" w:styleId="92">
    <w:name w:val="Char Char19"/>
    <w:qFormat/>
    <w:uiPriority w:val="0"/>
    <w:rPr>
      <w:rFonts w:ascii="Arial" w:hAnsi="Arial" w:eastAsia="宋体" w:cs="Times New Roman"/>
      <w:b/>
      <w:bCs/>
      <w:szCs w:val="28"/>
    </w:rPr>
  </w:style>
  <w:style w:type="character" w:customStyle="1" w:styleId="93">
    <w:name w:val="批注框文本 Char1"/>
    <w:qFormat/>
    <w:uiPriority w:val="0"/>
    <w:rPr>
      <w:rFonts w:ascii="Times New Roman" w:hAnsi="Times New Roman" w:eastAsia="宋体" w:cs="Times New Roman"/>
      <w:sz w:val="18"/>
      <w:szCs w:val="18"/>
    </w:rPr>
  </w:style>
  <w:style w:type="character" w:customStyle="1" w:styleId="94">
    <w:name w:val="Heading 4 Char"/>
    <w:qFormat/>
    <w:uiPriority w:val="0"/>
    <w:rPr>
      <w:rFonts w:ascii="Arial" w:hAnsi="Arial" w:eastAsia="宋体"/>
      <w:b/>
      <w:bCs/>
      <w:kern w:val="2"/>
      <w:sz w:val="21"/>
      <w:szCs w:val="28"/>
      <w:lang w:val="en-US" w:eastAsia="zh-CN" w:bidi="ar-SA"/>
    </w:rPr>
  </w:style>
  <w:style w:type="character" w:customStyle="1" w:styleId="95">
    <w:name w:val="正文文本缩进 Char"/>
    <w:link w:val="17"/>
    <w:qFormat/>
    <w:uiPriority w:val="0"/>
    <w:rPr>
      <w:rFonts w:ascii="宋体" w:hAnsi="宋体"/>
      <w:kern w:val="2"/>
      <w:sz w:val="21"/>
      <w:lang w:bidi="ar-SA"/>
    </w:rPr>
  </w:style>
  <w:style w:type="character" w:customStyle="1" w:styleId="96">
    <w:name w:val="批注框文本 Char"/>
    <w:link w:val="25"/>
    <w:qFormat/>
    <w:uiPriority w:val="0"/>
    <w:rPr>
      <w:kern w:val="2"/>
      <w:sz w:val="18"/>
      <w:szCs w:val="18"/>
      <w:lang w:bidi="ar-SA"/>
    </w:rPr>
  </w:style>
  <w:style w:type="character" w:customStyle="1" w:styleId="97">
    <w:name w:val="Char Char9"/>
    <w:qFormat/>
    <w:uiPriority w:val="0"/>
    <w:rPr>
      <w:rFonts w:eastAsia="宋体"/>
      <w:b/>
      <w:bCs/>
      <w:kern w:val="44"/>
      <w:sz w:val="32"/>
      <w:szCs w:val="44"/>
      <w:lang w:val="en-US" w:eastAsia="zh-CN" w:bidi="ar-SA"/>
    </w:rPr>
  </w:style>
  <w:style w:type="character" w:customStyle="1" w:styleId="98">
    <w:name w:val="标题 2 Char"/>
    <w:link w:val="4"/>
    <w:qFormat/>
    <w:uiPriority w:val="0"/>
    <w:rPr>
      <w:rFonts w:ascii="Arial" w:hAnsi="Arial" w:eastAsia="黑体"/>
      <w:b/>
      <w:bCs/>
      <w:kern w:val="2"/>
      <w:sz w:val="21"/>
      <w:szCs w:val="32"/>
    </w:rPr>
  </w:style>
  <w:style w:type="character" w:customStyle="1" w:styleId="99">
    <w:name w:val="Title Char"/>
    <w:qFormat/>
    <w:uiPriority w:val="0"/>
    <w:rPr>
      <w:rFonts w:ascii="Cambria" w:hAnsi="Cambria"/>
      <w:b/>
      <w:sz w:val="32"/>
      <w:lang w:bidi="ar-SA"/>
    </w:rPr>
  </w:style>
  <w:style w:type="character" w:customStyle="1" w:styleId="100">
    <w:name w:val="批注文字 Char"/>
    <w:qFormat/>
    <w:uiPriority w:val="0"/>
    <w:rPr>
      <w:kern w:val="2"/>
      <w:sz w:val="21"/>
      <w:szCs w:val="24"/>
    </w:rPr>
  </w:style>
  <w:style w:type="character" w:customStyle="1" w:styleId="101">
    <w:name w:val="Balloon Text Char"/>
    <w:qFormat/>
    <w:uiPriority w:val="0"/>
    <w:rPr>
      <w:sz w:val="18"/>
      <w:lang w:bidi="ar-SA"/>
    </w:rPr>
  </w:style>
  <w:style w:type="character" w:customStyle="1" w:styleId="102">
    <w:name w:val="font41"/>
    <w:basedOn w:val="42"/>
    <w:qFormat/>
    <w:uiPriority w:val="0"/>
    <w:rPr>
      <w:rFonts w:hint="eastAsia" w:ascii="宋体" w:hAnsi="宋体" w:eastAsia="宋体" w:cs="宋体"/>
      <w:color w:val="000000"/>
      <w:sz w:val="20"/>
      <w:szCs w:val="20"/>
      <w:u w:val="none"/>
    </w:rPr>
  </w:style>
  <w:style w:type="character" w:customStyle="1" w:styleId="103">
    <w:name w:val="Char Char181"/>
    <w:qFormat/>
    <w:uiPriority w:val="0"/>
    <w:rPr>
      <w:b/>
      <w:bCs/>
      <w:kern w:val="44"/>
      <w:sz w:val="44"/>
      <w:szCs w:val="44"/>
    </w:rPr>
  </w:style>
  <w:style w:type="character" w:customStyle="1" w:styleId="104">
    <w:name w:val="标题4 Char Char"/>
    <w:link w:val="81"/>
    <w:qFormat/>
    <w:uiPriority w:val="0"/>
    <w:rPr>
      <w:rFonts w:ascii="Arial" w:hAnsi="Arial"/>
      <w:b/>
      <w:bCs/>
      <w:sz w:val="24"/>
      <w:szCs w:val="32"/>
      <w:lang w:bidi="ar-SA"/>
    </w:rPr>
  </w:style>
  <w:style w:type="character" w:customStyle="1" w:styleId="105">
    <w:name w:val="日期 Char1"/>
    <w:qFormat/>
    <w:uiPriority w:val="0"/>
    <w:rPr>
      <w:rFonts w:ascii="Times New Roman" w:hAnsi="Times New Roman" w:eastAsia="宋体" w:cs="Times New Roman"/>
      <w:szCs w:val="24"/>
    </w:rPr>
  </w:style>
  <w:style w:type="character" w:customStyle="1" w:styleId="106">
    <w:name w:val="正文文本 Char"/>
    <w:link w:val="2"/>
    <w:qFormat/>
    <w:uiPriority w:val="0"/>
    <w:rPr>
      <w:rFonts w:eastAsia="宋体"/>
      <w:kern w:val="2"/>
      <w:sz w:val="21"/>
      <w:szCs w:val="22"/>
      <w:lang w:val="en-US" w:eastAsia="zh-CN" w:bidi="ar-SA"/>
    </w:rPr>
  </w:style>
  <w:style w:type="character" w:customStyle="1" w:styleId="107">
    <w:name w:val="_Style 104"/>
    <w:qFormat/>
    <w:uiPriority w:val="0"/>
    <w:rPr>
      <w:b/>
      <w:bCs/>
      <w:smallCaps/>
      <w:spacing w:val="5"/>
    </w:rPr>
  </w:style>
  <w:style w:type="character" w:customStyle="1" w:styleId="108">
    <w:name w:val="Plain Text Char"/>
    <w:qFormat/>
    <w:uiPriority w:val="0"/>
    <w:rPr>
      <w:rFonts w:ascii="宋体" w:hAnsi="Courier New" w:eastAsia="宋体"/>
      <w:sz w:val="24"/>
      <w:lang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标题 1 Char"/>
    <w:link w:val="3"/>
    <w:qFormat/>
    <w:uiPriority w:val="0"/>
    <w:rPr>
      <w:rFonts w:eastAsia="黑体"/>
      <w:b/>
      <w:bCs/>
      <w:kern w:val="44"/>
      <w:sz w:val="32"/>
      <w:szCs w:val="44"/>
    </w:rPr>
  </w:style>
  <w:style w:type="character" w:customStyle="1" w:styleId="111">
    <w:name w:val="_Style 108"/>
    <w:qFormat/>
    <w:uiPriority w:val="0"/>
    <w:rPr>
      <w:b/>
      <w:bCs/>
      <w:i/>
      <w:iCs/>
      <w:color w:val="4F81BD"/>
    </w:rPr>
  </w:style>
  <w:style w:type="character" w:customStyle="1" w:styleId="112">
    <w:name w:val="current"/>
    <w:qFormat/>
    <w:uiPriority w:val="0"/>
    <w:rPr>
      <w:color w:val="FFFFFF"/>
      <w:bdr w:val="single" w:color="028BD3" w:sz="6" w:space="0"/>
      <w:shd w:val="clear" w:color="auto" w:fill="028BD3"/>
    </w:rPr>
  </w:style>
  <w:style w:type="character" w:customStyle="1" w:styleId="113">
    <w:name w:val="_Style 110"/>
    <w:qFormat/>
    <w:uiPriority w:val="0"/>
    <w:rPr>
      <w:b/>
      <w:bCs/>
      <w:smallCaps/>
      <w:color w:val="C0504D"/>
      <w:spacing w:val="5"/>
      <w:u w:val="single"/>
    </w:rPr>
  </w:style>
  <w:style w:type="character" w:customStyle="1" w:styleId="114">
    <w:name w:val="标题 Char"/>
    <w:link w:val="37"/>
    <w:qFormat/>
    <w:uiPriority w:val="0"/>
    <w:rPr>
      <w:rFonts w:ascii="Cambria" w:hAnsi="Cambria"/>
      <w:b/>
      <w:bCs/>
      <w:kern w:val="2"/>
      <w:sz w:val="32"/>
      <w:szCs w:val="32"/>
      <w:lang w:bidi="ar-SA"/>
    </w:rPr>
  </w:style>
  <w:style w:type="character" w:customStyle="1" w:styleId="115">
    <w:name w:val="font11"/>
    <w:basedOn w:val="42"/>
    <w:qFormat/>
    <w:uiPriority w:val="0"/>
    <w:rPr>
      <w:rFonts w:hint="eastAsia" w:ascii="宋体" w:hAnsi="宋体" w:eastAsia="宋体" w:cs="宋体"/>
      <w:color w:val="000000"/>
      <w:sz w:val="18"/>
      <w:szCs w:val="18"/>
      <w:u w:val="none"/>
      <w:vertAlign w:val="superscript"/>
    </w:rPr>
  </w:style>
  <w:style w:type="character" w:customStyle="1" w:styleId="116">
    <w:name w:val="font31"/>
    <w:basedOn w:val="42"/>
    <w:qFormat/>
    <w:uiPriority w:val="0"/>
    <w:rPr>
      <w:rFonts w:hint="eastAsia" w:ascii="宋体" w:hAnsi="宋体" w:eastAsia="宋体" w:cs="宋体"/>
      <w:color w:val="000000"/>
      <w:sz w:val="18"/>
      <w:szCs w:val="18"/>
      <w:u w:val="none"/>
    </w:rPr>
  </w:style>
  <w:style w:type="character" w:customStyle="1" w:styleId="117">
    <w:name w:val="纯文本 Char"/>
    <w:link w:val="21"/>
    <w:qFormat/>
    <w:uiPriority w:val="0"/>
    <w:rPr>
      <w:rFonts w:ascii="宋体" w:hAnsi="Courier New" w:eastAsia="宋体"/>
      <w:kern w:val="2"/>
      <w:sz w:val="21"/>
      <w:szCs w:val="24"/>
      <w:lang w:val="en-US" w:eastAsia="zh-CN" w:bidi="ar-SA"/>
    </w:rPr>
  </w:style>
  <w:style w:type="character" w:customStyle="1" w:styleId="118">
    <w:name w:val="正文文本 Char1"/>
    <w:qFormat/>
    <w:uiPriority w:val="0"/>
    <w:rPr>
      <w:kern w:val="2"/>
      <w:sz w:val="21"/>
      <w:szCs w:val="22"/>
    </w:rPr>
  </w:style>
  <w:style w:type="character" w:customStyle="1" w:styleId="119">
    <w:name w:val="标题 4 Char"/>
    <w:link w:val="6"/>
    <w:qFormat/>
    <w:uiPriority w:val="0"/>
    <w:rPr>
      <w:rFonts w:ascii="Arial" w:hAnsi="Arial" w:eastAsia="宋体"/>
      <w:b/>
      <w:bCs/>
      <w:kern w:val="2"/>
      <w:sz w:val="21"/>
      <w:szCs w:val="28"/>
      <w:lang w:val="en-US" w:eastAsia="zh-CN" w:bidi="ar-SA"/>
    </w:rPr>
  </w:style>
  <w:style w:type="character" w:customStyle="1" w:styleId="120">
    <w:name w:val="font71"/>
    <w:basedOn w:val="42"/>
    <w:qFormat/>
    <w:uiPriority w:val="0"/>
    <w:rPr>
      <w:rFonts w:hint="eastAsia" w:ascii="宋体" w:hAnsi="宋体" w:eastAsia="宋体" w:cs="宋体"/>
      <w:color w:val="000000"/>
      <w:sz w:val="20"/>
      <w:szCs w:val="20"/>
      <w:u w:val="none"/>
      <w:vertAlign w:val="superscript"/>
    </w:rPr>
  </w:style>
  <w:style w:type="character" w:customStyle="1" w:styleId="121">
    <w:name w:val="文档结构图 Char"/>
    <w:link w:val="15"/>
    <w:qFormat/>
    <w:uiPriority w:val="0"/>
    <w:rPr>
      <w:kern w:val="2"/>
      <w:sz w:val="21"/>
      <w:szCs w:val="24"/>
      <w:shd w:val="clear" w:color="auto" w:fill="000080"/>
      <w:lang w:bidi="ar-SA"/>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Heading 1 Char"/>
    <w:qFormat/>
    <w:uiPriority w:val="0"/>
    <w:rPr>
      <w:rFonts w:eastAsia="宋体"/>
      <w:b/>
      <w:bCs/>
      <w:kern w:val="44"/>
      <w:sz w:val="32"/>
      <w:szCs w:val="44"/>
      <w:lang w:val="en-US" w:eastAsia="zh-CN" w:bidi="ar-SA"/>
    </w:rPr>
  </w:style>
  <w:style w:type="character" w:customStyle="1" w:styleId="124">
    <w:name w:val="font21"/>
    <w:basedOn w:val="42"/>
    <w:qFormat/>
    <w:uiPriority w:val="0"/>
    <w:rPr>
      <w:rFonts w:hint="eastAsia" w:ascii="宋体" w:hAnsi="宋体" w:eastAsia="宋体" w:cs="宋体"/>
      <w:color w:val="000000"/>
      <w:sz w:val="18"/>
      <w:szCs w:val="18"/>
      <w:u w:val="none"/>
    </w:rPr>
  </w:style>
  <w:style w:type="character" w:customStyle="1" w:styleId="125">
    <w:name w:val="Header Char"/>
    <w:qFormat/>
    <w:uiPriority w:val="0"/>
    <w:rPr>
      <w:rFonts w:eastAsia="宋体"/>
      <w:kern w:val="2"/>
      <w:sz w:val="18"/>
      <w:szCs w:val="18"/>
      <w:lang w:val="en-US" w:eastAsia="zh-CN" w:bidi="ar-SA"/>
    </w:rPr>
  </w:style>
  <w:style w:type="character" w:customStyle="1" w:styleId="126">
    <w:name w:val="页眉 Char"/>
    <w:link w:val="27"/>
    <w:qFormat/>
    <w:uiPriority w:val="0"/>
    <w:rPr>
      <w:kern w:val="2"/>
      <w:sz w:val="18"/>
      <w:szCs w:val="18"/>
      <w:lang w:bidi="ar-SA"/>
    </w:rPr>
  </w:style>
  <w:style w:type="character" w:customStyle="1" w:styleId="127">
    <w:name w:val="明显引用 Char1"/>
    <w:qFormat/>
    <w:uiPriority w:val="0"/>
    <w:rPr>
      <w:rFonts w:ascii="Times New Roman" w:hAnsi="Times New Roman" w:eastAsia="宋体" w:cs="Times New Roman"/>
      <w:b/>
      <w:bCs/>
      <w:i/>
      <w:iCs/>
      <w:color w:val="4F81BD"/>
      <w:szCs w:val="24"/>
    </w:rPr>
  </w:style>
  <w:style w:type="character" w:customStyle="1" w:styleId="128">
    <w:name w:val="脚注文本 Char"/>
    <w:link w:val="31"/>
    <w:qFormat/>
    <w:uiPriority w:val="0"/>
    <w:rPr>
      <w:sz w:val="18"/>
      <w:lang w:bidi="ar-SA"/>
    </w:rPr>
  </w:style>
  <w:style w:type="character" w:customStyle="1" w:styleId="129">
    <w:name w:val="Char Char91"/>
    <w:qFormat/>
    <w:uiPriority w:val="0"/>
    <w:rPr>
      <w:rFonts w:eastAsia="宋体"/>
      <w:b/>
      <w:bCs/>
      <w:kern w:val="44"/>
      <w:sz w:val="32"/>
      <w:szCs w:val="44"/>
      <w:lang w:val="en-US" w:eastAsia="zh-CN" w:bidi="ar-SA"/>
    </w:rPr>
  </w:style>
  <w:style w:type="character" w:customStyle="1" w:styleId="130">
    <w:name w:val="_Style 127"/>
    <w:qFormat/>
    <w:uiPriority w:val="0"/>
    <w:rPr>
      <w:smallCaps/>
      <w:color w:val="C0504D"/>
      <w:u w:val="single"/>
    </w:rPr>
  </w:style>
  <w:style w:type="character" w:customStyle="1" w:styleId="131">
    <w:name w:val="标题5 Char Char"/>
    <w:link w:val="74"/>
    <w:qFormat/>
    <w:uiPriority w:val="0"/>
    <w:rPr>
      <w:rFonts w:ascii="Arial" w:hAnsi="Arial"/>
      <w:b/>
      <w:bCs/>
      <w:sz w:val="24"/>
      <w:szCs w:val="32"/>
      <w:lang w:bidi="ar-SA"/>
    </w:rPr>
  </w:style>
  <w:style w:type="character" w:customStyle="1" w:styleId="132">
    <w:name w:val="Date Char"/>
    <w:qFormat/>
    <w:uiPriority w:val="0"/>
    <w:rPr>
      <w:rFonts w:eastAsia="宋体"/>
      <w:kern w:val="2"/>
      <w:sz w:val="21"/>
      <w:szCs w:val="24"/>
      <w:lang w:val="en-US" w:eastAsia="zh-CN" w:bidi="ar-SA"/>
    </w:rPr>
  </w:style>
  <w:style w:type="character" w:customStyle="1" w:styleId="133">
    <w:name w:val="Comment Text Char"/>
    <w:qFormat/>
    <w:uiPriority w:val="0"/>
    <w:rPr>
      <w:rFonts w:cs="Times New Roman"/>
      <w:sz w:val="24"/>
      <w:szCs w:val="24"/>
    </w:rPr>
  </w:style>
  <w:style w:type="character" w:customStyle="1" w:styleId="134">
    <w:name w:val="标题 Char1"/>
    <w:qFormat/>
    <w:uiPriority w:val="0"/>
    <w:rPr>
      <w:rFonts w:ascii="Cambria" w:hAnsi="Cambria" w:eastAsia="宋体" w:cs="Times New Roman"/>
      <w:b/>
      <w:bCs/>
      <w:sz w:val="32"/>
      <w:szCs w:val="32"/>
    </w:rPr>
  </w:style>
  <w:style w:type="character" w:customStyle="1" w:styleId="135">
    <w:name w:val="font61"/>
    <w:basedOn w:val="42"/>
    <w:qFormat/>
    <w:uiPriority w:val="0"/>
    <w:rPr>
      <w:rFonts w:hint="eastAsia" w:ascii="宋体" w:hAnsi="宋体" w:eastAsia="宋体" w:cs="宋体"/>
      <w:color w:val="000000"/>
      <w:sz w:val="20"/>
      <w:szCs w:val="20"/>
      <w:u w:val="none"/>
    </w:rPr>
  </w:style>
  <w:style w:type="character" w:customStyle="1" w:styleId="136">
    <w:name w:val="引用 Char"/>
    <w:link w:val="64"/>
    <w:qFormat/>
    <w:uiPriority w:val="0"/>
    <w:rPr>
      <w:i/>
      <w:iCs/>
      <w:color w:val="000000"/>
      <w:lang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标题 3 Char"/>
    <w:link w:val="5"/>
    <w:qFormat/>
    <w:uiPriority w:val="0"/>
    <w:rPr>
      <w:rFonts w:eastAsia="黑体"/>
      <w:b/>
      <w:bCs/>
      <w:kern w:val="2"/>
      <w:sz w:val="21"/>
      <w:szCs w:val="32"/>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font111"/>
    <w:basedOn w:val="42"/>
    <w:qFormat/>
    <w:uiPriority w:val="0"/>
    <w:rPr>
      <w:rFonts w:hint="eastAsia" w:ascii="宋体" w:hAnsi="宋体" w:eastAsia="宋体" w:cs="宋体"/>
      <w:color w:val="000000"/>
      <w:sz w:val="20"/>
      <w:szCs w:val="20"/>
      <w:u w:val="none"/>
    </w:rPr>
  </w:style>
  <w:style w:type="character" w:customStyle="1" w:styleId="141">
    <w:name w:val="页脚 Char"/>
    <w:link w:val="26"/>
    <w:qFormat/>
    <w:uiPriority w:val="0"/>
    <w:rPr>
      <w:kern w:val="2"/>
      <w:sz w:val="18"/>
      <w:szCs w:val="18"/>
      <w:lang w:bidi="ar-SA"/>
    </w:rPr>
  </w:style>
  <w:style w:type="character" w:customStyle="1" w:styleId="142">
    <w:name w:val="纯文本 Char1"/>
    <w:qFormat/>
    <w:uiPriority w:val="0"/>
    <w:rPr>
      <w:rFonts w:ascii="宋体" w:hAnsi="Courier New" w:eastAsia="宋体" w:cs="Courier New"/>
      <w:szCs w:val="21"/>
    </w:rPr>
  </w:style>
  <w:style w:type="character" w:customStyle="1" w:styleId="143">
    <w:name w:val="bsharetext"/>
    <w:basedOn w:val="42"/>
    <w:qFormat/>
    <w:uiPriority w:val="0"/>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日期 Char"/>
    <w:link w:val="23"/>
    <w:qFormat/>
    <w:uiPriority w:val="0"/>
    <w:rPr>
      <w:kern w:val="2"/>
      <w:sz w:val="21"/>
      <w:szCs w:val="24"/>
      <w:lang w:bidi="ar-SA"/>
    </w:rPr>
  </w:style>
  <w:style w:type="character" w:customStyle="1" w:styleId="146">
    <w:name w:val="Body Text Indent 2 Char"/>
    <w:qFormat/>
    <w:uiPriority w:val="0"/>
    <w:rPr>
      <w:rFonts w:eastAsia="宋体"/>
      <w:kern w:val="2"/>
      <w:sz w:val="21"/>
      <w:szCs w:val="24"/>
      <w:lang w:val="en-US" w:eastAsia="zh-CN" w:bidi="ar-SA"/>
    </w:rPr>
  </w:style>
  <w:style w:type="character" w:customStyle="1" w:styleId="147">
    <w:name w:val="disabled"/>
    <w:qFormat/>
    <w:uiPriority w:val="0"/>
    <w:rPr>
      <w:vanish/>
    </w:rPr>
  </w:style>
  <w:style w:type="character" w:customStyle="1" w:styleId="148">
    <w:name w:val="Char Char22"/>
    <w:qFormat/>
    <w:uiPriority w:val="0"/>
    <w:rPr>
      <w:rFonts w:ascii="Times New Roman" w:hAnsi="Times New Roman" w:eastAsia="宋体" w:cs="Times New Roman"/>
      <w:b/>
      <w:bCs/>
      <w:kern w:val="44"/>
      <w:sz w:val="32"/>
      <w:szCs w:val="44"/>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Heading 2 Char"/>
    <w:qFormat/>
    <w:uiPriority w:val="0"/>
    <w:rPr>
      <w:rFonts w:ascii="Arial" w:hAnsi="Arial" w:eastAsia="黑体"/>
      <w:b/>
      <w:bCs/>
      <w:kern w:val="2"/>
      <w:sz w:val="32"/>
      <w:szCs w:val="32"/>
      <w:lang w:val="en-US" w:eastAsia="zh-CN" w:bidi="ar-SA"/>
    </w:rPr>
  </w:style>
  <w:style w:type="character" w:customStyle="1" w:styleId="151">
    <w:name w:val="批注文字 Char2"/>
    <w:link w:val="16"/>
    <w:qFormat/>
    <w:uiPriority w:val="0"/>
    <w:rPr>
      <w:kern w:val="2"/>
      <w:sz w:val="21"/>
      <w:szCs w:val="24"/>
      <w:lang w:bidi="ar-SA"/>
    </w:rPr>
  </w:style>
  <w:style w:type="character" w:customStyle="1" w:styleId="152">
    <w:name w:val="_Style 149"/>
    <w:qFormat/>
    <w:uiPriority w:val="0"/>
    <w:rPr>
      <w:i/>
      <w:iCs/>
      <w:color w:val="808080"/>
    </w:rPr>
  </w:style>
  <w:style w:type="character" w:customStyle="1" w:styleId="153">
    <w:name w:val="Footer Char"/>
    <w:qFormat/>
    <w:uiPriority w:val="0"/>
    <w:rPr>
      <w:rFonts w:eastAsia="宋体"/>
      <w:kern w:val="2"/>
      <w:sz w:val="18"/>
      <w:szCs w:val="18"/>
      <w:lang w:val="en-US" w:eastAsia="zh-CN" w:bidi="ar-SA"/>
    </w:rPr>
  </w:style>
  <w:style w:type="character" w:customStyle="1" w:styleId="154">
    <w:name w:val="Comment Subject Char"/>
    <w:qFormat/>
    <w:uiPriority w:val="0"/>
    <w:rPr>
      <w:b/>
      <w:sz w:val="24"/>
      <w:lang w:bidi="ar-SA"/>
    </w:rPr>
  </w:style>
  <w:style w:type="character" w:customStyle="1" w:styleId="155">
    <w:name w:val="Char Char6"/>
    <w:qFormat/>
    <w:uiPriority w:val="0"/>
    <w:rPr>
      <w:rFonts w:eastAsia="宋体"/>
      <w:b/>
      <w:bCs/>
      <w:kern w:val="44"/>
      <w:sz w:val="32"/>
      <w:szCs w:val="44"/>
      <w:lang w:val="en-US" w:eastAsia="zh-CN" w:bidi="ar-SA"/>
    </w:rPr>
  </w:style>
  <w:style w:type="character" w:customStyle="1" w:styleId="156">
    <w:name w:val="Char Char18"/>
    <w:qFormat/>
    <w:uiPriority w:val="0"/>
    <w:rPr>
      <w:rFonts w:ascii="Times New Roman" w:hAnsi="Times New Roman" w:eastAsia="宋体" w:cs="Times New Roman"/>
      <w:b/>
      <w:bCs/>
      <w:sz w:val="28"/>
      <w:szCs w:val="28"/>
    </w:rPr>
  </w:style>
  <w:style w:type="character" w:customStyle="1" w:styleId="157">
    <w:name w:val="批注主题 Char1"/>
    <w:qFormat/>
    <w:uiPriority w:val="0"/>
    <w:rPr>
      <w:rFonts w:ascii="Times New Roman" w:hAnsi="Times New Roman" w:eastAsia="宋体" w:cs="Times New Roman"/>
      <w:b/>
      <w:bCs/>
      <w:szCs w:val="24"/>
    </w:rPr>
  </w:style>
  <w:style w:type="character" w:customStyle="1" w:styleId="158">
    <w:name w:val="Footnote Text Char"/>
    <w:qFormat/>
    <w:uiPriority w:val="0"/>
    <w:rPr>
      <w:rFonts w:eastAsia="宋体"/>
      <w:sz w:val="18"/>
      <w:lang w:val="en-US" w:eastAsia="zh-CN" w:bidi="ar-SA"/>
    </w:rPr>
  </w:style>
  <w:style w:type="character" w:customStyle="1" w:styleId="159">
    <w:name w:val="标题 5 Char"/>
    <w:link w:val="7"/>
    <w:qFormat/>
    <w:uiPriority w:val="0"/>
    <w:rPr>
      <w:rFonts w:eastAsia="宋体"/>
      <w:b/>
      <w:bCs/>
      <w:kern w:val="2"/>
      <w:sz w:val="28"/>
      <w:szCs w:val="28"/>
      <w:lang w:val="en-US" w:eastAsia="zh-CN" w:bidi="ar-SA"/>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Comment Text Char1"/>
    <w:qFormat/>
    <w:uiPriority w:val="0"/>
    <w:rPr>
      <w:sz w:val="24"/>
      <w:lang w:bidi="ar-SA"/>
    </w:rPr>
  </w:style>
  <w:style w:type="character" w:customStyle="1" w:styleId="162">
    <w:name w:val="Char Char24"/>
    <w:qFormat/>
    <w:uiPriority w:val="0"/>
    <w:rPr>
      <w:rFonts w:eastAsia="宋体"/>
      <w:b/>
      <w:bCs/>
      <w:kern w:val="44"/>
      <w:sz w:val="32"/>
      <w:szCs w:val="44"/>
      <w:lang w:val="en-US" w:eastAsia="zh-CN" w:bidi="ar-SA"/>
    </w:rPr>
  </w:style>
  <w:style w:type="character" w:customStyle="1" w:styleId="163">
    <w:name w:val="Char Char20"/>
    <w:qFormat/>
    <w:uiPriority w:val="0"/>
    <w:rPr>
      <w:rFonts w:ascii="Times New Roman" w:hAnsi="Times New Roman" w:eastAsia="宋体" w:cs="Times New Roman"/>
      <w:b/>
      <w:bCs/>
      <w:sz w:val="24"/>
      <w:szCs w:val="32"/>
    </w:rPr>
  </w:style>
  <w:style w:type="character" w:customStyle="1" w:styleId="164">
    <w:name w:val="Heading 3 Char1"/>
    <w:qFormat/>
    <w:uiPriority w:val="0"/>
    <w:rPr>
      <w:rFonts w:eastAsia="宋体"/>
      <w:b/>
      <w:bCs/>
      <w:kern w:val="2"/>
      <w:sz w:val="24"/>
      <w:szCs w:val="32"/>
      <w:lang w:val="en-US" w:eastAsia="zh-CN" w:bidi="ar-SA"/>
    </w:rPr>
  </w:style>
  <w:style w:type="character" w:customStyle="1" w:styleId="165">
    <w:name w:val="textcontents"/>
    <w:qFormat/>
    <w:uiPriority w:val="0"/>
    <w:rPr>
      <w:rFonts w:cs="Times New Roman"/>
    </w:rPr>
  </w:style>
  <w:style w:type="character" w:customStyle="1" w:styleId="166">
    <w:name w:val="明显引用 Char"/>
    <w:link w:val="84"/>
    <w:qFormat/>
    <w:uiPriority w:val="0"/>
    <w:rPr>
      <w:b/>
      <w:bCs/>
      <w:i/>
      <w:iCs/>
      <w:color w:val="4F81BD"/>
      <w:lang w:bidi="ar-SA"/>
    </w:rPr>
  </w:style>
  <w:style w:type="character" w:customStyle="1" w:styleId="167">
    <w:name w:val="正文文本缩进 2 Char"/>
    <w:link w:val="24"/>
    <w:qFormat/>
    <w:uiPriority w:val="0"/>
    <w:rPr>
      <w:kern w:val="2"/>
      <w:sz w:val="21"/>
      <w:szCs w:val="24"/>
      <w:lang w:bidi="ar-SA"/>
    </w:rPr>
  </w:style>
  <w:style w:type="paragraph" w:customStyle="1" w:styleId="168">
    <w:name w:val="Char Char Char Char Char Char Char1"/>
    <w:basedOn w:val="1"/>
    <w:qFormat/>
    <w:uiPriority w:val="0"/>
  </w:style>
  <w:style w:type="paragraph" w:customStyle="1" w:styleId="169">
    <w:name w:val="Normal"/>
    <w:qFormat/>
    <w:uiPriority w:val="0"/>
    <w:rPr>
      <w:rFonts w:ascii="Times New Roman" w:hAnsi="Times New Roman" w:eastAsia="Times New Roman" w:cs="Times New Roman"/>
      <w:sz w:val="24"/>
      <w:szCs w:val="24"/>
      <w:lang w:bidi="ar-SA"/>
    </w:rPr>
  </w:style>
  <w:style w:type="character" w:customStyle="1" w:styleId="170">
    <w:name w:val="font01"/>
    <w:basedOn w:val="42"/>
    <w:qFormat/>
    <w:uiPriority w:val="0"/>
    <w:rPr>
      <w:rFonts w:hint="eastAsia" w:ascii="宋体" w:hAnsi="宋体" w:eastAsia="宋体" w:cs="宋体"/>
      <w:color w:val="000000"/>
      <w:sz w:val="20"/>
      <w:szCs w:val="20"/>
      <w:u w:val="none"/>
    </w:rPr>
  </w:style>
  <w:style w:type="character" w:customStyle="1" w:styleId="171">
    <w:name w:val="font91"/>
    <w:basedOn w:val="42"/>
    <w:qFormat/>
    <w:uiPriority w:val="0"/>
    <w:rPr>
      <w:rFonts w:hint="default" w:ascii="Times New Roman" w:hAnsi="Times New Roman" w:cs="Times New Roman"/>
      <w:color w:val="000000"/>
      <w:sz w:val="20"/>
      <w:szCs w:val="20"/>
      <w:u w:val="none"/>
    </w:rPr>
  </w:style>
  <w:style w:type="character" w:customStyle="1" w:styleId="172">
    <w:name w:val="font112"/>
    <w:basedOn w:val="42"/>
    <w:qFormat/>
    <w:uiPriority w:val="0"/>
    <w:rPr>
      <w:rFonts w:hint="default" w:ascii="Times New Roman" w:hAnsi="Times New Roman" w:cs="Times New Roman"/>
      <w:b/>
      <w:color w:val="000000"/>
      <w:sz w:val="20"/>
      <w:szCs w:val="20"/>
      <w:u w:val="none"/>
    </w:rPr>
  </w:style>
  <w:style w:type="character" w:customStyle="1" w:styleId="173">
    <w:name w:val="font81"/>
    <w:basedOn w:val="42"/>
    <w:qFormat/>
    <w:uiPriority w:val="0"/>
    <w:rPr>
      <w:rFonts w:hint="default" w:ascii="Times New Roman" w:hAnsi="Times New Roman" w:cs="Times New Roman"/>
      <w:color w:val="000000"/>
      <w:sz w:val="20"/>
      <w:szCs w:val="20"/>
      <w:u w:val="none"/>
    </w:rPr>
  </w:style>
  <w:style w:type="character" w:customStyle="1" w:styleId="174">
    <w:name w:val="font51"/>
    <w:basedOn w:val="42"/>
    <w:qFormat/>
    <w:uiPriority w:val="0"/>
    <w:rPr>
      <w:rFonts w:hint="eastAsia" w:ascii="仿宋" w:hAnsi="仿宋" w:eastAsia="仿宋" w:cs="仿宋"/>
      <w:b/>
      <w:color w:val="000000"/>
      <w:sz w:val="20"/>
      <w:szCs w:val="20"/>
      <w:u w:val="none"/>
    </w:rPr>
  </w:style>
  <w:style w:type="character" w:customStyle="1" w:styleId="175">
    <w:name w:val="font101"/>
    <w:basedOn w:val="4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74</TotalTime>
  <ScaleCrop>false</ScaleCrop>
  <LinksUpToDate>false</LinksUpToDate>
  <CharactersWithSpaces>71004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Administrator</cp:lastModifiedBy>
  <cp:lastPrinted>2019-11-07T01:53:00Z</cp:lastPrinted>
  <dcterms:modified xsi:type="dcterms:W3CDTF">2020-10-30T07:40:04Z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